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2137" w:rsidRDefault="00FE2137" w:rsidP="00FC192B">
      <w:pPr>
        <w:rPr>
          <w:rFonts w:ascii="Cambria" w:hAnsi="Cambria" w:cs="Open Sans"/>
          <w:b/>
          <w:color w:val="373A3C"/>
          <w:sz w:val="24"/>
          <w:szCs w:val="24"/>
          <w:u w:val="single"/>
          <w:shd w:val="clear" w:color="auto" w:fill="FFFFFF"/>
        </w:rPr>
      </w:pPr>
      <w:bookmarkStart w:id="0" w:name="_Hlk497888355"/>
    </w:p>
    <w:p w:rsidR="00FE2137" w:rsidRDefault="00FE2137" w:rsidP="00FE2137">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80360" cy="1051560"/>
            <wp:effectExtent l="19050" t="19050" r="15240" b="15240"/>
            <wp:docPr id="21" name="Picture 2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rsidR="00FE2137" w:rsidRDefault="00FE2137" w:rsidP="00FE2137">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FE2137" w:rsidRPr="001E50BB" w:rsidRDefault="00FE2137" w:rsidP="00FE2137">
      <w:pPr>
        <w:jc w:val="center"/>
        <w:rPr>
          <w:rFonts w:ascii="Arial" w:hAnsi="Arial" w:cs="Arial"/>
          <w:b/>
          <w:lang w:val="cy-GB"/>
        </w:rPr>
      </w:pPr>
      <w:r w:rsidRPr="001E50BB">
        <w:rPr>
          <w:rFonts w:ascii="Arial" w:hAnsi="Arial" w:cs="Arial"/>
          <w:b/>
          <w:lang w:val="cy-GB"/>
        </w:rPr>
        <w:t>(to be completed by marker)</w:t>
      </w:r>
    </w:p>
    <w:p w:rsidR="00FE2137" w:rsidRPr="001E50BB" w:rsidRDefault="00FE2137" w:rsidP="00FE2137">
      <w:pPr>
        <w:jc w:val="center"/>
        <w:rPr>
          <w:rFonts w:ascii="Arial" w:hAnsi="Arial" w:cs="Arial"/>
          <w:b/>
          <w:lang w:val="cy-GB"/>
        </w:rPr>
      </w:pPr>
    </w:p>
    <w:p w:rsidR="00FE2137" w:rsidRDefault="00FE2137" w:rsidP="00FE2137">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FE2137" w:rsidRPr="0065654E" w:rsidTr="003F2FF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FE2137" w:rsidRDefault="00FE2137" w:rsidP="003F2FF9">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Samuel </w:t>
            </w:r>
            <w:proofErr w:type="spellStart"/>
            <w:r>
              <w:rPr>
                <w:rFonts w:ascii="Calibri" w:hAnsi="Calibri" w:cs="Tahoma"/>
                <w:i/>
                <w:sz w:val="24"/>
                <w:szCs w:val="24"/>
              </w:rPr>
              <w:t>Neyland</w:t>
            </w:r>
            <w:proofErr w:type="spellEnd"/>
            <w:r>
              <w:rPr>
                <w:rFonts w:ascii="Calibri" w:hAnsi="Calibri" w:cs="Tahoma"/>
                <w:i/>
                <w:sz w:val="24"/>
                <w:szCs w:val="24"/>
              </w:rPr>
              <w:t>-Evans</w:t>
            </w:r>
          </w:p>
          <w:p w:rsidR="00FE2137" w:rsidRPr="0065654E" w:rsidRDefault="00FE2137" w:rsidP="003F2FF9">
            <w:pPr>
              <w:pStyle w:val="NormalWeb"/>
              <w:spacing w:before="0" w:beforeAutospacing="0" w:after="0" w:afterAutospacing="0"/>
              <w:ind w:right="34"/>
              <w:rPr>
                <w:rFonts w:ascii="Calibri" w:hAnsi="Calibri" w:cs="Tahoma"/>
                <w:i/>
                <w:sz w:val="24"/>
                <w:szCs w:val="24"/>
              </w:rPr>
            </w:pPr>
          </w:p>
        </w:tc>
      </w:tr>
      <w:tr w:rsidR="00FE2137" w:rsidRPr="0065654E" w:rsidTr="003F2FF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FE2137" w:rsidRPr="0065654E" w:rsidRDefault="00FE2137" w:rsidP="003F2FF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Pr>
                <w:rFonts w:ascii="Calibri" w:hAnsi="Calibri" w:cs="Tahoma"/>
                <w:i/>
                <w:sz w:val="24"/>
                <w:szCs w:val="24"/>
              </w:rPr>
              <w:t xml:space="preserve"> Phenomenology and Existentialism</w:t>
            </w:r>
          </w:p>
        </w:tc>
        <w:tc>
          <w:tcPr>
            <w:tcW w:w="3967" w:type="dxa"/>
            <w:gridSpan w:val="2"/>
            <w:tcBorders>
              <w:top w:val="single" w:sz="4" w:space="0" w:color="auto"/>
              <w:left w:val="single" w:sz="4" w:space="0" w:color="auto"/>
              <w:bottom w:val="single" w:sz="4" w:space="0" w:color="auto"/>
              <w:right w:val="single" w:sz="4" w:space="0" w:color="auto"/>
            </w:tcBorders>
          </w:tcPr>
          <w:p w:rsidR="00FE2137" w:rsidRPr="0065654E" w:rsidRDefault="00FE2137" w:rsidP="003F2FF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1601937</w:t>
            </w:r>
          </w:p>
        </w:tc>
      </w:tr>
      <w:tr w:rsidR="00FE2137" w:rsidRPr="0065654E" w:rsidTr="003F2FF9">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FE2137" w:rsidRPr="0065654E" w:rsidRDefault="00FE2137" w:rsidP="003F2FF9">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FE2137" w:rsidRDefault="00FE2137" w:rsidP="003F2FF9">
            <w:pPr>
              <w:pStyle w:val="NormalWeb"/>
              <w:rPr>
                <w:rFonts w:ascii="Calibri" w:hAnsi="Calibri" w:cs="Tahoma"/>
                <w:i/>
                <w:sz w:val="24"/>
                <w:szCs w:val="24"/>
              </w:rPr>
            </w:pPr>
            <w:r w:rsidRPr="0065654E">
              <w:rPr>
                <w:rFonts w:ascii="Calibri" w:hAnsi="Calibri" w:cs="Tahoma"/>
                <w:i/>
                <w:sz w:val="24"/>
                <w:szCs w:val="24"/>
              </w:rPr>
              <w:t>Comments:</w:t>
            </w:r>
          </w:p>
          <w:p w:rsidR="00FE2137" w:rsidRDefault="00FE2137" w:rsidP="003F2FF9">
            <w:pPr>
              <w:pStyle w:val="NormalWeb"/>
              <w:rPr>
                <w:rFonts w:ascii="Calibri" w:hAnsi="Calibri" w:cs="Tahoma"/>
                <w:i/>
                <w:sz w:val="24"/>
                <w:szCs w:val="24"/>
              </w:rPr>
            </w:pPr>
          </w:p>
          <w:p w:rsidR="00FE2137" w:rsidRDefault="00FE2137" w:rsidP="003F2FF9">
            <w:pPr>
              <w:pStyle w:val="NormalWeb"/>
              <w:rPr>
                <w:rFonts w:ascii="Calibri" w:hAnsi="Calibri" w:cs="Tahoma"/>
                <w:i/>
                <w:sz w:val="24"/>
                <w:szCs w:val="24"/>
              </w:rPr>
            </w:pPr>
          </w:p>
          <w:p w:rsidR="00FE2137" w:rsidRDefault="00FE2137" w:rsidP="003F2FF9">
            <w:pPr>
              <w:pStyle w:val="NormalWeb"/>
              <w:rPr>
                <w:rFonts w:ascii="Calibri" w:hAnsi="Calibri" w:cs="Tahoma"/>
                <w:i/>
                <w:sz w:val="24"/>
                <w:szCs w:val="24"/>
              </w:rPr>
            </w:pPr>
          </w:p>
          <w:p w:rsidR="00FE2137" w:rsidRDefault="00FE2137" w:rsidP="003F2FF9">
            <w:pPr>
              <w:pStyle w:val="NormalWeb"/>
              <w:rPr>
                <w:rFonts w:ascii="Calibri" w:hAnsi="Calibri" w:cs="Tahoma"/>
                <w:i/>
                <w:sz w:val="24"/>
                <w:szCs w:val="24"/>
              </w:rPr>
            </w:pPr>
          </w:p>
          <w:p w:rsidR="00FE2137" w:rsidRDefault="00FE2137" w:rsidP="003F2FF9">
            <w:pPr>
              <w:pStyle w:val="NormalWeb"/>
              <w:rPr>
                <w:rFonts w:ascii="Calibri" w:hAnsi="Calibri" w:cs="Tahoma"/>
                <w:i/>
                <w:sz w:val="24"/>
                <w:szCs w:val="24"/>
              </w:rPr>
            </w:pPr>
          </w:p>
          <w:p w:rsidR="00FE2137" w:rsidRDefault="00FE2137" w:rsidP="003F2FF9">
            <w:pPr>
              <w:pStyle w:val="NormalWeb"/>
              <w:rPr>
                <w:rFonts w:ascii="Calibri" w:hAnsi="Calibri" w:cs="Tahoma"/>
                <w:i/>
                <w:sz w:val="24"/>
                <w:szCs w:val="24"/>
              </w:rPr>
            </w:pPr>
          </w:p>
          <w:p w:rsidR="00FE2137" w:rsidRDefault="00FE2137" w:rsidP="003F2FF9">
            <w:pPr>
              <w:pStyle w:val="NormalWeb"/>
              <w:rPr>
                <w:rFonts w:ascii="Calibri" w:hAnsi="Calibri" w:cs="Tahoma"/>
                <w:i/>
                <w:sz w:val="24"/>
                <w:szCs w:val="24"/>
              </w:rPr>
            </w:pPr>
          </w:p>
          <w:p w:rsidR="00FE2137" w:rsidRDefault="00FE2137" w:rsidP="003F2FF9">
            <w:pPr>
              <w:pStyle w:val="NormalWeb"/>
              <w:rPr>
                <w:rFonts w:ascii="Calibri" w:hAnsi="Calibri" w:cs="Tahoma"/>
                <w:i/>
                <w:sz w:val="24"/>
                <w:szCs w:val="24"/>
              </w:rPr>
            </w:pPr>
          </w:p>
          <w:p w:rsidR="00FE2137" w:rsidRDefault="00FE2137" w:rsidP="003F2FF9">
            <w:pPr>
              <w:pStyle w:val="NormalWeb"/>
              <w:rPr>
                <w:rFonts w:ascii="Calibri" w:hAnsi="Calibri" w:cs="Tahoma"/>
                <w:i/>
                <w:sz w:val="24"/>
                <w:szCs w:val="24"/>
              </w:rPr>
            </w:pPr>
          </w:p>
          <w:p w:rsidR="00FE2137" w:rsidRDefault="00FE2137" w:rsidP="003F2FF9">
            <w:pPr>
              <w:pStyle w:val="NormalWeb"/>
              <w:rPr>
                <w:rFonts w:ascii="Calibri" w:hAnsi="Calibri" w:cs="Tahoma"/>
                <w:i/>
                <w:sz w:val="24"/>
                <w:szCs w:val="24"/>
              </w:rPr>
            </w:pPr>
          </w:p>
          <w:p w:rsidR="00FE2137" w:rsidRPr="0065654E" w:rsidRDefault="00FE2137" w:rsidP="003F2FF9">
            <w:pPr>
              <w:pStyle w:val="NormalWeb"/>
              <w:rPr>
                <w:rFonts w:ascii="Calibri" w:hAnsi="Calibri" w:cs="Tahoma"/>
                <w:i/>
                <w:sz w:val="24"/>
                <w:szCs w:val="24"/>
              </w:rPr>
            </w:pPr>
          </w:p>
        </w:tc>
      </w:tr>
      <w:tr w:rsidR="00FE2137" w:rsidRPr="0065654E" w:rsidTr="003F2FF9">
        <w:trPr>
          <w:trHeight w:val="492"/>
        </w:trPr>
        <w:tc>
          <w:tcPr>
            <w:tcW w:w="6768" w:type="dxa"/>
            <w:gridSpan w:val="2"/>
            <w:tcBorders>
              <w:top w:val="single" w:sz="4" w:space="0" w:color="auto"/>
            </w:tcBorders>
            <w:vAlign w:val="center"/>
          </w:tcPr>
          <w:p w:rsidR="00FE2137" w:rsidRPr="0065654E" w:rsidRDefault="00FE2137" w:rsidP="003F2FF9">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FE2137" w:rsidRPr="0065654E" w:rsidRDefault="00FE2137" w:rsidP="003F2FF9">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FE2137" w:rsidRPr="0065654E" w:rsidTr="003F2FF9">
        <w:tc>
          <w:tcPr>
            <w:tcW w:w="8755" w:type="dxa"/>
            <w:gridSpan w:val="3"/>
            <w:vAlign w:val="center"/>
          </w:tcPr>
          <w:p w:rsidR="00FE2137" w:rsidRDefault="00FE2137" w:rsidP="003F2FF9">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FE2137" w:rsidRPr="0065654E" w:rsidRDefault="00FE2137" w:rsidP="003F2FF9">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B129D2" w:rsidRDefault="00D80587" w:rsidP="00F736AB">
      <w:pPr>
        <w:jc w:val="center"/>
        <w:rPr>
          <w:rFonts w:ascii="Cambria" w:hAnsi="Cambria" w:cs="Open Sans"/>
          <w:b/>
          <w:color w:val="373A3C"/>
          <w:sz w:val="24"/>
          <w:szCs w:val="24"/>
          <w:u w:val="single"/>
          <w:shd w:val="clear" w:color="auto" w:fill="FFFFFF"/>
        </w:rPr>
      </w:pPr>
      <w:r w:rsidRPr="00D80587">
        <w:rPr>
          <w:rFonts w:ascii="Cambria" w:hAnsi="Cambria" w:cs="Open Sans"/>
          <w:b/>
          <w:color w:val="373A3C"/>
          <w:sz w:val="24"/>
          <w:szCs w:val="24"/>
          <w:u w:val="single"/>
          <w:shd w:val="clear" w:color="auto" w:fill="FFFFFF"/>
        </w:rPr>
        <w:lastRenderedPageBreak/>
        <w:t>Discuss what it means for Dasein to be thrown in relation to being-in-the-world and facticity.</w:t>
      </w:r>
    </w:p>
    <w:p w:rsidR="00D80587" w:rsidRDefault="00D80587" w:rsidP="0055536F">
      <w:pPr>
        <w:spacing w:line="360" w:lineRule="auto"/>
        <w:jc w:val="center"/>
        <w:rPr>
          <w:rFonts w:ascii="Cambria" w:hAnsi="Cambria" w:cs="Open Sans"/>
          <w:b/>
          <w:color w:val="373A3C"/>
          <w:sz w:val="24"/>
          <w:szCs w:val="24"/>
          <w:u w:val="single"/>
          <w:shd w:val="clear" w:color="auto" w:fill="FFFFFF"/>
        </w:rPr>
      </w:pPr>
      <w:bookmarkStart w:id="1" w:name="_Hlk497888362"/>
      <w:bookmarkEnd w:id="0"/>
    </w:p>
    <w:p w:rsidR="00D80587" w:rsidRDefault="00D80587" w:rsidP="0055536F">
      <w:pPr>
        <w:spacing w:line="360" w:lineRule="auto"/>
        <w:rPr>
          <w:rFonts w:ascii="Cambria" w:hAnsi="Cambria"/>
        </w:rPr>
      </w:pPr>
      <w:r>
        <w:rPr>
          <w:rFonts w:ascii="Cambria" w:hAnsi="Cambria"/>
        </w:rPr>
        <w:t>Martin Heidegger was a 20</w:t>
      </w:r>
      <w:r w:rsidRPr="00D80587">
        <w:rPr>
          <w:rFonts w:ascii="Cambria" w:hAnsi="Cambria"/>
          <w:vertAlign w:val="superscript"/>
        </w:rPr>
        <w:t>th</w:t>
      </w:r>
      <w:r>
        <w:rPr>
          <w:rFonts w:ascii="Cambria" w:hAnsi="Cambria"/>
        </w:rPr>
        <w:t xml:space="preserve"> century philosopher who dedicated most of his work towards a school of philosophy called Phenomenology. Phenomenology grew as theory thanks to a man called Edmund </w:t>
      </w:r>
      <w:r w:rsidR="00DC6750">
        <w:rPr>
          <w:rFonts w:ascii="Cambria" w:hAnsi="Cambria"/>
        </w:rPr>
        <w:t>Husserl</w:t>
      </w:r>
      <w:r w:rsidR="00AF272D">
        <w:rPr>
          <w:rFonts w:ascii="Cambria" w:hAnsi="Cambria"/>
        </w:rPr>
        <w:t>, and is</w:t>
      </w:r>
      <w:r>
        <w:rPr>
          <w:rFonts w:ascii="Cambria" w:hAnsi="Cambria"/>
        </w:rPr>
        <w:t xml:space="preserve"> regarded as “</w:t>
      </w:r>
      <w:r w:rsidRPr="008B605E">
        <w:rPr>
          <w:rFonts w:ascii="Cambria" w:hAnsi="Cambria"/>
        </w:rPr>
        <w:t>the father of phenomenology</w:t>
      </w:r>
      <w:r>
        <w:rPr>
          <w:rFonts w:ascii="Cambria" w:hAnsi="Cambria"/>
        </w:rPr>
        <w:t>”</w:t>
      </w:r>
      <w:r w:rsidR="00060D9C">
        <w:rPr>
          <w:rStyle w:val="FootnoteReference"/>
          <w:rFonts w:ascii="Cambria" w:hAnsi="Cambria"/>
        </w:rPr>
        <w:footnoteReference w:id="1"/>
      </w:r>
      <w:r>
        <w:rPr>
          <w:rFonts w:ascii="Cambria" w:hAnsi="Cambria"/>
        </w:rPr>
        <w:t xml:space="preserve">. </w:t>
      </w:r>
      <w:r w:rsidR="00356356">
        <w:rPr>
          <w:rFonts w:ascii="Cambria" w:hAnsi="Cambria"/>
        </w:rPr>
        <w:t>Husserl was born in 1859 and released his masterpiece, “</w:t>
      </w:r>
      <w:r w:rsidR="00356356" w:rsidRPr="00382BB2">
        <w:rPr>
          <w:rFonts w:ascii="Cambria" w:hAnsi="Cambria"/>
          <w:i/>
        </w:rPr>
        <w:t>Logical Investigations</w:t>
      </w:r>
      <w:r w:rsidR="00356356">
        <w:rPr>
          <w:rFonts w:ascii="Cambria" w:hAnsi="Cambria"/>
        </w:rPr>
        <w:t xml:space="preserve">”, in 1900. </w:t>
      </w:r>
      <w:r>
        <w:rPr>
          <w:rFonts w:ascii="Cambria" w:hAnsi="Cambria"/>
        </w:rPr>
        <w:t xml:space="preserve">Heidegger took inspiration from Husserl and was very thankful for the efforts he made in contributing to </w:t>
      </w:r>
      <w:r w:rsidR="00AF272D">
        <w:rPr>
          <w:rFonts w:ascii="Cambria" w:hAnsi="Cambria"/>
        </w:rPr>
        <w:t>the</w:t>
      </w:r>
      <w:r>
        <w:rPr>
          <w:rFonts w:ascii="Cambria" w:hAnsi="Cambria"/>
        </w:rPr>
        <w:t xml:space="preserve"> school of phenomenology. In 1927 Heidegger released his masterpiece, “</w:t>
      </w:r>
      <w:r w:rsidRPr="00D30DD9">
        <w:rPr>
          <w:rFonts w:ascii="Cambria" w:hAnsi="Cambria"/>
          <w:i/>
        </w:rPr>
        <w:t>Being and Time</w:t>
      </w:r>
      <w:r>
        <w:rPr>
          <w:rFonts w:ascii="Cambria" w:hAnsi="Cambria"/>
        </w:rPr>
        <w:t xml:space="preserve">”, in which he </w:t>
      </w:r>
      <w:r w:rsidR="0055536F">
        <w:rPr>
          <w:rFonts w:ascii="Cambria" w:hAnsi="Cambria"/>
        </w:rPr>
        <w:t>built</w:t>
      </w:r>
      <w:r>
        <w:rPr>
          <w:rFonts w:ascii="Cambria" w:hAnsi="Cambria"/>
        </w:rPr>
        <w:t xml:space="preserve"> upon Husserl’s “</w:t>
      </w:r>
      <w:r w:rsidR="00237A24">
        <w:rPr>
          <w:rFonts w:ascii="Cambria" w:hAnsi="Cambria"/>
        </w:rPr>
        <w:t>pure/</w:t>
      </w:r>
      <w:r>
        <w:rPr>
          <w:rFonts w:ascii="Cambria" w:hAnsi="Cambria"/>
        </w:rPr>
        <w:t>transcendental phenomenology”</w:t>
      </w:r>
      <w:r w:rsidR="0055536F">
        <w:rPr>
          <w:rFonts w:ascii="Cambria" w:hAnsi="Cambria"/>
        </w:rPr>
        <w:t xml:space="preserve"> and produced an</w:t>
      </w:r>
      <w:r>
        <w:rPr>
          <w:rFonts w:ascii="Cambria" w:hAnsi="Cambria"/>
        </w:rPr>
        <w:t xml:space="preserve"> “existential </w:t>
      </w:r>
      <w:r w:rsidR="0055536F">
        <w:rPr>
          <w:rFonts w:ascii="Cambria" w:hAnsi="Cambria"/>
        </w:rPr>
        <w:t>phenomenology</w:t>
      </w:r>
      <w:r w:rsidR="00356356">
        <w:rPr>
          <w:rFonts w:ascii="Cambria" w:hAnsi="Cambria"/>
        </w:rPr>
        <w:t>”.</w:t>
      </w:r>
    </w:p>
    <w:bookmarkEnd w:id="1"/>
    <w:p w:rsidR="00062AEF" w:rsidRDefault="00052FA0" w:rsidP="0055536F">
      <w:pPr>
        <w:spacing w:line="360" w:lineRule="auto"/>
        <w:rPr>
          <w:rFonts w:ascii="Cambria" w:hAnsi="Cambria"/>
        </w:rPr>
      </w:pPr>
      <w:r>
        <w:rPr>
          <w:rFonts w:ascii="Cambria" w:hAnsi="Cambria"/>
        </w:rPr>
        <w:t>Husserl founded his theory</w:t>
      </w:r>
      <w:r w:rsidR="00AF272D">
        <w:rPr>
          <w:rFonts w:ascii="Cambria" w:hAnsi="Cambria"/>
        </w:rPr>
        <w:t xml:space="preserve"> off one indubitable fact,</w:t>
      </w:r>
      <w:r>
        <w:rPr>
          <w:rFonts w:ascii="Cambria" w:hAnsi="Cambria"/>
        </w:rPr>
        <w:t xml:space="preserve"> that everyone of us is aware of our own consciousness. We must have a solid foundation for which to build all other knowledge upon, and so Husserl thought he had found the foundation for human </w:t>
      </w:r>
      <w:r w:rsidR="00D30DD9">
        <w:rPr>
          <w:rFonts w:ascii="Cambria" w:hAnsi="Cambria"/>
        </w:rPr>
        <w:t>‘</w:t>
      </w:r>
      <w:r>
        <w:rPr>
          <w:rFonts w:ascii="Cambria" w:hAnsi="Cambria"/>
        </w:rPr>
        <w:t>being</w:t>
      </w:r>
      <w:r w:rsidR="00D30DD9">
        <w:rPr>
          <w:rFonts w:ascii="Cambria" w:hAnsi="Cambria"/>
        </w:rPr>
        <w:t>’</w:t>
      </w:r>
      <w:r>
        <w:rPr>
          <w:rFonts w:ascii="Cambria" w:hAnsi="Cambria"/>
        </w:rPr>
        <w:t>. Husserl followed up by saying that t</w:t>
      </w:r>
      <w:r w:rsidR="00AF272D">
        <w:rPr>
          <w:rFonts w:ascii="Cambria" w:hAnsi="Cambria"/>
        </w:rPr>
        <w:t xml:space="preserve">o be aware is to </w:t>
      </w:r>
      <w:r w:rsidR="00D30DD9">
        <w:rPr>
          <w:rFonts w:ascii="Cambria" w:hAnsi="Cambria"/>
        </w:rPr>
        <w:t>be aware of something.</w:t>
      </w:r>
      <w:r w:rsidR="00D30DD9">
        <w:rPr>
          <w:rStyle w:val="FootnoteReference"/>
          <w:rFonts w:ascii="Cambria" w:hAnsi="Cambria"/>
        </w:rPr>
        <w:footnoteReference w:id="2"/>
      </w:r>
    </w:p>
    <w:p w:rsidR="004A1668" w:rsidRDefault="00237A24" w:rsidP="0055536F">
      <w:pPr>
        <w:spacing w:line="360" w:lineRule="auto"/>
        <w:rPr>
          <w:rFonts w:ascii="Cambria" w:hAnsi="Cambria"/>
        </w:rPr>
      </w:pPr>
      <w:r>
        <w:rPr>
          <w:rFonts w:ascii="Cambria" w:hAnsi="Cambria"/>
        </w:rPr>
        <w:t>Heidegger wanted to give an accurate, wholesome account of the human experience. He wante</w:t>
      </w:r>
      <w:r w:rsidR="00D30DD9">
        <w:rPr>
          <w:rFonts w:ascii="Cambria" w:hAnsi="Cambria"/>
        </w:rPr>
        <w:t>d to describe what it means to ‘be’</w:t>
      </w:r>
      <w:r>
        <w:rPr>
          <w:rFonts w:ascii="Cambria" w:hAnsi="Cambria"/>
        </w:rPr>
        <w:t xml:space="preserve">. </w:t>
      </w:r>
      <w:r w:rsidR="00425F6D">
        <w:rPr>
          <w:rFonts w:ascii="Cambria" w:hAnsi="Cambria"/>
        </w:rPr>
        <w:t xml:space="preserve">Despite </w:t>
      </w:r>
      <w:r w:rsidR="004A1668">
        <w:rPr>
          <w:rFonts w:ascii="Cambria" w:hAnsi="Cambria"/>
        </w:rPr>
        <w:t>admiring Husserl for his contributions Heidegger thought that Husserl hadn’t first properly</w:t>
      </w:r>
      <w:r w:rsidR="007F0845">
        <w:rPr>
          <w:rFonts w:ascii="Cambria" w:hAnsi="Cambria"/>
        </w:rPr>
        <w:t xml:space="preserve"> understood</w:t>
      </w:r>
      <w:r w:rsidR="004A1668">
        <w:rPr>
          <w:rFonts w:ascii="Cambria" w:hAnsi="Cambria"/>
        </w:rPr>
        <w:t xml:space="preserve"> what it meant to be, a fundamental concept in </w:t>
      </w:r>
      <w:r w:rsidR="00D30DD9">
        <w:rPr>
          <w:rFonts w:ascii="Cambria" w:hAnsi="Cambria"/>
        </w:rPr>
        <w:t>the theory of what it means to ‘be’</w:t>
      </w:r>
      <w:r w:rsidR="004A1668">
        <w:rPr>
          <w:rFonts w:ascii="Cambria" w:hAnsi="Cambria"/>
        </w:rPr>
        <w:t xml:space="preserve">. </w:t>
      </w:r>
      <w:r w:rsidR="00B62050">
        <w:rPr>
          <w:rFonts w:ascii="Cambria" w:hAnsi="Cambria"/>
        </w:rPr>
        <w:t>Unlike</w:t>
      </w:r>
      <w:r w:rsidR="007B3672">
        <w:rPr>
          <w:rFonts w:ascii="Cambria" w:hAnsi="Cambria"/>
        </w:rPr>
        <w:t xml:space="preserve"> Husserl who with his “transcendental phenomenology” wanted to achieve some indubitable truth, Heidegger m</w:t>
      </w:r>
      <w:r w:rsidR="00D30DD9">
        <w:rPr>
          <w:rFonts w:ascii="Cambria" w:hAnsi="Cambria"/>
        </w:rPr>
        <w:t>erely wanted to describe ‘being’</w:t>
      </w:r>
      <w:r w:rsidR="007B3672">
        <w:rPr>
          <w:rFonts w:ascii="Cambria" w:hAnsi="Cambria"/>
        </w:rPr>
        <w:t xml:space="preserve">. </w:t>
      </w:r>
    </w:p>
    <w:p w:rsidR="00356356" w:rsidRDefault="007B3672" w:rsidP="0055536F">
      <w:pPr>
        <w:spacing w:line="360" w:lineRule="auto"/>
        <w:rPr>
          <w:rFonts w:ascii="Cambria" w:hAnsi="Cambria"/>
        </w:rPr>
      </w:pPr>
      <w:r>
        <w:rPr>
          <w:rFonts w:ascii="Cambria" w:hAnsi="Cambria"/>
        </w:rPr>
        <w:t xml:space="preserve">Husserl believed that subjects in the mind perceived objects of the world, a sort of Cartesian </w:t>
      </w:r>
      <w:r w:rsidR="00913226">
        <w:rPr>
          <w:rFonts w:ascii="Cambria" w:hAnsi="Cambria"/>
        </w:rPr>
        <w:t>Dualistic perspective,</w:t>
      </w:r>
      <w:r w:rsidR="00B62050">
        <w:rPr>
          <w:rFonts w:ascii="Cambria" w:hAnsi="Cambria"/>
        </w:rPr>
        <w:t xml:space="preserve"> but not exactly</w:t>
      </w:r>
      <w:r>
        <w:rPr>
          <w:rFonts w:ascii="Cambria" w:hAnsi="Cambria"/>
        </w:rPr>
        <w:t xml:space="preserve">. </w:t>
      </w:r>
      <w:r w:rsidR="00356356">
        <w:rPr>
          <w:rFonts w:ascii="Cambria" w:hAnsi="Cambria"/>
        </w:rPr>
        <w:t xml:space="preserve">Husserl also stated that our subjective minds are always </w:t>
      </w:r>
      <w:r w:rsidR="00D30DD9">
        <w:rPr>
          <w:rFonts w:ascii="Cambria" w:hAnsi="Cambria"/>
        </w:rPr>
        <w:t>‘</w:t>
      </w:r>
      <w:r w:rsidR="00356356">
        <w:rPr>
          <w:rFonts w:ascii="Cambria" w:hAnsi="Cambria"/>
        </w:rPr>
        <w:t>intended</w:t>
      </w:r>
      <w:r w:rsidR="00D30DD9">
        <w:rPr>
          <w:rFonts w:ascii="Cambria" w:hAnsi="Cambria"/>
        </w:rPr>
        <w:t>’</w:t>
      </w:r>
      <w:r w:rsidR="00356356">
        <w:rPr>
          <w:rFonts w:ascii="Cambria" w:hAnsi="Cambria"/>
        </w:rPr>
        <w:t xml:space="preserve"> towards something, whether that be a mental object of reality, or an internal mental concept. This is what Husserl believed to be the essence of the mind, </w:t>
      </w:r>
      <w:r w:rsidR="00356356" w:rsidRPr="00060D9C">
        <w:rPr>
          <w:rFonts w:ascii="Cambria" w:hAnsi="Cambria"/>
        </w:rPr>
        <w:t>intentionality</w:t>
      </w:r>
      <w:r w:rsidR="00060D9C">
        <w:rPr>
          <w:rFonts w:ascii="Cambria" w:hAnsi="Cambria"/>
        </w:rPr>
        <w:t xml:space="preserve">, which is how </w:t>
      </w:r>
      <w:r w:rsidR="008B605E">
        <w:rPr>
          <w:rFonts w:ascii="Cambria" w:hAnsi="Cambria"/>
        </w:rPr>
        <w:t>we “</w:t>
      </w:r>
      <w:r w:rsidR="00060D9C" w:rsidRPr="008B605E">
        <w:rPr>
          <w:rFonts w:ascii="Cambria" w:hAnsi="Cambria"/>
        </w:rPr>
        <w:t xml:space="preserve">direct ourselves to something in some way or other… in which we stand in a </w:t>
      </w:r>
      <w:r w:rsidR="00060D9C" w:rsidRPr="008B605E">
        <w:rPr>
          <w:rFonts w:ascii="Cambria" w:hAnsi="Cambria"/>
          <w:i/>
        </w:rPr>
        <w:t>relation to an object</w:t>
      </w:r>
      <w:r w:rsidR="00060D9C" w:rsidRPr="00060D9C">
        <w:rPr>
          <w:rFonts w:ascii="Cambria" w:hAnsi="Cambria"/>
        </w:rPr>
        <w:t>.</w:t>
      </w:r>
      <w:r w:rsidR="00060D9C">
        <w:rPr>
          <w:rFonts w:ascii="Cambria" w:hAnsi="Cambria"/>
        </w:rPr>
        <w:t>”</w:t>
      </w:r>
      <w:r w:rsidR="00060D9C">
        <w:rPr>
          <w:rStyle w:val="FootnoteReference"/>
          <w:rFonts w:ascii="Cambria" w:hAnsi="Cambria"/>
        </w:rPr>
        <w:footnoteReference w:id="3"/>
      </w:r>
      <w:r w:rsidR="00060D9C">
        <w:rPr>
          <w:rFonts w:ascii="Cambria" w:hAnsi="Cambria"/>
        </w:rPr>
        <w:t xml:space="preserve"> N</w:t>
      </w:r>
      <w:r w:rsidR="00356356">
        <w:rPr>
          <w:rFonts w:ascii="Cambria" w:hAnsi="Cambria"/>
        </w:rPr>
        <w:t xml:space="preserve">othing else in the universe shares this aspect, and if it did we would declare it as conscious. </w:t>
      </w:r>
    </w:p>
    <w:p w:rsidR="00356356" w:rsidRPr="00356356" w:rsidRDefault="00356356" w:rsidP="0055536F">
      <w:pPr>
        <w:spacing w:line="360" w:lineRule="auto"/>
        <w:rPr>
          <w:rFonts w:ascii="Cambria" w:hAnsi="Cambria"/>
        </w:rPr>
      </w:pPr>
      <w:r>
        <w:rPr>
          <w:rFonts w:ascii="Cambria" w:hAnsi="Cambria"/>
        </w:rPr>
        <w:lastRenderedPageBreak/>
        <w:t xml:space="preserve">Husserl didn’t set out his theory with the aim to prove the existence of the external world. For </w:t>
      </w:r>
      <w:r w:rsidR="00DC6750">
        <w:rPr>
          <w:rFonts w:ascii="Cambria" w:hAnsi="Cambria"/>
        </w:rPr>
        <w:t>Husserl,</w:t>
      </w:r>
      <w:r>
        <w:rPr>
          <w:rFonts w:ascii="Cambria" w:hAnsi="Cambria"/>
        </w:rPr>
        <w:t xml:space="preserve"> it didn’t matter to his theory, as his theory only claimed that we </w:t>
      </w:r>
      <w:r>
        <w:rPr>
          <w:rFonts w:ascii="Cambria" w:hAnsi="Cambria"/>
          <w:i/>
        </w:rPr>
        <w:t>perceive</w:t>
      </w:r>
      <w:r>
        <w:rPr>
          <w:rFonts w:ascii="Cambria" w:hAnsi="Cambria"/>
        </w:rPr>
        <w:t xml:space="preserve"> objects, not they exist external and independent of us. If I perceive a table, it doesn’t matter if it exists, perceiving a table is exactly that, perceiving a table. </w:t>
      </w:r>
    </w:p>
    <w:p w:rsidR="00913226" w:rsidRDefault="007B3672" w:rsidP="0055536F">
      <w:pPr>
        <w:spacing w:line="360" w:lineRule="auto"/>
        <w:rPr>
          <w:rFonts w:ascii="Cambria" w:hAnsi="Cambria"/>
        </w:rPr>
      </w:pPr>
      <w:r>
        <w:rPr>
          <w:rFonts w:ascii="Cambria" w:hAnsi="Cambria"/>
        </w:rPr>
        <w:t xml:space="preserve">Heidegger </w:t>
      </w:r>
      <w:r w:rsidR="00317E3A">
        <w:rPr>
          <w:rFonts w:ascii="Cambria" w:hAnsi="Cambria"/>
        </w:rPr>
        <w:t>rejected the idea</w:t>
      </w:r>
      <w:r>
        <w:rPr>
          <w:rFonts w:ascii="Cambria" w:hAnsi="Cambria"/>
        </w:rPr>
        <w:t xml:space="preserve"> that there was a distinct difference between subjects of per</w:t>
      </w:r>
      <w:r w:rsidR="00913226">
        <w:rPr>
          <w:rFonts w:ascii="Cambria" w:hAnsi="Cambria"/>
        </w:rPr>
        <w:t xml:space="preserve">ception and objects of reality and challenged the idea of </w:t>
      </w:r>
      <w:r w:rsidR="00CD3F0F">
        <w:rPr>
          <w:rFonts w:ascii="Cambria" w:hAnsi="Cambria"/>
        </w:rPr>
        <w:t>‘</w:t>
      </w:r>
      <w:r w:rsidR="00913226">
        <w:rPr>
          <w:rFonts w:ascii="Cambria" w:hAnsi="Cambria"/>
        </w:rPr>
        <w:t>being</w:t>
      </w:r>
      <w:r w:rsidR="00CD3F0F">
        <w:rPr>
          <w:rFonts w:ascii="Cambria" w:hAnsi="Cambria"/>
        </w:rPr>
        <w:t>’</w:t>
      </w:r>
      <w:r w:rsidR="00913226">
        <w:rPr>
          <w:rFonts w:ascii="Cambria" w:hAnsi="Cambria"/>
        </w:rPr>
        <w:t xml:space="preserve"> as a type</w:t>
      </w:r>
      <w:r w:rsidR="00356356">
        <w:rPr>
          <w:rFonts w:ascii="Cambria" w:hAnsi="Cambria"/>
        </w:rPr>
        <w:t xml:space="preserve"> of dualism, but </w:t>
      </w:r>
      <w:r w:rsidR="00317E3A">
        <w:rPr>
          <w:rFonts w:ascii="Cambria" w:hAnsi="Cambria"/>
        </w:rPr>
        <w:t xml:space="preserve">he </w:t>
      </w:r>
      <w:r w:rsidR="00356356">
        <w:rPr>
          <w:rFonts w:ascii="Cambria" w:hAnsi="Cambria"/>
        </w:rPr>
        <w:t xml:space="preserve">thought Husserl was onto something with his </w:t>
      </w:r>
      <w:r w:rsidR="00060D9C">
        <w:rPr>
          <w:rFonts w:ascii="Cambria" w:hAnsi="Cambria"/>
        </w:rPr>
        <w:t>i</w:t>
      </w:r>
      <w:r w:rsidR="00356356" w:rsidRPr="00060D9C">
        <w:rPr>
          <w:rFonts w:ascii="Cambria" w:hAnsi="Cambria"/>
        </w:rPr>
        <w:t>ntentionality</w:t>
      </w:r>
      <w:r w:rsidR="00356356">
        <w:rPr>
          <w:rFonts w:ascii="Cambria" w:hAnsi="Cambria"/>
        </w:rPr>
        <w:t xml:space="preserve">. </w:t>
      </w:r>
    </w:p>
    <w:p w:rsidR="00317E3A" w:rsidRDefault="00317E3A" w:rsidP="0055536F">
      <w:pPr>
        <w:spacing w:line="360" w:lineRule="auto"/>
        <w:rPr>
          <w:rFonts w:ascii="Cambria" w:hAnsi="Cambria"/>
        </w:rPr>
      </w:pPr>
      <w:r w:rsidRPr="00647776">
        <w:rPr>
          <w:rFonts w:ascii="Cambria" w:hAnsi="Cambria"/>
        </w:rPr>
        <w:t>Heidegger believed that humans aren’t subjects relating to objects, at times the line is blurred especially with our own body. To demonstrate his point Heidegger gave the example of the master carpenter using his hammer. Assuming he is a true master of his craft the carpenter not need to even think about striking the nail on target, he could even be having a conversation with a fellow carpenter whilst performing the task. Here the carpenter doesn’t haven to contemplate the hammer to use it for its intended use. This is what Heidegger called “Ready-To-Hand”</w:t>
      </w:r>
      <w:r w:rsidR="00647776">
        <w:rPr>
          <w:rStyle w:val="FootnoteReference"/>
          <w:rFonts w:ascii="Cambria" w:hAnsi="Cambria"/>
        </w:rPr>
        <w:footnoteReference w:id="4"/>
      </w:r>
      <w:r w:rsidRPr="00647776">
        <w:rPr>
          <w:rFonts w:ascii="Cambria" w:hAnsi="Cambria"/>
        </w:rPr>
        <w:t xml:space="preserve">, when an action is so </w:t>
      </w:r>
      <w:r w:rsidR="00647776">
        <w:rPr>
          <w:rFonts w:ascii="Cambria" w:hAnsi="Cambria"/>
        </w:rPr>
        <w:t>‘</w:t>
      </w:r>
      <w:r w:rsidRPr="00647776">
        <w:rPr>
          <w:rFonts w:ascii="Cambria" w:hAnsi="Cambria"/>
        </w:rPr>
        <w:t>transparent</w:t>
      </w:r>
      <w:r w:rsidR="00647776">
        <w:rPr>
          <w:rFonts w:ascii="Cambria" w:hAnsi="Cambria"/>
        </w:rPr>
        <w:t>’</w:t>
      </w:r>
      <w:r w:rsidRPr="00647776">
        <w:rPr>
          <w:rFonts w:ascii="Cambria" w:hAnsi="Cambria"/>
        </w:rPr>
        <w:t xml:space="preserve"> that it doesn’t even enter our consciousness. We </w:t>
      </w:r>
      <w:r w:rsidR="00DC6750" w:rsidRPr="00647776">
        <w:rPr>
          <w:rFonts w:ascii="Cambria" w:hAnsi="Cambria"/>
        </w:rPr>
        <w:t>perform these actions</w:t>
      </w:r>
      <w:r w:rsidRPr="00647776">
        <w:rPr>
          <w:rFonts w:ascii="Cambria" w:hAnsi="Cambria"/>
        </w:rPr>
        <w:t xml:space="preserve"> a thousand times a day. Examples: turning a doorknob, walking/breathing, driving a car, using a mouse and keyboard. </w:t>
      </w:r>
      <w:r w:rsidR="00DC6750" w:rsidRPr="00647776">
        <w:rPr>
          <w:rFonts w:ascii="Cambria" w:hAnsi="Cambria"/>
        </w:rPr>
        <w:t>These</w:t>
      </w:r>
      <w:r w:rsidRPr="00647776">
        <w:rPr>
          <w:rFonts w:ascii="Cambria" w:hAnsi="Cambria"/>
        </w:rPr>
        <w:t xml:space="preserve"> things have ascribed meaning, beliefs, and contexts’, yet it all goes unnoticed to the human consciousness. How is this possible if we are distinctly separate from the objects of the external world?</w:t>
      </w:r>
    </w:p>
    <w:p w:rsidR="00904AED" w:rsidRDefault="00317E3A" w:rsidP="0055536F">
      <w:pPr>
        <w:spacing w:line="360" w:lineRule="auto"/>
        <w:rPr>
          <w:rFonts w:ascii="Cambria" w:hAnsi="Cambria"/>
        </w:rPr>
      </w:pPr>
      <w:r>
        <w:rPr>
          <w:rFonts w:ascii="Cambria" w:hAnsi="Cambria"/>
        </w:rPr>
        <w:t xml:space="preserve">For centuries the biggest problem facing philosophers has been how do we as subjects have knowledge of/relate to objects of the external world? The problem centred around: perception, knowledge, how we got sense date, how we knew we had it, etc. Heidegger believed this was not the central human problem. We aren’t distinctly separate beings of consciousness looking through at glass window at objects of reality. We are, from the beginning, </w:t>
      </w:r>
      <w:r w:rsidR="00CD3F0F">
        <w:rPr>
          <w:rFonts w:ascii="Cambria" w:hAnsi="Cambria"/>
        </w:rPr>
        <w:t>“</w:t>
      </w:r>
      <w:r w:rsidRPr="001172C7">
        <w:rPr>
          <w:rFonts w:ascii="Cambria" w:hAnsi="Cambria"/>
        </w:rPr>
        <w:t>in amongst it all</w:t>
      </w:r>
      <w:r w:rsidR="00CD3F0F">
        <w:rPr>
          <w:rFonts w:ascii="Cambria" w:hAnsi="Cambria"/>
        </w:rPr>
        <w:t>”</w:t>
      </w:r>
      <w:r w:rsidR="001172C7">
        <w:rPr>
          <w:rStyle w:val="FootnoteReference"/>
          <w:rFonts w:ascii="Cambria" w:hAnsi="Cambria"/>
        </w:rPr>
        <w:footnoteReference w:id="5"/>
      </w:r>
      <w:r>
        <w:rPr>
          <w:rFonts w:ascii="Cambria" w:hAnsi="Cambria"/>
        </w:rPr>
        <w:t xml:space="preserve">, </w:t>
      </w:r>
      <w:r w:rsidR="00904AED">
        <w:rPr>
          <w:rFonts w:ascii="Cambria" w:hAnsi="Cambria"/>
        </w:rPr>
        <w:t>or as Heidegger would put it we are “</w:t>
      </w:r>
      <w:r w:rsidR="00904AED" w:rsidRPr="00B129D2">
        <w:rPr>
          <w:rFonts w:ascii="Cambria" w:hAnsi="Cambria"/>
        </w:rPr>
        <w:t>thrown</w:t>
      </w:r>
      <w:r w:rsidR="00904AED">
        <w:rPr>
          <w:rFonts w:ascii="Cambria" w:hAnsi="Cambria"/>
        </w:rPr>
        <w:t>”</w:t>
      </w:r>
      <w:r w:rsidR="00422486">
        <w:rPr>
          <w:rStyle w:val="FootnoteReference"/>
          <w:rFonts w:ascii="Cambria" w:hAnsi="Cambria"/>
        </w:rPr>
        <w:footnoteReference w:id="6"/>
      </w:r>
      <w:r w:rsidR="00904AED">
        <w:rPr>
          <w:rFonts w:ascii="Cambria" w:hAnsi="Cambria"/>
        </w:rPr>
        <w:t xml:space="preserve"> into “</w:t>
      </w:r>
      <w:r w:rsidR="00904AED" w:rsidRPr="008B605E">
        <w:rPr>
          <w:rFonts w:ascii="Cambria" w:hAnsi="Cambria"/>
        </w:rPr>
        <w:t>being-in-the-world</w:t>
      </w:r>
      <w:r w:rsidR="00CF2768">
        <w:rPr>
          <w:rFonts w:ascii="Cambria" w:hAnsi="Cambria"/>
        </w:rPr>
        <w:t>.”</w:t>
      </w:r>
      <w:r w:rsidR="00CF2768">
        <w:rPr>
          <w:rStyle w:val="FootnoteReference"/>
          <w:rFonts w:ascii="Cambria" w:hAnsi="Cambria"/>
        </w:rPr>
        <w:footnoteReference w:id="7"/>
      </w:r>
      <w:r w:rsidR="00904AED">
        <w:rPr>
          <w:rFonts w:ascii="Cambria" w:hAnsi="Cambria"/>
        </w:rPr>
        <w:t xml:space="preserve"> (Heidegger’s word for all of reality, subjects and objects combined into one). We are not, as traditional philosophers believed, </w:t>
      </w:r>
      <w:r w:rsidR="00CD3F0F">
        <w:rPr>
          <w:rFonts w:ascii="Cambria" w:hAnsi="Cambria"/>
        </w:rPr>
        <w:t>‘</w:t>
      </w:r>
      <w:r w:rsidR="00904AED">
        <w:rPr>
          <w:rFonts w:ascii="Cambria" w:hAnsi="Cambria"/>
        </w:rPr>
        <w:t>primary beings</w:t>
      </w:r>
      <w:r w:rsidR="00CD3F0F">
        <w:rPr>
          <w:rFonts w:ascii="Cambria" w:hAnsi="Cambria"/>
        </w:rPr>
        <w:t>’</w:t>
      </w:r>
      <w:r w:rsidR="00904AED">
        <w:rPr>
          <w:rFonts w:ascii="Cambria" w:hAnsi="Cambria"/>
        </w:rPr>
        <w:t xml:space="preserve">, or </w:t>
      </w:r>
      <w:r w:rsidR="00CD3F0F">
        <w:rPr>
          <w:rFonts w:ascii="Cambria" w:hAnsi="Cambria"/>
        </w:rPr>
        <w:t>‘</w:t>
      </w:r>
      <w:r w:rsidR="00904AED">
        <w:rPr>
          <w:rFonts w:ascii="Cambria" w:hAnsi="Cambria"/>
        </w:rPr>
        <w:t>rational beings</w:t>
      </w:r>
      <w:r w:rsidR="00CD3F0F">
        <w:rPr>
          <w:rFonts w:ascii="Cambria" w:hAnsi="Cambria"/>
        </w:rPr>
        <w:t>’</w:t>
      </w:r>
      <w:r w:rsidR="00904AED">
        <w:rPr>
          <w:rFonts w:ascii="Cambria" w:hAnsi="Cambria"/>
        </w:rPr>
        <w:t xml:space="preserve">, nor </w:t>
      </w:r>
      <w:r w:rsidR="00CD3F0F">
        <w:rPr>
          <w:rFonts w:ascii="Cambria" w:hAnsi="Cambria"/>
        </w:rPr>
        <w:t>‘</w:t>
      </w:r>
      <w:r w:rsidR="00904AED">
        <w:rPr>
          <w:rFonts w:ascii="Cambria" w:hAnsi="Cambria"/>
        </w:rPr>
        <w:t>philosophical beings</w:t>
      </w:r>
      <w:r w:rsidR="00CD3F0F">
        <w:rPr>
          <w:rFonts w:ascii="Cambria" w:hAnsi="Cambria"/>
        </w:rPr>
        <w:t>’</w:t>
      </w:r>
      <w:r w:rsidR="00647776">
        <w:rPr>
          <w:rFonts w:ascii="Cambria" w:hAnsi="Cambria"/>
        </w:rPr>
        <w:t>, we are ‘</w:t>
      </w:r>
      <w:r w:rsidR="00904AED" w:rsidRPr="00647776">
        <w:rPr>
          <w:rFonts w:ascii="Cambria" w:hAnsi="Cambria"/>
        </w:rPr>
        <w:t>coping/being-beings</w:t>
      </w:r>
      <w:r w:rsidR="00647776" w:rsidRPr="00647776">
        <w:rPr>
          <w:rFonts w:ascii="Cambria" w:hAnsi="Cambria"/>
        </w:rPr>
        <w:t>’</w:t>
      </w:r>
      <w:r w:rsidR="00904AED">
        <w:rPr>
          <w:rFonts w:ascii="Cambria" w:hAnsi="Cambria"/>
        </w:rPr>
        <w:t>. The “</w:t>
      </w:r>
      <w:r w:rsidR="00904AED" w:rsidRPr="00647776">
        <w:rPr>
          <w:rFonts w:ascii="Cambria" w:hAnsi="Cambria"/>
        </w:rPr>
        <w:t>ready-to-hand</w:t>
      </w:r>
      <w:r w:rsidR="00904AED">
        <w:rPr>
          <w:rFonts w:ascii="Cambria" w:hAnsi="Cambria"/>
        </w:rPr>
        <w:t>”</w:t>
      </w:r>
      <w:r w:rsidR="00647776">
        <w:rPr>
          <w:rStyle w:val="FootnoteReference"/>
          <w:rFonts w:ascii="Cambria" w:hAnsi="Cambria"/>
        </w:rPr>
        <w:footnoteReference w:id="8"/>
      </w:r>
      <w:r w:rsidR="00904AED">
        <w:rPr>
          <w:rFonts w:ascii="Cambria" w:hAnsi="Cambria"/>
        </w:rPr>
        <w:t xml:space="preserve"> examples of activity show that </w:t>
      </w:r>
      <w:r w:rsidR="00CD3F0F">
        <w:rPr>
          <w:rFonts w:ascii="Cambria" w:hAnsi="Cambria"/>
        </w:rPr>
        <w:t>‘</w:t>
      </w:r>
      <w:r w:rsidR="00904AED">
        <w:rPr>
          <w:rFonts w:ascii="Cambria" w:hAnsi="Cambria"/>
        </w:rPr>
        <w:t>awareness</w:t>
      </w:r>
      <w:r w:rsidR="00CD3F0F">
        <w:rPr>
          <w:rFonts w:ascii="Cambria" w:hAnsi="Cambria"/>
        </w:rPr>
        <w:t>’</w:t>
      </w:r>
      <w:r w:rsidR="00904AED">
        <w:rPr>
          <w:rFonts w:ascii="Cambria" w:hAnsi="Cambria"/>
        </w:rPr>
        <w:t xml:space="preserve"> and </w:t>
      </w:r>
      <w:r w:rsidR="00CD3F0F">
        <w:rPr>
          <w:rFonts w:ascii="Cambria" w:hAnsi="Cambria"/>
        </w:rPr>
        <w:t>‘</w:t>
      </w:r>
      <w:r w:rsidR="00904AED">
        <w:rPr>
          <w:rFonts w:ascii="Cambria" w:hAnsi="Cambria"/>
        </w:rPr>
        <w:t>choice</w:t>
      </w:r>
      <w:r w:rsidR="00CD3F0F">
        <w:rPr>
          <w:rFonts w:ascii="Cambria" w:hAnsi="Cambria"/>
        </w:rPr>
        <w:t>’</w:t>
      </w:r>
      <w:r w:rsidR="00904AED">
        <w:rPr>
          <w:rFonts w:ascii="Cambria" w:hAnsi="Cambria"/>
        </w:rPr>
        <w:t xml:space="preserve"> is not essential to consciousness. </w:t>
      </w:r>
    </w:p>
    <w:p w:rsidR="00904AED" w:rsidRDefault="00904AED" w:rsidP="0055536F">
      <w:pPr>
        <w:spacing w:line="360" w:lineRule="auto"/>
        <w:rPr>
          <w:rFonts w:ascii="Cambria" w:hAnsi="Cambria"/>
        </w:rPr>
      </w:pPr>
      <w:r>
        <w:rPr>
          <w:rFonts w:ascii="Cambria" w:hAnsi="Cambria"/>
        </w:rPr>
        <w:lastRenderedPageBreak/>
        <w:t>But Heidegger did not deny the existence of the classical states of consciousness, what he would call “</w:t>
      </w:r>
      <w:r w:rsidRPr="001172C7">
        <w:rPr>
          <w:rFonts w:ascii="Cambria" w:hAnsi="Cambria"/>
        </w:rPr>
        <w:t>unready-to-hand</w:t>
      </w:r>
      <w:r>
        <w:rPr>
          <w:rFonts w:ascii="Cambria" w:hAnsi="Cambria"/>
        </w:rPr>
        <w:t>”</w:t>
      </w:r>
      <w:r w:rsidR="00647776">
        <w:rPr>
          <w:rStyle w:val="FootnoteReference"/>
          <w:rFonts w:ascii="Cambria" w:hAnsi="Cambria"/>
        </w:rPr>
        <w:footnoteReference w:id="9"/>
      </w:r>
      <w:r>
        <w:rPr>
          <w:rFonts w:ascii="Cambria" w:hAnsi="Cambria"/>
        </w:rPr>
        <w:t xml:space="preserve"> and “</w:t>
      </w:r>
      <w:r w:rsidRPr="001172C7">
        <w:rPr>
          <w:rFonts w:ascii="Cambria" w:hAnsi="Cambria"/>
        </w:rPr>
        <w:t>present-at-hand</w:t>
      </w:r>
      <w:r>
        <w:rPr>
          <w:rFonts w:ascii="Cambria" w:hAnsi="Cambria"/>
        </w:rPr>
        <w:t>”</w:t>
      </w:r>
      <w:r w:rsidR="00647776">
        <w:rPr>
          <w:rStyle w:val="FootnoteReference"/>
          <w:rFonts w:ascii="Cambria" w:hAnsi="Cambria"/>
        </w:rPr>
        <w:footnoteReference w:id="10"/>
      </w:r>
      <w:r>
        <w:rPr>
          <w:rFonts w:ascii="Cambria" w:hAnsi="Cambria"/>
        </w:rPr>
        <w:t>. Using the same hammer analogy, imagine instead that the hammer is too heavy for the job, now we engage in “</w:t>
      </w:r>
      <w:r w:rsidRPr="001172C7">
        <w:rPr>
          <w:rFonts w:ascii="Cambria" w:hAnsi="Cambria"/>
        </w:rPr>
        <w:t>unready-to-hand</w:t>
      </w:r>
      <w:r>
        <w:rPr>
          <w:rFonts w:ascii="Cambria" w:hAnsi="Cambria"/>
        </w:rPr>
        <w:t>”</w:t>
      </w:r>
      <w:r w:rsidR="00647776">
        <w:rPr>
          <w:rStyle w:val="FootnoteReference"/>
          <w:rFonts w:ascii="Cambria" w:hAnsi="Cambria"/>
        </w:rPr>
        <w:footnoteReference w:id="11"/>
      </w:r>
      <w:r>
        <w:rPr>
          <w:rFonts w:ascii="Cambria" w:hAnsi="Cambria"/>
        </w:rPr>
        <w:t xml:space="preserve"> activity where we become the classic </w:t>
      </w:r>
      <w:r w:rsidR="00CD3F0F">
        <w:rPr>
          <w:rFonts w:ascii="Cambria" w:hAnsi="Cambria"/>
        </w:rPr>
        <w:t>‘</w:t>
      </w:r>
      <w:r>
        <w:rPr>
          <w:rFonts w:ascii="Cambria" w:hAnsi="Cambria"/>
        </w:rPr>
        <w:t>rational/problem-solving</w:t>
      </w:r>
      <w:r w:rsidR="00CD3F0F">
        <w:rPr>
          <w:rFonts w:ascii="Cambria" w:hAnsi="Cambria"/>
        </w:rPr>
        <w:t>’</w:t>
      </w:r>
      <w:r>
        <w:rPr>
          <w:rFonts w:ascii="Cambria" w:hAnsi="Cambria"/>
        </w:rPr>
        <w:t xml:space="preserve"> beings, we might go about and find a new hammer instead, and go back to engaging with “</w:t>
      </w:r>
      <w:r w:rsidRPr="001172C7">
        <w:rPr>
          <w:rFonts w:ascii="Cambria" w:hAnsi="Cambria"/>
        </w:rPr>
        <w:t>ready-to-hand</w:t>
      </w:r>
      <w:r>
        <w:rPr>
          <w:rFonts w:ascii="Cambria" w:hAnsi="Cambria"/>
        </w:rPr>
        <w:t>”</w:t>
      </w:r>
      <w:r w:rsidR="00647776">
        <w:rPr>
          <w:rStyle w:val="FootnoteReference"/>
          <w:rFonts w:ascii="Cambria" w:hAnsi="Cambria"/>
        </w:rPr>
        <w:footnoteReference w:id="12"/>
      </w:r>
      <w:r>
        <w:rPr>
          <w:rFonts w:ascii="Cambria" w:hAnsi="Cambria"/>
        </w:rPr>
        <w:t xml:space="preserve"> activity. Now instead imagine we just stare at the hammer and analyse </w:t>
      </w:r>
      <w:r w:rsidR="00505CBE">
        <w:rPr>
          <w:rFonts w:ascii="Cambria" w:hAnsi="Cambria"/>
        </w:rPr>
        <w:t>its</w:t>
      </w:r>
      <w:r>
        <w:rPr>
          <w:rFonts w:ascii="Cambria" w:hAnsi="Cambria"/>
        </w:rPr>
        <w:t xml:space="preserve"> properties and essential qualities (in either a typical philosophically/scientific engaged mind), this is what Heidegger called “</w:t>
      </w:r>
      <w:r w:rsidRPr="001172C7">
        <w:rPr>
          <w:rFonts w:ascii="Cambria" w:hAnsi="Cambria"/>
        </w:rPr>
        <w:t>present-at-hand</w:t>
      </w:r>
      <w:r>
        <w:rPr>
          <w:rFonts w:ascii="Cambria" w:hAnsi="Cambria"/>
        </w:rPr>
        <w:t>”</w:t>
      </w:r>
      <w:r w:rsidR="001172C7">
        <w:rPr>
          <w:rStyle w:val="FootnoteReference"/>
          <w:rFonts w:ascii="Cambria" w:hAnsi="Cambria"/>
        </w:rPr>
        <w:footnoteReference w:id="13"/>
      </w:r>
      <w:r>
        <w:rPr>
          <w:rFonts w:ascii="Cambria" w:hAnsi="Cambria"/>
        </w:rPr>
        <w:t xml:space="preserve">. </w:t>
      </w:r>
    </w:p>
    <w:p w:rsidR="00904AED" w:rsidRDefault="00904AED" w:rsidP="0055536F">
      <w:pPr>
        <w:spacing w:line="360" w:lineRule="auto"/>
        <w:rPr>
          <w:rFonts w:ascii="Cambria" w:hAnsi="Cambria"/>
        </w:rPr>
      </w:pPr>
      <w:r>
        <w:rPr>
          <w:rFonts w:ascii="Cambria" w:hAnsi="Cambria"/>
        </w:rPr>
        <w:t xml:space="preserve">This is significant because Heidegger thought that most philosophers had started their logical inquiry one activity too late. Most philosophers (Husserl, Plato, Descartes) had started on the premise that humans were primarily </w:t>
      </w:r>
      <w:r w:rsidR="00CD3F0F">
        <w:rPr>
          <w:rFonts w:ascii="Cambria" w:hAnsi="Cambria"/>
        </w:rPr>
        <w:t>‘</w:t>
      </w:r>
      <w:r>
        <w:rPr>
          <w:rFonts w:ascii="Cambria" w:hAnsi="Cambria"/>
        </w:rPr>
        <w:t>thinking beings</w:t>
      </w:r>
      <w:r w:rsidR="00CD3F0F">
        <w:rPr>
          <w:rFonts w:ascii="Cambria" w:hAnsi="Cambria"/>
        </w:rPr>
        <w:t>’</w:t>
      </w:r>
      <w:r>
        <w:rPr>
          <w:rFonts w:ascii="Cambria" w:hAnsi="Cambria"/>
        </w:rPr>
        <w:t>, engaged in “</w:t>
      </w:r>
      <w:r w:rsidRPr="001172C7">
        <w:rPr>
          <w:rFonts w:ascii="Cambria" w:hAnsi="Cambria"/>
        </w:rPr>
        <w:t>unready-to-hand</w:t>
      </w:r>
      <w:r>
        <w:rPr>
          <w:rFonts w:ascii="Cambria" w:hAnsi="Cambria"/>
        </w:rPr>
        <w:t>”</w:t>
      </w:r>
      <w:r w:rsidR="001172C7">
        <w:rPr>
          <w:rStyle w:val="FootnoteReference"/>
          <w:rFonts w:ascii="Cambria" w:hAnsi="Cambria"/>
        </w:rPr>
        <w:footnoteReference w:id="14"/>
      </w:r>
      <w:r>
        <w:rPr>
          <w:rFonts w:ascii="Cambria" w:hAnsi="Cambria"/>
        </w:rPr>
        <w:t xml:space="preserve"> or “</w:t>
      </w:r>
      <w:r w:rsidRPr="001172C7">
        <w:rPr>
          <w:rFonts w:ascii="Cambria" w:hAnsi="Cambria"/>
        </w:rPr>
        <w:t>present-at-hand</w:t>
      </w:r>
      <w:r>
        <w:rPr>
          <w:rFonts w:ascii="Cambria" w:hAnsi="Cambria"/>
        </w:rPr>
        <w:t>”</w:t>
      </w:r>
      <w:r w:rsidR="001172C7">
        <w:rPr>
          <w:rStyle w:val="FootnoteReference"/>
          <w:rFonts w:ascii="Cambria" w:hAnsi="Cambria"/>
        </w:rPr>
        <w:footnoteReference w:id="15"/>
      </w:r>
      <w:r>
        <w:rPr>
          <w:rFonts w:ascii="Cambria" w:hAnsi="Cambria"/>
        </w:rPr>
        <w:t xml:space="preserve"> activity, and completely ignored how we spend </w:t>
      </w:r>
      <w:proofErr w:type="gramStart"/>
      <w:r>
        <w:rPr>
          <w:rFonts w:ascii="Cambria" w:hAnsi="Cambria"/>
        </w:rPr>
        <w:t>the majority of</w:t>
      </w:r>
      <w:proofErr w:type="gramEnd"/>
      <w:r>
        <w:rPr>
          <w:rFonts w:ascii="Cambria" w:hAnsi="Cambria"/>
        </w:rPr>
        <w:t xml:space="preserve"> our existence. As I write this with my keyboard I do not have to think how my hands relate to the keys, they just do without thought. One could say it is simply muscle memory, but it still demonstrates that consciousness is not completely aware of its actions </w:t>
      </w:r>
      <w:proofErr w:type="gramStart"/>
      <w:r>
        <w:rPr>
          <w:rFonts w:ascii="Cambria" w:hAnsi="Cambria"/>
        </w:rPr>
        <w:t>at all times</w:t>
      </w:r>
      <w:proofErr w:type="gramEnd"/>
      <w:r>
        <w:rPr>
          <w:rFonts w:ascii="Cambria" w:hAnsi="Cambria"/>
        </w:rPr>
        <w:t xml:space="preserve">. </w:t>
      </w:r>
      <w:r w:rsidR="000D5C07">
        <w:rPr>
          <w:rFonts w:ascii="Cambria" w:hAnsi="Cambria"/>
        </w:rPr>
        <w:t xml:space="preserve">With this is mind, by the classical definition, we are only conscious once something goes wrong per se. </w:t>
      </w:r>
    </w:p>
    <w:p w:rsidR="000D5C07" w:rsidRDefault="000D5C07" w:rsidP="0055536F">
      <w:pPr>
        <w:spacing w:line="360" w:lineRule="auto"/>
        <w:rPr>
          <w:rFonts w:ascii="Cambria" w:hAnsi="Cambria"/>
        </w:rPr>
      </w:pPr>
      <w:r>
        <w:rPr>
          <w:rFonts w:ascii="Cambria" w:hAnsi="Cambria"/>
        </w:rPr>
        <w:t>Typical philosophy states that we generate concepts about the world via sense date, and it is only these concepts that I can be certain of, and thus from them infer about the external world, as if it is separate to us. Heidegger called this the “</w:t>
      </w:r>
      <w:r w:rsidRPr="00F82301">
        <w:rPr>
          <w:rFonts w:ascii="Cambria" w:hAnsi="Cambria"/>
        </w:rPr>
        <w:t>natural attitude</w:t>
      </w:r>
      <w:r>
        <w:rPr>
          <w:rFonts w:ascii="Cambria" w:hAnsi="Cambria"/>
        </w:rPr>
        <w:t>”, and makes it his goal to dismantle this idea and rejects it by claiming you don’t infer the world, as you start with it from birth. This is what he meant by “</w:t>
      </w:r>
      <w:r w:rsidRPr="008B605E">
        <w:rPr>
          <w:rFonts w:ascii="Cambria" w:hAnsi="Cambria"/>
        </w:rPr>
        <w:t>being-in-the-world</w:t>
      </w:r>
      <w:r>
        <w:rPr>
          <w:rFonts w:ascii="Cambria" w:hAnsi="Cambria"/>
        </w:rPr>
        <w:t>”</w:t>
      </w:r>
      <w:r w:rsidR="00CF2768">
        <w:rPr>
          <w:rStyle w:val="FootnoteReference"/>
          <w:rFonts w:ascii="Cambria" w:hAnsi="Cambria"/>
        </w:rPr>
        <w:footnoteReference w:id="16"/>
      </w:r>
      <w:r>
        <w:rPr>
          <w:rFonts w:ascii="Cambria" w:hAnsi="Cambria"/>
        </w:rPr>
        <w:t xml:space="preserve">, we are </w:t>
      </w:r>
      <w:r w:rsidR="00505CBE">
        <w:rPr>
          <w:rFonts w:ascii="Cambria" w:hAnsi="Cambria"/>
        </w:rPr>
        <w:t>a part</w:t>
      </w:r>
      <w:r>
        <w:rPr>
          <w:rFonts w:ascii="Cambria" w:hAnsi="Cambria"/>
        </w:rPr>
        <w:t xml:space="preserve"> of it and observe it at the same time, in a </w:t>
      </w:r>
      <w:r w:rsidR="00CD3F0F">
        <w:rPr>
          <w:rFonts w:ascii="Cambria" w:hAnsi="Cambria"/>
        </w:rPr>
        <w:t>“</w:t>
      </w:r>
      <w:r w:rsidRPr="00F82301">
        <w:rPr>
          <w:rFonts w:ascii="Cambria" w:hAnsi="Cambria"/>
        </w:rPr>
        <w:t>hermeneutic</w:t>
      </w:r>
      <w:r w:rsidR="00F82301" w:rsidRPr="00F82301">
        <w:rPr>
          <w:rFonts w:ascii="Cambria" w:hAnsi="Cambria"/>
        </w:rPr>
        <w:t>”</w:t>
      </w:r>
      <w:r w:rsidR="00F82301" w:rsidRPr="00F82301">
        <w:rPr>
          <w:rStyle w:val="FootnoteReference"/>
          <w:rFonts w:ascii="Cambria" w:hAnsi="Cambria"/>
        </w:rPr>
        <w:footnoteReference w:id="17"/>
      </w:r>
      <w:r w:rsidRPr="00F82301">
        <w:rPr>
          <w:rFonts w:ascii="Cambria" w:hAnsi="Cambria"/>
        </w:rPr>
        <w:t xml:space="preserve"> cycle</w:t>
      </w:r>
      <w:r>
        <w:rPr>
          <w:rFonts w:ascii="Cambria" w:hAnsi="Cambria"/>
        </w:rPr>
        <w:t>. We are born and the world is already laid out for us in what Heidegger called “</w:t>
      </w:r>
      <w:r w:rsidRPr="001172C7">
        <w:rPr>
          <w:rFonts w:ascii="Cambria" w:hAnsi="Cambria"/>
        </w:rPr>
        <w:t>the totality of significance</w:t>
      </w:r>
      <w:r>
        <w:rPr>
          <w:rFonts w:ascii="Cambria" w:hAnsi="Cambria"/>
        </w:rPr>
        <w:t>”</w:t>
      </w:r>
      <w:r w:rsidR="001172C7">
        <w:rPr>
          <w:rStyle w:val="FootnoteReference"/>
          <w:rFonts w:ascii="Cambria" w:hAnsi="Cambria"/>
        </w:rPr>
        <w:footnoteReference w:id="18"/>
      </w:r>
      <w:r>
        <w:rPr>
          <w:rFonts w:ascii="Cambria" w:hAnsi="Cambria"/>
        </w:rPr>
        <w:t xml:space="preserve">, and our conception around </w:t>
      </w:r>
      <w:r w:rsidR="00CD3F0F">
        <w:rPr>
          <w:rFonts w:ascii="Cambria" w:hAnsi="Cambria"/>
        </w:rPr>
        <w:t>‘</w:t>
      </w:r>
      <w:r>
        <w:rPr>
          <w:rFonts w:ascii="Cambria" w:hAnsi="Cambria"/>
        </w:rPr>
        <w:t>meaning</w:t>
      </w:r>
      <w:r w:rsidR="00CD3F0F">
        <w:rPr>
          <w:rFonts w:ascii="Cambria" w:hAnsi="Cambria"/>
        </w:rPr>
        <w:t>’</w:t>
      </w:r>
      <w:r>
        <w:rPr>
          <w:rFonts w:ascii="Cambria" w:hAnsi="Cambria"/>
        </w:rPr>
        <w:t xml:space="preserve">, is merely </w:t>
      </w:r>
      <w:r w:rsidR="001172C7">
        <w:rPr>
          <w:rFonts w:ascii="Cambria" w:hAnsi="Cambria"/>
        </w:rPr>
        <w:t>a segregated instance from the ‘</w:t>
      </w:r>
      <w:r w:rsidRPr="001172C7">
        <w:rPr>
          <w:rFonts w:ascii="Cambria" w:hAnsi="Cambria"/>
        </w:rPr>
        <w:t>background of the world</w:t>
      </w:r>
      <w:r w:rsidR="001172C7" w:rsidRPr="001172C7">
        <w:rPr>
          <w:rFonts w:ascii="Cambria" w:hAnsi="Cambria"/>
        </w:rPr>
        <w:t>’</w:t>
      </w:r>
      <w:r>
        <w:rPr>
          <w:rFonts w:ascii="Cambria" w:hAnsi="Cambria"/>
        </w:rPr>
        <w:t xml:space="preserve">. For example, a hammer can only make sense when in context with nails, carpentry, or destruction, you cannot perceive the </w:t>
      </w:r>
      <w:r>
        <w:rPr>
          <w:rFonts w:ascii="Cambria" w:hAnsi="Cambria"/>
        </w:rPr>
        <w:lastRenderedPageBreak/>
        <w:t>hammer with no context from the “</w:t>
      </w:r>
      <w:r w:rsidRPr="001172C7">
        <w:rPr>
          <w:rFonts w:ascii="Cambria" w:hAnsi="Cambria"/>
        </w:rPr>
        <w:t>totality of significance</w:t>
      </w:r>
      <w:r>
        <w:rPr>
          <w:rFonts w:ascii="Cambria" w:hAnsi="Cambria"/>
        </w:rPr>
        <w:t>”</w:t>
      </w:r>
      <w:r w:rsidR="001172C7">
        <w:rPr>
          <w:rStyle w:val="FootnoteReference"/>
          <w:rFonts w:ascii="Cambria" w:hAnsi="Cambria"/>
        </w:rPr>
        <w:footnoteReference w:id="19"/>
      </w:r>
      <w:r w:rsidR="001172C7">
        <w:rPr>
          <w:rFonts w:ascii="Cambria" w:hAnsi="Cambria"/>
        </w:rPr>
        <w:t>/ ‘</w:t>
      </w:r>
      <w:r w:rsidR="00303718" w:rsidRPr="001172C7">
        <w:rPr>
          <w:rFonts w:ascii="Cambria" w:hAnsi="Cambria"/>
        </w:rPr>
        <w:t>background</w:t>
      </w:r>
      <w:r w:rsidRPr="001172C7">
        <w:rPr>
          <w:rFonts w:ascii="Cambria" w:hAnsi="Cambria"/>
        </w:rPr>
        <w:t xml:space="preserve"> of the world</w:t>
      </w:r>
      <w:r w:rsidR="001172C7" w:rsidRPr="001172C7">
        <w:rPr>
          <w:rFonts w:ascii="Cambria" w:hAnsi="Cambria"/>
        </w:rPr>
        <w:t>’</w:t>
      </w:r>
      <w:r>
        <w:rPr>
          <w:rFonts w:ascii="Cambria" w:hAnsi="Cambria"/>
        </w:rPr>
        <w:t xml:space="preserve">. This premise of </w:t>
      </w:r>
      <w:r w:rsidR="00303718">
        <w:rPr>
          <w:rFonts w:ascii="Cambria" w:hAnsi="Cambria"/>
        </w:rPr>
        <w:t xml:space="preserve">constant activity on a contextual background of meaning. </w:t>
      </w:r>
      <w:r w:rsidR="0053699F">
        <w:rPr>
          <w:rFonts w:ascii="Cambria" w:hAnsi="Cambria"/>
        </w:rPr>
        <w:t>This cycle of experiencing things and then having an understanding on them, thus changing our perspective and experience of them, thus changing our understandings, is called the “</w:t>
      </w:r>
      <w:r w:rsidR="0053699F" w:rsidRPr="00F82301">
        <w:rPr>
          <w:rFonts w:ascii="Cambria" w:hAnsi="Cambria"/>
        </w:rPr>
        <w:t>Hermeneutic</w:t>
      </w:r>
      <w:r w:rsidR="00F82301" w:rsidRPr="00F82301">
        <w:rPr>
          <w:rFonts w:ascii="Cambria" w:hAnsi="Cambria"/>
        </w:rPr>
        <w:t>”</w:t>
      </w:r>
      <w:r w:rsidR="00F82301">
        <w:rPr>
          <w:rStyle w:val="FootnoteReference"/>
          <w:rFonts w:ascii="Cambria" w:hAnsi="Cambria"/>
        </w:rPr>
        <w:footnoteReference w:id="20"/>
      </w:r>
      <w:r w:rsidR="0053699F" w:rsidRPr="00F82301">
        <w:rPr>
          <w:rFonts w:ascii="Cambria" w:hAnsi="Cambria"/>
        </w:rPr>
        <w:t xml:space="preserve"> cycle</w:t>
      </w:r>
      <w:r w:rsidR="0053699F">
        <w:rPr>
          <w:rFonts w:ascii="Cambria" w:hAnsi="Cambria"/>
        </w:rPr>
        <w:t xml:space="preserve">. </w:t>
      </w:r>
    </w:p>
    <w:p w:rsidR="00CF2768" w:rsidRDefault="000D5C07" w:rsidP="0055536F">
      <w:pPr>
        <w:spacing w:line="360" w:lineRule="auto"/>
        <w:rPr>
          <w:rFonts w:ascii="Cambria" w:hAnsi="Cambria"/>
        </w:rPr>
      </w:pPr>
      <w:r>
        <w:rPr>
          <w:rFonts w:ascii="Cambria" w:hAnsi="Cambria"/>
        </w:rPr>
        <w:t xml:space="preserve">This is so radical from the traditional view on what it means to be human Heidegger thought it best to use a new word instead of </w:t>
      </w:r>
      <w:r w:rsidR="00CD3F0F">
        <w:rPr>
          <w:rFonts w:ascii="Cambria" w:hAnsi="Cambria"/>
        </w:rPr>
        <w:t>‘s</w:t>
      </w:r>
      <w:r>
        <w:rPr>
          <w:rFonts w:ascii="Cambria" w:hAnsi="Cambria"/>
        </w:rPr>
        <w:t>ubjects</w:t>
      </w:r>
      <w:r w:rsidR="00CD3F0F">
        <w:rPr>
          <w:rFonts w:ascii="Cambria" w:hAnsi="Cambria"/>
        </w:rPr>
        <w:t>’</w:t>
      </w:r>
      <w:r>
        <w:rPr>
          <w:rFonts w:ascii="Cambria" w:hAnsi="Cambria"/>
        </w:rPr>
        <w:t xml:space="preserve"> or </w:t>
      </w:r>
      <w:r w:rsidR="00CD3F0F">
        <w:rPr>
          <w:rFonts w:ascii="Cambria" w:hAnsi="Cambria"/>
        </w:rPr>
        <w:t>‘</w:t>
      </w:r>
      <w:r>
        <w:rPr>
          <w:rFonts w:ascii="Cambria" w:hAnsi="Cambria"/>
        </w:rPr>
        <w:t>humans</w:t>
      </w:r>
      <w:r w:rsidR="00CD3F0F">
        <w:rPr>
          <w:rFonts w:ascii="Cambria" w:hAnsi="Cambria"/>
        </w:rPr>
        <w:t>’</w:t>
      </w:r>
      <w:r>
        <w:rPr>
          <w:rFonts w:ascii="Cambria" w:hAnsi="Cambria"/>
        </w:rPr>
        <w:t xml:space="preserve">. </w:t>
      </w:r>
      <w:r w:rsidR="00303718">
        <w:rPr>
          <w:rFonts w:ascii="Cambria" w:hAnsi="Cambria"/>
        </w:rPr>
        <w:t xml:space="preserve">Heidegger coined the phrase </w:t>
      </w:r>
      <w:r w:rsidR="00303718" w:rsidRPr="00F82301">
        <w:rPr>
          <w:rFonts w:ascii="Cambria" w:hAnsi="Cambria"/>
        </w:rPr>
        <w:t>“Dasein</w:t>
      </w:r>
      <w:r w:rsidR="00F82301" w:rsidRPr="00F82301">
        <w:rPr>
          <w:rStyle w:val="FootnoteReference"/>
          <w:rFonts w:ascii="Cambria" w:hAnsi="Cambria"/>
        </w:rPr>
        <w:footnoteReference w:id="21"/>
      </w:r>
      <w:r w:rsidR="00303718" w:rsidRPr="00F82301">
        <w:rPr>
          <w:rFonts w:ascii="Cambria" w:hAnsi="Cambria"/>
        </w:rPr>
        <w:t>”,</w:t>
      </w:r>
      <w:r w:rsidR="00303718">
        <w:rPr>
          <w:rFonts w:ascii="Cambria" w:hAnsi="Cambria"/>
        </w:rPr>
        <w:t xml:space="preserve"> from the German </w:t>
      </w:r>
      <w:r w:rsidR="00CD3F0F">
        <w:rPr>
          <w:rFonts w:ascii="Cambria" w:hAnsi="Cambria"/>
        </w:rPr>
        <w:t>‘</w:t>
      </w:r>
      <w:r w:rsidR="00303718">
        <w:rPr>
          <w:rFonts w:ascii="Cambria" w:hAnsi="Cambria"/>
        </w:rPr>
        <w:t>Da</w:t>
      </w:r>
      <w:r w:rsidR="00CD3F0F">
        <w:rPr>
          <w:rFonts w:ascii="Cambria" w:hAnsi="Cambria"/>
        </w:rPr>
        <w:t>’</w:t>
      </w:r>
      <w:r w:rsidR="00303718">
        <w:rPr>
          <w:rFonts w:ascii="Cambria" w:hAnsi="Cambria"/>
        </w:rPr>
        <w:t xml:space="preserve">, meaning there, and </w:t>
      </w:r>
      <w:r w:rsidR="00CD3F0F">
        <w:rPr>
          <w:rFonts w:ascii="Cambria" w:hAnsi="Cambria"/>
        </w:rPr>
        <w:t>‘</w:t>
      </w:r>
      <w:r w:rsidR="00303718">
        <w:rPr>
          <w:rFonts w:ascii="Cambria" w:hAnsi="Cambria"/>
        </w:rPr>
        <w:t>Sein</w:t>
      </w:r>
      <w:r w:rsidR="00CD3F0F">
        <w:rPr>
          <w:rFonts w:ascii="Cambria" w:hAnsi="Cambria"/>
        </w:rPr>
        <w:t>’</w:t>
      </w:r>
      <w:r w:rsidR="00303718">
        <w:rPr>
          <w:rFonts w:ascii="Cambria" w:hAnsi="Cambria"/>
        </w:rPr>
        <w:t>, meaning be/being</w:t>
      </w:r>
      <w:r w:rsidR="00505CBE">
        <w:rPr>
          <w:rFonts w:ascii="Cambria" w:hAnsi="Cambria"/>
        </w:rPr>
        <w:t xml:space="preserve">, </w:t>
      </w:r>
      <w:proofErr w:type="gramStart"/>
      <w:r w:rsidR="00505CBE">
        <w:rPr>
          <w:rFonts w:ascii="Cambria" w:hAnsi="Cambria"/>
        </w:rPr>
        <w:t>in an attempt to</w:t>
      </w:r>
      <w:proofErr w:type="gramEnd"/>
      <w:r w:rsidR="00505CBE">
        <w:rPr>
          <w:rFonts w:ascii="Cambria" w:hAnsi="Cambria"/>
        </w:rPr>
        <w:t xml:space="preserve"> describe the interconnect and interdependent relationship of the </w:t>
      </w:r>
      <w:r w:rsidR="00CF2768">
        <w:rPr>
          <w:rFonts w:ascii="Cambria" w:hAnsi="Cambria"/>
        </w:rPr>
        <w:t>mind and the world, or as Heidegger puts it: “</w:t>
      </w:r>
      <w:r w:rsidR="00CF2768" w:rsidRPr="008B605E">
        <w:rPr>
          <w:rFonts w:ascii="Cambria" w:hAnsi="Cambria"/>
        </w:rPr>
        <w:t xml:space="preserve">This being which we ourselves in each case are and which includes inquiry among the possibilities of its being we formulate terminologically as </w:t>
      </w:r>
      <w:r w:rsidR="00CF2768" w:rsidRPr="008B605E">
        <w:rPr>
          <w:rFonts w:ascii="Cambria" w:hAnsi="Cambria"/>
          <w:i/>
        </w:rPr>
        <w:t>Dasein</w:t>
      </w:r>
      <w:r w:rsidR="00CF2768">
        <w:rPr>
          <w:rFonts w:ascii="Cambria" w:hAnsi="Cambria"/>
        </w:rPr>
        <w:t>.”</w:t>
      </w:r>
      <w:r w:rsidR="00CF2768">
        <w:rPr>
          <w:rStyle w:val="FootnoteReference"/>
          <w:rFonts w:ascii="Cambria" w:hAnsi="Cambria"/>
        </w:rPr>
        <w:footnoteReference w:id="22"/>
      </w:r>
      <w:r w:rsidR="00505CBE">
        <w:rPr>
          <w:rFonts w:ascii="Cambria" w:hAnsi="Cambria"/>
        </w:rPr>
        <w:t xml:space="preserve"> </w:t>
      </w:r>
      <w:r w:rsidR="00303718">
        <w:rPr>
          <w:rFonts w:ascii="Cambria" w:hAnsi="Cambria"/>
        </w:rPr>
        <w:t xml:space="preserve"> The activity of the human race is “</w:t>
      </w:r>
      <w:r w:rsidR="00303718" w:rsidRPr="00647776">
        <w:rPr>
          <w:rFonts w:ascii="Cambria" w:hAnsi="Cambria"/>
        </w:rPr>
        <w:t>Dasein</w:t>
      </w:r>
      <w:r w:rsidR="00303718">
        <w:rPr>
          <w:rFonts w:ascii="Cambria" w:hAnsi="Cambria"/>
        </w:rPr>
        <w:t>”</w:t>
      </w:r>
      <w:r w:rsidR="00F82301">
        <w:rPr>
          <w:rStyle w:val="FootnoteReference"/>
          <w:rFonts w:ascii="Cambria" w:hAnsi="Cambria"/>
        </w:rPr>
        <w:footnoteReference w:id="23"/>
      </w:r>
      <w:r w:rsidR="00505CBE">
        <w:rPr>
          <w:rFonts w:ascii="Cambria" w:hAnsi="Cambria"/>
        </w:rPr>
        <w:t>. We’re not</w:t>
      </w:r>
      <w:r w:rsidR="00303718">
        <w:rPr>
          <w:rFonts w:ascii="Cambria" w:hAnsi="Cambria"/>
        </w:rPr>
        <w:t xml:space="preserve"> rational beings,</w:t>
      </w:r>
      <w:r w:rsidR="00505CBE">
        <w:rPr>
          <w:rFonts w:ascii="Cambria" w:hAnsi="Cambria"/>
        </w:rPr>
        <w:t xml:space="preserve"> but</w:t>
      </w:r>
      <w:r w:rsidR="00303718">
        <w:rPr>
          <w:rFonts w:ascii="Cambria" w:hAnsi="Cambria"/>
        </w:rPr>
        <w:t xml:space="preserve"> instead </w:t>
      </w:r>
      <w:r w:rsidR="00647776">
        <w:rPr>
          <w:rFonts w:ascii="Cambria" w:hAnsi="Cambria"/>
        </w:rPr>
        <w:t>‘</w:t>
      </w:r>
      <w:r w:rsidR="00303718" w:rsidRPr="00647776">
        <w:rPr>
          <w:rFonts w:ascii="Cambria" w:hAnsi="Cambria"/>
        </w:rPr>
        <w:t>being-beings</w:t>
      </w:r>
      <w:r w:rsidR="00647776">
        <w:rPr>
          <w:rFonts w:ascii="Cambria" w:hAnsi="Cambria"/>
        </w:rPr>
        <w:t>’</w:t>
      </w:r>
      <w:r w:rsidR="00303718">
        <w:rPr>
          <w:rFonts w:ascii="Cambria" w:hAnsi="Cambria"/>
          <w:i/>
        </w:rPr>
        <w:t>.</w:t>
      </w:r>
      <w:r w:rsidR="00303718">
        <w:rPr>
          <w:rFonts w:ascii="Cambria" w:hAnsi="Cambria"/>
        </w:rPr>
        <w:t xml:space="preserve"> Dasein can be used to describe both the activity of humanit</w:t>
      </w:r>
      <w:r w:rsidR="0053699F">
        <w:rPr>
          <w:rFonts w:ascii="Cambria" w:hAnsi="Cambria"/>
        </w:rPr>
        <w:t>y or a singular instance of it, an individual or the “</w:t>
      </w:r>
      <w:r w:rsidR="0053699F" w:rsidRPr="00F82301">
        <w:rPr>
          <w:rFonts w:ascii="Cambria" w:hAnsi="Cambria"/>
        </w:rPr>
        <w:t>hermeneutic</w:t>
      </w:r>
      <w:r w:rsidR="00F82301" w:rsidRPr="00F82301">
        <w:rPr>
          <w:rFonts w:ascii="Cambria" w:hAnsi="Cambria"/>
        </w:rPr>
        <w:t>”</w:t>
      </w:r>
      <w:r w:rsidR="00F82301" w:rsidRPr="00F82301">
        <w:rPr>
          <w:rStyle w:val="FootnoteReference"/>
          <w:rFonts w:ascii="Cambria" w:hAnsi="Cambria"/>
        </w:rPr>
        <w:footnoteReference w:id="24"/>
      </w:r>
      <w:r w:rsidR="0053699F" w:rsidRPr="00F82301">
        <w:rPr>
          <w:rFonts w:ascii="Cambria" w:hAnsi="Cambria"/>
        </w:rPr>
        <w:t xml:space="preserve"> cycle</w:t>
      </w:r>
      <w:r w:rsidR="0053699F">
        <w:rPr>
          <w:rFonts w:ascii="Cambria" w:hAnsi="Cambria"/>
        </w:rPr>
        <w:t xml:space="preserve"> itself</w:t>
      </w:r>
      <w:r w:rsidR="00CF2768">
        <w:rPr>
          <w:rFonts w:ascii="Cambria" w:hAnsi="Cambria"/>
        </w:rPr>
        <w:t xml:space="preserve"> so to speak.</w:t>
      </w:r>
    </w:p>
    <w:p w:rsidR="00303718" w:rsidRDefault="00303718" w:rsidP="0055536F">
      <w:pPr>
        <w:spacing w:line="360" w:lineRule="auto"/>
        <w:rPr>
          <w:rFonts w:ascii="Cambria" w:hAnsi="Cambria"/>
        </w:rPr>
      </w:pPr>
      <w:r>
        <w:rPr>
          <w:rFonts w:ascii="Cambria" w:hAnsi="Cambria"/>
        </w:rPr>
        <w:t>Heidegger made the claim that this way of being, this “</w:t>
      </w:r>
      <w:r w:rsidRPr="00647776">
        <w:rPr>
          <w:rFonts w:ascii="Cambria" w:hAnsi="Cambria"/>
        </w:rPr>
        <w:t>Dasein</w:t>
      </w:r>
      <w:r>
        <w:rPr>
          <w:rFonts w:ascii="Cambria" w:hAnsi="Cambria"/>
        </w:rPr>
        <w:t>”</w:t>
      </w:r>
      <w:r w:rsidR="00F82301">
        <w:rPr>
          <w:rStyle w:val="FootnoteReference"/>
          <w:rFonts w:ascii="Cambria" w:hAnsi="Cambria"/>
        </w:rPr>
        <w:footnoteReference w:id="25"/>
      </w:r>
      <w:r>
        <w:rPr>
          <w:rFonts w:ascii="Cambria" w:hAnsi="Cambria"/>
        </w:rPr>
        <w:t>, h</w:t>
      </w:r>
      <w:r w:rsidR="00505CBE">
        <w:rPr>
          <w:rFonts w:ascii="Cambria" w:hAnsi="Cambria"/>
        </w:rPr>
        <w:t xml:space="preserve">ad a direct relation with time, </w:t>
      </w:r>
      <w:r>
        <w:rPr>
          <w:rFonts w:ascii="Cambria" w:hAnsi="Cambria"/>
        </w:rPr>
        <w:t>hence the title of his masterpiece, “</w:t>
      </w:r>
      <w:r w:rsidR="00CD3F0F">
        <w:rPr>
          <w:rFonts w:ascii="Cambria" w:hAnsi="Cambria"/>
        </w:rPr>
        <w:t>B</w:t>
      </w:r>
      <w:r>
        <w:rPr>
          <w:rFonts w:ascii="Cambria" w:hAnsi="Cambria"/>
        </w:rPr>
        <w:t>e</w:t>
      </w:r>
      <w:r w:rsidR="00CD3F0F">
        <w:rPr>
          <w:rFonts w:ascii="Cambria" w:hAnsi="Cambria"/>
        </w:rPr>
        <w:t>ing and T</w:t>
      </w:r>
      <w:r>
        <w:rPr>
          <w:rFonts w:ascii="Cambria" w:hAnsi="Cambria"/>
        </w:rPr>
        <w:t>ime”. Heidegger thought</w:t>
      </w:r>
      <w:r w:rsidR="00647776">
        <w:rPr>
          <w:rFonts w:ascii="Cambria" w:hAnsi="Cambria"/>
        </w:rPr>
        <w:t xml:space="preserve"> of human activity as </w:t>
      </w:r>
      <w:r w:rsidR="005256A8" w:rsidRPr="001172C7">
        <w:rPr>
          <w:rFonts w:ascii="Cambria" w:hAnsi="Cambria"/>
        </w:rPr>
        <w:t xml:space="preserve">opening a </w:t>
      </w:r>
      <w:r w:rsidR="00647776" w:rsidRPr="001172C7">
        <w:rPr>
          <w:rFonts w:ascii="Cambria" w:hAnsi="Cambria"/>
        </w:rPr>
        <w:t>“</w:t>
      </w:r>
      <w:r w:rsidR="005256A8" w:rsidRPr="001172C7">
        <w:rPr>
          <w:rFonts w:ascii="Cambria" w:hAnsi="Cambria"/>
        </w:rPr>
        <w:t>clearing</w:t>
      </w:r>
      <w:r w:rsidR="005256A8">
        <w:rPr>
          <w:rFonts w:ascii="Cambria" w:hAnsi="Cambria"/>
        </w:rPr>
        <w:t>”</w:t>
      </w:r>
      <w:r w:rsidR="00647776">
        <w:rPr>
          <w:rStyle w:val="FootnoteReference"/>
          <w:rFonts w:ascii="Cambria" w:hAnsi="Cambria"/>
        </w:rPr>
        <w:footnoteReference w:id="26"/>
      </w:r>
      <w:r w:rsidR="005256A8">
        <w:rPr>
          <w:rFonts w:ascii="Cambria" w:hAnsi="Cambria"/>
        </w:rPr>
        <w:t xml:space="preserve"> (here clearing means situation), and when opened</w:t>
      </w:r>
      <w:r w:rsidR="00647776">
        <w:rPr>
          <w:rFonts w:ascii="Cambria" w:hAnsi="Cambria"/>
        </w:rPr>
        <w:t xml:space="preserve"> the next stage is to ‘</w:t>
      </w:r>
      <w:r w:rsidR="005256A8" w:rsidRPr="00647776">
        <w:rPr>
          <w:rFonts w:ascii="Cambria" w:hAnsi="Cambria"/>
        </w:rPr>
        <w:t>clear</w:t>
      </w:r>
      <w:r w:rsidR="00647776" w:rsidRPr="00647776">
        <w:rPr>
          <w:rFonts w:ascii="Cambria" w:hAnsi="Cambria"/>
        </w:rPr>
        <w:t>’</w:t>
      </w:r>
      <w:r w:rsidR="005256A8">
        <w:rPr>
          <w:rFonts w:ascii="Cambria" w:hAnsi="Cambria"/>
        </w:rPr>
        <w:t xml:space="preserve"> the “</w:t>
      </w:r>
      <w:r w:rsidR="005256A8" w:rsidRPr="001172C7">
        <w:rPr>
          <w:rFonts w:ascii="Cambria" w:hAnsi="Cambria"/>
        </w:rPr>
        <w:t>clearing</w:t>
      </w:r>
      <w:r w:rsidR="005256A8">
        <w:rPr>
          <w:rFonts w:ascii="Cambria" w:hAnsi="Cambria"/>
        </w:rPr>
        <w:t>”</w:t>
      </w:r>
      <w:r w:rsidR="00647776">
        <w:rPr>
          <w:rStyle w:val="FootnoteReference"/>
          <w:rFonts w:ascii="Cambria" w:hAnsi="Cambria"/>
        </w:rPr>
        <w:footnoteReference w:id="27"/>
      </w:r>
      <w:r w:rsidR="005256A8">
        <w:rPr>
          <w:rFonts w:ascii="Cambria" w:hAnsi="Cambria"/>
        </w:rPr>
        <w:t>. This activity has 3 levels to it:</w:t>
      </w:r>
    </w:p>
    <w:p w:rsidR="005256A8" w:rsidRDefault="005256A8" w:rsidP="0055536F">
      <w:pPr>
        <w:spacing w:line="360" w:lineRule="auto"/>
        <w:rPr>
          <w:rFonts w:ascii="Cambria" w:hAnsi="Cambria"/>
        </w:rPr>
      </w:pPr>
      <w:r>
        <w:rPr>
          <w:rFonts w:ascii="Cambria" w:hAnsi="Cambria"/>
        </w:rPr>
        <w:t>The first derives from our “</w:t>
      </w:r>
      <w:r w:rsidRPr="00B129D2">
        <w:rPr>
          <w:rFonts w:ascii="Cambria" w:hAnsi="Cambria"/>
        </w:rPr>
        <w:t>thrownness</w:t>
      </w:r>
      <w:r>
        <w:rPr>
          <w:rFonts w:ascii="Cambria" w:hAnsi="Cambria"/>
        </w:rPr>
        <w:t>”</w:t>
      </w:r>
      <w:r w:rsidR="00B129D2">
        <w:rPr>
          <w:rStyle w:val="FootnoteReference"/>
          <w:rFonts w:ascii="Cambria" w:hAnsi="Cambria"/>
        </w:rPr>
        <w:footnoteReference w:id="28"/>
      </w:r>
      <w:r>
        <w:rPr>
          <w:rFonts w:ascii="Cambria" w:hAnsi="Cambria"/>
        </w:rPr>
        <w:t xml:space="preserve"> into “</w:t>
      </w:r>
      <w:r w:rsidRPr="008B605E">
        <w:rPr>
          <w:rFonts w:ascii="Cambria" w:hAnsi="Cambria"/>
        </w:rPr>
        <w:t>being-in-the-world</w:t>
      </w:r>
      <w:r>
        <w:rPr>
          <w:rFonts w:ascii="Cambria" w:hAnsi="Cambria"/>
        </w:rPr>
        <w:t>”</w:t>
      </w:r>
      <w:r w:rsidR="00CF2768">
        <w:rPr>
          <w:rStyle w:val="FootnoteReference"/>
          <w:rFonts w:ascii="Cambria" w:hAnsi="Cambria"/>
        </w:rPr>
        <w:footnoteReference w:id="29"/>
      </w:r>
      <w:r>
        <w:rPr>
          <w:rFonts w:ascii="Cambria" w:hAnsi="Cambria"/>
        </w:rPr>
        <w:t>, what Heidegger called “</w:t>
      </w:r>
      <w:r w:rsidRPr="00B129D2">
        <w:rPr>
          <w:rFonts w:ascii="Cambria" w:hAnsi="Cambria"/>
        </w:rPr>
        <w:t>facticity</w:t>
      </w:r>
      <w:r>
        <w:rPr>
          <w:rFonts w:ascii="Cambria" w:hAnsi="Cambria"/>
        </w:rPr>
        <w:t>”</w:t>
      </w:r>
      <w:r w:rsidR="00B129D2">
        <w:rPr>
          <w:rStyle w:val="FootnoteReference"/>
          <w:rFonts w:ascii="Cambria" w:hAnsi="Cambria"/>
        </w:rPr>
        <w:footnoteReference w:id="30"/>
      </w:r>
      <w:r>
        <w:rPr>
          <w:rFonts w:ascii="Cambria" w:hAnsi="Cambria"/>
        </w:rPr>
        <w:t>, leaves us with a natural disposition, these dispositions being “</w:t>
      </w:r>
      <w:r w:rsidRPr="001172C7">
        <w:rPr>
          <w:rFonts w:ascii="Cambria" w:hAnsi="Cambria"/>
        </w:rPr>
        <w:t>moods</w:t>
      </w:r>
      <w:r>
        <w:rPr>
          <w:rFonts w:ascii="Cambria" w:hAnsi="Cambria"/>
        </w:rPr>
        <w:t>”</w:t>
      </w:r>
      <w:r w:rsidR="001172C7">
        <w:rPr>
          <w:rStyle w:val="FootnoteReference"/>
          <w:rFonts w:ascii="Cambria" w:hAnsi="Cambria"/>
        </w:rPr>
        <w:footnoteReference w:id="31"/>
      </w:r>
      <w:r>
        <w:rPr>
          <w:rFonts w:ascii="Cambria" w:hAnsi="Cambria"/>
        </w:rPr>
        <w:t xml:space="preserve">. Things always have some importance to us, importance in terms of mattering to us. Things can seem frightening or beautiful, dangerous or comforting. Our disposition comes from us being </w:t>
      </w:r>
      <w:r>
        <w:rPr>
          <w:rFonts w:ascii="Cambria" w:hAnsi="Cambria"/>
        </w:rPr>
        <w:lastRenderedPageBreak/>
        <w:t>“</w:t>
      </w:r>
      <w:r w:rsidRPr="00B129D2">
        <w:rPr>
          <w:rFonts w:ascii="Cambria" w:hAnsi="Cambria"/>
        </w:rPr>
        <w:t>thrown</w:t>
      </w:r>
      <w:r>
        <w:rPr>
          <w:rFonts w:ascii="Cambria" w:hAnsi="Cambria"/>
        </w:rPr>
        <w:t>”</w:t>
      </w:r>
      <w:r w:rsidR="00B129D2">
        <w:rPr>
          <w:rStyle w:val="FootnoteReference"/>
          <w:rFonts w:ascii="Cambria" w:hAnsi="Cambria"/>
        </w:rPr>
        <w:footnoteReference w:id="32"/>
      </w:r>
      <w:r>
        <w:rPr>
          <w:rFonts w:ascii="Cambria" w:hAnsi="Cambria"/>
        </w:rPr>
        <w:t xml:space="preserve"> into a world of significance, we’re always already in a situation/clearing, and it always already matters. We never start with having no mood and then jump into one, we always already have a mood/disposition. </w:t>
      </w:r>
    </w:p>
    <w:p w:rsidR="005256A8" w:rsidRDefault="008A5871" w:rsidP="0055536F">
      <w:pPr>
        <w:spacing w:line="360" w:lineRule="auto"/>
        <w:rPr>
          <w:rFonts w:ascii="Cambria" w:hAnsi="Cambria"/>
        </w:rPr>
      </w:pPr>
      <w:r>
        <w:rPr>
          <w:rFonts w:ascii="Cambria" w:hAnsi="Cambria"/>
        </w:rPr>
        <w:t>Secondly is our projection of meaning onto the world. This relates to being thrown into “</w:t>
      </w:r>
      <w:r w:rsidRPr="008B605E">
        <w:rPr>
          <w:rFonts w:ascii="Cambria" w:hAnsi="Cambria"/>
        </w:rPr>
        <w:t>being-in-the-world</w:t>
      </w:r>
      <w:r>
        <w:rPr>
          <w:rFonts w:ascii="Cambria" w:hAnsi="Cambria"/>
        </w:rPr>
        <w:t>”</w:t>
      </w:r>
      <w:r w:rsidR="00CF2768">
        <w:rPr>
          <w:rStyle w:val="FootnoteReference"/>
          <w:rFonts w:ascii="Cambria" w:hAnsi="Cambria"/>
        </w:rPr>
        <w:footnoteReference w:id="33"/>
      </w:r>
      <w:r>
        <w:rPr>
          <w:rFonts w:ascii="Cambria" w:hAnsi="Cambria"/>
        </w:rPr>
        <w:t>, as the world we are “</w:t>
      </w:r>
      <w:r w:rsidRPr="00B129D2">
        <w:rPr>
          <w:rFonts w:ascii="Cambria" w:hAnsi="Cambria"/>
        </w:rPr>
        <w:t>thrown</w:t>
      </w:r>
      <w:r>
        <w:rPr>
          <w:rFonts w:ascii="Cambria" w:hAnsi="Cambria"/>
        </w:rPr>
        <w:t>”</w:t>
      </w:r>
      <w:r w:rsidR="00B129D2">
        <w:rPr>
          <w:rStyle w:val="FootnoteReference"/>
          <w:rFonts w:ascii="Cambria" w:hAnsi="Cambria"/>
        </w:rPr>
        <w:footnoteReference w:id="34"/>
      </w:r>
      <w:r>
        <w:rPr>
          <w:rFonts w:ascii="Cambria" w:hAnsi="Cambria"/>
        </w:rPr>
        <w:t xml:space="preserve"> into is one that is already constructed with meaning/in a “</w:t>
      </w:r>
      <w:r w:rsidR="00647776" w:rsidRPr="00647776">
        <w:rPr>
          <w:rFonts w:ascii="Cambria" w:hAnsi="Cambria"/>
        </w:rPr>
        <w:t>categories</w:t>
      </w:r>
      <w:r w:rsidRPr="00647776">
        <w:rPr>
          <w:rFonts w:ascii="Cambria" w:hAnsi="Cambria"/>
        </w:rPr>
        <w:t xml:space="preserve"> of </w:t>
      </w:r>
      <w:bookmarkStart w:id="7" w:name="_Hlk497911828"/>
      <w:r w:rsidRPr="00647776">
        <w:rPr>
          <w:rFonts w:ascii="Cambria" w:hAnsi="Cambria"/>
        </w:rPr>
        <w:t>significance</w:t>
      </w:r>
      <w:bookmarkEnd w:id="7"/>
      <w:r>
        <w:rPr>
          <w:rFonts w:ascii="Cambria" w:hAnsi="Cambria"/>
        </w:rPr>
        <w:t>”</w:t>
      </w:r>
      <w:r w:rsidR="00647776">
        <w:rPr>
          <w:rStyle w:val="FootnoteReference"/>
          <w:rFonts w:ascii="Cambria" w:hAnsi="Cambria"/>
        </w:rPr>
        <w:footnoteReference w:id="35"/>
      </w:r>
      <w:r>
        <w:rPr>
          <w:rFonts w:ascii="Cambria" w:hAnsi="Cambria"/>
        </w:rPr>
        <w:t>. All the pieces (objects with meaning/significance) are already laid out for Dasein to use at any moment, such as a computer desk, or a workshop. Dasein is always dissecting the world to use a piece/segment of significance to Dasein’</w:t>
      </w:r>
      <w:r w:rsidR="00037682">
        <w:rPr>
          <w:rFonts w:ascii="Cambria" w:hAnsi="Cambria"/>
        </w:rPr>
        <w:t xml:space="preserve">s own benefit/use, such as a pen or a hammer. </w:t>
      </w:r>
    </w:p>
    <w:p w:rsidR="00037682" w:rsidRDefault="00037682" w:rsidP="0055536F">
      <w:pPr>
        <w:spacing w:line="360" w:lineRule="auto"/>
        <w:rPr>
          <w:rFonts w:ascii="Cambria" w:hAnsi="Cambria"/>
        </w:rPr>
      </w:pPr>
      <w:r>
        <w:rPr>
          <w:rFonts w:ascii="Cambria" w:hAnsi="Cambria"/>
        </w:rPr>
        <w:t xml:space="preserve">Lastly, Dasein is always directed to the future. When using a hammer, Dasein is seeking to repair damage, complete a job, or destroy other objects. We use equipment </w:t>
      </w:r>
      <w:proofErr w:type="gramStart"/>
      <w:r>
        <w:rPr>
          <w:rFonts w:ascii="Cambria" w:hAnsi="Cambria"/>
        </w:rPr>
        <w:t>in order to</w:t>
      </w:r>
      <w:proofErr w:type="gramEnd"/>
      <w:r>
        <w:rPr>
          <w:rFonts w:ascii="Cambria" w:hAnsi="Cambria"/>
        </w:rPr>
        <w:t xml:space="preserve"> reach what Heidegger called “</w:t>
      </w:r>
      <w:r w:rsidRPr="001172C7">
        <w:rPr>
          <w:rFonts w:ascii="Cambria" w:hAnsi="Cambria"/>
        </w:rPr>
        <w:t>towards which</w:t>
      </w:r>
      <w:r>
        <w:rPr>
          <w:rFonts w:ascii="Cambria" w:hAnsi="Cambria"/>
        </w:rPr>
        <w:t>”</w:t>
      </w:r>
      <w:r w:rsidR="001172C7">
        <w:rPr>
          <w:rStyle w:val="FootnoteReference"/>
          <w:rFonts w:ascii="Cambria" w:hAnsi="Cambria"/>
        </w:rPr>
        <w:footnoteReference w:id="36"/>
      </w:r>
      <w:r>
        <w:rPr>
          <w:rFonts w:ascii="Cambria" w:hAnsi="Cambria"/>
        </w:rPr>
        <w:t>, think of it as a goal. And these “</w:t>
      </w:r>
      <w:r w:rsidRPr="001172C7">
        <w:rPr>
          <w:rFonts w:ascii="Cambria" w:hAnsi="Cambria"/>
        </w:rPr>
        <w:t>towards which</w:t>
      </w:r>
      <w:r>
        <w:rPr>
          <w:rFonts w:ascii="Cambria" w:hAnsi="Cambria"/>
        </w:rPr>
        <w:t>”</w:t>
      </w:r>
      <w:r w:rsidR="001172C7">
        <w:rPr>
          <w:rStyle w:val="FootnoteReference"/>
          <w:rFonts w:ascii="Cambria" w:hAnsi="Cambria"/>
        </w:rPr>
        <w:footnoteReference w:id="37"/>
      </w:r>
      <w:r>
        <w:rPr>
          <w:rFonts w:ascii="Cambria" w:hAnsi="Cambria"/>
        </w:rPr>
        <w:t>/goals lead up to “</w:t>
      </w:r>
      <w:r w:rsidRPr="001172C7">
        <w:rPr>
          <w:rFonts w:ascii="Cambria" w:hAnsi="Cambria"/>
        </w:rPr>
        <w:t>for the sake of</w:t>
      </w:r>
      <w:r>
        <w:rPr>
          <w:rFonts w:ascii="Cambria" w:hAnsi="Cambria"/>
        </w:rPr>
        <w:t>”</w:t>
      </w:r>
      <w:r w:rsidR="001172C7">
        <w:rPr>
          <w:rStyle w:val="FootnoteReference"/>
          <w:rFonts w:ascii="Cambria" w:hAnsi="Cambria"/>
        </w:rPr>
        <w:footnoteReference w:id="38"/>
      </w:r>
      <w:r>
        <w:rPr>
          <w:rFonts w:ascii="Cambria" w:hAnsi="Cambria"/>
        </w:rPr>
        <w:t xml:space="preserve">, a life plan is a way. But don’t mistake “goals” and “life plan” with our typical understanding of these words in their contexts’, in the Heideggerian sense it just means Dasein are oriented towards the future, in which we do something in the now, </w:t>
      </w:r>
      <w:proofErr w:type="gramStart"/>
      <w:r>
        <w:rPr>
          <w:rFonts w:ascii="Cambria" w:hAnsi="Cambria"/>
        </w:rPr>
        <w:t>in order to</w:t>
      </w:r>
      <w:proofErr w:type="gramEnd"/>
      <w:r>
        <w:rPr>
          <w:rFonts w:ascii="Cambria" w:hAnsi="Cambria"/>
        </w:rPr>
        <w:t xml:space="preserve"> move onto something else. Heidegger is purposefully obscure here as he believes everyday language cannot adequately describe </w:t>
      </w:r>
      <w:r w:rsidRPr="001172C7">
        <w:rPr>
          <w:rFonts w:ascii="Cambria" w:hAnsi="Cambria"/>
        </w:rPr>
        <w:t>the “ready-to-hand</w:t>
      </w:r>
      <w:r>
        <w:rPr>
          <w:rFonts w:ascii="Cambria" w:hAnsi="Cambria"/>
        </w:rPr>
        <w:t>”</w:t>
      </w:r>
      <w:r w:rsidR="001172C7">
        <w:rPr>
          <w:rStyle w:val="FootnoteReference"/>
          <w:rFonts w:ascii="Cambria" w:hAnsi="Cambria"/>
        </w:rPr>
        <w:footnoteReference w:id="39"/>
      </w:r>
      <w:r>
        <w:rPr>
          <w:rFonts w:ascii="Cambria" w:hAnsi="Cambria"/>
        </w:rPr>
        <w:t xml:space="preserve"> activity of Dasein. </w:t>
      </w:r>
    </w:p>
    <w:p w:rsidR="00037682" w:rsidRDefault="00037682" w:rsidP="0055536F">
      <w:pPr>
        <w:spacing w:line="360" w:lineRule="auto"/>
        <w:rPr>
          <w:rFonts w:ascii="Cambria" w:hAnsi="Cambria"/>
        </w:rPr>
      </w:pPr>
      <w:r>
        <w:rPr>
          <w:rFonts w:ascii="Cambria" w:hAnsi="Cambria"/>
        </w:rPr>
        <w:t>This structure is known as the “</w:t>
      </w:r>
      <w:r w:rsidRPr="00F82301">
        <w:rPr>
          <w:rFonts w:ascii="Cambria" w:hAnsi="Cambria"/>
        </w:rPr>
        <w:t>care structure</w:t>
      </w:r>
      <w:r>
        <w:rPr>
          <w:rFonts w:ascii="Cambria" w:hAnsi="Cambria"/>
        </w:rPr>
        <w:t>”</w:t>
      </w:r>
      <w:r w:rsidR="00F82301">
        <w:rPr>
          <w:rStyle w:val="FootnoteReference"/>
          <w:rFonts w:ascii="Cambria" w:hAnsi="Cambria"/>
        </w:rPr>
        <w:footnoteReference w:id="40"/>
      </w:r>
      <w:r>
        <w:rPr>
          <w:rFonts w:ascii="Cambria" w:hAnsi="Cambria"/>
        </w:rPr>
        <w:t>, and all three of its aspects can be linked in with time quite concisely. Our “</w:t>
      </w:r>
      <w:r w:rsidRPr="00B129D2">
        <w:rPr>
          <w:rFonts w:ascii="Cambria" w:hAnsi="Cambria"/>
        </w:rPr>
        <w:t>facticity</w:t>
      </w:r>
      <w:r>
        <w:rPr>
          <w:rFonts w:ascii="Cambria" w:hAnsi="Cambria"/>
        </w:rPr>
        <w:t>”</w:t>
      </w:r>
      <w:r w:rsidR="00B129D2">
        <w:rPr>
          <w:rStyle w:val="FootnoteReference"/>
          <w:rFonts w:ascii="Cambria" w:hAnsi="Cambria"/>
        </w:rPr>
        <w:footnoteReference w:id="41"/>
      </w:r>
      <w:r w:rsidR="00647776">
        <w:rPr>
          <w:rFonts w:ascii="Cambria" w:hAnsi="Cambria"/>
        </w:rPr>
        <w:t xml:space="preserve"> relates to our past, ‘</w:t>
      </w:r>
      <w:r w:rsidRPr="00647776">
        <w:rPr>
          <w:rFonts w:ascii="Cambria" w:hAnsi="Cambria"/>
        </w:rPr>
        <w:t>projection</w:t>
      </w:r>
      <w:r w:rsidR="00647776" w:rsidRPr="00647776">
        <w:rPr>
          <w:rFonts w:ascii="Cambria" w:hAnsi="Cambria"/>
        </w:rPr>
        <w:t>’</w:t>
      </w:r>
      <w:r>
        <w:rPr>
          <w:rFonts w:ascii="Cambria" w:hAnsi="Cambria"/>
        </w:rPr>
        <w:t xml:space="preserve"> in the present, and our </w:t>
      </w:r>
      <w:r>
        <w:rPr>
          <w:rFonts w:ascii="Cambria" w:hAnsi="Cambria"/>
        </w:rPr>
        <w:lastRenderedPageBreak/>
        <w:t xml:space="preserve">intention is always towards the future. It is here that Heidegger makes the relation between </w:t>
      </w:r>
      <w:r w:rsidR="00060D9C">
        <w:rPr>
          <w:rFonts w:ascii="Cambria" w:hAnsi="Cambria"/>
        </w:rPr>
        <w:t>‘</w:t>
      </w:r>
      <w:r>
        <w:rPr>
          <w:rFonts w:ascii="Cambria" w:hAnsi="Cambria"/>
        </w:rPr>
        <w:t>being</w:t>
      </w:r>
      <w:r w:rsidR="00060D9C">
        <w:rPr>
          <w:rFonts w:ascii="Cambria" w:hAnsi="Cambria"/>
        </w:rPr>
        <w:t xml:space="preserve">’ </w:t>
      </w:r>
      <w:r>
        <w:rPr>
          <w:rFonts w:ascii="Cambria" w:hAnsi="Cambria"/>
        </w:rPr>
        <w:t xml:space="preserve">and </w:t>
      </w:r>
      <w:r w:rsidR="00060D9C">
        <w:rPr>
          <w:rFonts w:ascii="Cambria" w:hAnsi="Cambria"/>
        </w:rPr>
        <w:t>‘</w:t>
      </w:r>
      <w:r>
        <w:rPr>
          <w:rFonts w:ascii="Cambria" w:hAnsi="Cambria"/>
        </w:rPr>
        <w:t>time</w:t>
      </w:r>
      <w:r w:rsidR="00060D9C">
        <w:rPr>
          <w:rFonts w:ascii="Cambria" w:hAnsi="Cambria"/>
        </w:rPr>
        <w:t>’</w:t>
      </w:r>
      <w:r>
        <w:rPr>
          <w:rFonts w:ascii="Cambria" w:hAnsi="Cambria"/>
        </w:rPr>
        <w:t xml:space="preserve">. </w:t>
      </w:r>
      <w:r w:rsidR="00060D9C">
        <w:rPr>
          <w:rFonts w:ascii="Cambria" w:hAnsi="Cambria"/>
        </w:rPr>
        <w:t>“</w:t>
      </w:r>
      <w:r w:rsidRPr="001172C7">
        <w:rPr>
          <w:rFonts w:ascii="Cambria" w:hAnsi="Cambria"/>
        </w:rPr>
        <w:t>To be Dasein is to be time embodied</w:t>
      </w:r>
      <w:r w:rsidR="00060D9C">
        <w:rPr>
          <w:rFonts w:ascii="Cambria" w:hAnsi="Cambria"/>
        </w:rPr>
        <w:t>”</w:t>
      </w:r>
      <w:r w:rsidR="001172C7">
        <w:rPr>
          <w:rStyle w:val="FootnoteReference"/>
          <w:rFonts w:ascii="Cambria" w:hAnsi="Cambria"/>
        </w:rPr>
        <w:footnoteReference w:id="42"/>
      </w:r>
      <w:r>
        <w:rPr>
          <w:rFonts w:ascii="Cambria" w:hAnsi="Cambria"/>
        </w:rPr>
        <w:t xml:space="preserve">. </w:t>
      </w:r>
    </w:p>
    <w:p w:rsidR="0053699F" w:rsidRDefault="00505CBE" w:rsidP="0055536F">
      <w:pPr>
        <w:spacing w:line="360" w:lineRule="auto"/>
        <w:rPr>
          <w:rFonts w:ascii="Cambria" w:hAnsi="Cambria"/>
        </w:rPr>
      </w:pPr>
      <w:r>
        <w:rPr>
          <w:rFonts w:ascii="Cambria" w:hAnsi="Cambria"/>
        </w:rPr>
        <w:t>Imagine the human experience, or Dasein, as a bridge under continual construction.</w:t>
      </w:r>
      <w:r w:rsidR="005C7503">
        <w:rPr>
          <w:rFonts w:ascii="Cambria" w:hAnsi="Cambria"/>
        </w:rPr>
        <w:t xml:space="preserve"> The bridge will be built in for as long as it exists and has been in construction since its own “</w:t>
      </w:r>
      <w:r w:rsidR="005C7503" w:rsidRPr="00B129D2">
        <w:rPr>
          <w:rFonts w:ascii="Cambria" w:hAnsi="Cambria"/>
        </w:rPr>
        <w:t>facticity</w:t>
      </w:r>
      <w:r w:rsidR="00DC6750">
        <w:rPr>
          <w:rFonts w:ascii="Cambria" w:hAnsi="Cambria"/>
        </w:rPr>
        <w:t>”</w:t>
      </w:r>
      <w:r w:rsidR="00B129D2">
        <w:rPr>
          <w:rStyle w:val="FootnoteReference"/>
          <w:rFonts w:ascii="Cambria" w:hAnsi="Cambria"/>
        </w:rPr>
        <w:footnoteReference w:id="43"/>
      </w:r>
      <w:r w:rsidR="00DC6750">
        <w:rPr>
          <w:rFonts w:ascii="Cambria" w:hAnsi="Cambria"/>
        </w:rPr>
        <w:t>,</w:t>
      </w:r>
      <w:r w:rsidR="005C7503">
        <w:rPr>
          <w:rFonts w:ascii="Cambria" w:hAnsi="Cambria"/>
        </w:rPr>
        <w:t xml:space="preserve"> in Heideggerian </w:t>
      </w:r>
      <w:r w:rsidR="008B05FD">
        <w:rPr>
          <w:rFonts w:ascii="Cambria" w:hAnsi="Cambria"/>
        </w:rPr>
        <w:t>terms (</w:t>
      </w:r>
      <w:r w:rsidR="005C7503">
        <w:rPr>
          <w:rFonts w:ascii="Cambria" w:hAnsi="Cambria"/>
        </w:rPr>
        <w:t xml:space="preserve">it’s past). Intentionality is what directs the construction of the bridge through the foggy waters of life. The bridge is Dasein’s own conscious being, a continuous stream of thoughts, perspectives, and experiences through </w:t>
      </w:r>
      <w:r w:rsidR="00DC6750">
        <w:rPr>
          <w:rFonts w:ascii="Cambria" w:hAnsi="Cambria"/>
        </w:rPr>
        <w:t>time (</w:t>
      </w:r>
      <w:r w:rsidR="005C7503">
        <w:rPr>
          <w:rFonts w:ascii="Cambria" w:hAnsi="Cambria"/>
        </w:rPr>
        <w:t xml:space="preserve">the present). You know not what is ahead of you, only what happened behind you (in the past). Intentionality is the driving force that makes a Dasein focus, and therefore can reflect and construct (towards a future). From intentionality comes experiences, from experience we have memories and beliefs that </w:t>
      </w:r>
      <w:r w:rsidR="005C7503" w:rsidRPr="00647776">
        <w:rPr>
          <w:rFonts w:ascii="Cambria" w:hAnsi="Cambria"/>
        </w:rPr>
        <w:t xml:space="preserve">change our perception and ultimately experience. This is </w:t>
      </w:r>
      <w:r w:rsidR="00060D9C" w:rsidRPr="00647776">
        <w:rPr>
          <w:rFonts w:ascii="Cambria" w:hAnsi="Cambria"/>
        </w:rPr>
        <w:t>‘</w:t>
      </w:r>
      <w:r w:rsidR="005C7503" w:rsidRPr="00647776">
        <w:rPr>
          <w:rFonts w:ascii="Cambria" w:hAnsi="Cambria"/>
        </w:rPr>
        <w:t>being</w:t>
      </w:r>
      <w:r w:rsidR="00060D9C" w:rsidRPr="00647776">
        <w:rPr>
          <w:rFonts w:ascii="Cambria" w:hAnsi="Cambria"/>
        </w:rPr>
        <w:t>’</w:t>
      </w:r>
      <w:r w:rsidR="005C7503" w:rsidRPr="00647776">
        <w:rPr>
          <w:rFonts w:ascii="Cambria" w:hAnsi="Cambria"/>
        </w:rPr>
        <w:t>.</w:t>
      </w:r>
      <w:r w:rsidR="005C7503">
        <w:rPr>
          <w:rFonts w:ascii="Cambria" w:hAnsi="Cambria"/>
        </w:rPr>
        <w:t xml:space="preserve"> </w:t>
      </w:r>
    </w:p>
    <w:p w:rsidR="00DC6750" w:rsidRDefault="00DC6750" w:rsidP="00DC6750">
      <w:pPr>
        <w:spacing w:line="360" w:lineRule="auto"/>
        <w:rPr>
          <w:rFonts w:ascii="Cambria" w:hAnsi="Cambria"/>
        </w:rPr>
      </w:pPr>
      <w:r>
        <w:rPr>
          <w:rFonts w:ascii="Cambria" w:hAnsi="Cambria"/>
        </w:rPr>
        <w:t xml:space="preserve">An issue with this line of thinking would be how a Dasein would go about practicing personal freedom. </w:t>
      </w:r>
      <w:r w:rsidRPr="00F82301">
        <w:rPr>
          <w:rFonts w:ascii="Cambria" w:hAnsi="Cambria"/>
        </w:rPr>
        <w:t xml:space="preserve">The </w:t>
      </w:r>
      <w:r w:rsidR="00060D9C" w:rsidRPr="00F82301">
        <w:rPr>
          <w:rFonts w:ascii="Cambria" w:hAnsi="Cambria"/>
        </w:rPr>
        <w:t>“</w:t>
      </w:r>
      <w:r w:rsidR="00F82301" w:rsidRPr="00F82301">
        <w:rPr>
          <w:rFonts w:ascii="Cambria" w:hAnsi="Cambria"/>
        </w:rPr>
        <w:t>hermeneutic”</w:t>
      </w:r>
      <w:r w:rsidR="00F82301" w:rsidRPr="00F82301">
        <w:rPr>
          <w:rStyle w:val="FootnoteReference"/>
          <w:rFonts w:ascii="Cambria" w:hAnsi="Cambria"/>
        </w:rPr>
        <w:footnoteReference w:id="44"/>
      </w:r>
      <w:r w:rsidR="00F82301" w:rsidRPr="00F82301">
        <w:rPr>
          <w:rFonts w:ascii="Cambria" w:hAnsi="Cambria"/>
        </w:rPr>
        <w:t xml:space="preserve"> </w:t>
      </w:r>
      <w:r w:rsidRPr="00F82301">
        <w:rPr>
          <w:rFonts w:ascii="Cambria" w:hAnsi="Cambria"/>
        </w:rPr>
        <w:t>cycle at first glance seems deterministic. But Heidegger offers a solution for those seeking</w:t>
      </w:r>
      <w:r>
        <w:rPr>
          <w:rFonts w:ascii="Cambria" w:hAnsi="Cambria"/>
        </w:rPr>
        <w:t xml:space="preserve"> “</w:t>
      </w:r>
      <w:r w:rsidRPr="00F82301">
        <w:rPr>
          <w:rFonts w:ascii="Cambria" w:hAnsi="Cambria"/>
        </w:rPr>
        <w:t>authenticity</w:t>
      </w:r>
      <w:r>
        <w:rPr>
          <w:rFonts w:ascii="Cambria" w:hAnsi="Cambria"/>
        </w:rPr>
        <w:t>”</w:t>
      </w:r>
      <w:r w:rsidR="00B129D2">
        <w:rPr>
          <w:rStyle w:val="FootnoteReference"/>
          <w:rFonts w:ascii="Cambria" w:hAnsi="Cambria"/>
        </w:rPr>
        <w:footnoteReference w:id="45"/>
      </w:r>
      <w:r>
        <w:rPr>
          <w:rFonts w:ascii="Cambria" w:hAnsi="Cambria"/>
        </w:rPr>
        <w:t>. We live our lives with a constant background anxiety, this anxiety is mainly caused by an understanding that our world is ungrounded in any of its meaning/context. There is no reason to act a certain way, not because God said, nor because it’s rational, nor is it in human nature. Dasein has no nature, it is only how we perceive ourselves to be. The essence of Dasein is its existence, or in the word of Sartre, “</w:t>
      </w:r>
      <w:r w:rsidRPr="001172C7">
        <w:rPr>
          <w:rFonts w:ascii="Cambria" w:hAnsi="Cambria"/>
        </w:rPr>
        <w:t>existence precedes essence</w:t>
      </w:r>
      <w:r>
        <w:rPr>
          <w:rFonts w:ascii="Cambria" w:hAnsi="Cambria"/>
        </w:rPr>
        <w:t>”.</w:t>
      </w:r>
    </w:p>
    <w:p w:rsidR="00062D63" w:rsidRDefault="00DC6750" w:rsidP="00DC6750">
      <w:pPr>
        <w:spacing w:line="360" w:lineRule="auto"/>
        <w:rPr>
          <w:rFonts w:ascii="Cambria" w:hAnsi="Cambria"/>
        </w:rPr>
      </w:pPr>
      <w:r>
        <w:rPr>
          <w:rFonts w:ascii="Cambria" w:hAnsi="Cambria"/>
        </w:rPr>
        <w:t>Anxiety is the natural disposition towards the unsettling nature of Dasein. Heidegger thought there were two equally appropriate responses towards these dispositions, to either act “</w:t>
      </w:r>
      <w:r w:rsidRPr="00F82301">
        <w:rPr>
          <w:rFonts w:ascii="Cambria" w:hAnsi="Cambria"/>
        </w:rPr>
        <w:t>authentically</w:t>
      </w:r>
      <w:r>
        <w:rPr>
          <w:rFonts w:ascii="Cambria" w:hAnsi="Cambria"/>
        </w:rPr>
        <w:t>”</w:t>
      </w:r>
      <w:r w:rsidR="00B129D2">
        <w:rPr>
          <w:rStyle w:val="FootnoteReference"/>
          <w:rFonts w:ascii="Cambria" w:hAnsi="Cambria"/>
        </w:rPr>
        <w:footnoteReference w:id="46"/>
      </w:r>
      <w:r>
        <w:rPr>
          <w:rFonts w:ascii="Cambria" w:hAnsi="Cambria"/>
        </w:rPr>
        <w:t xml:space="preserve"> or “</w:t>
      </w:r>
      <w:r w:rsidRPr="00F82301">
        <w:rPr>
          <w:rFonts w:ascii="Cambria" w:hAnsi="Cambria"/>
        </w:rPr>
        <w:t>unauthentically</w:t>
      </w:r>
      <w:r>
        <w:rPr>
          <w:rFonts w:ascii="Cambria" w:hAnsi="Cambria"/>
        </w:rPr>
        <w:t>”</w:t>
      </w:r>
      <w:r w:rsidR="00B129D2">
        <w:rPr>
          <w:rStyle w:val="FootnoteReference"/>
          <w:rFonts w:ascii="Cambria" w:hAnsi="Cambria"/>
        </w:rPr>
        <w:footnoteReference w:id="47"/>
      </w:r>
      <w:r>
        <w:rPr>
          <w:rFonts w:ascii="Cambria" w:hAnsi="Cambria"/>
        </w:rPr>
        <w:t xml:space="preserve">. Acting </w:t>
      </w:r>
      <w:r w:rsidR="00060D9C">
        <w:rPr>
          <w:rFonts w:ascii="Cambria" w:hAnsi="Cambria"/>
        </w:rPr>
        <w:t>“</w:t>
      </w:r>
      <w:r w:rsidRPr="00F82301">
        <w:rPr>
          <w:rFonts w:ascii="Cambria" w:hAnsi="Cambria"/>
        </w:rPr>
        <w:t>unauthentically</w:t>
      </w:r>
      <w:r w:rsidR="00060D9C">
        <w:rPr>
          <w:rFonts w:ascii="Cambria" w:hAnsi="Cambria"/>
        </w:rPr>
        <w:t>”</w:t>
      </w:r>
      <w:r w:rsidR="00F82301">
        <w:rPr>
          <w:rStyle w:val="FootnoteReference"/>
          <w:rFonts w:ascii="Cambria" w:hAnsi="Cambria"/>
        </w:rPr>
        <w:footnoteReference w:id="48"/>
      </w:r>
      <w:r>
        <w:rPr>
          <w:rFonts w:ascii="Cambria" w:hAnsi="Cambria"/>
        </w:rPr>
        <w:t xml:space="preserve"> in Heidegger’s term meant to flee the disposition of anxiety by becoming a conformist to one’s respective culture. This is how most people live most of their lives</w:t>
      </w:r>
      <w:r w:rsidR="00062D63">
        <w:rPr>
          <w:rFonts w:ascii="Cambria" w:hAnsi="Cambria"/>
        </w:rPr>
        <w:t xml:space="preserve">, out of touch with their true </w:t>
      </w:r>
      <w:r w:rsidR="00060D9C">
        <w:rPr>
          <w:rFonts w:ascii="Cambria" w:hAnsi="Cambria"/>
        </w:rPr>
        <w:t>“</w:t>
      </w:r>
      <w:r w:rsidR="00062D63" w:rsidRPr="00647776">
        <w:rPr>
          <w:rFonts w:ascii="Cambria" w:hAnsi="Cambria"/>
        </w:rPr>
        <w:t>Dasein</w:t>
      </w:r>
      <w:r w:rsidR="00060D9C">
        <w:rPr>
          <w:rFonts w:ascii="Cambria" w:hAnsi="Cambria"/>
        </w:rPr>
        <w:t>”</w:t>
      </w:r>
      <w:r w:rsidR="00F82301">
        <w:rPr>
          <w:rStyle w:val="FootnoteReference"/>
          <w:rFonts w:ascii="Cambria" w:hAnsi="Cambria"/>
        </w:rPr>
        <w:footnoteReference w:id="49"/>
      </w:r>
      <w:r w:rsidR="00062D63">
        <w:rPr>
          <w:rFonts w:ascii="Cambria" w:hAnsi="Cambria"/>
        </w:rPr>
        <w:t xml:space="preserve">. </w:t>
      </w:r>
    </w:p>
    <w:p w:rsidR="00DC6750" w:rsidRDefault="00062D63" w:rsidP="00DC6750">
      <w:pPr>
        <w:spacing w:line="360" w:lineRule="auto"/>
        <w:rPr>
          <w:rFonts w:ascii="Cambria" w:hAnsi="Cambria"/>
        </w:rPr>
      </w:pPr>
      <w:r>
        <w:rPr>
          <w:rFonts w:ascii="Cambria" w:hAnsi="Cambria"/>
        </w:rPr>
        <w:lastRenderedPageBreak/>
        <w:t>An alternative would be to live “</w:t>
      </w:r>
      <w:r w:rsidRPr="00F82301">
        <w:rPr>
          <w:rFonts w:ascii="Cambria" w:hAnsi="Cambria"/>
        </w:rPr>
        <w:t>authentically</w:t>
      </w:r>
      <w:r>
        <w:rPr>
          <w:rFonts w:ascii="Cambria" w:hAnsi="Cambria"/>
        </w:rPr>
        <w:t>”</w:t>
      </w:r>
      <w:r w:rsidR="00F82301">
        <w:rPr>
          <w:rStyle w:val="FootnoteReference"/>
          <w:rFonts w:ascii="Cambria" w:hAnsi="Cambria"/>
        </w:rPr>
        <w:footnoteReference w:id="50"/>
      </w:r>
      <w:r>
        <w:rPr>
          <w:rFonts w:ascii="Cambria" w:hAnsi="Cambria"/>
        </w:rPr>
        <w:t>. This is to tackle anxiety head on, to accept the ungrounded nature of “</w:t>
      </w:r>
      <w:r w:rsidRPr="008B605E">
        <w:rPr>
          <w:rFonts w:ascii="Cambria" w:hAnsi="Cambria"/>
        </w:rPr>
        <w:t>being-in-the-world</w:t>
      </w:r>
      <w:r>
        <w:rPr>
          <w:rFonts w:ascii="Cambria" w:hAnsi="Cambria"/>
        </w:rPr>
        <w:t>”</w:t>
      </w:r>
      <w:r w:rsidR="00CF2768">
        <w:rPr>
          <w:rStyle w:val="FootnoteReference"/>
          <w:rFonts w:ascii="Cambria" w:hAnsi="Cambria"/>
        </w:rPr>
        <w:footnoteReference w:id="51"/>
      </w:r>
      <w:r>
        <w:rPr>
          <w:rFonts w:ascii="Cambria" w:hAnsi="Cambria"/>
        </w:rPr>
        <w:t xml:space="preserve"> and use it one’s advantage to live up to one’s </w:t>
      </w:r>
      <w:r w:rsidR="008B605E">
        <w:rPr>
          <w:rFonts w:ascii="Cambria" w:hAnsi="Cambria"/>
        </w:rPr>
        <w:t>‘</w:t>
      </w:r>
      <w:r w:rsidR="008B05FD" w:rsidRPr="008B605E">
        <w:rPr>
          <w:rFonts w:ascii="Cambria" w:hAnsi="Cambria"/>
        </w:rPr>
        <w:t>potentiality</w:t>
      </w:r>
      <w:r w:rsidR="008B605E">
        <w:rPr>
          <w:rFonts w:ascii="Cambria" w:hAnsi="Cambria"/>
        </w:rPr>
        <w:t xml:space="preserve">’ </w:t>
      </w:r>
      <w:r w:rsidR="008B05FD">
        <w:rPr>
          <w:rFonts w:ascii="Cambria" w:hAnsi="Cambria"/>
        </w:rPr>
        <w:t>(</w:t>
      </w:r>
      <w:r>
        <w:rPr>
          <w:rFonts w:ascii="Cambria" w:hAnsi="Cambria"/>
        </w:rPr>
        <w:t>Dasein’s “</w:t>
      </w:r>
      <w:r w:rsidRPr="001172C7">
        <w:rPr>
          <w:rFonts w:ascii="Cambria" w:hAnsi="Cambria"/>
        </w:rPr>
        <w:t>almost-potentiality-for-being</w:t>
      </w:r>
      <w:r>
        <w:rPr>
          <w:rFonts w:ascii="Cambria" w:hAnsi="Cambria"/>
        </w:rPr>
        <w:t>”</w:t>
      </w:r>
      <w:r w:rsidR="001172C7">
        <w:rPr>
          <w:rStyle w:val="FootnoteReference"/>
          <w:rFonts w:ascii="Cambria" w:hAnsi="Cambria"/>
        </w:rPr>
        <w:footnoteReference w:id="52"/>
      </w:r>
      <w:r>
        <w:rPr>
          <w:rFonts w:ascii="Cambria" w:hAnsi="Cambria"/>
        </w:rPr>
        <w:t xml:space="preserve">). From this quasi-nihilistic stand point, one can go on to create one’s own desired self. Acting authentically means one would no longer commit to a task with the goal of seeking deeper meaning into life, an ultimately futile action given the </w:t>
      </w:r>
      <w:r w:rsidR="008B605E">
        <w:rPr>
          <w:rFonts w:ascii="Cambria" w:hAnsi="Cambria"/>
        </w:rPr>
        <w:t>‘</w:t>
      </w:r>
      <w:r w:rsidRPr="008B605E">
        <w:rPr>
          <w:rFonts w:ascii="Cambria" w:hAnsi="Cambria"/>
        </w:rPr>
        <w:t>absurdity</w:t>
      </w:r>
      <w:r w:rsidR="008B605E">
        <w:rPr>
          <w:rFonts w:ascii="Cambria" w:hAnsi="Cambria"/>
        </w:rPr>
        <w:t>’</w:t>
      </w:r>
      <w:r>
        <w:rPr>
          <w:rFonts w:ascii="Cambria" w:hAnsi="Cambria"/>
        </w:rPr>
        <w:t xml:space="preserve"> of it all. This is </w:t>
      </w:r>
      <w:proofErr w:type="gramStart"/>
      <w:r>
        <w:rPr>
          <w:rFonts w:ascii="Cambria" w:hAnsi="Cambria"/>
        </w:rPr>
        <w:t>similar to</w:t>
      </w:r>
      <w:proofErr w:type="gramEnd"/>
      <w:r>
        <w:rPr>
          <w:rFonts w:ascii="Cambria" w:hAnsi="Cambria"/>
        </w:rPr>
        <w:t xml:space="preserve"> Camus’ “</w:t>
      </w:r>
      <w:r w:rsidRPr="001172C7">
        <w:rPr>
          <w:rFonts w:ascii="Cambria" w:hAnsi="Cambria"/>
        </w:rPr>
        <w:t>absurd-hero</w:t>
      </w:r>
      <w:r>
        <w:rPr>
          <w:rFonts w:ascii="Cambria" w:hAnsi="Cambria"/>
        </w:rPr>
        <w:t>”.</w:t>
      </w:r>
      <w:r w:rsidR="00DC6750">
        <w:rPr>
          <w:rFonts w:ascii="Cambria" w:hAnsi="Cambria"/>
        </w:rPr>
        <w:t xml:space="preserve"> </w:t>
      </w:r>
      <w:r>
        <w:rPr>
          <w:rFonts w:ascii="Cambria" w:hAnsi="Cambria"/>
        </w:rPr>
        <w:t>When living authentically one no longer responds to the “</w:t>
      </w:r>
      <w:r w:rsidRPr="001172C7">
        <w:rPr>
          <w:rFonts w:ascii="Cambria" w:hAnsi="Cambria"/>
        </w:rPr>
        <w:t>general situation</w:t>
      </w:r>
      <w:r>
        <w:rPr>
          <w:rFonts w:ascii="Cambria" w:hAnsi="Cambria"/>
        </w:rPr>
        <w:t>”</w:t>
      </w:r>
      <w:r w:rsidR="001172C7">
        <w:rPr>
          <w:rStyle w:val="FootnoteReference"/>
          <w:rFonts w:ascii="Cambria" w:hAnsi="Cambria"/>
        </w:rPr>
        <w:footnoteReference w:id="53"/>
      </w:r>
      <w:r>
        <w:rPr>
          <w:rFonts w:ascii="Cambria" w:hAnsi="Cambria"/>
        </w:rPr>
        <w:t xml:space="preserve"> (of the masses) but instead to the “</w:t>
      </w:r>
      <w:r w:rsidRPr="001172C7">
        <w:rPr>
          <w:rFonts w:ascii="Cambria" w:hAnsi="Cambria"/>
        </w:rPr>
        <w:t>unique situation</w:t>
      </w:r>
      <w:r>
        <w:rPr>
          <w:rFonts w:ascii="Cambria" w:hAnsi="Cambria"/>
        </w:rPr>
        <w:t>”</w:t>
      </w:r>
      <w:r w:rsidR="001172C7">
        <w:rPr>
          <w:rStyle w:val="FootnoteReference"/>
          <w:rFonts w:ascii="Cambria" w:hAnsi="Cambria"/>
        </w:rPr>
        <w:footnoteReference w:id="54"/>
      </w:r>
      <w:r>
        <w:rPr>
          <w:rFonts w:ascii="Cambria" w:hAnsi="Cambria"/>
        </w:rPr>
        <w:t xml:space="preserve"> (one’s own Dasein). This is the existential side of Heidegger as authenticity can lead to an </w:t>
      </w:r>
      <w:r w:rsidR="008B605E">
        <w:rPr>
          <w:rFonts w:ascii="Cambria" w:hAnsi="Cambria"/>
        </w:rPr>
        <w:t>‘</w:t>
      </w:r>
      <w:r w:rsidRPr="008B605E">
        <w:rPr>
          <w:rFonts w:ascii="Cambria" w:hAnsi="Cambria"/>
        </w:rPr>
        <w:t>existential freedom</w:t>
      </w:r>
      <w:r w:rsidR="008B605E">
        <w:rPr>
          <w:rFonts w:ascii="Cambria" w:hAnsi="Cambria"/>
        </w:rPr>
        <w:t>’</w:t>
      </w:r>
      <w:r>
        <w:rPr>
          <w:rFonts w:ascii="Cambria" w:hAnsi="Cambria"/>
        </w:rPr>
        <w:t>, the liberation comes from the realisation that there is no deep truth to decipher, not even in Dasein. The “</w:t>
      </w:r>
      <w:r w:rsidRPr="001172C7">
        <w:rPr>
          <w:rFonts w:ascii="Cambria" w:hAnsi="Cambria"/>
        </w:rPr>
        <w:t>natural attitude</w:t>
      </w:r>
      <w:r>
        <w:rPr>
          <w:rFonts w:ascii="Cambria" w:hAnsi="Cambria"/>
        </w:rPr>
        <w:t>”</w:t>
      </w:r>
      <w:r w:rsidR="001172C7">
        <w:rPr>
          <w:rStyle w:val="FootnoteReference"/>
          <w:rFonts w:ascii="Cambria" w:hAnsi="Cambria"/>
        </w:rPr>
        <w:footnoteReference w:id="55"/>
      </w:r>
      <w:r>
        <w:rPr>
          <w:rFonts w:ascii="Cambria" w:hAnsi="Cambria"/>
        </w:rPr>
        <w:t xml:space="preserve"> that Heidegger opposed can be deconstructed with living “</w:t>
      </w:r>
      <w:r w:rsidRPr="00F82301">
        <w:rPr>
          <w:rFonts w:ascii="Cambria" w:hAnsi="Cambria"/>
        </w:rPr>
        <w:t>authentically</w:t>
      </w:r>
      <w:r>
        <w:rPr>
          <w:rFonts w:ascii="Cambria" w:hAnsi="Cambria"/>
        </w:rPr>
        <w:t>”</w:t>
      </w:r>
      <w:r w:rsidR="00F82301">
        <w:rPr>
          <w:rStyle w:val="FootnoteReference"/>
          <w:rFonts w:ascii="Cambria" w:hAnsi="Cambria"/>
        </w:rPr>
        <w:footnoteReference w:id="56"/>
      </w:r>
      <w:r>
        <w:rPr>
          <w:rFonts w:ascii="Cambria" w:hAnsi="Cambria"/>
        </w:rPr>
        <w:t xml:space="preserve">. </w:t>
      </w:r>
    </w:p>
    <w:p w:rsidR="00062D63" w:rsidRDefault="00062D63" w:rsidP="00DC6750">
      <w:pPr>
        <w:spacing w:line="360" w:lineRule="auto"/>
        <w:rPr>
          <w:rFonts w:ascii="Cambria" w:hAnsi="Cambria"/>
        </w:rPr>
      </w:pPr>
      <w:r>
        <w:rPr>
          <w:rFonts w:ascii="Cambria" w:hAnsi="Cambria"/>
        </w:rPr>
        <w:t>But this is not to say that Heidegger didn’t recognise that there was a time and a place for acting both authentically, and inau</w:t>
      </w:r>
      <w:r w:rsidR="00E31BA9">
        <w:rPr>
          <w:rFonts w:ascii="Cambria" w:hAnsi="Cambria"/>
        </w:rPr>
        <w:t xml:space="preserve">thentically. Neither is better than the other objectively as this is a purely subjective account of Dasein. It depends on the Dasein’s personal dispositions and concepts at the time. </w:t>
      </w:r>
    </w:p>
    <w:p w:rsidR="00E31BA9" w:rsidRDefault="00E31BA9" w:rsidP="00DC6750">
      <w:pPr>
        <w:spacing w:line="360" w:lineRule="auto"/>
        <w:rPr>
          <w:rFonts w:ascii="Cambria" w:hAnsi="Cambria"/>
        </w:rPr>
      </w:pPr>
      <w:r>
        <w:rPr>
          <w:rFonts w:ascii="Cambria" w:hAnsi="Cambria"/>
        </w:rPr>
        <w:t xml:space="preserve">Anxiety towards death is also a key theme of Heidegger’s Philosophy. Death contextualises </w:t>
      </w:r>
      <w:r w:rsidR="00B21B85">
        <w:rPr>
          <w:rFonts w:ascii="Cambria" w:hAnsi="Cambria"/>
        </w:rPr>
        <w:t xml:space="preserve">and defines our time in life and </w:t>
      </w:r>
      <w:r>
        <w:rPr>
          <w:rFonts w:ascii="Cambria" w:hAnsi="Cambria"/>
        </w:rPr>
        <w:t xml:space="preserve">our </w:t>
      </w:r>
      <w:r w:rsidR="00B21B85">
        <w:rPr>
          <w:rFonts w:ascii="Cambria" w:hAnsi="Cambria"/>
        </w:rPr>
        <w:t>Dasein</w:t>
      </w:r>
      <w:r>
        <w:rPr>
          <w:rFonts w:ascii="Cambria" w:hAnsi="Cambria"/>
        </w:rPr>
        <w:t xml:space="preserve">. </w:t>
      </w:r>
      <w:r w:rsidR="00B21B85">
        <w:rPr>
          <w:rFonts w:ascii="Cambria" w:hAnsi="Cambria"/>
        </w:rPr>
        <w:t>Even though we have no phenomenological access to our mortality we have a direct and personal experience of anticipating one’s death. We can now find meaning behind the “</w:t>
      </w:r>
      <w:r w:rsidR="00B21B85" w:rsidRPr="00F82301">
        <w:rPr>
          <w:rFonts w:ascii="Cambria" w:hAnsi="Cambria"/>
        </w:rPr>
        <w:t>care structure</w:t>
      </w:r>
      <w:r w:rsidR="00B21B85">
        <w:rPr>
          <w:rFonts w:ascii="Cambria" w:hAnsi="Cambria"/>
        </w:rPr>
        <w:t>”</w:t>
      </w:r>
      <w:r w:rsidR="00F82301">
        <w:rPr>
          <w:rStyle w:val="FootnoteReference"/>
          <w:rFonts w:ascii="Cambria" w:hAnsi="Cambria"/>
        </w:rPr>
        <w:footnoteReference w:id="57"/>
      </w:r>
      <w:r w:rsidR="00B21B85">
        <w:rPr>
          <w:rFonts w:ascii="Cambria" w:hAnsi="Cambria"/>
        </w:rPr>
        <w:t xml:space="preserve"> </w:t>
      </w:r>
      <w:r w:rsidR="00060D9C">
        <w:rPr>
          <w:rFonts w:ascii="Cambria" w:hAnsi="Cambria"/>
        </w:rPr>
        <w:t>considering</w:t>
      </w:r>
      <w:r w:rsidR="00B21B85">
        <w:rPr>
          <w:rFonts w:ascii="Cambria" w:hAnsi="Cambria"/>
        </w:rPr>
        <w:t xml:space="preserve"> our mortality/ </w:t>
      </w:r>
      <w:r w:rsidR="008B605E">
        <w:rPr>
          <w:rFonts w:ascii="Cambria" w:hAnsi="Cambria"/>
        </w:rPr>
        <w:t>‘</w:t>
      </w:r>
      <w:r w:rsidR="00B21B85" w:rsidRPr="008B605E">
        <w:rPr>
          <w:rFonts w:ascii="Cambria" w:hAnsi="Cambria"/>
        </w:rPr>
        <w:t>death anxiety</w:t>
      </w:r>
      <w:r w:rsidR="008B605E">
        <w:rPr>
          <w:rFonts w:ascii="Cambria" w:hAnsi="Cambria"/>
        </w:rPr>
        <w:t>’</w:t>
      </w:r>
      <w:r w:rsidR="00B21B85">
        <w:rPr>
          <w:rFonts w:ascii="Cambria" w:hAnsi="Cambria"/>
        </w:rPr>
        <w:t xml:space="preserve">.  </w:t>
      </w:r>
      <w:r w:rsidR="00060D9C">
        <w:rPr>
          <w:rFonts w:ascii="Cambria" w:hAnsi="Cambria"/>
        </w:rPr>
        <w:t>“</w:t>
      </w:r>
      <w:r w:rsidRPr="00B129D2">
        <w:rPr>
          <w:rFonts w:ascii="Cambria" w:hAnsi="Cambria"/>
        </w:rPr>
        <w:t>Facticity</w:t>
      </w:r>
      <w:r w:rsidR="00060D9C">
        <w:rPr>
          <w:rFonts w:ascii="Cambria" w:hAnsi="Cambria"/>
        </w:rPr>
        <w:t>”</w:t>
      </w:r>
      <w:r w:rsidR="00B129D2">
        <w:rPr>
          <w:rStyle w:val="FootnoteReference"/>
          <w:rFonts w:ascii="Cambria" w:hAnsi="Cambria"/>
        </w:rPr>
        <w:footnoteReference w:id="58"/>
      </w:r>
      <w:r w:rsidR="00060D9C">
        <w:rPr>
          <w:rFonts w:ascii="Cambria" w:hAnsi="Cambria"/>
        </w:rPr>
        <w:t>/”</w:t>
      </w:r>
      <w:r w:rsidR="00060D9C" w:rsidRPr="00060D9C">
        <w:rPr>
          <w:rFonts w:ascii="Cambria" w:hAnsi="Cambria"/>
          <w:highlight w:val="yellow"/>
        </w:rPr>
        <w:t xml:space="preserve"> </w:t>
      </w:r>
      <w:r w:rsidR="00060D9C" w:rsidRPr="00B129D2">
        <w:rPr>
          <w:rFonts w:ascii="Cambria" w:hAnsi="Cambria"/>
        </w:rPr>
        <w:t>thrownness</w:t>
      </w:r>
      <w:r w:rsidR="00060D9C">
        <w:rPr>
          <w:rFonts w:ascii="Cambria" w:hAnsi="Cambria"/>
        </w:rPr>
        <w:t>”</w:t>
      </w:r>
      <w:r w:rsidR="00B129D2">
        <w:rPr>
          <w:rStyle w:val="FootnoteReference"/>
          <w:rFonts w:ascii="Cambria" w:hAnsi="Cambria"/>
        </w:rPr>
        <w:footnoteReference w:id="59"/>
      </w:r>
      <w:r>
        <w:rPr>
          <w:rFonts w:ascii="Cambria" w:hAnsi="Cambria"/>
        </w:rPr>
        <w:t xml:space="preserve"> is the initiator of this context, to exist is to one day no</w:t>
      </w:r>
      <w:r w:rsidR="00B21B85">
        <w:rPr>
          <w:rFonts w:ascii="Cambria" w:hAnsi="Cambria"/>
        </w:rPr>
        <w:t>t exist, thus showing o</w:t>
      </w:r>
      <w:r>
        <w:rPr>
          <w:rFonts w:ascii="Cambria" w:hAnsi="Cambria"/>
        </w:rPr>
        <w:t xml:space="preserve">ur lives to be ephemeral. Projection </w:t>
      </w:r>
      <w:r w:rsidR="00B21B85">
        <w:rPr>
          <w:rFonts w:ascii="Cambria" w:hAnsi="Cambria"/>
        </w:rPr>
        <w:t xml:space="preserve">and being in a world of context will often incentivise us to act inauthentically, to escape the </w:t>
      </w:r>
      <w:r w:rsidR="008B605E">
        <w:rPr>
          <w:rFonts w:ascii="Cambria" w:hAnsi="Cambria"/>
        </w:rPr>
        <w:t>‘</w:t>
      </w:r>
      <w:r w:rsidR="00B21B85" w:rsidRPr="008B605E">
        <w:rPr>
          <w:rFonts w:ascii="Cambria" w:hAnsi="Cambria"/>
        </w:rPr>
        <w:t>death anxiety</w:t>
      </w:r>
      <w:r w:rsidR="008B605E">
        <w:rPr>
          <w:rFonts w:ascii="Cambria" w:hAnsi="Cambria"/>
        </w:rPr>
        <w:t>’</w:t>
      </w:r>
      <w:r w:rsidR="00B21B85">
        <w:rPr>
          <w:rFonts w:ascii="Cambria" w:hAnsi="Cambria"/>
        </w:rPr>
        <w:t xml:space="preserve">. And </w:t>
      </w:r>
      <w:r w:rsidR="008B05FD">
        <w:rPr>
          <w:rFonts w:ascii="Cambria" w:hAnsi="Cambria"/>
        </w:rPr>
        <w:t>finally,</w:t>
      </w:r>
      <w:r w:rsidR="00B21B85">
        <w:rPr>
          <w:rFonts w:ascii="Cambria" w:hAnsi="Cambria"/>
        </w:rPr>
        <w:t xml:space="preserve"> in terms of our </w:t>
      </w:r>
      <w:r w:rsidR="00060D9C">
        <w:rPr>
          <w:rFonts w:ascii="Cambria" w:hAnsi="Cambria"/>
        </w:rPr>
        <w:t>‘</w:t>
      </w:r>
      <w:r w:rsidR="00B21B85">
        <w:rPr>
          <w:rFonts w:ascii="Cambria" w:hAnsi="Cambria"/>
        </w:rPr>
        <w:t>freedom</w:t>
      </w:r>
      <w:r w:rsidR="00060D9C">
        <w:rPr>
          <w:rFonts w:ascii="Cambria" w:hAnsi="Cambria"/>
        </w:rPr>
        <w:t>’</w:t>
      </w:r>
      <w:r w:rsidR="00B21B85">
        <w:rPr>
          <w:rFonts w:ascii="Cambria" w:hAnsi="Cambria"/>
        </w:rPr>
        <w:t xml:space="preserve"> </w:t>
      </w:r>
      <w:proofErr w:type="gramStart"/>
      <w:r w:rsidR="00B21B85">
        <w:rPr>
          <w:rFonts w:ascii="Cambria" w:hAnsi="Cambria"/>
        </w:rPr>
        <w:t>in light of</w:t>
      </w:r>
      <w:proofErr w:type="gramEnd"/>
      <w:r w:rsidR="00B21B85">
        <w:rPr>
          <w:rFonts w:ascii="Cambria" w:hAnsi="Cambria"/>
        </w:rPr>
        <w:t xml:space="preserve"> our </w:t>
      </w:r>
      <w:r w:rsidR="00B21B85">
        <w:rPr>
          <w:rFonts w:ascii="Cambria" w:hAnsi="Cambria"/>
        </w:rPr>
        <w:lastRenderedPageBreak/>
        <w:t xml:space="preserve">potential future, having a limited time to live is a good </w:t>
      </w:r>
      <w:r w:rsidR="008B05FD">
        <w:rPr>
          <w:rFonts w:ascii="Cambria" w:hAnsi="Cambria"/>
        </w:rPr>
        <w:t>motivate</w:t>
      </w:r>
      <w:r w:rsidR="00B21B85">
        <w:rPr>
          <w:rFonts w:ascii="Cambria" w:hAnsi="Cambria"/>
        </w:rPr>
        <w:t xml:space="preserve"> to act “</w:t>
      </w:r>
      <w:r w:rsidR="00B21B85" w:rsidRPr="00F82301">
        <w:rPr>
          <w:rFonts w:ascii="Cambria" w:hAnsi="Cambria"/>
        </w:rPr>
        <w:t>authentically</w:t>
      </w:r>
      <w:r w:rsidR="00B21B85">
        <w:rPr>
          <w:rFonts w:ascii="Cambria" w:hAnsi="Cambria"/>
        </w:rPr>
        <w:t>”</w:t>
      </w:r>
      <w:r w:rsidR="00F82301">
        <w:rPr>
          <w:rStyle w:val="FootnoteReference"/>
          <w:rFonts w:ascii="Cambria" w:hAnsi="Cambria"/>
        </w:rPr>
        <w:footnoteReference w:id="60"/>
      </w:r>
      <w:r w:rsidR="00B21B85">
        <w:rPr>
          <w:rFonts w:ascii="Cambria" w:hAnsi="Cambria"/>
        </w:rPr>
        <w:t xml:space="preserve"> now. If our lives were eternal, we could put off accessing our true potentiality to some indefinite point. Death gives Dasein reason to act now. </w:t>
      </w: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p>
    <w:p w:rsidR="001172C7" w:rsidRDefault="001172C7" w:rsidP="00DC6750">
      <w:pPr>
        <w:spacing w:line="360" w:lineRule="auto"/>
        <w:rPr>
          <w:rFonts w:ascii="Cambria" w:hAnsi="Cambria"/>
          <w:u w:val="single"/>
        </w:rPr>
      </w:pPr>
      <w:r>
        <w:rPr>
          <w:rFonts w:ascii="Cambria" w:hAnsi="Cambria"/>
          <w:u w:val="single"/>
        </w:rPr>
        <w:lastRenderedPageBreak/>
        <w:t>Bibliography:</w:t>
      </w:r>
    </w:p>
    <w:p w:rsidR="00DC6750" w:rsidRDefault="001172C7" w:rsidP="0055536F">
      <w:pPr>
        <w:spacing w:line="360" w:lineRule="auto"/>
        <w:rPr>
          <w:rFonts w:ascii="Cambria" w:hAnsi="Cambria"/>
        </w:rPr>
      </w:pPr>
      <w:bookmarkStart w:id="9" w:name="_GoBack"/>
      <w:bookmarkEnd w:id="9"/>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8" w:history="1">
        <w:r w:rsidRPr="00830EFB">
          <w:rPr>
            <w:rStyle w:val="Hyperlink"/>
          </w:rPr>
          <w:t>https://www.youtube.com/watch?v=KR1TJERFzp0&amp;t=945s</w:t>
        </w:r>
      </w:hyperlink>
      <w:r>
        <w:t xml:space="preserve"> . (Accessed 6 November 2017)</w:t>
      </w:r>
    </w:p>
    <w:p w:rsidR="000D5C07" w:rsidRDefault="001172C7" w:rsidP="0055536F">
      <w:pPr>
        <w:spacing w:line="360" w:lineRule="auto"/>
        <w:rPr>
          <w:rFonts w:ascii="Cambria" w:hAnsi="Cambria"/>
        </w:rPr>
      </w:pPr>
      <w:r w:rsidRPr="00B129D2">
        <w:t>Heidegger, M. and Stambaugh, J. </w:t>
      </w:r>
      <w:r w:rsidRPr="00B129D2">
        <w:rPr>
          <w:i/>
          <w:iCs/>
        </w:rPr>
        <w:t>Being and time</w:t>
      </w:r>
      <w:r w:rsidRPr="00B129D2">
        <w:t>. (Albany, NY: State Universi</w:t>
      </w:r>
      <w:r>
        <w:t>ty of New York Press 1996) p.33-p.262</w:t>
      </w:r>
    </w:p>
    <w:p w:rsidR="000D5C07" w:rsidRDefault="000D5C07" w:rsidP="0055536F">
      <w:pPr>
        <w:spacing w:line="360" w:lineRule="auto"/>
        <w:rPr>
          <w:rFonts w:ascii="Cambria" w:hAnsi="Cambria"/>
        </w:rPr>
      </w:pPr>
    </w:p>
    <w:p w:rsidR="000D5C07" w:rsidRDefault="000D5C07" w:rsidP="0055536F">
      <w:pPr>
        <w:spacing w:line="360" w:lineRule="auto"/>
        <w:rPr>
          <w:rFonts w:ascii="Cambria" w:hAnsi="Cambria"/>
        </w:rPr>
      </w:pPr>
    </w:p>
    <w:p w:rsidR="008A080C" w:rsidRDefault="008A080C" w:rsidP="008A080C">
      <w:pPr>
        <w:spacing w:line="360" w:lineRule="auto"/>
        <w:rPr>
          <w:rFonts w:ascii="Cambria" w:hAnsi="Cambria"/>
        </w:rPr>
      </w:pPr>
    </w:p>
    <w:p w:rsidR="008A080C" w:rsidRDefault="008A080C" w:rsidP="008A080C">
      <w:pPr>
        <w:spacing w:line="360" w:lineRule="auto"/>
        <w:rPr>
          <w:rFonts w:ascii="Cambria" w:hAnsi="Cambria"/>
        </w:rPr>
      </w:pPr>
    </w:p>
    <w:p w:rsidR="007F0845" w:rsidRDefault="007F0845" w:rsidP="0055536F">
      <w:pPr>
        <w:spacing w:line="360" w:lineRule="auto"/>
        <w:rPr>
          <w:rFonts w:ascii="Cambria" w:hAnsi="Cambria"/>
        </w:rPr>
      </w:pPr>
    </w:p>
    <w:p w:rsidR="00913226" w:rsidRPr="00D80587" w:rsidRDefault="00913226" w:rsidP="0055536F">
      <w:pPr>
        <w:spacing w:line="360" w:lineRule="auto"/>
        <w:rPr>
          <w:rFonts w:ascii="Cambria" w:hAnsi="Cambria"/>
        </w:rPr>
      </w:pPr>
    </w:p>
    <w:sectPr w:rsidR="00913226" w:rsidRPr="00D805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6878" w:rsidRDefault="00366878" w:rsidP="00D30DD9">
      <w:pPr>
        <w:spacing w:after="0" w:line="240" w:lineRule="auto"/>
      </w:pPr>
      <w:r>
        <w:separator/>
      </w:r>
    </w:p>
  </w:endnote>
  <w:endnote w:type="continuationSeparator" w:id="0">
    <w:p w:rsidR="00366878" w:rsidRDefault="00366878" w:rsidP="00D3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Open Sans">
    <w:panose1 w:val="020B0606030504020204"/>
    <w:charset w:val="00"/>
    <w:family w:val="swiss"/>
    <w:pitch w:val="variable"/>
    <w:sig w:usb0="E00002EF" w:usb1="4000205B" w:usb2="00000028" w:usb3="00000000" w:csb0="000001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6878" w:rsidRDefault="00366878" w:rsidP="00D30DD9">
      <w:pPr>
        <w:spacing w:after="0" w:line="240" w:lineRule="auto"/>
      </w:pPr>
      <w:r>
        <w:separator/>
      </w:r>
    </w:p>
  </w:footnote>
  <w:footnote w:type="continuationSeparator" w:id="0">
    <w:p w:rsidR="00366878" w:rsidRDefault="00366878" w:rsidP="00D30DD9">
      <w:pPr>
        <w:spacing w:after="0" w:line="240" w:lineRule="auto"/>
      </w:pPr>
      <w:r>
        <w:continuationSeparator/>
      </w:r>
    </w:p>
  </w:footnote>
  <w:footnote w:id="1">
    <w:p w:rsidR="00B129D2" w:rsidRDefault="00B129D2">
      <w:pPr>
        <w:pStyle w:val="FootnoteText"/>
      </w:pPr>
      <w:r>
        <w:rPr>
          <w:rStyle w:val="FootnoteReference"/>
        </w:rPr>
        <w:footnoteRef/>
      </w:r>
      <w:r>
        <w:t xml:space="preserve"> </w:t>
      </w:r>
      <w:r w:rsidRPr="00060D9C">
        <w:t xml:space="preserve">Timothy J. Stapleton, </w:t>
      </w:r>
      <w:r w:rsidRPr="00060D9C">
        <w:rPr>
          <w:i/>
        </w:rPr>
        <w:t xml:space="preserve">Husserl and Heidegger: The Question of a Phenomenological Beginning, </w:t>
      </w:r>
      <w:r w:rsidRPr="00060D9C">
        <w:t>(New York: State University Press 1983) p.1</w:t>
      </w:r>
    </w:p>
  </w:footnote>
  <w:footnote w:id="2">
    <w:p w:rsidR="00B129D2" w:rsidRPr="00D30DD9" w:rsidRDefault="00B129D2" w:rsidP="00D30DD9">
      <w:pPr>
        <w:pStyle w:val="FootnoteText"/>
      </w:pPr>
      <w:r>
        <w:rPr>
          <w:rStyle w:val="FootnoteReference"/>
        </w:rPr>
        <w:footnoteRef/>
      </w:r>
      <w:r>
        <w:t xml:space="preserve"> 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1" w:history="1">
        <w:r w:rsidRPr="00830EFB">
          <w:rPr>
            <w:rStyle w:val="Hyperlink"/>
          </w:rPr>
          <w:t>https://www.youtube.com/watch?v=KR1TJERFzp0&amp;t=945s</w:t>
        </w:r>
      </w:hyperlink>
      <w:r>
        <w:t xml:space="preserve"> . (Accessed 6 November 2017) </w:t>
      </w:r>
    </w:p>
    <w:p w:rsidR="00B129D2" w:rsidRDefault="00B129D2">
      <w:pPr>
        <w:pStyle w:val="FootnoteText"/>
      </w:pPr>
    </w:p>
  </w:footnote>
  <w:footnote w:id="3">
    <w:p w:rsidR="00B129D2" w:rsidRDefault="00B129D2">
      <w:pPr>
        <w:pStyle w:val="FootnoteText"/>
      </w:pPr>
      <w:r>
        <w:rPr>
          <w:rStyle w:val="FootnoteReference"/>
        </w:rPr>
        <w:footnoteRef/>
      </w:r>
      <w:r>
        <w:t xml:space="preserve"> </w:t>
      </w:r>
      <w:r w:rsidRPr="00060D9C">
        <w:t xml:space="preserve">Edo </w:t>
      </w:r>
      <w:proofErr w:type="spellStart"/>
      <w:r w:rsidRPr="00060D9C">
        <w:t>Pivcevic</w:t>
      </w:r>
      <w:proofErr w:type="spellEnd"/>
      <w:r w:rsidRPr="00060D9C">
        <w:t xml:space="preserve">, </w:t>
      </w:r>
      <w:r w:rsidRPr="00060D9C">
        <w:rPr>
          <w:i/>
        </w:rPr>
        <w:t xml:space="preserve">Husserl and Phenomenology, </w:t>
      </w:r>
      <w:r w:rsidRPr="00060D9C">
        <w:t>(London: Hutchinson &amp; Co 1970) p.45</w:t>
      </w:r>
    </w:p>
  </w:footnote>
  <w:footnote w:id="4">
    <w:p w:rsidR="00647776" w:rsidRDefault="00647776">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2" w:history="1">
        <w:r w:rsidRPr="00830EFB">
          <w:rPr>
            <w:rStyle w:val="Hyperlink"/>
          </w:rPr>
          <w:t>https://www.youtube.com/watch?v=KR1TJERFzp0&amp;t=945s</w:t>
        </w:r>
      </w:hyperlink>
      <w:r>
        <w:t xml:space="preserve"> . (Accessed 6 November 2017)</w:t>
      </w:r>
    </w:p>
  </w:footnote>
  <w:footnote w:id="5">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3" w:history="1">
        <w:r w:rsidRPr="00830EFB">
          <w:rPr>
            <w:rStyle w:val="Hyperlink"/>
          </w:rPr>
          <w:t>https://www.youtube.com/watch?v=KR1TJERFzp0&amp;t=945s</w:t>
        </w:r>
      </w:hyperlink>
      <w:r>
        <w:t xml:space="preserve"> . (Accessed 6 November 2017)</w:t>
      </w:r>
    </w:p>
  </w:footnote>
  <w:footnote w:id="6">
    <w:p w:rsidR="00B129D2" w:rsidRDefault="00B129D2">
      <w:pPr>
        <w:pStyle w:val="FootnoteText"/>
      </w:pPr>
      <w:r>
        <w:rPr>
          <w:rStyle w:val="FootnoteReference"/>
        </w:rPr>
        <w:footnoteRef/>
      </w:r>
      <w:r>
        <w:t xml:space="preserve"> </w:t>
      </w:r>
      <w:bookmarkStart w:id="2" w:name="_Hlk497910539"/>
      <w:r w:rsidRPr="00422486">
        <w:t>Heideg</w:t>
      </w:r>
      <w:r>
        <w:t>ger, M. and Stambaugh, J</w:t>
      </w:r>
      <w:r w:rsidRPr="00422486">
        <w:t>. </w:t>
      </w:r>
      <w:r w:rsidRPr="00422486">
        <w:rPr>
          <w:i/>
          <w:iCs/>
        </w:rPr>
        <w:t>Being and time</w:t>
      </w:r>
      <w:r w:rsidRPr="00422486">
        <w:t xml:space="preserve">. </w:t>
      </w:r>
      <w:r>
        <w:t>(</w:t>
      </w:r>
      <w:r w:rsidRPr="00422486">
        <w:t>Albany, NY: State University of New York Press</w:t>
      </w:r>
      <w:r>
        <w:t xml:space="preserve"> 1996) p.262</w:t>
      </w:r>
      <w:bookmarkEnd w:id="2"/>
    </w:p>
  </w:footnote>
  <w:footnote w:id="7">
    <w:p w:rsidR="00B129D2" w:rsidRDefault="00B129D2">
      <w:pPr>
        <w:pStyle w:val="FootnoteText"/>
      </w:pPr>
      <w:r>
        <w:rPr>
          <w:rStyle w:val="FootnoteReference"/>
        </w:rPr>
        <w:footnoteRef/>
      </w:r>
      <w:r>
        <w:t xml:space="preserve"> </w:t>
      </w:r>
      <w:r w:rsidRPr="00CF2768">
        <w:t xml:space="preserve">Timothy </w:t>
      </w:r>
      <w:proofErr w:type="spellStart"/>
      <w:proofErr w:type="gramStart"/>
      <w:r w:rsidRPr="00CF2768">
        <w:t>J.Stapleton</w:t>
      </w:r>
      <w:proofErr w:type="spellEnd"/>
      <w:proofErr w:type="gramEnd"/>
      <w:r>
        <w:t>.</w:t>
      </w:r>
      <w:r w:rsidRPr="00CF2768">
        <w:t xml:space="preserve"> </w:t>
      </w:r>
      <w:r w:rsidRPr="00CF2768">
        <w:rPr>
          <w:i/>
        </w:rPr>
        <w:t>Husserl and Heidegger The Question of a Phenomenological Beginning</w:t>
      </w:r>
      <w:r>
        <w:rPr>
          <w:i/>
        </w:rPr>
        <w:t>.</w:t>
      </w:r>
      <w:r w:rsidRPr="00CF2768">
        <w:rPr>
          <w:i/>
        </w:rPr>
        <w:t xml:space="preserve"> </w:t>
      </w:r>
      <w:r w:rsidRPr="00CF2768">
        <w:t>(New York: State University Press 1983)</w:t>
      </w:r>
      <w:r>
        <w:t xml:space="preserve"> p.90</w:t>
      </w:r>
    </w:p>
  </w:footnote>
  <w:footnote w:id="8">
    <w:p w:rsidR="00647776" w:rsidRDefault="00647776">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4" w:history="1">
        <w:r w:rsidRPr="00830EFB">
          <w:rPr>
            <w:rStyle w:val="Hyperlink"/>
          </w:rPr>
          <w:t>https://www.youtube.com/watch?v=KR1TJERFzp0&amp;t=945s</w:t>
        </w:r>
      </w:hyperlink>
      <w:r>
        <w:t xml:space="preserve"> . (Accessed 6 November 2017)</w:t>
      </w:r>
    </w:p>
  </w:footnote>
  <w:footnote w:id="9">
    <w:p w:rsidR="00647776" w:rsidRDefault="00647776">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5" w:history="1">
        <w:r w:rsidRPr="00830EFB">
          <w:rPr>
            <w:rStyle w:val="Hyperlink"/>
          </w:rPr>
          <w:t>https://www.youtube.com/watch?v=KR1TJERFzp0&amp;t=945s</w:t>
        </w:r>
      </w:hyperlink>
      <w:r>
        <w:t xml:space="preserve"> . (Accessed 6 November 2017)</w:t>
      </w:r>
    </w:p>
  </w:footnote>
  <w:footnote w:id="10">
    <w:p w:rsidR="00647776" w:rsidRDefault="00647776">
      <w:pPr>
        <w:pStyle w:val="FootnoteText"/>
      </w:pPr>
      <w:r>
        <w:rPr>
          <w:rStyle w:val="FootnoteReference"/>
        </w:rPr>
        <w:footnoteRef/>
      </w:r>
      <w:r>
        <w:t xml:space="preserve"> </w:t>
      </w:r>
      <w:r w:rsidR="001172C7">
        <w:t>Ibid</w:t>
      </w:r>
    </w:p>
  </w:footnote>
  <w:footnote w:id="11">
    <w:p w:rsidR="00647776" w:rsidRDefault="00647776">
      <w:pPr>
        <w:pStyle w:val="FootnoteText"/>
      </w:pPr>
      <w:r>
        <w:rPr>
          <w:rStyle w:val="FootnoteReference"/>
        </w:rPr>
        <w:footnoteRef/>
      </w:r>
      <w:r>
        <w:t xml:space="preserve"> </w:t>
      </w:r>
      <w:r w:rsidR="001172C7">
        <w:t>Ibid</w:t>
      </w:r>
    </w:p>
  </w:footnote>
  <w:footnote w:id="12">
    <w:p w:rsidR="00647776" w:rsidRDefault="00647776">
      <w:pPr>
        <w:pStyle w:val="FootnoteText"/>
      </w:pPr>
      <w:r>
        <w:rPr>
          <w:rStyle w:val="FootnoteReference"/>
        </w:rPr>
        <w:footnoteRef/>
      </w:r>
      <w:r>
        <w:t xml:space="preserve"> </w:t>
      </w:r>
      <w:r w:rsidR="001172C7">
        <w:t>Ibid</w:t>
      </w:r>
    </w:p>
  </w:footnote>
  <w:footnote w:id="13">
    <w:p w:rsidR="001172C7" w:rsidRDefault="001172C7">
      <w:pPr>
        <w:pStyle w:val="FootnoteText"/>
      </w:pPr>
      <w:r>
        <w:rPr>
          <w:rStyle w:val="FootnoteReference"/>
        </w:rPr>
        <w:footnoteRef/>
      </w:r>
      <w:r>
        <w:t xml:space="preserve"> Ibid</w:t>
      </w:r>
    </w:p>
  </w:footnote>
  <w:footnote w:id="14">
    <w:p w:rsidR="001172C7" w:rsidRDefault="001172C7">
      <w:pPr>
        <w:pStyle w:val="FootnoteText"/>
      </w:pPr>
      <w:r>
        <w:rPr>
          <w:rStyle w:val="FootnoteReference"/>
        </w:rPr>
        <w:footnoteRef/>
      </w:r>
      <w:r>
        <w:t xml:space="preserve"> Ibid</w:t>
      </w:r>
    </w:p>
  </w:footnote>
  <w:footnote w:id="15">
    <w:p w:rsidR="001172C7" w:rsidRDefault="001172C7">
      <w:pPr>
        <w:pStyle w:val="FootnoteText"/>
      </w:pPr>
      <w:r>
        <w:rPr>
          <w:rStyle w:val="FootnoteReference"/>
        </w:rPr>
        <w:footnoteRef/>
      </w:r>
      <w:r>
        <w:t xml:space="preserve"> Ibid</w:t>
      </w:r>
    </w:p>
  </w:footnote>
  <w:footnote w:id="16">
    <w:p w:rsidR="00B129D2" w:rsidRDefault="00B129D2">
      <w:pPr>
        <w:pStyle w:val="FootnoteText"/>
      </w:pPr>
      <w:r>
        <w:rPr>
          <w:rStyle w:val="FootnoteReference"/>
        </w:rPr>
        <w:footnoteRef/>
      </w:r>
      <w:r>
        <w:t xml:space="preserve"> </w:t>
      </w:r>
      <w:r w:rsidRPr="00CF2768">
        <w:t xml:space="preserve">Timothy </w:t>
      </w:r>
      <w:proofErr w:type="spellStart"/>
      <w:proofErr w:type="gramStart"/>
      <w:r w:rsidRPr="00CF2768">
        <w:t>J.Stapleton</w:t>
      </w:r>
      <w:proofErr w:type="spellEnd"/>
      <w:proofErr w:type="gramEnd"/>
      <w:r w:rsidRPr="00CF2768">
        <w:t xml:space="preserve">, </w:t>
      </w:r>
      <w:r w:rsidRPr="00CF2768">
        <w:rPr>
          <w:i/>
        </w:rPr>
        <w:t xml:space="preserve">Husserl and Heidegger The Question of a Phenomenological Beginning, </w:t>
      </w:r>
      <w:r w:rsidRPr="00CF2768">
        <w:t>(New York: State University Press 1983)</w:t>
      </w:r>
      <w:r>
        <w:t xml:space="preserve"> p.90</w:t>
      </w:r>
    </w:p>
  </w:footnote>
  <w:footnote w:id="17">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w:t>
      </w:r>
      <w:r>
        <w:t xml:space="preserve"> 1996) p.33</w:t>
      </w:r>
    </w:p>
  </w:footnote>
  <w:footnote w:id="18">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6" w:history="1">
        <w:r w:rsidRPr="00830EFB">
          <w:rPr>
            <w:rStyle w:val="Hyperlink"/>
          </w:rPr>
          <w:t>https://www.youtube.com/watch?v=KR1TJERFzp0&amp;t=945s</w:t>
        </w:r>
      </w:hyperlink>
      <w:r>
        <w:t xml:space="preserve"> . (Accessed 6 November 2017)</w:t>
      </w:r>
    </w:p>
  </w:footnote>
  <w:footnote w:id="19">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7" w:history="1">
        <w:r w:rsidRPr="00830EFB">
          <w:rPr>
            <w:rStyle w:val="Hyperlink"/>
          </w:rPr>
          <w:t>https://www.youtube.com/watch?v=KR1TJERFzp0&amp;t=945s</w:t>
        </w:r>
      </w:hyperlink>
      <w:r>
        <w:t xml:space="preserve"> . (Accessed 6 November 2017)</w:t>
      </w:r>
    </w:p>
  </w:footnote>
  <w:footnote w:id="20">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w:t>
      </w:r>
      <w:r>
        <w:t xml:space="preserve"> 1996) p.33</w:t>
      </w:r>
    </w:p>
  </w:footnote>
  <w:footnote w:id="21">
    <w:p w:rsidR="00F82301" w:rsidRDefault="00F82301">
      <w:pPr>
        <w:pStyle w:val="FootnoteText"/>
      </w:pPr>
      <w:r>
        <w:rPr>
          <w:rStyle w:val="FootnoteReference"/>
        </w:rPr>
        <w:footnoteRef/>
      </w:r>
      <w:r>
        <w:t xml:space="preserve"> </w:t>
      </w:r>
      <w:bookmarkStart w:id="3" w:name="_Hlk497911586"/>
      <w:r w:rsidRPr="00F82301">
        <w:t>Heidegger, M. and Stambaugh, J. </w:t>
      </w:r>
      <w:r w:rsidRPr="00F82301">
        <w:rPr>
          <w:i/>
          <w:iCs/>
        </w:rPr>
        <w:t>Being and time</w:t>
      </w:r>
      <w:r w:rsidRPr="00F82301">
        <w:t>. (Albany, NY: State University of New York Press</w:t>
      </w:r>
      <w:r>
        <w:t xml:space="preserve"> 1996) p.47</w:t>
      </w:r>
      <w:bookmarkEnd w:id="3"/>
    </w:p>
  </w:footnote>
  <w:footnote w:id="22">
    <w:p w:rsidR="00B129D2" w:rsidRDefault="00B129D2">
      <w:pPr>
        <w:pStyle w:val="FootnoteText"/>
      </w:pPr>
      <w:r>
        <w:rPr>
          <w:rStyle w:val="FootnoteReference"/>
        </w:rPr>
        <w:footnoteRef/>
      </w:r>
      <w:r>
        <w:t xml:space="preserve"> </w:t>
      </w:r>
      <w:r w:rsidRPr="00CF2768">
        <w:t xml:space="preserve">Martin Heidegger, </w:t>
      </w:r>
      <w:r w:rsidRPr="00CF2768">
        <w:rPr>
          <w:i/>
        </w:rPr>
        <w:t xml:space="preserve">Being and Time, </w:t>
      </w:r>
      <w:r w:rsidRPr="00CF2768">
        <w:t>(New York: University Press 1996) p.6</w:t>
      </w:r>
    </w:p>
  </w:footnote>
  <w:footnote w:id="23">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 1996) p.47</w:t>
      </w:r>
    </w:p>
  </w:footnote>
  <w:footnote w:id="24">
    <w:p w:rsidR="00F82301" w:rsidRDefault="00F82301">
      <w:pPr>
        <w:pStyle w:val="FootnoteText"/>
      </w:pPr>
      <w:r>
        <w:rPr>
          <w:rStyle w:val="FootnoteReference"/>
        </w:rPr>
        <w:footnoteRef/>
      </w:r>
      <w:r>
        <w:t xml:space="preserve"> </w:t>
      </w:r>
      <w:r w:rsidR="001172C7">
        <w:t>Ibid</w:t>
      </w:r>
      <w:r>
        <w:t xml:space="preserve"> p.33</w:t>
      </w:r>
    </w:p>
  </w:footnote>
  <w:footnote w:id="25">
    <w:p w:rsidR="00F82301" w:rsidRDefault="00F82301">
      <w:pPr>
        <w:pStyle w:val="FootnoteText"/>
      </w:pPr>
      <w:r>
        <w:rPr>
          <w:rStyle w:val="FootnoteReference"/>
        </w:rPr>
        <w:footnoteRef/>
      </w:r>
      <w:r>
        <w:t xml:space="preserve"> </w:t>
      </w:r>
      <w:r w:rsidR="001172C7">
        <w:t>Ibid</w:t>
      </w:r>
      <w:r w:rsidRPr="00F82301">
        <w:t xml:space="preserve"> p.47</w:t>
      </w:r>
    </w:p>
  </w:footnote>
  <w:footnote w:id="26">
    <w:p w:rsidR="00647776" w:rsidRDefault="00647776">
      <w:pPr>
        <w:pStyle w:val="FootnoteText"/>
      </w:pPr>
      <w:r>
        <w:rPr>
          <w:rStyle w:val="FootnoteReference"/>
        </w:rPr>
        <w:footnoteRef/>
      </w:r>
      <w:r>
        <w:t xml:space="preserve"> </w:t>
      </w:r>
      <w:bookmarkStart w:id="4" w:name="_Hlk497912006"/>
      <w:r w:rsidR="001172C7">
        <w:t>Ibid</w:t>
      </w:r>
      <w:r>
        <w:t xml:space="preserve"> p.121</w:t>
      </w:r>
      <w:bookmarkEnd w:id="4"/>
    </w:p>
  </w:footnote>
  <w:footnote w:id="27">
    <w:p w:rsidR="00647776" w:rsidRDefault="00647776">
      <w:pPr>
        <w:pStyle w:val="FootnoteText"/>
      </w:pPr>
      <w:r>
        <w:rPr>
          <w:rStyle w:val="FootnoteReference"/>
        </w:rPr>
        <w:footnoteRef/>
      </w:r>
      <w:r>
        <w:t xml:space="preserve"> </w:t>
      </w:r>
      <w:r w:rsidRPr="00647776">
        <w:t>Heidegger, M. and Stambaugh, J. </w:t>
      </w:r>
      <w:r w:rsidRPr="00647776">
        <w:rPr>
          <w:i/>
          <w:iCs/>
        </w:rPr>
        <w:t>Being and time</w:t>
      </w:r>
      <w:r w:rsidRPr="00647776">
        <w:t>. (Albany, NY: State University of New York Press 1996) p.121</w:t>
      </w:r>
    </w:p>
  </w:footnote>
  <w:footnote w:id="28">
    <w:p w:rsidR="00B129D2" w:rsidRDefault="00B129D2">
      <w:pPr>
        <w:pStyle w:val="FootnoteText"/>
      </w:pPr>
      <w:r>
        <w:rPr>
          <w:rStyle w:val="FootnoteReference"/>
        </w:rPr>
        <w:footnoteRef/>
      </w:r>
      <w:r>
        <w:t xml:space="preserve"> </w:t>
      </w:r>
      <w:bookmarkStart w:id="5" w:name="_Hlk497911843"/>
      <w:r w:rsidRPr="00B129D2">
        <w:t>Heidegger, M. and Stambaugh, J. </w:t>
      </w:r>
      <w:r w:rsidRPr="00B129D2">
        <w:rPr>
          <w:i/>
          <w:iCs/>
        </w:rPr>
        <w:t>Being and time</w:t>
      </w:r>
      <w:r w:rsidRPr="00B129D2">
        <w:t>. (Albany, NY: State University of New York Press 1996) p.262</w:t>
      </w:r>
      <w:bookmarkEnd w:id="5"/>
    </w:p>
  </w:footnote>
  <w:footnote w:id="29">
    <w:p w:rsidR="00B129D2" w:rsidRDefault="00B129D2">
      <w:pPr>
        <w:pStyle w:val="FootnoteText"/>
      </w:pPr>
      <w:r>
        <w:rPr>
          <w:rStyle w:val="FootnoteReference"/>
        </w:rPr>
        <w:footnoteRef/>
      </w:r>
      <w:r>
        <w:t xml:space="preserve"> </w:t>
      </w:r>
      <w:r w:rsidRPr="00CF2768">
        <w:t xml:space="preserve">Timothy </w:t>
      </w:r>
      <w:proofErr w:type="spellStart"/>
      <w:proofErr w:type="gramStart"/>
      <w:r w:rsidRPr="00CF2768">
        <w:t>J.Stapleton</w:t>
      </w:r>
      <w:proofErr w:type="spellEnd"/>
      <w:proofErr w:type="gramEnd"/>
      <w:r w:rsidRPr="00CF2768">
        <w:t xml:space="preserve">, </w:t>
      </w:r>
      <w:r w:rsidRPr="00CF2768">
        <w:rPr>
          <w:i/>
        </w:rPr>
        <w:t xml:space="preserve">Husserl and Heidegger The Question of a Phenomenological Beginning, </w:t>
      </w:r>
      <w:r w:rsidRPr="00CF2768">
        <w:t>(New York: State University Press 1983)</w:t>
      </w:r>
      <w:r>
        <w:t xml:space="preserve"> p.90</w:t>
      </w:r>
    </w:p>
  </w:footnote>
  <w:footnote w:id="30">
    <w:p w:rsidR="00B129D2" w:rsidRDefault="00B129D2">
      <w:pPr>
        <w:pStyle w:val="FootnoteText"/>
      </w:pPr>
      <w:r>
        <w:rPr>
          <w:rStyle w:val="FootnoteReference"/>
        </w:rPr>
        <w:footnoteRef/>
      </w:r>
      <w:r>
        <w:t xml:space="preserve"> </w:t>
      </w:r>
      <w:bookmarkStart w:id="6" w:name="_Hlk497910744"/>
      <w:r w:rsidRPr="00B129D2">
        <w:t>Heidegger, M. and Stambaugh, J. </w:t>
      </w:r>
      <w:r w:rsidRPr="00B129D2">
        <w:rPr>
          <w:i/>
          <w:iCs/>
        </w:rPr>
        <w:t>Being and time</w:t>
      </w:r>
      <w:r w:rsidRPr="00B129D2">
        <w:t>. (Albany, NY: State University of New York Press</w:t>
      </w:r>
      <w:r>
        <w:t xml:space="preserve"> 1996) p.52</w:t>
      </w:r>
      <w:bookmarkEnd w:id="6"/>
    </w:p>
  </w:footnote>
  <w:footnote w:id="31">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8" w:history="1">
        <w:r w:rsidRPr="00830EFB">
          <w:rPr>
            <w:rStyle w:val="Hyperlink"/>
          </w:rPr>
          <w:t>https://www.youtube.com/watch?v=KR1TJERFzp0&amp;t=945s</w:t>
        </w:r>
      </w:hyperlink>
      <w:r>
        <w:t xml:space="preserve"> . (Accessed 6 November 2017)</w:t>
      </w:r>
    </w:p>
  </w:footnote>
  <w:footnote w:id="32">
    <w:p w:rsidR="00B129D2" w:rsidRDefault="00B129D2">
      <w:pPr>
        <w:pStyle w:val="FootnoteText"/>
      </w:pPr>
      <w:r>
        <w:rPr>
          <w:rStyle w:val="FootnoteReference"/>
        </w:rPr>
        <w:footnoteRef/>
      </w:r>
      <w:r>
        <w:t xml:space="preserve"> </w:t>
      </w:r>
      <w:r w:rsidRPr="00B129D2">
        <w:t>Heidegger, M. and Stambaugh, J. </w:t>
      </w:r>
      <w:r w:rsidRPr="00B129D2">
        <w:rPr>
          <w:i/>
          <w:iCs/>
        </w:rPr>
        <w:t>Being and time</w:t>
      </w:r>
      <w:r w:rsidRPr="00B129D2">
        <w:t>. (Albany, NY: State University of New York Press 1996) p.262</w:t>
      </w:r>
    </w:p>
  </w:footnote>
  <w:footnote w:id="33">
    <w:p w:rsidR="00B129D2" w:rsidRDefault="00B129D2">
      <w:pPr>
        <w:pStyle w:val="FootnoteText"/>
      </w:pPr>
      <w:r>
        <w:rPr>
          <w:rStyle w:val="FootnoteReference"/>
        </w:rPr>
        <w:footnoteRef/>
      </w:r>
      <w:r>
        <w:t xml:space="preserve"> </w:t>
      </w:r>
      <w:r w:rsidRPr="00CF2768">
        <w:t xml:space="preserve">Timothy </w:t>
      </w:r>
      <w:proofErr w:type="spellStart"/>
      <w:proofErr w:type="gramStart"/>
      <w:r w:rsidRPr="00CF2768">
        <w:t>J.Stapleton</w:t>
      </w:r>
      <w:proofErr w:type="spellEnd"/>
      <w:proofErr w:type="gramEnd"/>
      <w:r w:rsidRPr="00CF2768">
        <w:t xml:space="preserve">, </w:t>
      </w:r>
      <w:r w:rsidRPr="00CF2768">
        <w:rPr>
          <w:i/>
        </w:rPr>
        <w:t xml:space="preserve">Husserl and Heidegger The Question of a Phenomenological Beginning, </w:t>
      </w:r>
      <w:r w:rsidRPr="00CF2768">
        <w:t>(New York: State University Press 1983)</w:t>
      </w:r>
      <w:r>
        <w:t xml:space="preserve"> p.90</w:t>
      </w:r>
    </w:p>
  </w:footnote>
  <w:footnote w:id="34">
    <w:p w:rsidR="00B129D2" w:rsidRDefault="00B129D2">
      <w:pPr>
        <w:pStyle w:val="FootnoteText"/>
      </w:pPr>
      <w:r>
        <w:rPr>
          <w:rStyle w:val="FootnoteReference"/>
        </w:rPr>
        <w:footnoteRef/>
      </w:r>
      <w:r>
        <w:t xml:space="preserve"> </w:t>
      </w:r>
      <w:r w:rsidRPr="00B129D2">
        <w:t>Heidegger, M. and Stambaugh, J. </w:t>
      </w:r>
      <w:r w:rsidRPr="00B129D2">
        <w:rPr>
          <w:i/>
          <w:iCs/>
        </w:rPr>
        <w:t>Being and time</w:t>
      </w:r>
      <w:r w:rsidRPr="00B129D2">
        <w:t>. (Albany, NY: State University of New York Press 1996) p.262</w:t>
      </w:r>
    </w:p>
  </w:footnote>
  <w:footnote w:id="35">
    <w:p w:rsidR="00647776" w:rsidRDefault="00647776">
      <w:pPr>
        <w:pStyle w:val="FootnoteText"/>
      </w:pPr>
      <w:r>
        <w:rPr>
          <w:rStyle w:val="FootnoteReference"/>
        </w:rPr>
        <w:footnoteRef/>
      </w:r>
      <w:r>
        <w:t xml:space="preserve"> </w:t>
      </w:r>
      <w:r w:rsidRPr="00647776">
        <w:t>Heidegger, M. and Stambaugh, J. </w:t>
      </w:r>
      <w:r w:rsidRPr="00647776">
        <w:rPr>
          <w:i/>
          <w:iCs/>
        </w:rPr>
        <w:t>Being and time</w:t>
      </w:r>
      <w:r w:rsidRPr="00647776">
        <w:t>. (Albany, NY: State Universi</w:t>
      </w:r>
      <w:r>
        <w:t>ty of New York Press 1996) p.155</w:t>
      </w:r>
    </w:p>
  </w:footnote>
  <w:footnote w:id="36">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9" w:history="1">
        <w:r w:rsidRPr="00830EFB">
          <w:rPr>
            <w:rStyle w:val="Hyperlink"/>
          </w:rPr>
          <w:t>https://www.youtube.com/watch?v=KR1TJERFzp0&amp;t=945s</w:t>
        </w:r>
      </w:hyperlink>
      <w:r>
        <w:t xml:space="preserve"> . (Accessed 6 November 2017)</w:t>
      </w:r>
    </w:p>
  </w:footnote>
  <w:footnote w:id="37">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10" w:history="1">
        <w:r w:rsidRPr="00830EFB">
          <w:rPr>
            <w:rStyle w:val="Hyperlink"/>
          </w:rPr>
          <w:t>https://www.youtube.com/watch?v=KR1TJERFzp0&amp;t=945s</w:t>
        </w:r>
      </w:hyperlink>
      <w:r>
        <w:t xml:space="preserve"> . (Accessed 6 November 2017)</w:t>
      </w:r>
    </w:p>
  </w:footnote>
  <w:footnote w:id="38">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11" w:history="1">
        <w:r w:rsidRPr="00830EFB">
          <w:rPr>
            <w:rStyle w:val="Hyperlink"/>
          </w:rPr>
          <w:t>https://www.youtube.com/watch?v=KR1TJERFzp0&amp;t=945s</w:t>
        </w:r>
      </w:hyperlink>
      <w:r>
        <w:t xml:space="preserve"> . (Accessed 6 November 2017)</w:t>
      </w:r>
    </w:p>
  </w:footnote>
  <w:footnote w:id="39">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12" w:history="1">
        <w:r w:rsidRPr="00830EFB">
          <w:rPr>
            <w:rStyle w:val="Hyperlink"/>
          </w:rPr>
          <w:t>https://www.youtube.com/watch?v=KR1TJERFzp0&amp;t=945s</w:t>
        </w:r>
      </w:hyperlink>
      <w:r>
        <w:t xml:space="preserve"> . (Accessed 6 November 2017)</w:t>
      </w:r>
    </w:p>
  </w:footnote>
  <w:footnote w:id="40">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 1996) p.164</w:t>
      </w:r>
    </w:p>
  </w:footnote>
  <w:footnote w:id="41">
    <w:p w:rsidR="00B129D2" w:rsidRDefault="00B129D2">
      <w:pPr>
        <w:pStyle w:val="FootnoteText"/>
      </w:pPr>
      <w:r>
        <w:rPr>
          <w:rStyle w:val="FootnoteReference"/>
        </w:rPr>
        <w:footnoteRef/>
      </w:r>
      <w:r>
        <w:t xml:space="preserve"> </w:t>
      </w:r>
      <w:r w:rsidRPr="00B129D2">
        <w:t>Heidegger, M. and Stambaugh, J. </w:t>
      </w:r>
      <w:r w:rsidRPr="00B129D2">
        <w:rPr>
          <w:i/>
          <w:iCs/>
        </w:rPr>
        <w:t>Being and time</w:t>
      </w:r>
      <w:r w:rsidRPr="00B129D2">
        <w:t>. (Albany, NY: State University of New York Press 1996) p.52</w:t>
      </w:r>
    </w:p>
  </w:footnote>
  <w:footnote w:id="42">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13" w:history="1">
        <w:r w:rsidRPr="00830EFB">
          <w:rPr>
            <w:rStyle w:val="Hyperlink"/>
          </w:rPr>
          <w:t>https://www.youtube.com/watch?v=KR1TJERFzp0&amp;t=945s</w:t>
        </w:r>
      </w:hyperlink>
      <w:r>
        <w:t xml:space="preserve"> . (Accessed 6 November 2017)</w:t>
      </w:r>
    </w:p>
  </w:footnote>
  <w:footnote w:id="43">
    <w:p w:rsidR="00B129D2" w:rsidRDefault="00B129D2">
      <w:pPr>
        <w:pStyle w:val="FootnoteText"/>
      </w:pPr>
      <w:r>
        <w:rPr>
          <w:rStyle w:val="FootnoteReference"/>
        </w:rPr>
        <w:footnoteRef/>
      </w:r>
      <w:r>
        <w:t xml:space="preserve"> </w:t>
      </w:r>
      <w:r w:rsidRPr="00B129D2">
        <w:t>Heidegger, M. and Stambaugh, J. </w:t>
      </w:r>
      <w:r w:rsidRPr="00B129D2">
        <w:rPr>
          <w:i/>
          <w:iCs/>
        </w:rPr>
        <w:t>Being and time</w:t>
      </w:r>
      <w:r w:rsidRPr="00B129D2">
        <w:t>. (Albany, NY: State University of New York Press 1996) p.52</w:t>
      </w:r>
    </w:p>
  </w:footnote>
  <w:footnote w:id="44">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w:t>
      </w:r>
      <w:r>
        <w:t xml:space="preserve"> 1996) p.33</w:t>
      </w:r>
    </w:p>
  </w:footnote>
  <w:footnote w:id="45">
    <w:p w:rsidR="00B129D2" w:rsidRDefault="00B129D2">
      <w:pPr>
        <w:pStyle w:val="FootnoteText"/>
      </w:pPr>
      <w:r>
        <w:rPr>
          <w:rStyle w:val="FootnoteReference"/>
        </w:rPr>
        <w:footnoteRef/>
      </w:r>
      <w:r>
        <w:t xml:space="preserve"> </w:t>
      </w:r>
      <w:bookmarkStart w:id="8" w:name="_Hlk497910986"/>
      <w:r w:rsidRPr="00B129D2">
        <w:t>Heidegger, M. and Stambaugh, J. </w:t>
      </w:r>
      <w:r w:rsidRPr="00B129D2">
        <w:rPr>
          <w:i/>
          <w:iCs/>
        </w:rPr>
        <w:t>Being and time</w:t>
      </w:r>
      <w:r w:rsidRPr="00B129D2">
        <w:t>. (Albany, NY: State University of New York Press</w:t>
      </w:r>
      <w:r>
        <w:t xml:space="preserve"> 1996) p.164</w:t>
      </w:r>
      <w:bookmarkEnd w:id="8"/>
    </w:p>
  </w:footnote>
  <w:footnote w:id="46">
    <w:p w:rsidR="00B129D2" w:rsidRDefault="00B129D2">
      <w:pPr>
        <w:pStyle w:val="FootnoteText"/>
      </w:pPr>
      <w:r>
        <w:rPr>
          <w:rStyle w:val="FootnoteReference"/>
        </w:rPr>
        <w:footnoteRef/>
      </w:r>
      <w:r>
        <w:t xml:space="preserve"> </w:t>
      </w:r>
      <w:r w:rsidRPr="00B129D2">
        <w:t>Heidegger, M. and Stambaugh, J. </w:t>
      </w:r>
      <w:r w:rsidRPr="00B129D2">
        <w:rPr>
          <w:i/>
          <w:iCs/>
        </w:rPr>
        <w:t>Being and time</w:t>
      </w:r>
      <w:r w:rsidRPr="00B129D2">
        <w:t>. (Albany, NY: State University of New York Press 1996) p.164</w:t>
      </w:r>
    </w:p>
  </w:footnote>
  <w:footnote w:id="47">
    <w:p w:rsidR="00B129D2" w:rsidRDefault="00B129D2">
      <w:pPr>
        <w:pStyle w:val="FootnoteText"/>
      </w:pPr>
      <w:r>
        <w:rPr>
          <w:rStyle w:val="FootnoteReference"/>
        </w:rPr>
        <w:footnoteRef/>
      </w:r>
      <w:r>
        <w:t xml:space="preserve"> </w:t>
      </w:r>
      <w:r w:rsidRPr="00B129D2">
        <w:t>Heidegger, M. and Stambaugh, J. </w:t>
      </w:r>
      <w:r w:rsidRPr="00B129D2">
        <w:rPr>
          <w:i/>
          <w:iCs/>
        </w:rPr>
        <w:t>Being and time</w:t>
      </w:r>
      <w:r w:rsidRPr="00B129D2">
        <w:t>. (Albany, NY: State University of New York Press 1996) p.164</w:t>
      </w:r>
    </w:p>
  </w:footnote>
  <w:footnote w:id="48">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 1996) p.164</w:t>
      </w:r>
    </w:p>
  </w:footnote>
  <w:footnote w:id="49">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 1996) p.47</w:t>
      </w:r>
    </w:p>
  </w:footnote>
  <w:footnote w:id="50">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 1996) p.164</w:t>
      </w:r>
    </w:p>
  </w:footnote>
  <w:footnote w:id="51">
    <w:p w:rsidR="00B129D2" w:rsidRDefault="00B129D2">
      <w:pPr>
        <w:pStyle w:val="FootnoteText"/>
      </w:pPr>
      <w:r>
        <w:rPr>
          <w:rStyle w:val="FootnoteReference"/>
        </w:rPr>
        <w:footnoteRef/>
      </w:r>
      <w:r>
        <w:t xml:space="preserve"> </w:t>
      </w:r>
      <w:r w:rsidRPr="00CF2768">
        <w:t xml:space="preserve">Timothy </w:t>
      </w:r>
      <w:proofErr w:type="spellStart"/>
      <w:proofErr w:type="gramStart"/>
      <w:r w:rsidRPr="00CF2768">
        <w:t>J.Stapleton</w:t>
      </w:r>
      <w:proofErr w:type="spellEnd"/>
      <w:proofErr w:type="gramEnd"/>
      <w:r w:rsidRPr="00CF2768">
        <w:t xml:space="preserve">, </w:t>
      </w:r>
      <w:r w:rsidRPr="00CF2768">
        <w:rPr>
          <w:i/>
        </w:rPr>
        <w:t xml:space="preserve">Husserl and Heidegger The Question of a Phenomenological Beginning, </w:t>
      </w:r>
      <w:r w:rsidRPr="00CF2768">
        <w:t>(New York: State University Press 1983)</w:t>
      </w:r>
      <w:r>
        <w:t xml:space="preserve"> p.90</w:t>
      </w:r>
    </w:p>
  </w:footnote>
  <w:footnote w:id="52">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14" w:history="1">
        <w:r w:rsidRPr="00830EFB">
          <w:rPr>
            <w:rStyle w:val="Hyperlink"/>
          </w:rPr>
          <w:t>https://www.youtube.com/watch?v=KR1TJERFzp0&amp;t=945s</w:t>
        </w:r>
      </w:hyperlink>
      <w:r>
        <w:t xml:space="preserve"> . (Accessed 6 November 2017)</w:t>
      </w:r>
    </w:p>
  </w:footnote>
  <w:footnote w:id="53">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15" w:history="1">
        <w:r w:rsidRPr="00830EFB">
          <w:rPr>
            <w:rStyle w:val="Hyperlink"/>
          </w:rPr>
          <w:t>https://www.youtube.com/watch?v=KR1TJERFzp0&amp;t=945s</w:t>
        </w:r>
      </w:hyperlink>
      <w:r>
        <w:t xml:space="preserve"> . (Accessed 6 November 2017)</w:t>
      </w:r>
    </w:p>
  </w:footnote>
  <w:footnote w:id="54">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16" w:history="1">
        <w:r w:rsidRPr="00830EFB">
          <w:rPr>
            <w:rStyle w:val="Hyperlink"/>
          </w:rPr>
          <w:t>https://www.youtube.com/watch?v=KR1TJERFzp0&amp;t=945s</w:t>
        </w:r>
      </w:hyperlink>
      <w:r>
        <w:t xml:space="preserve"> . (Accessed 6 November 2017)</w:t>
      </w:r>
    </w:p>
  </w:footnote>
  <w:footnote w:id="55">
    <w:p w:rsidR="001172C7" w:rsidRDefault="001172C7">
      <w:pPr>
        <w:pStyle w:val="FootnoteText"/>
      </w:pPr>
      <w:r>
        <w:rPr>
          <w:rStyle w:val="FootnoteReference"/>
        </w:rPr>
        <w:footnoteRef/>
      </w:r>
      <w:r>
        <w:t xml:space="preserve"> </w:t>
      </w:r>
      <w:r>
        <w:t xml:space="preserve">Philosophical Overdose. 2017. </w:t>
      </w:r>
      <w:r w:rsidRPr="00D30DD9">
        <w:rPr>
          <w:i/>
        </w:rPr>
        <w:t xml:space="preserve">Husserl, Heidegger &amp; Existentialism - Hubert </w:t>
      </w:r>
      <w:proofErr w:type="gramStart"/>
      <w:r w:rsidRPr="00D30DD9">
        <w:rPr>
          <w:i/>
        </w:rPr>
        <w:t>Dreyfus</w:t>
      </w:r>
      <w:r>
        <w:t>.(</w:t>
      </w:r>
      <w:proofErr w:type="gramEnd"/>
      <w:r>
        <w:t xml:space="preserve">online video) Available at: </w:t>
      </w:r>
      <w:hyperlink r:id="rId17" w:history="1">
        <w:r w:rsidRPr="00830EFB">
          <w:rPr>
            <w:rStyle w:val="Hyperlink"/>
          </w:rPr>
          <w:t>https://www.youtube.com/watch?v=KR1TJERFzp0&amp;t=945s</w:t>
        </w:r>
      </w:hyperlink>
      <w:r>
        <w:t xml:space="preserve"> . (Accessed 6 November 2017)</w:t>
      </w:r>
    </w:p>
  </w:footnote>
  <w:footnote w:id="56">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 1996) p.164</w:t>
      </w:r>
    </w:p>
  </w:footnote>
  <w:footnote w:id="57">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w:t>
      </w:r>
      <w:r>
        <w:t xml:space="preserve"> 1996) p.183</w:t>
      </w:r>
    </w:p>
  </w:footnote>
  <w:footnote w:id="58">
    <w:p w:rsidR="00B129D2" w:rsidRDefault="00B129D2">
      <w:pPr>
        <w:pStyle w:val="FootnoteText"/>
      </w:pPr>
      <w:r>
        <w:rPr>
          <w:rStyle w:val="FootnoteReference"/>
        </w:rPr>
        <w:footnoteRef/>
      </w:r>
      <w:r>
        <w:t xml:space="preserve"> </w:t>
      </w:r>
      <w:r w:rsidRPr="00B129D2">
        <w:t>Heidegger, M. and Stambaugh, J. </w:t>
      </w:r>
      <w:r w:rsidRPr="00B129D2">
        <w:rPr>
          <w:i/>
          <w:iCs/>
        </w:rPr>
        <w:t>Being and time</w:t>
      </w:r>
      <w:r w:rsidRPr="00B129D2">
        <w:t>. (Albany, NY: State University of New York Press 1996) p.52</w:t>
      </w:r>
    </w:p>
  </w:footnote>
  <w:footnote w:id="59">
    <w:p w:rsidR="00B129D2" w:rsidRDefault="00B129D2">
      <w:pPr>
        <w:pStyle w:val="FootnoteText"/>
      </w:pPr>
      <w:r>
        <w:rPr>
          <w:rStyle w:val="FootnoteReference"/>
        </w:rPr>
        <w:footnoteRef/>
      </w:r>
      <w:r>
        <w:t xml:space="preserve"> </w:t>
      </w:r>
      <w:r w:rsidRPr="00B129D2">
        <w:t>Heidegger, M. and Stambaugh, J. </w:t>
      </w:r>
      <w:r w:rsidRPr="00B129D2">
        <w:rPr>
          <w:i/>
          <w:iCs/>
        </w:rPr>
        <w:t>Being and time</w:t>
      </w:r>
      <w:r w:rsidRPr="00B129D2">
        <w:t>. (Albany, NY: State University of New York Press 1996) p.262</w:t>
      </w:r>
    </w:p>
  </w:footnote>
  <w:footnote w:id="60">
    <w:p w:rsidR="00F82301" w:rsidRDefault="00F82301">
      <w:pPr>
        <w:pStyle w:val="FootnoteText"/>
      </w:pPr>
      <w:r>
        <w:rPr>
          <w:rStyle w:val="FootnoteReference"/>
        </w:rPr>
        <w:footnoteRef/>
      </w:r>
      <w:r>
        <w:t xml:space="preserve"> </w:t>
      </w:r>
      <w:r w:rsidRPr="00F82301">
        <w:t>Heidegger, M. and Stambaugh, J. </w:t>
      </w:r>
      <w:r w:rsidRPr="00F82301">
        <w:rPr>
          <w:i/>
          <w:iCs/>
        </w:rPr>
        <w:t>Being and time</w:t>
      </w:r>
      <w:r w:rsidRPr="00F82301">
        <w:t>. (Albany, NY: State University of New York Press 1996) p.164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0587"/>
    <w:rsid w:val="00037682"/>
    <w:rsid w:val="00052FA0"/>
    <w:rsid w:val="00060D9C"/>
    <w:rsid w:val="00062AEF"/>
    <w:rsid w:val="00062D63"/>
    <w:rsid w:val="0008683B"/>
    <w:rsid w:val="000D5C07"/>
    <w:rsid w:val="000E602F"/>
    <w:rsid w:val="001172C7"/>
    <w:rsid w:val="0021427A"/>
    <w:rsid w:val="002325D4"/>
    <w:rsid w:val="00237A24"/>
    <w:rsid w:val="00303718"/>
    <w:rsid w:val="00317E3A"/>
    <w:rsid w:val="00356356"/>
    <w:rsid w:val="00366878"/>
    <w:rsid w:val="0037620D"/>
    <w:rsid w:val="00382BB2"/>
    <w:rsid w:val="00422486"/>
    <w:rsid w:val="00425F6D"/>
    <w:rsid w:val="00452290"/>
    <w:rsid w:val="004A1668"/>
    <w:rsid w:val="004C6275"/>
    <w:rsid w:val="00505CBE"/>
    <w:rsid w:val="005256A8"/>
    <w:rsid w:val="0053699F"/>
    <w:rsid w:val="0055536F"/>
    <w:rsid w:val="005C7503"/>
    <w:rsid w:val="00647776"/>
    <w:rsid w:val="00661775"/>
    <w:rsid w:val="006806BC"/>
    <w:rsid w:val="006D2264"/>
    <w:rsid w:val="007B3672"/>
    <w:rsid w:val="007F0845"/>
    <w:rsid w:val="008A080C"/>
    <w:rsid w:val="008A5871"/>
    <w:rsid w:val="008B05FD"/>
    <w:rsid w:val="008B605E"/>
    <w:rsid w:val="00904AED"/>
    <w:rsid w:val="00913226"/>
    <w:rsid w:val="00A9601B"/>
    <w:rsid w:val="00AD71BA"/>
    <w:rsid w:val="00AF272D"/>
    <w:rsid w:val="00B129D2"/>
    <w:rsid w:val="00B21B85"/>
    <w:rsid w:val="00B606C4"/>
    <w:rsid w:val="00B62050"/>
    <w:rsid w:val="00CD3F0F"/>
    <w:rsid w:val="00CF2768"/>
    <w:rsid w:val="00D30DD9"/>
    <w:rsid w:val="00D80587"/>
    <w:rsid w:val="00DC6750"/>
    <w:rsid w:val="00E31BA9"/>
    <w:rsid w:val="00EC6523"/>
    <w:rsid w:val="00EF1C4C"/>
    <w:rsid w:val="00F01C0C"/>
    <w:rsid w:val="00F736AB"/>
    <w:rsid w:val="00F82301"/>
    <w:rsid w:val="00FC192B"/>
    <w:rsid w:val="00FE2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09CA0"/>
  <w15:chartTrackingRefBased/>
  <w15:docId w15:val="{3F9F58A2-F844-4192-8910-9781F06BD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E21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30D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0DD9"/>
    <w:rPr>
      <w:sz w:val="20"/>
      <w:szCs w:val="20"/>
    </w:rPr>
  </w:style>
  <w:style w:type="character" w:styleId="FootnoteReference">
    <w:name w:val="footnote reference"/>
    <w:basedOn w:val="DefaultParagraphFont"/>
    <w:uiPriority w:val="99"/>
    <w:semiHidden/>
    <w:unhideWhenUsed/>
    <w:rsid w:val="00D30DD9"/>
    <w:rPr>
      <w:vertAlign w:val="superscript"/>
    </w:rPr>
  </w:style>
  <w:style w:type="character" w:customStyle="1" w:styleId="Heading1Char">
    <w:name w:val="Heading 1 Char"/>
    <w:basedOn w:val="DefaultParagraphFont"/>
    <w:link w:val="Heading1"/>
    <w:uiPriority w:val="9"/>
    <w:rsid w:val="00D30DD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30DD9"/>
    <w:rPr>
      <w:color w:val="0563C1" w:themeColor="hyperlink"/>
      <w:u w:val="single"/>
    </w:rPr>
  </w:style>
  <w:style w:type="character" w:styleId="UnresolvedMention">
    <w:name w:val="Unresolved Mention"/>
    <w:basedOn w:val="DefaultParagraphFont"/>
    <w:uiPriority w:val="99"/>
    <w:semiHidden/>
    <w:unhideWhenUsed/>
    <w:rsid w:val="00D30DD9"/>
    <w:rPr>
      <w:color w:val="808080"/>
      <w:shd w:val="clear" w:color="auto" w:fill="E6E6E6"/>
    </w:rPr>
  </w:style>
  <w:style w:type="character" w:customStyle="1" w:styleId="Heading3Char">
    <w:name w:val="Heading 3 Char"/>
    <w:basedOn w:val="DefaultParagraphFont"/>
    <w:link w:val="Heading3"/>
    <w:uiPriority w:val="9"/>
    <w:semiHidden/>
    <w:rsid w:val="00FE2137"/>
    <w:rPr>
      <w:rFonts w:asciiTheme="majorHAnsi" w:eastAsiaTheme="majorEastAsia" w:hAnsiTheme="majorHAnsi" w:cstheme="majorBidi"/>
      <w:color w:val="1F3763" w:themeColor="accent1" w:themeShade="7F"/>
      <w:sz w:val="24"/>
      <w:szCs w:val="24"/>
    </w:rPr>
  </w:style>
  <w:style w:type="paragraph" w:styleId="NormalWeb">
    <w:name w:val="Normal (Web)"/>
    <w:basedOn w:val="Normal"/>
    <w:rsid w:val="00FE2137"/>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9924601">
      <w:bodyDiv w:val="1"/>
      <w:marLeft w:val="0"/>
      <w:marRight w:val="0"/>
      <w:marTop w:val="0"/>
      <w:marBottom w:val="0"/>
      <w:divBdr>
        <w:top w:val="none" w:sz="0" w:space="0" w:color="auto"/>
        <w:left w:val="none" w:sz="0" w:space="0" w:color="auto"/>
        <w:bottom w:val="none" w:sz="0" w:space="0" w:color="auto"/>
        <w:right w:val="none" w:sz="0" w:space="0" w:color="auto"/>
      </w:divBdr>
      <w:divsChild>
        <w:div w:id="1101342774">
          <w:marLeft w:val="0"/>
          <w:marRight w:val="0"/>
          <w:marTop w:val="0"/>
          <w:marBottom w:val="0"/>
          <w:divBdr>
            <w:top w:val="none" w:sz="0" w:space="0" w:color="auto"/>
            <w:left w:val="none" w:sz="0" w:space="0" w:color="auto"/>
            <w:bottom w:val="none" w:sz="0" w:space="0" w:color="auto"/>
            <w:right w:val="none" w:sz="0" w:space="0" w:color="auto"/>
          </w:divBdr>
          <w:divsChild>
            <w:div w:id="1950158928">
              <w:marLeft w:val="0"/>
              <w:marRight w:val="0"/>
              <w:marTop w:val="0"/>
              <w:marBottom w:val="0"/>
              <w:divBdr>
                <w:top w:val="none" w:sz="0" w:space="0" w:color="auto"/>
                <w:left w:val="none" w:sz="0" w:space="0" w:color="auto"/>
                <w:bottom w:val="none" w:sz="0" w:space="0" w:color="auto"/>
                <w:right w:val="none" w:sz="0" w:space="0" w:color="auto"/>
              </w:divBdr>
              <w:divsChild>
                <w:div w:id="1875730600">
                  <w:marLeft w:val="0"/>
                  <w:marRight w:val="0"/>
                  <w:marTop w:val="0"/>
                  <w:marBottom w:val="180"/>
                  <w:divBdr>
                    <w:top w:val="none" w:sz="0" w:space="0" w:color="auto"/>
                    <w:left w:val="none" w:sz="0" w:space="0" w:color="auto"/>
                    <w:bottom w:val="none" w:sz="0" w:space="0" w:color="auto"/>
                    <w:right w:val="none" w:sz="0" w:space="0" w:color="auto"/>
                  </w:divBdr>
                  <w:divsChild>
                    <w:div w:id="1671443317">
                      <w:marLeft w:val="0"/>
                      <w:marRight w:val="0"/>
                      <w:marTop w:val="0"/>
                      <w:marBottom w:val="0"/>
                      <w:divBdr>
                        <w:top w:val="none" w:sz="0" w:space="0" w:color="auto"/>
                        <w:left w:val="none" w:sz="0" w:space="0" w:color="auto"/>
                        <w:bottom w:val="none" w:sz="0" w:space="0" w:color="auto"/>
                        <w:right w:val="none" w:sz="0" w:space="0" w:color="auto"/>
                      </w:divBdr>
                    </w:div>
                    <w:div w:id="615871953">
                      <w:marLeft w:val="0"/>
                      <w:marRight w:val="0"/>
                      <w:marTop w:val="0"/>
                      <w:marBottom w:val="0"/>
                      <w:divBdr>
                        <w:top w:val="none" w:sz="0" w:space="0" w:color="auto"/>
                        <w:left w:val="none" w:sz="0" w:space="0" w:color="auto"/>
                        <w:bottom w:val="none" w:sz="0" w:space="0" w:color="auto"/>
                        <w:right w:val="none" w:sz="0" w:space="0" w:color="auto"/>
                      </w:divBdr>
                    </w:div>
                  </w:divsChild>
                </w:div>
                <w:div w:id="1990011924">
                  <w:marLeft w:val="0"/>
                  <w:marRight w:val="0"/>
                  <w:marTop w:val="0"/>
                  <w:marBottom w:val="0"/>
                  <w:divBdr>
                    <w:top w:val="none" w:sz="0" w:space="0" w:color="auto"/>
                    <w:left w:val="none" w:sz="0" w:space="0" w:color="auto"/>
                    <w:bottom w:val="none" w:sz="0" w:space="0" w:color="auto"/>
                    <w:right w:val="none" w:sz="0" w:space="0" w:color="auto"/>
                  </w:divBdr>
                  <w:divsChild>
                    <w:div w:id="296641975">
                      <w:marLeft w:val="0"/>
                      <w:marRight w:val="0"/>
                      <w:marTop w:val="0"/>
                      <w:marBottom w:val="0"/>
                      <w:divBdr>
                        <w:top w:val="none" w:sz="0" w:space="0" w:color="auto"/>
                        <w:left w:val="none" w:sz="0" w:space="0" w:color="auto"/>
                        <w:bottom w:val="none" w:sz="0" w:space="0" w:color="auto"/>
                        <w:right w:val="none" w:sz="0" w:space="0" w:color="auto"/>
                      </w:divBdr>
                    </w:div>
                    <w:div w:id="582108728">
                      <w:marLeft w:val="0"/>
                      <w:marRight w:val="0"/>
                      <w:marTop w:val="0"/>
                      <w:marBottom w:val="0"/>
                      <w:divBdr>
                        <w:top w:val="none" w:sz="0" w:space="0" w:color="auto"/>
                        <w:left w:val="none" w:sz="0" w:space="0" w:color="auto"/>
                        <w:bottom w:val="none" w:sz="0" w:space="0" w:color="auto"/>
                        <w:right w:val="none" w:sz="0" w:space="0" w:color="auto"/>
                      </w:divBdr>
                      <w:divsChild>
                        <w:div w:id="940063641">
                          <w:marLeft w:val="0"/>
                          <w:marRight w:val="0"/>
                          <w:marTop w:val="0"/>
                          <w:marBottom w:val="0"/>
                          <w:divBdr>
                            <w:top w:val="none" w:sz="0" w:space="0" w:color="auto"/>
                            <w:left w:val="none" w:sz="0" w:space="0" w:color="auto"/>
                            <w:bottom w:val="none" w:sz="0" w:space="0" w:color="auto"/>
                            <w:right w:val="none" w:sz="0" w:space="0" w:color="auto"/>
                          </w:divBdr>
                          <w:divsChild>
                            <w:div w:id="228155173">
                              <w:marLeft w:val="0"/>
                              <w:marRight w:val="0"/>
                              <w:marTop w:val="0"/>
                              <w:marBottom w:val="0"/>
                              <w:divBdr>
                                <w:top w:val="none" w:sz="0" w:space="0" w:color="auto"/>
                                <w:left w:val="none" w:sz="0" w:space="0" w:color="auto"/>
                                <w:bottom w:val="none" w:sz="0" w:space="0" w:color="auto"/>
                                <w:right w:val="none" w:sz="0" w:space="0" w:color="auto"/>
                              </w:divBdr>
                            </w:div>
                          </w:divsChild>
                        </w:div>
                        <w:div w:id="124958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66869">
                  <w:marLeft w:val="0"/>
                  <w:marRight w:val="0"/>
                  <w:marTop w:val="0"/>
                  <w:marBottom w:val="0"/>
                  <w:divBdr>
                    <w:top w:val="none" w:sz="0" w:space="0" w:color="auto"/>
                    <w:left w:val="none" w:sz="0" w:space="0" w:color="auto"/>
                    <w:bottom w:val="none" w:sz="0" w:space="0" w:color="auto"/>
                    <w:right w:val="none" w:sz="0" w:space="0" w:color="auto"/>
                  </w:divBdr>
                  <w:divsChild>
                    <w:div w:id="51319221">
                      <w:marLeft w:val="0"/>
                      <w:marRight w:val="0"/>
                      <w:marTop w:val="0"/>
                      <w:marBottom w:val="0"/>
                      <w:divBdr>
                        <w:top w:val="none" w:sz="0" w:space="0" w:color="auto"/>
                        <w:left w:val="none" w:sz="0" w:space="0" w:color="auto"/>
                        <w:bottom w:val="none" w:sz="0" w:space="0" w:color="auto"/>
                        <w:right w:val="none" w:sz="0" w:space="0" w:color="auto"/>
                      </w:divBdr>
                    </w:div>
                    <w:div w:id="767774776">
                      <w:marLeft w:val="0"/>
                      <w:marRight w:val="0"/>
                      <w:marTop w:val="0"/>
                      <w:marBottom w:val="0"/>
                      <w:divBdr>
                        <w:top w:val="none" w:sz="0" w:space="0" w:color="auto"/>
                        <w:left w:val="none" w:sz="0" w:space="0" w:color="auto"/>
                        <w:bottom w:val="none" w:sz="0" w:space="0" w:color="auto"/>
                        <w:right w:val="none" w:sz="0" w:space="0" w:color="auto"/>
                      </w:divBdr>
                      <w:divsChild>
                        <w:div w:id="1759476768">
                          <w:marLeft w:val="0"/>
                          <w:marRight w:val="0"/>
                          <w:marTop w:val="0"/>
                          <w:marBottom w:val="0"/>
                          <w:divBdr>
                            <w:top w:val="none" w:sz="0" w:space="0" w:color="auto"/>
                            <w:left w:val="none" w:sz="0" w:space="0" w:color="auto"/>
                            <w:bottom w:val="none" w:sz="0" w:space="0" w:color="auto"/>
                            <w:right w:val="none" w:sz="0" w:space="0" w:color="auto"/>
                          </w:divBdr>
                          <w:divsChild>
                            <w:div w:id="1338734306">
                              <w:marLeft w:val="0"/>
                              <w:marRight w:val="0"/>
                              <w:marTop w:val="0"/>
                              <w:marBottom w:val="0"/>
                              <w:divBdr>
                                <w:top w:val="none" w:sz="0" w:space="0" w:color="auto"/>
                                <w:left w:val="none" w:sz="0" w:space="0" w:color="auto"/>
                                <w:bottom w:val="none" w:sz="0" w:space="0" w:color="auto"/>
                                <w:right w:val="none" w:sz="0" w:space="0" w:color="auto"/>
                              </w:divBdr>
                            </w:div>
                          </w:divsChild>
                        </w:div>
                        <w:div w:id="97537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088181">
                  <w:marLeft w:val="0"/>
                  <w:marRight w:val="0"/>
                  <w:marTop w:val="0"/>
                  <w:marBottom w:val="0"/>
                  <w:divBdr>
                    <w:top w:val="none" w:sz="0" w:space="0" w:color="auto"/>
                    <w:left w:val="none" w:sz="0" w:space="0" w:color="auto"/>
                    <w:bottom w:val="none" w:sz="0" w:space="0" w:color="auto"/>
                    <w:right w:val="none" w:sz="0" w:space="0" w:color="auto"/>
                  </w:divBdr>
                  <w:divsChild>
                    <w:div w:id="1097558841">
                      <w:marLeft w:val="0"/>
                      <w:marRight w:val="0"/>
                      <w:marTop w:val="0"/>
                      <w:marBottom w:val="0"/>
                      <w:divBdr>
                        <w:top w:val="none" w:sz="0" w:space="0" w:color="auto"/>
                        <w:left w:val="none" w:sz="0" w:space="0" w:color="auto"/>
                        <w:bottom w:val="none" w:sz="0" w:space="0" w:color="auto"/>
                        <w:right w:val="none" w:sz="0" w:space="0" w:color="auto"/>
                      </w:divBdr>
                    </w:div>
                    <w:div w:id="1757675542">
                      <w:marLeft w:val="0"/>
                      <w:marRight w:val="0"/>
                      <w:marTop w:val="0"/>
                      <w:marBottom w:val="0"/>
                      <w:divBdr>
                        <w:top w:val="none" w:sz="0" w:space="0" w:color="auto"/>
                        <w:left w:val="none" w:sz="0" w:space="0" w:color="auto"/>
                        <w:bottom w:val="none" w:sz="0" w:space="0" w:color="auto"/>
                        <w:right w:val="none" w:sz="0" w:space="0" w:color="auto"/>
                      </w:divBdr>
                      <w:divsChild>
                        <w:div w:id="210968856">
                          <w:marLeft w:val="0"/>
                          <w:marRight w:val="0"/>
                          <w:marTop w:val="0"/>
                          <w:marBottom w:val="0"/>
                          <w:divBdr>
                            <w:top w:val="none" w:sz="0" w:space="0" w:color="auto"/>
                            <w:left w:val="none" w:sz="0" w:space="0" w:color="auto"/>
                            <w:bottom w:val="none" w:sz="0" w:space="0" w:color="auto"/>
                            <w:right w:val="none" w:sz="0" w:space="0" w:color="auto"/>
                          </w:divBdr>
                          <w:divsChild>
                            <w:div w:id="519860075">
                              <w:marLeft w:val="0"/>
                              <w:marRight w:val="0"/>
                              <w:marTop w:val="0"/>
                              <w:marBottom w:val="0"/>
                              <w:divBdr>
                                <w:top w:val="none" w:sz="0" w:space="0" w:color="auto"/>
                                <w:left w:val="none" w:sz="0" w:space="0" w:color="auto"/>
                                <w:bottom w:val="none" w:sz="0" w:space="0" w:color="auto"/>
                                <w:right w:val="none" w:sz="0" w:space="0" w:color="auto"/>
                              </w:divBdr>
                            </w:div>
                          </w:divsChild>
                        </w:div>
                        <w:div w:id="30581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86204">
                  <w:marLeft w:val="0"/>
                  <w:marRight w:val="0"/>
                  <w:marTop w:val="0"/>
                  <w:marBottom w:val="0"/>
                  <w:divBdr>
                    <w:top w:val="none" w:sz="0" w:space="0" w:color="auto"/>
                    <w:left w:val="none" w:sz="0" w:space="0" w:color="auto"/>
                    <w:bottom w:val="none" w:sz="0" w:space="0" w:color="auto"/>
                    <w:right w:val="none" w:sz="0" w:space="0" w:color="auto"/>
                  </w:divBdr>
                  <w:divsChild>
                    <w:div w:id="406004902">
                      <w:marLeft w:val="0"/>
                      <w:marRight w:val="0"/>
                      <w:marTop w:val="0"/>
                      <w:marBottom w:val="0"/>
                      <w:divBdr>
                        <w:top w:val="none" w:sz="0" w:space="0" w:color="auto"/>
                        <w:left w:val="none" w:sz="0" w:space="0" w:color="auto"/>
                        <w:bottom w:val="none" w:sz="0" w:space="0" w:color="auto"/>
                        <w:right w:val="none" w:sz="0" w:space="0" w:color="auto"/>
                      </w:divBdr>
                    </w:div>
                    <w:div w:id="254169828">
                      <w:marLeft w:val="0"/>
                      <w:marRight w:val="0"/>
                      <w:marTop w:val="0"/>
                      <w:marBottom w:val="0"/>
                      <w:divBdr>
                        <w:top w:val="none" w:sz="0" w:space="0" w:color="auto"/>
                        <w:left w:val="none" w:sz="0" w:space="0" w:color="auto"/>
                        <w:bottom w:val="none" w:sz="0" w:space="0" w:color="auto"/>
                        <w:right w:val="none" w:sz="0" w:space="0" w:color="auto"/>
                      </w:divBdr>
                      <w:divsChild>
                        <w:div w:id="1995723560">
                          <w:marLeft w:val="0"/>
                          <w:marRight w:val="0"/>
                          <w:marTop w:val="0"/>
                          <w:marBottom w:val="0"/>
                          <w:divBdr>
                            <w:top w:val="none" w:sz="0" w:space="0" w:color="auto"/>
                            <w:left w:val="none" w:sz="0" w:space="0" w:color="auto"/>
                            <w:bottom w:val="none" w:sz="0" w:space="0" w:color="auto"/>
                            <w:right w:val="none" w:sz="0" w:space="0" w:color="auto"/>
                          </w:divBdr>
                          <w:divsChild>
                            <w:div w:id="1914317890">
                              <w:marLeft w:val="0"/>
                              <w:marRight w:val="0"/>
                              <w:marTop w:val="0"/>
                              <w:marBottom w:val="0"/>
                              <w:divBdr>
                                <w:top w:val="none" w:sz="0" w:space="0" w:color="auto"/>
                                <w:left w:val="none" w:sz="0" w:space="0" w:color="auto"/>
                                <w:bottom w:val="none" w:sz="0" w:space="0" w:color="auto"/>
                                <w:right w:val="none" w:sz="0" w:space="0" w:color="auto"/>
                              </w:divBdr>
                            </w:div>
                          </w:divsChild>
                        </w:div>
                        <w:div w:id="48078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237935">
                  <w:marLeft w:val="0"/>
                  <w:marRight w:val="0"/>
                  <w:marTop w:val="0"/>
                  <w:marBottom w:val="0"/>
                  <w:divBdr>
                    <w:top w:val="none" w:sz="0" w:space="0" w:color="auto"/>
                    <w:left w:val="none" w:sz="0" w:space="0" w:color="auto"/>
                    <w:bottom w:val="none" w:sz="0" w:space="0" w:color="auto"/>
                    <w:right w:val="none" w:sz="0" w:space="0" w:color="auto"/>
                  </w:divBdr>
                  <w:divsChild>
                    <w:div w:id="345180377">
                      <w:marLeft w:val="0"/>
                      <w:marRight w:val="0"/>
                      <w:marTop w:val="0"/>
                      <w:marBottom w:val="0"/>
                      <w:divBdr>
                        <w:top w:val="none" w:sz="0" w:space="0" w:color="auto"/>
                        <w:left w:val="none" w:sz="0" w:space="0" w:color="auto"/>
                        <w:bottom w:val="none" w:sz="0" w:space="0" w:color="auto"/>
                        <w:right w:val="none" w:sz="0" w:space="0" w:color="auto"/>
                      </w:divBdr>
                    </w:div>
                    <w:div w:id="1174031829">
                      <w:marLeft w:val="0"/>
                      <w:marRight w:val="0"/>
                      <w:marTop w:val="0"/>
                      <w:marBottom w:val="0"/>
                      <w:divBdr>
                        <w:top w:val="none" w:sz="0" w:space="0" w:color="auto"/>
                        <w:left w:val="none" w:sz="0" w:space="0" w:color="auto"/>
                        <w:bottom w:val="none" w:sz="0" w:space="0" w:color="auto"/>
                        <w:right w:val="none" w:sz="0" w:space="0" w:color="auto"/>
                      </w:divBdr>
                      <w:divsChild>
                        <w:div w:id="875848352">
                          <w:marLeft w:val="0"/>
                          <w:marRight w:val="0"/>
                          <w:marTop w:val="0"/>
                          <w:marBottom w:val="0"/>
                          <w:divBdr>
                            <w:top w:val="none" w:sz="0" w:space="0" w:color="auto"/>
                            <w:left w:val="none" w:sz="0" w:space="0" w:color="auto"/>
                            <w:bottom w:val="none" w:sz="0" w:space="0" w:color="auto"/>
                            <w:right w:val="none" w:sz="0" w:space="0" w:color="auto"/>
                          </w:divBdr>
                          <w:divsChild>
                            <w:div w:id="1669284343">
                              <w:marLeft w:val="0"/>
                              <w:marRight w:val="0"/>
                              <w:marTop w:val="0"/>
                              <w:marBottom w:val="0"/>
                              <w:divBdr>
                                <w:top w:val="none" w:sz="0" w:space="0" w:color="auto"/>
                                <w:left w:val="none" w:sz="0" w:space="0" w:color="auto"/>
                                <w:bottom w:val="none" w:sz="0" w:space="0" w:color="auto"/>
                                <w:right w:val="none" w:sz="0" w:space="0" w:color="auto"/>
                              </w:divBdr>
                            </w:div>
                          </w:divsChild>
                        </w:div>
                        <w:div w:id="734624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936485">
                  <w:marLeft w:val="0"/>
                  <w:marRight w:val="0"/>
                  <w:marTop w:val="0"/>
                  <w:marBottom w:val="0"/>
                  <w:divBdr>
                    <w:top w:val="none" w:sz="0" w:space="0" w:color="auto"/>
                    <w:left w:val="none" w:sz="0" w:space="0" w:color="auto"/>
                    <w:bottom w:val="none" w:sz="0" w:space="0" w:color="auto"/>
                    <w:right w:val="none" w:sz="0" w:space="0" w:color="auto"/>
                  </w:divBdr>
                  <w:divsChild>
                    <w:div w:id="10108708">
                      <w:marLeft w:val="0"/>
                      <w:marRight w:val="0"/>
                      <w:marTop w:val="0"/>
                      <w:marBottom w:val="0"/>
                      <w:divBdr>
                        <w:top w:val="none" w:sz="0" w:space="0" w:color="auto"/>
                        <w:left w:val="none" w:sz="0" w:space="0" w:color="auto"/>
                        <w:bottom w:val="none" w:sz="0" w:space="0" w:color="auto"/>
                        <w:right w:val="none" w:sz="0" w:space="0" w:color="auto"/>
                      </w:divBdr>
                    </w:div>
                    <w:div w:id="1590457214">
                      <w:marLeft w:val="0"/>
                      <w:marRight w:val="0"/>
                      <w:marTop w:val="0"/>
                      <w:marBottom w:val="0"/>
                      <w:divBdr>
                        <w:top w:val="none" w:sz="0" w:space="0" w:color="auto"/>
                        <w:left w:val="none" w:sz="0" w:space="0" w:color="auto"/>
                        <w:bottom w:val="none" w:sz="0" w:space="0" w:color="auto"/>
                        <w:right w:val="none" w:sz="0" w:space="0" w:color="auto"/>
                      </w:divBdr>
                      <w:divsChild>
                        <w:div w:id="326372368">
                          <w:marLeft w:val="0"/>
                          <w:marRight w:val="0"/>
                          <w:marTop w:val="0"/>
                          <w:marBottom w:val="0"/>
                          <w:divBdr>
                            <w:top w:val="none" w:sz="0" w:space="0" w:color="auto"/>
                            <w:left w:val="none" w:sz="0" w:space="0" w:color="auto"/>
                            <w:bottom w:val="none" w:sz="0" w:space="0" w:color="auto"/>
                            <w:right w:val="none" w:sz="0" w:space="0" w:color="auto"/>
                          </w:divBdr>
                          <w:divsChild>
                            <w:div w:id="175000712">
                              <w:marLeft w:val="0"/>
                              <w:marRight w:val="0"/>
                              <w:marTop w:val="0"/>
                              <w:marBottom w:val="0"/>
                              <w:divBdr>
                                <w:top w:val="none" w:sz="0" w:space="0" w:color="auto"/>
                                <w:left w:val="none" w:sz="0" w:space="0" w:color="auto"/>
                                <w:bottom w:val="none" w:sz="0" w:space="0" w:color="auto"/>
                                <w:right w:val="none" w:sz="0" w:space="0" w:color="auto"/>
                              </w:divBdr>
                            </w:div>
                          </w:divsChild>
                        </w:div>
                        <w:div w:id="39525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169843">
                  <w:marLeft w:val="0"/>
                  <w:marRight w:val="0"/>
                  <w:marTop w:val="0"/>
                  <w:marBottom w:val="0"/>
                  <w:divBdr>
                    <w:top w:val="none" w:sz="0" w:space="0" w:color="auto"/>
                    <w:left w:val="none" w:sz="0" w:space="0" w:color="auto"/>
                    <w:bottom w:val="none" w:sz="0" w:space="0" w:color="auto"/>
                    <w:right w:val="none" w:sz="0" w:space="0" w:color="auto"/>
                  </w:divBdr>
                  <w:divsChild>
                    <w:div w:id="2082631452">
                      <w:marLeft w:val="0"/>
                      <w:marRight w:val="0"/>
                      <w:marTop w:val="0"/>
                      <w:marBottom w:val="0"/>
                      <w:divBdr>
                        <w:top w:val="none" w:sz="0" w:space="0" w:color="auto"/>
                        <w:left w:val="none" w:sz="0" w:space="0" w:color="auto"/>
                        <w:bottom w:val="none" w:sz="0" w:space="0" w:color="auto"/>
                        <w:right w:val="none" w:sz="0" w:space="0" w:color="auto"/>
                      </w:divBdr>
                    </w:div>
                    <w:div w:id="2050520709">
                      <w:marLeft w:val="0"/>
                      <w:marRight w:val="0"/>
                      <w:marTop w:val="0"/>
                      <w:marBottom w:val="0"/>
                      <w:divBdr>
                        <w:top w:val="none" w:sz="0" w:space="0" w:color="auto"/>
                        <w:left w:val="none" w:sz="0" w:space="0" w:color="auto"/>
                        <w:bottom w:val="none" w:sz="0" w:space="0" w:color="auto"/>
                        <w:right w:val="none" w:sz="0" w:space="0" w:color="auto"/>
                      </w:divBdr>
                      <w:divsChild>
                        <w:div w:id="500390630">
                          <w:marLeft w:val="0"/>
                          <w:marRight w:val="0"/>
                          <w:marTop w:val="0"/>
                          <w:marBottom w:val="0"/>
                          <w:divBdr>
                            <w:top w:val="none" w:sz="0" w:space="0" w:color="auto"/>
                            <w:left w:val="none" w:sz="0" w:space="0" w:color="auto"/>
                            <w:bottom w:val="none" w:sz="0" w:space="0" w:color="auto"/>
                            <w:right w:val="none" w:sz="0" w:space="0" w:color="auto"/>
                          </w:divBdr>
                          <w:divsChild>
                            <w:div w:id="1820726367">
                              <w:marLeft w:val="0"/>
                              <w:marRight w:val="0"/>
                              <w:marTop w:val="0"/>
                              <w:marBottom w:val="0"/>
                              <w:divBdr>
                                <w:top w:val="none" w:sz="0" w:space="0" w:color="auto"/>
                                <w:left w:val="none" w:sz="0" w:space="0" w:color="auto"/>
                                <w:bottom w:val="none" w:sz="0" w:space="0" w:color="auto"/>
                                <w:right w:val="none" w:sz="0" w:space="0" w:color="auto"/>
                              </w:divBdr>
                            </w:div>
                          </w:divsChild>
                        </w:div>
                        <w:div w:id="173022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63307">
                  <w:marLeft w:val="0"/>
                  <w:marRight w:val="0"/>
                  <w:marTop w:val="0"/>
                  <w:marBottom w:val="0"/>
                  <w:divBdr>
                    <w:top w:val="none" w:sz="0" w:space="0" w:color="auto"/>
                    <w:left w:val="none" w:sz="0" w:space="0" w:color="auto"/>
                    <w:bottom w:val="none" w:sz="0" w:space="0" w:color="auto"/>
                    <w:right w:val="none" w:sz="0" w:space="0" w:color="auto"/>
                  </w:divBdr>
                  <w:divsChild>
                    <w:div w:id="569774912">
                      <w:marLeft w:val="0"/>
                      <w:marRight w:val="0"/>
                      <w:marTop w:val="0"/>
                      <w:marBottom w:val="0"/>
                      <w:divBdr>
                        <w:top w:val="none" w:sz="0" w:space="0" w:color="auto"/>
                        <w:left w:val="none" w:sz="0" w:space="0" w:color="auto"/>
                        <w:bottom w:val="none" w:sz="0" w:space="0" w:color="auto"/>
                        <w:right w:val="none" w:sz="0" w:space="0" w:color="auto"/>
                      </w:divBdr>
                    </w:div>
                    <w:div w:id="704525413">
                      <w:marLeft w:val="0"/>
                      <w:marRight w:val="0"/>
                      <w:marTop w:val="0"/>
                      <w:marBottom w:val="0"/>
                      <w:divBdr>
                        <w:top w:val="none" w:sz="0" w:space="0" w:color="auto"/>
                        <w:left w:val="none" w:sz="0" w:space="0" w:color="auto"/>
                        <w:bottom w:val="none" w:sz="0" w:space="0" w:color="auto"/>
                        <w:right w:val="none" w:sz="0" w:space="0" w:color="auto"/>
                      </w:divBdr>
                      <w:divsChild>
                        <w:div w:id="77404920">
                          <w:marLeft w:val="0"/>
                          <w:marRight w:val="0"/>
                          <w:marTop w:val="0"/>
                          <w:marBottom w:val="0"/>
                          <w:divBdr>
                            <w:top w:val="none" w:sz="0" w:space="0" w:color="auto"/>
                            <w:left w:val="none" w:sz="0" w:space="0" w:color="auto"/>
                            <w:bottom w:val="none" w:sz="0" w:space="0" w:color="auto"/>
                            <w:right w:val="none" w:sz="0" w:space="0" w:color="auto"/>
                          </w:divBdr>
                          <w:divsChild>
                            <w:div w:id="103040418">
                              <w:marLeft w:val="0"/>
                              <w:marRight w:val="0"/>
                              <w:marTop w:val="0"/>
                              <w:marBottom w:val="0"/>
                              <w:divBdr>
                                <w:top w:val="none" w:sz="0" w:space="0" w:color="auto"/>
                                <w:left w:val="none" w:sz="0" w:space="0" w:color="auto"/>
                                <w:bottom w:val="none" w:sz="0" w:space="0" w:color="auto"/>
                                <w:right w:val="none" w:sz="0" w:space="0" w:color="auto"/>
                              </w:divBdr>
                            </w:div>
                          </w:divsChild>
                        </w:div>
                        <w:div w:id="52016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627159">
                  <w:marLeft w:val="0"/>
                  <w:marRight w:val="0"/>
                  <w:marTop w:val="0"/>
                  <w:marBottom w:val="0"/>
                  <w:divBdr>
                    <w:top w:val="none" w:sz="0" w:space="0" w:color="auto"/>
                    <w:left w:val="none" w:sz="0" w:space="0" w:color="auto"/>
                    <w:bottom w:val="none" w:sz="0" w:space="0" w:color="auto"/>
                    <w:right w:val="none" w:sz="0" w:space="0" w:color="auto"/>
                  </w:divBdr>
                  <w:divsChild>
                    <w:div w:id="889078026">
                      <w:marLeft w:val="0"/>
                      <w:marRight w:val="0"/>
                      <w:marTop w:val="0"/>
                      <w:marBottom w:val="0"/>
                      <w:divBdr>
                        <w:top w:val="none" w:sz="0" w:space="0" w:color="auto"/>
                        <w:left w:val="none" w:sz="0" w:space="0" w:color="auto"/>
                        <w:bottom w:val="none" w:sz="0" w:space="0" w:color="auto"/>
                        <w:right w:val="none" w:sz="0" w:space="0" w:color="auto"/>
                      </w:divBdr>
                    </w:div>
                    <w:div w:id="557785592">
                      <w:marLeft w:val="0"/>
                      <w:marRight w:val="0"/>
                      <w:marTop w:val="0"/>
                      <w:marBottom w:val="0"/>
                      <w:divBdr>
                        <w:top w:val="none" w:sz="0" w:space="0" w:color="auto"/>
                        <w:left w:val="none" w:sz="0" w:space="0" w:color="auto"/>
                        <w:bottom w:val="none" w:sz="0" w:space="0" w:color="auto"/>
                        <w:right w:val="none" w:sz="0" w:space="0" w:color="auto"/>
                      </w:divBdr>
                      <w:divsChild>
                        <w:div w:id="936597986">
                          <w:marLeft w:val="0"/>
                          <w:marRight w:val="0"/>
                          <w:marTop w:val="0"/>
                          <w:marBottom w:val="0"/>
                          <w:divBdr>
                            <w:top w:val="none" w:sz="0" w:space="0" w:color="auto"/>
                            <w:left w:val="none" w:sz="0" w:space="0" w:color="auto"/>
                            <w:bottom w:val="none" w:sz="0" w:space="0" w:color="auto"/>
                            <w:right w:val="none" w:sz="0" w:space="0" w:color="auto"/>
                          </w:divBdr>
                          <w:divsChild>
                            <w:div w:id="1830438741">
                              <w:marLeft w:val="0"/>
                              <w:marRight w:val="0"/>
                              <w:marTop w:val="0"/>
                              <w:marBottom w:val="0"/>
                              <w:divBdr>
                                <w:top w:val="none" w:sz="0" w:space="0" w:color="auto"/>
                                <w:left w:val="none" w:sz="0" w:space="0" w:color="auto"/>
                                <w:bottom w:val="none" w:sz="0" w:space="0" w:color="auto"/>
                                <w:right w:val="none" w:sz="0" w:space="0" w:color="auto"/>
                              </w:divBdr>
                            </w:div>
                          </w:divsChild>
                        </w:div>
                        <w:div w:id="99853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39831">
                  <w:marLeft w:val="0"/>
                  <w:marRight w:val="0"/>
                  <w:marTop w:val="0"/>
                  <w:marBottom w:val="0"/>
                  <w:divBdr>
                    <w:top w:val="none" w:sz="0" w:space="0" w:color="auto"/>
                    <w:left w:val="none" w:sz="0" w:space="0" w:color="auto"/>
                    <w:bottom w:val="none" w:sz="0" w:space="0" w:color="auto"/>
                    <w:right w:val="none" w:sz="0" w:space="0" w:color="auto"/>
                  </w:divBdr>
                  <w:divsChild>
                    <w:div w:id="319432621">
                      <w:marLeft w:val="0"/>
                      <w:marRight w:val="0"/>
                      <w:marTop w:val="0"/>
                      <w:marBottom w:val="0"/>
                      <w:divBdr>
                        <w:top w:val="none" w:sz="0" w:space="0" w:color="auto"/>
                        <w:left w:val="none" w:sz="0" w:space="0" w:color="auto"/>
                        <w:bottom w:val="none" w:sz="0" w:space="0" w:color="auto"/>
                        <w:right w:val="none" w:sz="0" w:space="0" w:color="auto"/>
                      </w:divBdr>
                    </w:div>
                    <w:div w:id="582954957">
                      <w:marLeft w:val="0"/>
                      <w:marRight w:val="0"/>
                      <w:marTop w:val="0"/>
                      <w:marBottom w:val="0"/>
                      <w:divBdr>
                        <w:top w:val="none" w:sz="0" w:space="0" w:color="auto"/>
                        <w:left w:val="none" w:sz="0" w:space="0" w:color="auto"/>
                        <w:bottom w:val="none" w:sz="0" w:space="0" w:color="auto"/>
                        <w:right w:val="none" w:sz="0" w:space="0" w:color="auto"/>
                      </w:divBdr>
                      <w:divsChild>
                        <w:div w:id="333803932">
                          <w:marLeft w:val="0"/>
                          <w:marRight w:val="0"/>
                          <w:marTop w:val="0"/>
                          <w:marBottom w:val="0"/>
                          <w:divBdr>
                            <w:top w:val="none" w:sz="0" w:space="0" w:color="auto"/>
                            <w:left w:val="none" w:sz="0" w:space="0" w:color="auto"/>
                            <w:bottom w:val="none" w:sz="0" w:space="0" w:color="auto"/>
                            <w:right w:val="none" w:sz="0" w:space="0" w:color="auto"/>
                          </w:divBdr>
                          <w:divsChild>
                            <w:div w:id="903757916">
                              <w:marLeft w:val="0"/>
                              <w:marRight w:val="0"/>
                              <w:marTop w:val="0"/>
                              <w:marBottom w:val="0"/>
                              <w:divBdr>
                                <w:top w:val="none" w:sz="0" w:space="0" w:color="auto"/>
                                <w:left w:val="none" w:sz="0" w:space="0" w:color="auto"/>
                                <w:bottom w:val="none" w:sz="0" w:space="0" w:color="auto"/>
                                <w:right w:val="none" w:sz="0" w:space="0" w:color="auto"/>
                              </w:divBdr>
                            </w:div>
                          </w:divsChild>
                        </w:div>
                        <w:div w:id="19286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589451">
                  <w:marLeft w:val="0"/>
                  <w:marRight w:val="0"/>
                  <w:marTop w:val="0"/>
                  <w:marBottom w:val="0"/>
                  <w:divBdr>
                    <w:top w:val="none" w:sz="0" w:space="0" w:color="auto"/>
                    <w:left w:val="none" w:sz="0" w:space="0" w:color="auto"/>
                    <w:bottom w:val="none" w:sz="0" w:space="0" w:color="auto"/>
                    <w:right w:val="none" w:sz="0" w:space="0" w:color="auto"/>
                  </w:divBdr>
                  <w:divsChild>
                    <w:div w:id="1320235058">
                      <w:marLeft w:val="0"/>
                      <w:marRight w:val="0"/>
                      <w:marTop w:val="0"/>
                      <w:marBottom w:val="0"/>
                      <w:divBdr>
                        <w:top w:val="none" w:sz="0" w:space="0" w:color="auto"/>
                        <w:left w:val="none" w:sz="0" w:space="0" w:color="auto"/>
                        <w:bottom w:val="none" w:sz="0" w:space="0" w:color="auto"/>
                        <w:right w:val="none" w:sz="0" w:space="0" w:color="auto"/>
                      </w:divBdr>
                    </w:div>
                    <w:div w:id="1917863726">
                      <w:marLeft w:val="0"/>
                      <w:marRight w:val="0"/>
                      <w:marTop w:val="0"/>
                      <w:marBottom w:val="0"/>
                      <w:divBdr>
                        <w:top w:val="none" w:sz="0" w:space="0" w:color="auto"/>
                        <w:left w:val="none" w:sz="0" w:space="0" w:color="auto"/>
                        <w:bottom w:val="none" w:sz="0" w:space="0" w:color="auto"/>
                        <w:right w:val="none" w:sz="0" w:space="0" w:color="auto"/>
                      </w:divBdr>
                      <w:divsChild>
                        <w:div w:id="319696126">
                          <w:marLeft w:val="0"/>
                          <w:marRight w:val="0"/>
                          <w:marTop w:val="0"/>
                          <w:marBottom w:val="0"/>
                          <w:divBdr>
                            <w:top w:val="none" w:sz="0" w:space="0" w:color="auto"/>
                            <w:left w:val="none" w:sz="0" w:space="0" w:color="auto"/>
                            <w:bottom w:val="none" w:sz="0" w:space="0" w:color="auto"/>
                            <w:right w:val="none" w:sz="0" w:space="0" w:color="auto"/>
                          </w:divBdr>
                          <w:divsChild>
                            <w:div w:id="923418028">
                              <w:marLeft w:val="0"/>
                              <w:marRight w:val="0"/>
                              <w:marTop w:val="0"/>
                              <w:marBottom w:val="0"/>
                              <w:divBdr>
                                <w:top w:val="none" w:sz="0" w:space="0" w:color="auto"/>
                                <w:left w:val="none" w:sz="0" w:space="0" w:color="auto"/>
                                <w:bottom w:val="none" w:sz="0" w:space="0" w:color="auto"/>
                                <w:right w:val="none" w:sz="0" w:space="0" w:color="auto"/>
                              </w:divBdr>
                            </w:div>
                          </w:divsChild>
                        </w:div>
                        <w:div w:id="61630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867850">
                  <w:marLeft w:val="0"/>
                  <w:marRight w:val="0"/>
                  <w:marTop w:val="0"/>
                  <w:marBottom w:val="0"/>
                  <w:divBdr>
                    <w:top w:val="none" w:sz="0" w:space="0" w:color="auto"/>
                    <w:left w:val="none" w:sz="0" w:space="0" w:color="auto"/>
                    <w:bottom w:val="none" w:sz="0" w:space="0" w:color="auto"/>
                    <w:right w:val="none" w:sz="0" w:space="0" w:color="auto"/>
                  </w:divBdr>
                  <w:divsChild>
                    <w:div w:id="1512799641">
                      <w:marLeft w:val="0"/>
                      <w:marRight w:val="0"/>
                      <w:marTop w:val="0"/>
                      <w:marBottom w:val="0"/>
                      <w:divBdr>
                        <w:top w:val="none" w:sz="0" w:space="0" w:color="auto"/>
                        <w:left w:val="none" w:sz="0" w:space="0" w:color="auto"/>
                        <w:bottom w:val="none" w:sz="0" w:space="0" w:color="auto"/>
                        <w:right w:val="none" w:sz="0" w:space="0" w:color="auto"/>
                      </w:divBdr>
                    </w:div>
                    <w:div w:id="417601292">
                      <w:marLeft w:val="0"/>
                      <w:marRight w:val="0"/>
                      <w:marTop w:val="0"/>
                      <w:marBottom w:val="0"/>
                      <w:divBdr>
                        <w:top w:val="none" w:sz="0" w:space="0" w:color="auto"/>
                        <w:left w:val="none" w:sz="0" w:space="0" w:color="auto"/>
                        <w:bottom w:val="none" w:sz="0" w:space="0" w:color="auto"/>
                        <w:right w:val="none" w:sz="0" w:space="0" w:color="auto"/>
                      </w:divBdr>
                      <w:divsChild>
                        <w:div w:id="1808543119">
                          <w:marLeft w:val="0"/>
                          <w:marRight w:val="0"/>
                          <w:marTop w:val="0"/>
                          <w:marBottom w:val="0"/>
                          <w:divBdr>
                            <w:top w:val="none" w:sz="0" w:space="0" w:color="auto"/>
                            <w:left w:val="none" w:sz="0" w:space="0" w:color="auto"/>
                            <w:bottom w:val="none" w:sz="0" w:space="0" w:color="auto"/>
                            <w:right w:val="none" w:sz="0" w:space="0" w:color="auto"/>
                          </w:divBdr>
                          <w:divsChild>
                            <w:div w:id="818110573">
                              <w:marLeft w:val="0"/>
                              <w:marRight w:val="0"/>
                              <w:marTop w:val="0"/>
                              <w:marBottom w:val="0"/>
                              <w:divBdr>
                                <w:top w:val="none" w:sz="0" w:space="0" w:color="auto"/>
                                <w:left w:val="none" w:sz="0" w:space="0" w:color="auto"/>
                                <w:bottom w:val="none" w:sz="0" w:space="0" w:color="auto"/>
                                <w:right w:val="none" w:sz="0" w:space="0" w:color="auto"/>
                              </w:divBdr>
                            </w:div>
                          </w:divsChild>
                        </w:div>
                        <w:div w:id="143000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995115">
                  <w:marLeft w:val="0"/>
                  <w:marRight w:val="0"/>
                  <w:marTop w:val="0"/>
                  <w:marBottom w:val="0"/>
                  <w:divBdr>
                    <w:top w:val="none" w:sz="0" w:space="0" w:color="auto"/>
                    <w:left w:val="none" w:sz="0" w:space="0" w:color="auto"/>
                    <w:bottom w:val="none" w:sz="0" w:space="0" w:color="auto"/>
                    <w:right w:val="none" w:sz="0" w:space="0" w:color="auto"/>
                  </w:divBdr>
                  <w:divsChild>
                    <w:div w:id="204681445">
                      <w:marLeft w:val="0"/>
                      <w:marRight w:val="0"/>
                      <w:marTop w:val="0"/>
                      <w:marBottom w:val="0"/>
                      <w:divBdr>
                        <w:top w:val="none" w:sz="0" w:space="0" w:color="auto"/>
                        <w:left w:val="none" w:sz="0" w:space="0" w:color="auto"/>
                        <w:bottom w:val="none" w:sz="0" w:space="0" w:color="auto"/>
                        <w:right w:val="none" w:sz="0" w:space="0" w:color="auto"/>
                      </w:divBdr>
                    </w:div>
                    <w:div w:id="1840189406">
                      <w:marLeft w:val="0"/>
                      <w:marRight w:val="0"/>
                      <w:marTop w:val="0"/>
                      <w:marBottom w:val="0"/>
                      <w:divBdr>
                        <w:top w:val="none" w:sz="0" w:space="0" w:color="auto"/>
                        <w:left w:val="none" w:sz="0" w:space="0" w:color="auto"/>
                        <w:bottom w:val="none" w:sz="0" w:space="0" w:color="auto"/>
                        <w:right w:val="none" w:sz="0" w:space="0" w:color="auto"/>
                      </w:divBdr>
                      <w:divsChild>
                        <w:div w:id="805197368">
                          <w:marLeft w:val="0"/>
                          <w:marRight w:val="0"/>
                          <w:marTop w:val="0"/>
                          <w:marBottom w:val="0"/>
                          <w:divBdr>
                            <w:top w:val="none" w:sz="0" w:space="0" w:color="auto"/>
                            <w:left w:val="none" w:sz="0" w:space="0" w:color="auto"/>
                            <w:bottom w:val="none" w:sz="0" w:space="0" w:color="auto"/>
                            <w:right w:val="none" w:sz="0" w:space="0" w:color="auto"/>
                          </w:divBdr>
                          <w:divsChild>
                            <w:div w:id="1870024174">
                              <w:marLeft w:val="0"/>
                              <w:marRight w:val="0"/>
                              <w:marTop w:val="0"/>
                              <w:marBottom w:val="0"/>
                              <w:divBdr>
                                <w:top w:val="none" w:sz="0" w:space="0" w:color="auto"/>
                                <w:left w:val="none" w:sz="0" w:space="0" w:color="auto"/>
                                <w:bottom w:val="none" w:sz="0" w:space="0" w:color="auto"/>
                                <w:right w:val="none" w:sz="0" w:space="0" w:color="auto"/>
                              </w:divBdr>
                            </w:div>
                          </w:divsChild>
                        </w:div>
                        <w:div w:id="71539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825960">
                  <w:marLeft w:val="0"/>
                  <w:marRight w:val="0"/>
                  <w:marTop w:val="0"/>
                  <w:marBottom w:val="0"/>
                  <w:divBdr>
                    <w:top w:val="none" w:sz="0" w:space="0" w:color="auto"/>
                    <w:left w:val="none" w:sz="0" w:space="0" w:color="auto"/>
                    <w:bottom w:val="none" w:sz="0" w:space="0" w:color="auto"/>
                    <w:right w:val="none" w:sz="0" w:space="0" w:color="auto"/>
                  </w:divBdr>
                  <w:divsChild>
                    <w:div w:id="1092507158">
                      <w:marLeft w:val="0"/>
                      <w:marRight w:val="0"/>
                      <w:marTop w:val="0"/>
                      <w:marBottom w:val="0"/>
                      <w:divBdr>
                        <w:top w:val="none" w:sz="0" w:space="0" w:color="auto"/>
                        <w:left w:val="none" w:sz="0" w:space="0" w:color="auto"/>
                        <w:bottom w:val="none" w:sz="0" w:space="0" w:color="auto"/>
                        <w:right w:val="none" w:sz="0" w:space="0" w:color="auto"/>
                      </w:divBdr>
                    </w:div>
                    <w:div w:id="1137989284">
                      <w:marLeft w:val="0"/>
                      <w:marRight w:val="0"/>
                      <w:marTop w:val="0"/>
                      <w:marBottom w:val="0"/>
                      <w:divBdr>
                        <w:top w:val="none" w:sz="0" w:space="0" w:color="auto"/>
                        <w:left w:val="none" w:sz="0" w:space="0" w:color="auto"/>
                        <w:bottom w:val="none" w:sz="0" w:space="0" w:color="auto"/>
                        <w:right w:val="none" w:sz="0" w:space="0" w:color="auto"/>
                      </w:divBdr>
                      <w:divsChild>
                        <w:div w:id="982584907">
                          <w:marLeft w:val="0"/>
                          <w:marRight w:val="0"/>
                          <w:marTop w:val="0"/>
                          <w:marBottom w:val="0"/>
                          <w:divBdr>
                            <w:top w:val="none" w:sz="0" w:space="0" w:color="auto"/>
                            <w:left w:val="none" w:sz="0" w:space="0" w:color="auto"/>
                            <w:bottom w:val="none" w:sz="0" w:space="0" w:color="auto"/>
                            <w:right w:val="none" w:sz="0" w:space="0" w:color="auto"/>
                          </w:divBdr>
                          <w:divsChild>
                            <w:div w:id="1974748213">
                              <w:marLeft w:val="0"/>
                              <w:marRight w:val="0"/>
                              <w:marTop w:val="0"/>
                              <w:marBottom w:val="0"/>
                              <w:divBdr>
                                <w:top w:val="none" w:sz="0" w:space="0" w:color="auto"/>
                                <w:left w:val="none" w:sz="0" w:space="0" w:color="auto"/>
                                <w:bottom w:val="none" w:sz="0" w:space="0" w:color="auto"/>
                                <w:right w:val="none" w:sz="0" w:space="0" w:color="auto"/>
                              </w:divBdr>
                            </w:div>
                          </w:divsChild>
                        </w:div>
                        <w:div w:id="110900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012405">
                  <w:marLeft w:val="0"/>
                  <w:marRight w:val="0"/>
                  <w:marTop w:val="0"/>
                  <w:marBottom w:val="0"/>
                  <w:divBdr>
                    <w:top w:val="none" w:sz="0" w:space="0" w:color="auto"/>
                    <w:left w:val="none" w:sz="0" w:space="0" w:color="auto"/>
                    <w:bottom w:val="none" w:sz="0" w:space="0" w:color="auto"/>
                    <w:right w:val="none" w:sz="0" w:space="0" w:color="auto"/>
                  </w:divBdr>
                  <w:divsChild>
                    <w:div w:id="2111658065">
                      <w:marLeft w:val="0"/>
                      <w:marRight w:val="0"/>
                      <w:marTop w:val="0"/>
                      <w:marBottom w:val="0"/>
                      <w:divBdr>
                        <w:top w:val="none" w:sz="0" w:space="0" w:color="auto"/>
                        <w:left w:val="none" w:sz="0" w:space="0" w:color="auto"/>
                        <w:bottom w:val="none" w:sz="0" w:space="0" w:color="auto"/>
                        <w:right w:val="none" w:sz="0" w:space="0" w:color="auto"/>
                      </w:divBdr>
                    </w:div>
                    <w:div w:id="817040267">
                      <w:marLeft w:val="0"/>
                      <w:marRight w:val="0"/>
                      <w:marTop w:val="0"/>
                      <w:marBottom w:val="0"/>
                      <w:divBdr>
                        <w:top w:val="none" w:sz="0" w:space="0" w:color="auto"/>
                        <w:left w:val="none" w:sz="0" w:space="0" w:color="auto"/>
                        <w:bottom w:val="none" w:sz="0" w:space="0" w:color="auto"/>
                        <w:right w:val="none" w:sz="0" w:space="0" w:color="auto"/>
                      </w:divBdr>
                      <w:divsChild>
                        <w:div w:id="635137058">
                          <w:marLeft w:val="0"/>
                          <w:marRight w:val="0"/>
                          <w:marTop w:val="0"/>
                          <w:marBottom w:val="0"/>
                          <w:divBdr>
                            <w:top w:val="none" w:sz="0" w:space="0" w:color="auto"/>
                            <w:left w:val="none" w:sz="0" w:space="0" w:color="auto"/>
                            <w:bottom w:val="none" w:sz="0" w:space="0" w:color="auto"/>
                            <w:right w:val="none" w:sz="0" w:space="0" w:color="auto"/>
                          </w:divBdr>
                          <w:divsChild>
                            <w:div w:id="1103303135">
                              <w:marLeft w:val="0"/>
                              <w:marRight w:val="0"/>
                              <w:marTop w:val="0"/>
                              <w:marBottom w:val="0"/>
                              <w:divBdr>
                                <w:top w:val="none" w:sz="0" w:space="0" w:color="auto"/>
                                <w:left w:val="none" w:sz="0" w:space="0" w:color="auto"/>
                                <w:bottom w:val="none" w:sz="0" w:space="0" w:color="auto"/>
                                <w:right w:val="none" w:sz="0" w:space="0" w:color="auto"/>
                              </w:divBdr>
                            </w:div>
                          </w:divsChild>
                        </w:div>
                        <w:div w:id="201903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162626">
                  <w:marLeft w:val="0"/>
                  <w:marRight w:val="0"/>
                  <w:marTop w:val="0"/>
                  <w:marBottom w:val="0"/>
                  <w:divBdr>
                    <w:top w:val="none" w:sz="0" w:space="0" w:color="auto"/>
                    <w:left w:val="none" w:sz="0" w:space="0" w:color="auto"/>
                    <w:bottom w:val="none" w:sz="0" w:space="0" w:color="auto"/>
                    <w:right w:val="none" w:sz="0" w:space="0" w:color="auto"/>
                  </w:divBdr>
                  <w:divsChild>
                    <w:div w:id="124589887">
                      <w:marLeft w:val="0"/>
                      <w:marRight w:val="0"/>
                      <w:marTop w:val="0"/>
                      <w:marBottom w:val="0"/>
                      <w:divBdr>
                        <w:top w:val="none" w:sz="0" w:space="0" w:color="auto"/>
                        <w:left w:val="none" w:sz="0" w:space="0" w:color="auto"/>
                        <w:bottom w:val="none" w:sz="0" w:space="0" w:color="auto"/>
                        <w:right w:val="none" w:sz="0" w:space="0" w:color="auto"/>
                      </w:divBdr>
                    </w:div>
                    <w:div w:id="1028409151">
                      <w:marLeft w:val="0"/>
                      <w:marRight w:val="0"/>
                      <w:marTop w:val="0"/>
                      <w:marBottom w:val="0"/>
                      <w:divBdr>
                        <w:top w:val="none" w:sz="0" w:space="0" w:color="auto"/>
                        <w:left w:val="none" w:sz="0" w:space="0" w:color="auto"/>
                        <w:bottom w:val="none" w:sz="0" w:space="0" w:color="auto"/>
                        <w:right w:val="none" w:sz="0" w:space="0" w:color="auto"/>
                      </w:divBdr>
                      <w:divsChild>
                        <w:div w:id="1597325299">
                          <w:marLeft w:val="0"/>
                          <w:marRight w:val="0"/>
                          <w:marTop w:val="0"/>
                          <w:marBottom w:val="0"/>
                          <w:divBdr>
                            <w:top w:val="none" w:sz="0" w:space="0" w:color="auto"/>
                            <w:left w:val="none" w:sz="0" w:space="0" w:color="auto"/>
                            <w:bottom w:val="none" w:sz="0" w:space="0" w:color="auto"/>
                            <w:right w:val="none" w:sz="0" w:space="0" w:color="auto"/>
                          </w:divBdr>
                          <w:divsChild>
                            <w:div w:id="1692144230">
                              <w:marLeft w:val="0"/>
                              <w:marRight w:val="0"/>
                              <w:marTop w:val="0"/>
                              <w:marBottom w:val="0"/>
                              <w:divBdr>
                                <w:top w:val="none" w:sz="0" w:space="0" w:color="auto"/>
                                <w:left w:val="none" w:sz="0" w:space="0" w:color="auto"/>
                                <w:bottom w:val="none" w:sz="0" w:space="0" w:color="auto"/>
                                <w:right w:val="none" w:sz="0" w:space="0" w:color="auto"/>
                              </w:divBdr>
                            </w:div>
                          </w:divsChild>
                        </w:div>
                        <w:div w:id="51507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86009">
                  <w:marLeft w:val="0"/>
                  <w:marRight w:val="0"/>
                  <w:marTop w:val="0"/>
                  <w:marBottom w:val="0"/>
                  <w:divBdr>
                    <w:top w:val="none" w:sz="0" w:space="0" w:color="auto"/>
                    <w:left w:val="none" w:sz="0" w:space="0" w:color="auto"/>
                    <w:bottom w:val="none" w:sz="0" w:space="0" w:color="auto"/>
                    <w:right w:val="none" w:sz="0" w:space="0" w:color="auto"/>
                  </w:divBdr>
                  <w:divsChild>
                    <w:div w:id="2082366682">
                      <w:marLeft w:val="0"/>
                      <w:marRight w:val="0"/>
                      <w:marTop w:val="0"/>
                      <w:marBottom w:val="0"/>
                      <w:divBdr>
                        <w:top w:val="none" w:sz="0" w:space="0" w:color="auto"/>
                        <w:left w:val="none" w:sz="0" w:space="0" w:color="auto"/>
                        <w:bottom w:val="none" w:sz="0" w:space="0" w:color="auto"/>
                        <w:right w:val="none" w:sz="0" w:space="0" w:color="auto"/>
                      </w:divBdr>
                    </w:div>
                    <w:div w:id="790129494">
                      <w:marLeft w:val="0"/>
                      <w:marRight w:val="0"/>
                      <w:marTop w:val="0"/>
                      <w:marBottom w:val="0"/>
                      <w:divBdr>
                        <w:top w:val="none" w:sz="0" w:space="0" w:color="auto"/>
                        <w:left w:val="none" w:sz="0" w:space="0" w:color="auto"/>
                        <w:bottom w:val="none" w:sz="0" w:space="0" w:color="auto"/>
                        <w:right w:val="none" w:sz="0" w:space="0" w:color="auto"/>
                      </w:divBdr>
                      <w:divsChild>
                        <w:div w:id="1347749372">
                          <w:marLeft w:val="0"/>
                          <w:marRight w:val="0"/>
                          <w:marTop w:val="0"/>
                          <w:marBottom w:val="0"/>
                          <w:divBdr>
                            <w:top w:val="none" w:sz="0" w:space="0" w:color="auto"/>
                            <w:left w:val="none" w:sz="0" w:space="0" w:color="auto"/>
                            <w:bottom w:val="none" w:sz="0" w:space="0" w:color="auto"/>
                            <w:right w:val="none" w:sz="0" w:space="0" w:color="auto"/>
                          </w:divBdr>
                          <w:divsChild>
                            <w:div w:id="532501305">
                              <w:marLeft w:val="0"/>
                              <w:marRight w:val="0"/>
                              <w:marTop w:val="0"/>
                              <w:marBottom w:val="0"/>
                              <w:divBdr>
                                <w:top w:val="none" w:sz="0" w:space="0" w:color="auto"/>
                                <w:left w:val="none" w:sz="0" w:space="0" w:color="auto"/>
                                <w:bottom w:val="none" w:sz="0" w:space="0" w:color="auto"/>
                                <w:right w:val="none" w:sz="0" w:space="0" w:color="auto"/>
                              </w:divBdr>
                            </w:div>
                          </w:divsChild>
                        </w:div>
                        <w:div w:id="114550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391332">
                  <w:marLeft w:val="0"/>
                  <w:marRight w:val="0"/>
                  <w:marTop w:val="0"/>
                  <w:marBottom w:val="0"/>
                  <w:divBdr>
                    <w:top w:val="none" w:sz="0" w:space="0" w:color="auto"/>
                    <w:left w:val="none" w:sz="0" w:space="0" w:color="auto"/>
                    <w:bottom w:val="none" w:sz="0" w:space="0" w:color="auto"/>
                    <w:right w:val="none" w:sz="0" w:space="0" w:color="auto"/>
                  </w:divBdr>
                  <w:divsChild>
                    <w:div w:id="462507056">
                      <w:marLeft w:val="0"/>
                      <w:marRight w:val="0"/>
                      <w:marTop w:val="0"/>
                      <w:marBottom w:val="0"/>
                      <w:divBdr>
                        <w:top w:val="none" w:sz="0" w:space="0" w:color="auto"/>
                        <w:left w:val="none" w:sz="0" w:space="0" w:color="auto"/>
                        <w:bottom w:val="none" w:sz="0" w:space="0" w:color="auto"/>
                        <w:right w:val="none" w:sz="0" w:space="0" w:color="auto"/>
                      </w:divBdr>
                    </w:div>
                    <w:div w:id="726076306">
                      <w:marLeft w:val="0"/>
                      <w:marRight w:val="0"/>
                      <w:marTop w:val="0"/>
                      <w:marBottom w:val="0"/>
                      <w:divBdr>
                        <w:top w:val="none" w:sz="0" w:space="0" w:color="auto"/>
                        <w:left w:val="none" w:sz="0" w:space="0" w:color="auto"/>
                        <w:bottom w:val="none" w:sz="0" w:space="0" w:color="auto"/>
                        <w:right w:val="none" w:sz="0" w:space="0" w:color="auto"/>
                      </w:divBdr>
                      <w:divsChild>
                        <w:div w:id="1364133371">
                          <w:marLeft w:val="0"/>
                          <w:marRight w:val="0"/>
                          <w:marTop w:val="0"/>
                          <w:marBottom w:val="0"/>
                          <w:divBdr>
                            <w:top w:val="none" w:sz="0" w:space="0" w:color="auto"/>
                            <w:left w:val="none" w:sz="0" w:space="0" w:color="auto"/>
                            <w:bottom w:val="none" w:sz="0" w:space="0" w:color="auto"/>
                            <w:right w:val="none" w:sz="0" w:space="0" w:color="auto"/>
                          </w:divBdr>
                          <w:divsChild>
                            <w:div w:id="910387099">
                              <w:marLeft w:val="0"/>
                              <w:marRight w:val="0"/>
                              <w:marTop w:val="0"/>
                              <w:marBottom w:val="0"/>
                              <w:divBdr>
                                <w:top w:val="none" w:sz="0" w:space="0" w:color="auto"/>
                                <w:left w:val="none" w:sz="0" w:space="0" w:color="auto"/>
                                <w:bottom w:val="none" w:sz="0" w:space="0" w:color="auto"/>
                                <w:right w:val="none" w:sz="0" w:space="0" w:color="auto"/>
                              </w:divBdr>
                            </w:div>
                          </w:divsChild>
                        </w:div>
                        <w:div w:id="80065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792818">
                  <w:marLeft w:val="0"/>
                  <w:marRight w:val="0"/>
                  <w:marTop w:val="0"/>
                  <w:marBottom w:val="0"/>
                  <w:divBdr>
                    <w:top w:val="none" w:sz="0" w:space="0" w:color="auto"/>
                    <w:left w:val="none" w:sz="0" w:space="0" w:color="auto"/>
                    <w:bottom w:val="none" w:sz="0" w:space="0" w:color="auto"/>
                    <w:right w:val="none" w:sz="0" w:space="0" w:color="auto"/>
                  </w:divBdr>
                  <w:divsChild>
                    <w:div w:id="9069086">
                      <w:marLeft w:val="0"/>
                      <w:marRight w:val="0"/>
                      <w:marTop w:val="0"/>
                      <w:marBottom w:val="0"/>
                      <w:divBdr>
                        <w:top w:val="none" w:sz="0" w:space="0" w:color="auto"/>
                        <w:left w:val="none" w:sz="0" w:space="0" w:color="auto"/>
                        <w:bottom w:val="none" w:sz="0" w:space="0" w:color="auto"/>
                        <w:right w:val="none" w:sz="0" w:space="0" w:color="auto"/>
                      </w:divBdr>
                    </w:div>
                    <w:div w:id="1596789968">
                      <w:marLeft w:val="0"/>
                      <w:marRight w:val="0"/>
                      <w:marTop w:val="0"/>
                      <w:marBottom w:val="0"/>
                      <w:divBdr>
                        <w:top w:val="none" w:sz="0" w:space="0" w:color="auto"/>
                        <w:left w:val="none" w:sz="0" w:space="0" w:color="auto"/>
                        <w:bottom w:val="none" w:sz="0" w:space="0" w:color="auto"/>
                        <w:right w:val="none" w:sz="0" w:space="0" w:color="auto"/>
                      </w:divBdr>
                      <w:divsChild>
                        <w:div w:id="724911112">
                          <w:marLeft w:val="0"/>
                          <w:marRight w:val="0"/>
                          <w:marTop w:val="0"/>
                          <w:marBottom w:val="0"/>
                          <w:divBdr>
                            <w:top w:val="none" w:sz="0" w:space="0" w:color="auto"/>
                            <w:left w:val="none" w:sz="0" w:space="0" w:color="auto"/>
                            <w:bottom w:val="none" w:sz="0" w:space="0" w:color="auto"/>
                            <w:right w:val="none" w:sz="0" w:space="0" w:color="auto"/>
                          </w:divBdr>
                          <w:divsChild>
                            <w:div w:id="1866865383">
                              <w:marLeft w:val="0"/>
                              <w:marRight w:val="0"/>
                              <w:marTop w:val="0"/>
                              <w:marBottom w:val="0"/>
                              <w:divBdr>
                                <w:top w:val="none" w:sz="0" w:space="0" w:color="auto"/>
                                <w:left w:val="none" w:sz="0" w:space="0" w:color="auto"/>
                                <w:bottom w:val="none" w:sz="0" w:space="0" w:color="auto"/>
                                <w:right w:val="none" w:sz="0" w:space="0" w:color="auto"/>
                              </w:divBdr>
                            </w:div>
                          </w:divsChild>
                        </w:div>
                        <w:div w:id="166462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736361">
                  <w:marLeft w:val="0"/>
                  <w:marRight w:val="0"/>
                  <w:marTop w:val="0"/>
                  <w:marBottom w:val="0"/>
                  <w:divBdr>
                    <w:top w:val="none" w:sz="0" w:space="0" w:color="auto"/>
                    <w:left w:val="none" w:sz="0" w:space="0" w:color="auto"/>
                    <w:bottom w:val="none" w:sz="0" w:space="0" w:color="auto"/>
                    <w:right w:val="none" w:sz="0" w:space="0" w:color="auto"/>
                  </w:divBdr>
                  <w:divsChild>
                    <w:div w:id="606695345">
                      <w:marLeft w:val="0"/>
                      <w:marRight w:val="0"/>
                      <w:marTop w:val="0"/>
                      <w:marBottom w:val="0"/>
                      <w:divBdr>
                        <w:top w:val="none" w:sz="0" w:space="0" w:color="auto"/>
                        <w:left w:val="none" w:sz="0" w:space="0" w:color="auto"/>
                        <w:bottom w:val="none" w:sz="0" w:space="0" w:color="auto"/>
                        <w:right w:val="none" w:sz="0" w:space="0" w:color="auto"/>
                      </w:divBdr>
                    </w:div>
                    <w:div w:id="2014838994">
                      <w:marLeft w:val="0"/>
                      <w:marRight w:val="0"/>
                      <w:marTop w:val="0"/>
                      <w:marBottom w:val="0"/>
                      <w:divBdr>
                        <w:top w:val="none" w:sz="0" w:space="0" w:color="auto"/>
                        <w:left w:val="none" w:sz="0" w:space="0" w:color="auto"/>
                        <w:bottom w:val="none" w:sz="0" w:space="0" w:color="auto"/>
                        <w:right w:val="none" w:sz="0" w:space="0" w:color="auto"/>
                      </w:divBdr>
                      <w:divsChild>
                        <w:div w:id="2043894523">
                          <w:marLeft w:val="0"/>
                          <w:marRight w:val="0"/>
                          <w:marTop w:val="0"/>
                          <w:marBottom w:val="0"/>
                          <w:divBdr>
                            <w:top w:val="none" w:sz="0" w:space="0" w:color="auto"/>
                            <w:left w:val="none" w:sz="0" w:space="0" w:color="auto"/>
                            <w:bottom w:val="none" w:sz="0" w:space="0" w:color="auto"/>
                            <w:right w:val="none" w:sz="0" w:space="0" w:color="auto"/>
                          </w:divBdr>
                          <w:divsChild>
                            <w:div w:id="1667392435">
                              <w:marLeft w:val="0"/>
                              <w:marRight w:val="0"/>
                              <w:marTop w:val="0"/>
                              <w:marBottom w:val="0"/>
                              <w:divBdr>
                                <w:top w:val="none" w:sz="0" w:space="0" w:color="auto"/>
                                <w:left w:val="none" w:sz="0" w:space="0" w:color="auto"/>
                                <w:bottom w:val="none" w:sz="0" w:space="0" w:color="auto"/>
                                <w:right w:val="none" w:sz="0" w:space="0" w:color="auto"/>
                              </w:divBdr>
                            </w:div>
                          </w:divsChild>
                        </w:div>
                        <w:div w:id="92618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720291">
              <w:marLeft w:val="0"/>
              <w:marRight w:val="0"/>
              <w:marTop w:val="0"/>
              <w:marBottom w:val="0"/>
              <w:divBdr>
                <w:top w:val="none" w:sz="0" w:space="0" w:color="auto"/>
                <w:left w:val="none" w:sz="0" w:space="0" w:color="auto"/>
                <w:bottom w:val="none" w:sz="0" w:space="0" w:color="auto"/>
                <w:right w:val="none" w:sz="0" w:space="0" w:color="auto"/>
              </w:divBdr>
            </w:div>
          </w:divsChild>
        </w:div>
        <w:div w:id="558054551">
          <w:marLeft w:val="0"/>
          <w:marRight w:val="0"/>
          <w:marTop w:val="0"/>
          <w:marBottom w:val="0"/>
          <w:divBdr>
            <w:top w:val="none" w:sz="0" w:space="0" w:color="auto"/>
            <w:left w:val="none" w:sz="0" w:space="0" w:color="auto"/>
            <w:bottom w:val="none" w:sz="0" w:space="0" w:color="auto"/>
            <w:right w:val="none" w:sz="0" w:space="0" w:color="auto"/>
          </w:divBdr>
          <w:divsChild>
            <w:div w:id="1590652736">
              <w:marLeft w:val="0"/>
              <w:marRight w:val="0"/>
              <w:marTop w:val="0"/>
              <w:marBottom w:val="0"/>
              <w:divBdr>
                <w:top w:val="none" w:sz="0" w:space="0" w:color="auto"/>
                <w:left w:val="none" w:sz="0" w:space="0" w:color="auto"/>
                <w:bottom w:val="none" w:sz="0" w:space="0" w:color="auto"/>
                <w:right w:val="none" w:sz="0" w:space="0" w:color="auto"/>
              </w:divBdr>
              <w:divsChild>
                <w:div w:id="66906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336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KR1TJERFzp0&amp;t=945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KR1TJERFzp0&amp;t=945s" TargetMode="External"/><Relationship Id="rId13" Type="http://schemas.openxmlformats.org/officeDocument/2006/relationships/hyperlink" Target="https://www.youtube.com/watch?v=KR1TJERFzp0&amp;t=945s" TargetMode="External"/><Relationship Id="rId3" Type="http://schemas.openxmlformats.org/officeDocument/2006/relationships/hyperlink" Target="https://www.youtube.com/watch?v=KR1TJERFzp0&amp;t=945s" TargetMode="External"/><Relationship Id="rId7" Type="http://schemas.openxmlformats.org/officeDocument/2006/relationships/hyperlink" Target="https://www.youtube.com/watch?v=KR1TJERFzp0&amp;t=945s" TargetMode="External"/><Relationship Id="rId12" Type="http://schemas.openxmlformats.org/officeDocument/2006/relationships/hyperlink" Target="https://www.youtube.com/watch?v=KR1TJERFzp0&amp;t=945s" TargetMode="External"/><Relationship Id="rId17" Type="http://schemas.openxmlformats.org/officeDocument/2006/relationships/hyperlink" Target="https://www.youtube.com/watch?v=KR1TJERFzp0&amp;t=945s" TargetMode="External"/><Relationship Id="rId2" Type="http://schemas.openxmlformats.org/officeDocument/2006/relationships/hyperlink" Target="https://www.youtube.com/watch?v=KR1TJERFzp0&amp;t=945s" TargetMode="External"/><Relationship Id="rId16" Type="http://schemas.openxmlformats.org/officeDocument/2006/relationships/hyperlink" Target="https://www.youtube.com/watch?v=KR1TJERFzp0&amp;t=945s" TargetMode="External"/><Relationship Id="rId1" Type="http://schemas.openxmlformats.org/officeDocument/2006/relationships/hyperlink" Target="https://www.youtube.com/watch?v=KR1TJERFzp0&amp;t=945s" TargetMode="External"/><Relationship Id="rId6" Type="http://schemas.openxmlformats.org/officeDocument/2006/relationships/hyperlink" Target="https://www.youtube.com/watch?v=KR1TJERFzp0&amp;t=945s" TargetMode="External"/><Relationship Id="rId11" Type="http://schemas.openxmlformats.org/officeDocument/2006/relationships/hyperlink" Target="https://www.youtube.com/watch?v=KR1TJERFzp0&amp;t=945s" TargetMode="External"/><Relationship Id="rId5" Type="http://schemas.openxmlformats.org/officeDocument/2006/relationships/hyperlink" Target="https://www.youtube.com/watch?v=KR1TJERFzp0&amp;t=945s" TargetMode="External"/><Relationship Id="rId15" Type="http://schemas.openxmlformats.org/officeDocument/2006/relationships/hyperlink" Target="https://www.youtube.com/watch?v=KR1TJERFzp0&amp;t=945s" TargetMode="External"/><Relationship Id="rId10" Type="http://schemas.openxmlformats.org/officeDocument/2006/relationships/hyperlink" Target="https://www.youtube.com/watch?v=KR1TJERFzp0&amp;t=945s" TargetMode="External"/><Relationship Id="rId4" Type="http://schemas.openxmlformats.org/officeDocument/2006/relationships/hyperlink" Target="https://www.youtube.com/watch?v=KR1TJERFzp0&amp;t=945s" TargetMode="External"/><Relationship Id="rId9" Type="http://schemas.openxmlformats.org/officeDocument/2006/relationships/hyperlink" Target="https://www.youtube.com/watch?v=KR1TJERFzp0&amp;t=945s" TargetMode="External"/><Relationship Id="rId14" Type="http://schemas.openxmlformats.org/officeDocument/2006/relationships/hyperlink" Target="https://www.youtube.com/watch?v=KR1TJERFzp0&amp;t=945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BF328-A80A-4242-BB6B-35E983FF9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1202</TotalTime>
  <Pages>10</Pages>
  <Words>2311</Words>
  <Characters>13176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dc:creator>
  <cp:keywords/>
  <dc:description/>
  <cp:lastModifiedBy>Samuel</cp:lastModifiedBy>
  <cp:revision>6</cp:revision>
  <dcterms:created xsi:type="dcterms:W3CDTF">2017-11-05T22:46:00Z</dcterms:created>
  <dcterms:modified xsi:type="dcterms:W3CDTF">2017-11-08T14:02:00Z</dcterms:modified>
</cp:coreProperties>
</file>