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DA24AE7" w14:textId="2DFA0063" w:rsidR="00B322E0" w:rsidRDefault="00B322E0">
      <w:pPr>
        <w:jc w:val="center"/>
        <w:rPr>
          <w:b/>
          <w:i/>
          <w:color w:val="auto"/>
          <w:sz w:val="88"/>
          <w:szCs w:val="88"/>
        </w:rPr>
      </w:pPr>
    </w:p>
    <w:p w14:paraId="46204740" w14:textId="77777777" w:rsidR="00410CBD" w:rsidRPr="00752C57" w:rsidRDefault="00410CBD">
      <w:pPr>
        <w:jc w:val="center"/>
        <w:rPr>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3"/>
        <w:gridCol w:w="7307"/>
      </w:tblGrid>
      <w:tr w:rsidR="00656B94" w:rsidRPr="00C23109" w14:paraId="5F332A4E" w14:textId="77777777" w:rsidTr="00410CBD">
        <w:trPr>
          <w:trHeight w:val="692"/>
        </w:trPr>
        <w:tc>
          <w:tcPr>
            <w:tcW w:w="2048" w:type="dxa"/>
          </w:tcPr>
          <w:p w14:paraId="5F5A3917" w14:textId="77777777" w:rsidR="00656B94" w:rsidRPr="00C23109" w:rsidRDefault="00656B94" w:rsidP="00F80D70">
            <w:pPr>
              <w:rPr>
                <w:b/>
                <w:i/>
              </w:rPr>
            </w:pPr>
            <w:r w:rsidRPr="00C23109">
              <w:rPr>
                <w:b/>
                <w:i/>
              </w:rPr>
              <w:t>Module</w:t>
            </w:r>
          </w:p>
        </w:tc>
        <w:tc>
          <w:tcPr>
            <w:tcW w:w="7347" w:type="dxa"/>
          </w:tcPr>
          <w:p w14:paraId="234D1534" w14:textId="77777777" w:rsidR="00656B94" w:rsidRPr="00C23109" w:rsidRDefault="00995314" w:rsidP="00F80D70">
            <w:r w:rsidRPr="00995314">
              <w:t>Change</w:t>
            </w:r>
            <w:r>
              <w:t xml:space="preserve"> </w:t>
            </w:r>
            <w:r w:rsidRPr="00995314">
              <w:t>makers Creativity and Value Creation</w:t>
            </w:r>
          </w:p>
        </w:tc>
      </w:tr>
      <w:tr w:rsidR="00656B94" w:rsidRPr="00C23109" w14:paraId="46AE060A" w14:textId="77777777" w:rsidTr="00410CBD">
        <w:trPr>
          <w:trHeight w:val="717"/>
        </w:trPr>
        <w:tc>
          <w:tcPr>
            <w:tcW w:w="2048" w:type="dxa"/>
          </w:tcPr>
          <w:p w14:paraId="48EAD7F0" w14:textId="77777777" w:rsidR="00656B94" w:rsidRPr="00C23109" w:rsidRDefault="00656B94" w:rsidP="00F80D70">
            <w:pPr>
              <w:rPr>
                <w:b/>
                <w:i/>
              </w:rPr>
            </w:pPr>
            <w:r w:rsidRPr="00C23109">
              <w:rPr>
                <w:b/>
                <w:i/>
              </w:rPr>
              <w:t>Module Code</w:t>
            </w:r>
          </w:p>
        </w:tc>
        <w:tc>
          <w:tcPr>
            <w:tcW w:w="7347" w:type="dxa"/>
          </w:tcPr>
          <w:p w14:paraId="746AF7B6" w14:textId="77777777" w:rsidR="00656B94" w:rsidRPr="00C23109" w:rsidRDefault="00995314" w:rsidP="00995314">
            <w:r w:rsidRPr="00995314">
              <w:t xml:space="preserve">BMHP5014 </w:t>
            </w:r>
          </w:p>
        </w:tc>
      </w:tr>
      <w:tr w:rsidR="00656B94" w:rsidRPr="00C23109" w14:paraId="4385E2C2" w14:textId="77777777" w:rsidTr="00410CBD">
        <w:trPr>
          <w:trHeight w:val="692"/>
        </w:trPr>
        <w:tc>
          <w:tcPr>
            <w:tcW w:w="2048" w:type="dxa"/>
          </w:tcPr>
          <w:p w14:paraId="1D2A9077" w14:textId="77777777" w:rsidR="00656B94" w:rsidRPr="00C23109" w:rsidRDefault="00656B94" w:rsidP="00F80D70">
            <w:pPr>
              <w:rPr>
                <w:b/>
                <w:i/>
              </w:rPr>
            </w:pPr>
            <w:r w:rsidRPr="00C23109">
              <w:rPr>
                <w:b/>
                <w:i/>
              </w:rPr>
              <w:t xml:space="preserve">Student Name/ ID </w:t>
            </w:r>
          </w:p>
        </w:tc>
        <w:tc>
          <w:tcPr>
            <w:tcW w:w="7347" w:type="dxa"/>
          </w:tcPr>
          <w:p w14:paraId="04F4EF1D" w14:textId="2FB9CBA8" w:rsidR="00656B94" w:rsidRPr="00C23109" w:rsidRDefault="00EC7FEC" w:rsidP="00F80D70">
            <w:r>
              <w:t>Ileana Cristina Marin (2314523)</w:t>
            </w:r>
          </w:p>
        </w:tc>
      </w:tr>
      <w:tr w:rsidR="00656B94" w:rsidRPr="00C23109" w14:paraId="566598CC" w14:textId="77777777" w:rsidTr="00410CBD">
        <w:trPr>
          <w:trHeight w:val="692"/>
        </w:trPr>
        <w:tc>
          <w:tcPr>
            <w:tcW w:w="2048" w:type="dxa"/>
          </w:tcPr>
          <w:p w14:paraId="0259014D" w14:textId="77777777" w:rsidR="00656B94" w:rsidRPr="00C23109" w:rsidRDefault="00656B94" w:rsidP="00F80D70">
            <w:pPr>
              <w:rPr>
                <w:b/>
                <w:i/>
              </w:rPr>
            </w:pPr>
            <w:r w:rsidRPr="00C23109">
              <w:rPr>
                <w:b/>
                <w:i/>
              </w:rPr>
              <w:t>Assignment Title</w:t>
            </w:r>
          </w:p>
        </w:tc>
        <w:tc>
          <w:tcPr>
            <w:tcW w:w="7347" w:type="dxa"/>
          </w:tcPr>
          <w:p w14:paraId="2B938BC4" w14:textId="7B3CEA02" w:rsidR="00656B94" w:rsidRPr="00335076" w:rsidRDefault="00335076" w:rsidP="00F80D70">
            <w:r w:rsidRPr="00335076">
              <w:rPr>
                <w:rFonts w:ascii="Arial" w:hAnsi="Arial" w:cs="Arial"/>
                <w:sz w:val="22"/>
              </w:rPr>
              <w:t>Component 2: Written Assignment (Report)</w:t>
            </w:r>
          </w:p>
        </w:tc>
      </w:tr>
      <w:tr w:rsidR="00656B94" w:rsidRPr="00C23109" w14:paraId="1225C3B3" w14:textId="77777777" w:rsidTr="00410CBD">
        <w:trPr>
          <w:trHeight w:val="692"/>
        </w:trPr>
        <w:tc>
          <w:tcPr>
            <w:tcW w:w="2048" w:type="dxa"/>
          </w:tcPr>
          <w:p w14:paraId="12A3BC9A" w14:textId="77777777" w:rsidR="00656B94" w:rsidRPr="00C23109" w:rsidRDefault="00656B94" w:rsidP="00F80D70">
            <w:pPr>
              <w:rPr>
                <w:b/>
                <w:i/>
              </w:rPr>
            </w:pPr>
            <w:r w:rsidRPr="00C23109">
              <w:rPr>
                <w:b/>
                <w:i/>
              </w:rPr>
              <w:t>Submission Date</w:t>
            </w:r>
          </w:p>
        </w:tc>
        <w:tc>
          <w:tcPr>
            <w:tcW w:w="7347" w:type="dxa"/>
          </w:tcPr>
          <w:p w14:paraId="2E872867" w14:textId="34907C6A" w:rsidR="00656B94" w:rsidRPr="00C23109" w:rsidRDefault="00EC7FEC" w:rsidP="00F80D70">
            <w:r>
              <w:t>19.07.2026</w:t>
            </w:r>
          </w:p>
        </w:tc>
      </w:tr>
    </w:tbl>
    <w:p w14:paraId="4DD15A0E"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7378B57B" w14:textId="77777777" w:rsidR="00793373" w:rsidRPr="00752C57" w:rsidRDefault="00793373">
      <w:pPr>
        <w:pStyle w:val="ContentsHeading"/>
        <w:pageBreakBefore/>
        <w:rPr>
          <w:color w:val="auto"/>
        </w:rPr>
      </w:pPr>
      <w:r w:rsidRPr="00752C57">
        <w:rPr>
          <w:color w:val="auto"/>
        </w:rPr>
        <w:lastRenderedPageBreak/>
        <w:t>Table of Contents</w:t>
      </w:r>
    </w:p>
    <w:p w14:paraId="78D72D2F" w14:textId="77777777" w:rsidR="00FF760D" w:rsidRDefault="00793373">
      <w:pPr>
        <w:pStyle w:val="TOC1"/>
        <w:rPr>
          <w:rFonts w:asciiTheme="minorHAnsi" w:eastAsiaTheme="minorEastAsia" w:hAnsiTheme="minorHAnsi" w:cstheme="minorBidi"/>
          <w:noProof/>
          <w:color w:val="auto"/>
          <w:sz w:val="22"/>
          <w:lang w:eastAsia="en-GB"/>
        </w:rPr>
      </w:pPr>
      <w:r w:rsidRPr="00752C57">
        <w:rPr>
          <w:rFonts w:cs="Times New Roman"/>
          <w:color w:val="auto"/>
        </w:rPr>
        <w:fldChar w:fldCharType="begin"/>
      </w:r>
      <w:r w:rsidRPr="00752C57">
        <w:rPr>
          <w:rFonts w:cs="Times New Roman"/>
          <w:color w:val="auto"/>
        </w:rPr>
        <w:instrText xml:space="preserve"> TOC \f \o "1-9" \o "1-9" </w:instrText>
      </w:r>
      <w:r w:rsidRPr="00752C57">
        <w:rPr>
          <w:rFonts w:cs="Times New Roman"/>
          <w:color w:val="auto"/>
        </w:rPr>
        <w:fldChar w:fldCharType="separate"/>
      </w:r>
      <w:r w:rsidR="00FF760D">
        <w:rPr>
          <w:noProof/>
        </w:rPr>
        <w:t>Introduction</w:t>
      </w:r>
      <w:r w:rsidR="00FF760D">
        <w:rPr>
          <w:noProof/>
        </w:rPr>
        <w:tab/>
      </w:r>
      <w:r w:rsidR="00FF760D">
        <w:rPr>
          <w:noProof/>
        </w:rPr>
        <w:fldChar w:fldCharType="begin"/>
      </w:r>
      <w:r w:rsidR="00FF760D">
        <w:rPr>
          <w:noProof/>
        </w:rPr>
        <w:instrText xml:space="preserve"> PAGEREF _Toc234677742 \h </w:instrText>
      </w:r>
      <w:r w:rsidR="00FF760D">
        <w:rPr>
          <w:noProof/>
        </w:rPr>
      </w:r>
      <w:r w:rsidR="00FF760D">
        <w:rPr>
          <w:noProof/>
        </w:rPr>
        <w:fldChar w:fldCharType="separate"/>
      </w:r>
      <w:r w:rsidR="00FF760D">
        <w:rPr>
          <w:noProof/>
        </w:rPr>
        <w:t>3</w:t>
      </w:r>
      <w:r w:rsidR="00FF760D">
        <w:rPr>
          <w:noProof/>
        </w:rPr>
        <w:fldChar w:fldCharType="end"/>
      </w:r>
    </w:p>
    <w:p w14:paraId="71ED6DDD" w14:textId="77777777" w:rsidR="00FF760D" w:rsidRDefault="00FF760D">
      <w:pPr>
        <w:pStyle w:val="TOC1"/>
        <w:rPr>
          <w:rFonts w:asciiTheme="minorHAnsi" w:eastAsiaTheme="minorEastAsia" w:hAnsiTheme="minorHAnsi" w:cstheme="minorBidi"/>
          <w:noProof/>
          <w:color w:val="auto"/>
          <w:sz w:val="22"/>
          <w:lang w:eastAsia="en-GB"/>
        </w:rPr>
      </w:pPr>
      <w:r>
        <w:rPr>
          <w:noProof/>
        </w:rPr>
        <w:t>The Need for Innovation</w:t>
      </w:r>
      <w:r>
        <w:rPr>
          <w:noProof/>
        </w:rPr>
        <w:tab/>
      </w:r>
      <w:r>
        <w:rPr>
          <w:noProof/>
        </w:rPr>
        <w:fldChar w:fldCharType="begin"/>
      </w:r>
      <w:r>
        <w:rPr>
          <w:noProof/>
        </w:rPr>
        <w:instrText xml:space="preserve"> PAGEREF _Toc234677743 \h </w:instrText>
      </w:r>
      <w:r>
        <w:rPr>
          <w:noProof/>
        </w:rPr>
      </w:r>
      <w:r>
        <w:rPr>
          <w:noProof/>
        </w:rPr>
        <w:fldChar w:fldCharType="separate"/>
      </w:r>
      <w:r>
        <w:rPr>
          <w:noProof/>
        </w:rPr>
        <w:t>3</w:t>
      </w:r>
      <w:r>
        <w:rPr>
          <w:noProof/>
        </w:rPr>
        <w:fldChar w:fldCharType="end"/>
      </w:r>
    </w:p>
    <w:p w14:paraId="3C9CB8FD" w14:textId="77777777" w:rsidR="00FF760D" w:rsidRDefault="00FF760D">
      <w:pPr>
        <w:pStyle w:val="TOC1"/>
        <w:rPr>
          <w:rFonts w:asciiTheme="minorHAnsi" w:eastAsiaTheme="minorEastAsia" w:hAnsiTheme="minorHAnsi" w:cstheme="minorBidi"/>
          <w:noProof/>
          <w:color w:val="auto"/>
          <w:sz w:val="22"/>
          <w:lang w:eastAsia="en-GB"/>
        </w:rPr>
      </w:pPr>
      <w:r>
        <w:rPr>
          <w:noProof/>
        </w:rPr>
        <w:t>Innovation Proposal: How AI CareConnect Works</w:t>
      </w:r>
      <w:r>
        <w:rPr>
          <w:noProof/>
        </w:rPr>
        <w:tab/>
      </w:r>
      <w:r>
        <w:rPr>
          <w:noProof/>
        </w:rPr>
        <w:fldChar w:fldCharType="begin"/>
      </w:r>
      <w:r>
        <w:rPr>
          <w:noProof/>
        </w:rPr>
        <w:instrText xml:space="preserve"> PAGEREF _Toc234677744 \h </w:instrText>
      </w:r>
      <w:r>
        <w:rPr>
          <w:noProof/>
        </w:rPr>
      </w:r>
      <w:r>
        <w:rPr>
          <w:noProof/>
        </w:rPr>
        <w:fldChar w:fldCharType="separate"/>
      </w:r>
      <w:r>
        <w:rPr>
          <w:noProof/>
        </w:rPr>
        <w:t>4</w:t>
      </w:r>
      <w:r>
        <w:rPr>
          <w:noProof/>
        </w:rPr>
        <w:fldChar w:fldCharType="end"/>
      </w:r>
    </w:p>
    <w:p w14:paraId="63718592" w14:textId="77777777" w:rsidR="00FF760D" w:rsidRDefault="00FF760D">
      <w:pPr>
        <w:pStyle w:val="TOC1"/>
        <w:rPr>
          <w:rFonts w:asciiTheme="minorHAnsi" w:eastAsiaTheme="minorEastAsia" w:hAnsiTheme="minorHAnsi" w:cstheme="minorBidi"/>
          <w:noProof/>
          <w:color w:val="auto"/>
          <w:sz w:val="22"/>
          <w:lang w:eastAsia="en-GB"/>
        </w:rPr>
      </w:pPr>
      <w:r>
        <w:rPr>
          <w:noProof/>
        </w:rPr>
        <w:t>Benefits for Health, Wellbeing and the Common Good</w:t>
      </w:r>
      <w:r>
        <w:rPr>
          <w:noProof/>
        </w:rPr>
        <w:tab/>
      </w:r>
      <w:r>
        <w:rPr>
          <w:noProof/>
        </w:rPr>
        <w:fldChar w:fldCharType="begin"/>
      </w:r>
      <w:r>
        <w:rPr>
          <w:noProof/>
        </w:rPr>
        <w:instrText xml:space="preserve"> PAGEREF _Toc234677745 \h </w:instrText>
      </w:r>
      <w:r>
        <w:rPr>
          <w:noProof/>
        </w:rPr>
      </w:r>
      <w:r>
        <w:rPr>
          <w:noProof/>
        </w:rPr>
        <w:fldChar w:fldCharType="separate"/>
      </w:r>
      <w:r>
        <w:rPr>
          <w:noProof/>
        </w:rPr>
        <w:t>4</w:t>
      </w:r>
      <w:r>
        <w:rPr>
          <w:noProof/>
        </w:rPr>
        <w:fldChar w:fldCharType="end"/>
      </w:r>
    </w:p>
    <w:p w14:paraId="151E0CB5" w14:textId="77777777" w:rsidR="00FF760D" w:rsidRDefault="00FF760D">
      <w:pPr>
        <w:pStyle w:val="TOC1"/>
        <w:rPr>
          <w:rFonts w:asciiTheme="minorHAnsi" w:eastAsiaTheme="minorEastAsia" w:hAnsiTheme="minorHAnsi" w:cstheme="minorBidi"/>
          <w:noProof/>
          <w:color w:val="auto"/>
          <w:sz w:val="22"/>
          <w:lang w:eastAsia="en-GB"/>
        </w:rPr>
      </w:pPr>
      <w:r>
        <w:rPr>
          <w:noProof/>
        </w:rPr>
        <w:t>Policy, Legislation and Professional Services</w:t>
      </w:r>
      <w:r>
        <w:rPr>
          <w:noProof/>
        </w:rPr>
        <w:tab/>
      </w:r>
      <w:r>
        <w:rPr>
          <w:noProof/>
        </w:rPr>
        <w:fldChar w:fldCharType="begin"/>
      </w:r>
      <w:r>
        <w:rPr>
          <w:noProof/>
        </w:rPr>
        <w:instrText xml:space="preserve"> PAGEREF _Toc234677746 \h </w:instrText>
      </w:r>
      <w:r>
        <w:rPr>
          <w:noProof/>
        </w:rPr>
      </w:r>
      <w:r>
        <w:rPr>
          <w:noProof/>
        </w:rPr>
        <w:fldChar w:fldCharType="separate"/>
      </w:r>
      <w:r>
        <w:rPr>
          <w:noProof/>
        </w:rPr>
        <w:t>5</w:t>
      </w:r>
      <w:r>
        <w:rPr>
          <w:noProof/>
        </w:rPr>
        <w:fldChar w:fldCharType="end"/>
      </w:r>
    </w:p>
    <w:p w14:paraId="3CDA26FD" w14:textId="77777777" w:rsidR="00FF760D" w:rsidRDefault="00FF760D">
      <w:pPr>
        <w:pStyle w:val="TOC1"/>
        <w:rPr>
          <w:rFonts w:asciiTheme="minorHAnsi" w:eastAsiaTheme="minorEastAsia" w:hAnsiTheme="minorHAnsi" w:cstheme="minorBidi"/>
          <w:noProof/>
          <w:color w:val="auto"/>
          <w:sz w:val="22"/>
          <w:lang w:eastAsia="en-GB"/>
        </w:rPr>
      </w:pPr>
      <w:r>
        <w:rPr>
          <w:noProof/>
        </w:rPr>
        <w:t>Stakeholder and Public Engagement</w:t>
      </w:r>
      <w:r>
        <w:rPr>
          <w:noProof/>
        </w:rPr>
        <w:tab/>
      </w:r>
      <w:r>
        <w:rPr>
          <w:noProof/>
        </w:rPr>
        <w:fldChar w:fldCharType="begin"/>
      </w:r>
      <w:r>
        <w:rPr>
          <w:noProof/>
        </w:rPr>
        <w:instrText xml:space="preserve"> PAGEREF _Toc234677747 \h </w:instrText>
      </w:r>
      <w:r>
        <w:rPr>
          <w:noProof/>
        </w:rPr>
      </w:r>
      <w:r>
        <w:rPr>
          <w:noProof/>
        </w:rPr>
        <w:fldChar w:fldCharType="separate"/>
      </w:r>
      <w:r>
        <w:rPr>
          <w:noProof/>
        </w:rPr>
        <w:t>5</w:t>
      </w:r>
      <w:r>
        <w:rPr>
          <w:noProof/>
        </w:rPr>
        <w:fldChar w:fldCharType="end"/>
      </w:r>
    </w:p>
    <w:p w14:paraId="18168A56" w14:textId="77777777" w:rsidR="00FF760D" w:rsidRDefault="00FF760D">
      <w:pPr>
        <w:pStyle w:val="TOC1"/>
        <w:rPr>
          <w:rFonts w:asciiTheme="minorHAnsi" w:eastAsiaTheme="minorEastAsia" w:hAnsiTheme="minorHAnsi" w:cstheme="minorBidi"/>
          <w:noProof/>
          <w:color w:val="auto"/>
          <w:sz w:val="22"/>
          <w:lang w:eastAsia="en-GB"/>
        </w:rPr>
      </w:pPr>
      <w:r>
        <w:rPr>
          <w:noProof/>
        </w:rPr>
        <w:t>Persuasive Conclusion</w:t>
      </w:r>
      <w:r>
        <w:rPr>
          <w:noProof/>
        </w:rPr>
        <w:tab/>
      </w:r>
      <w:r>
        <w:rPr>
          <w:noProof/>
        </w:rPr>
        <w:fldChar w:fldCharType="begin"/>
      </w:r>
      <w:r>
        <w:rPr>
          <w:noProof/>
        </w:rPr>
        <w:instrText xml:space="preserve"> PAGEREF _Toc234677748 \h </w:instrText>
      </w:r>
      <w:r>
        <w:rPr>
          <w:noProof/>
        </w:rPr>
      </w:r>
      <w:r>
        <w:rPr>
          <w:noProof/>
        </w:rPr>
        <w:fldChar w:fldCharType="separate"/>
      </w:r>
      <w:r>
        <w:rPr>
          <w:noProof/>
        </w:rPr>
        <w:t>5</w:t>
      </w:r>
      <w:r>
        <w:rPr>
          <w:noProof/>
        </w:rPr>
        <w:fldChar w:fldCharType="end"/>
      </w:r>
    </w:p>
    <w:p w14:paraId="33C5B13A" w14:textId="77777777" w:rsidR="00FF760D" w:rsidRDefault="00FF760D">
      <w:pPr>
        <w:pStyle w:val="TOC1"/>
        <w:rPr>
          <w:rFonts w:asciiTheme="minorHAnsi" w:eastAsiaTheme="minorEastAsia" w:hAnsiTheme="minorHAnsi" w:cstheme="minorBidi"/>
          <w:noProof/>
          <w:color w:val="auto"/>
          <w:sz w:val="22"/>
          <w:lang w:eastAsia="en-GB"/>
        </w:rPr>
      </w:pPr>
      <w:r>
        <w:rPr>
          <w:noProof/>
        </w:rPr>
        <w:t>References</w:t>
      </w:r>
      <w:r>
        <w:rPr>
          <w:noProof/>
        </w:rPr>
        <w:tab/>
      </w:r>
      <w:r>
        <w:rPr>
          <w:noProof/>
        </w:rPr>
        <w:fldChar w:fldCharType="begin"/>
      </w:r>
      <w:r>
        <w:rPr>
          <w:noProof/>
        </w:rPr>
        <w:instrText xml:space="preserve"> PAGEREF _Toc234677749 \h </w:instrText>
      </w:r>
      <w:r>
        <w:rPr>
          <w:noProof/>
        </w:rPr>
      </w:r>
      <w:r>
        <w:rPr>
          <w:noProof/>
        </w:rPr>
        <w:fldChar w:fldCharType="separate"/>
      </w:r>
      <w:r>
        <w:rPr>
          <w:noProof/>
        </w:rPr>
        <w:t>7</w:t>
      </w:r>
      <w:r>
        <w:rPr>
          <w:noProof/>
        </w:rPr>
        <w:fldChar w:fldCharType="end"/>
      </w:r>
    </w:p>
    <w:p w14:paraId="422CC973" w14:textId="77777777" w:rsidR="005901D0" w:rsidRPr="00752C57" w:rsidRDefault="00793373" w:rsidP="005901D0">
      <w:pPr>
        <w:pStyle w:val="TOC1"/>
        <w:rPr>
          <w:rFonts w:cs="Times New Roman"/>
          <w:color w:val="auto"/>
          <w:szCs w:val="24"/>
        </w:rPr>
      </w:pPr>
      <w:r w:rsidRPr="00752C57">
        <w:rPr>
          <w:rFonts w:cs="Times New Roman"/>
          <w:color w:val="auto"/>
        </w:rPr>
        <w:fldChar w:fldCharType="end"/>
      </w:r>
    </w:p>
    <w:p w14:paraId="4B391047" w14:textId="77777777" w:rsidR="00793373" w:rsidRPr="00752C57" w:rsidRDefault="00793373">
      <w:pPr>
        <w:rPr>
          <w:color w:val="auto"/>
          <w:szCs w:val="24"/>
        </w:rPr>
      </w:pPr>
    </w:p>
    <w:p w14:paraId="673242EA" w14:textId="77777777" w:rsidR="00FA3835" w:rsidRPr="00752C57" w:rsidRDefault="00FA3835">
      <w:pPr>
        <w:rPr>
          <w:color w:val="auto"/>
          <w:szCs w:val="24"/>
        </w:rPr>
      </w:pPr>
    </w:p>
    <w:p w14:paraId="0E3E0405" w14:textId="77777777" w:rsidR="00FA3835" w:rsidRPr="00752C57" w:rsidRDefault="00FA3835">
      <w:pPr>
        <w:rPr>
          <w:color w:val="auto"/>
          <w:szCs w:val="24"/>
        </w:rPr>
      </w:pPr>
    </w:p>
    <w:p w14:paraId="7C2CF4B3" w14:textId="77777777" w:rsidR="0093725C" w:rsidRDefault="006407FE" w:rsidP="00E33AC0">
      <w:pPr>
        <w:pStyle w:val="Heading1"/>
        <w:ind w:left="0" w:firstLine="0"/>
      </w:pPr>
      <w:r w:rsidRPr="00752C57">
        <w:br w:type="page"/>
      </w:r>
      <w:bookmarkStart w:id="0" w:name="_Toc234677742"/>
      <w:r w:rsidR="00607926" w:rsidRPr="00752C57">
        <w:lastRenderedPageBreak/>
        <w:t>Introduction</w:t>
      </w:r>
      <w:bookmarkEnd w:id="0"/>
    </w:p>
    <w:p w14:paraId="63B482C4" w14:textId="77777777" w:rsidR="00995314" w:rsidRDefault="00995314" w:rsidP="00813D9D">
      <w:r w:rsidRPr="00995314">
        <w:t>An older person with multiple long-term conditions (LTCs) often has fragmented health and social care where services are delivered by a variety of organisations with often disjointed systems and limited information sharing. This may lead to a delay in diagnosis, multiple assessments and suboptimal outcomes</w:t>
      </w:r>
      <w:r w:rsidR="004019AB">
        <w:t xml:space="preserve"> </w:t>
      </w:r>
      <w:r w:rsidR="004019AB" w:rsidRPr="004019AB">
        <w:t>(NICE, 2016)</w:t>
      </w:r>
      <w:r w:rsidRPr="00995314">
        <w:t xml:space="preserve">. AI </w:t>
      </w:r>
      <w:proofErr w:type="spellStart"/>
      <w:r w:rsidRPr="00995314">
        <w:t>CareConnect</w:t>
      </w:r>
      <w:proofErr w:type="spellEnd"/>
      <w:r w:rsidRPr="00995314">
        <w:t xml:space="preserve"> is a revolutionary artificial intelligence-powered Integrated Care Coordination Platform that enhances communication, facilitates proactive clinical decision making and provides a personalized approach to care. The innovation aims to improve continuity of care by strengthening collaboration between NHS and social care services and improving health outcomes, and contributing to the more efficient delivery of healthcare across the UK working together in a more integrated way</w:t>
      </w:r>
      <w:r w:rsidR="00FE326E">
        <w:t xml:space="preserve"> </w:t>
      </w:r>
      <w:r w:rsidR="00FE326E" w:rsidRPr="00FE326E">
        <w:t>(NHS England, 2022)</w:t>
      </w:r>
      <w:r w:rsidRPr="00995314">
        <w:t>.</w:t>
      </w:r>
    </w:p>
    <w:p w14:paraId="1F099044" w14:textId="77777777" w:rsidR="00995314" w:rsidRDefault="00995314" w:rsidP="00995314">
      <w:pPr>
        <w:pStyle w:val="Heading1"/>
      </w:pPr>
      <w:bookmarkStart w:id="1" w:name="_Toc234677743"/>
      <w:r>
        <w:t>The Need for Innovation</w:t>
      </w:r>
      <w:bookmarkEnd w:id="1"/>
    </w:p>
    <w:p w14:paraId="4CF04C3B" w14:textId="77777777" w:rsidR="00C74CC1" w:rsidRDefault="00C74CC1" w:rsidP="00C74CC1">
      <w:r>
        <w:t>Multiple long term conditions (LTC) are becoming a problem with older people in the UK experiencing more than one LTC, making health and social care provision more complex. While NHS Integrated Care Systems (ICSs) have been established to improve the way healthcare or allied services and local authority (LA) and voluntary organisation (VO) service providers work together, there remain many services with separate information systems and disjointed communication channels. This means that patients may find that their condition is continuously reassessed, delayed referrals are common, medication errors made and poor continuity of care in place, and carers are having to take on a greater responsibility in co-ordinating services on behalf of the patients. These inefficiencies also have consequences for unnecessary hospital admissions, costs and difficulties to working staff who are already exceptionally busy in the NHS</w:t>
      </w:r>
      <w:r w:rsidR="004019AB">
        <w:t xml:space="preserve"> </w:t>
      </w:r>
      <w:r w:rsidR="004019AB" w:rsidRPr="004019AB">
        <w:t>(Dambha-Miller et al., 2021)</w:t>
      </w:r>
      <w:r>
        <w:t>.</w:t>
      </w:r>
    </w:p>
    <w:p w14:paraId="39A950DF" w14:textId="77777777" w:rsidR="00C74CC1" w:rsidRDefault="00C74CC1" w:rsidP="00C74CC1">
      <w:r>
        <w:tab/>
        <w:t>Most current models of healthcare are reactive while patient needs are not identified in time before the patient clicks the mental health alarm. NICE highlights that these patients (older people with multiple long-term conditions) should have a co-ordinated and personalised care plan which is regularly reviewed to take account of shifting health and social care needs. Without integrated digital support, however, the challenge to consistently achieving this is difficult</w:t>
      </w:r>
      <w:r w:rsidR="004019AB">
        <w:t xml:space="preserve"> </w:t>
      </w:r>
      <w:r w:rsidR="004019AB" w:rsidRPr="004019AB">
        <w:t>(</w:t>
      </w:r>
      <w:proofErr w:type="spellStart"/>
      <w:r w:rsidR="004019AB" w:rsidRPr="004019AB">
        <w:t>Endalamaw</w:t>
      </w:r>
      <w:proofErr w:type="spellEnd"/>
      <w:r w:rsidR="004019AB" w:rsidRPr="004019AB">
        <w:t xml:space="preserve"> et al., 2024)</w:t>
      </w:r>
      <w:r>
        <w:t>.</w:t>
      </w:r>
    </w:p>
    <w:p w14:paraId="2F9041E5" w14:textId="77777777" w:rsidR="00995314" w:rsidRDefault="00C74CC1" w:rsidP="00C74CC1">
      <w:r>
        <w:tab/>
        <w:t xml:space="preserve">AI </w:t>
      </w:r>
      <w:proofErr w:type="spellStart"/>
      <w:r>
        <w:t>CareConnect</w:t>
      </w:r>
      <w:proofErr w:type="spellEnd"/>
      <w:r>
        <w:t xml:space="preserve"> solves these limitations by aggregating AI, predictive analytics and secure data sharing under one roof. The innovation provides value in terms of improved patient outcomes, higher quality care co-ordination, efficiency and more sustainable use of NHS resources, </w:t>
      </w:r>
      <w:r>
        <w:lastRenderedPageBreak/>
        <w:t>identifying people who are at risk and supporting multidisciplinary decision making and more proactively intervening</w:t>
      </w:r>
      <w:r w:rsidR="004019AB">
        <w:t xml:space="preserve"> </w:t>
      </w:r>
      <w:r w:rsidR="004019AB" w:rsidRPr="004019AB">
        <w:t>(McKelvie, 2026)</w:t>
      </w:r>
      <w:r>
        <w:t>.</w:t>
      </w:r>
    </w:p>
    <w:p w14:paraId="4C3CC196" w14:textId="77777777" w:rsidR="00995314" w:rsidRPr="00995314" w:rsidRDefault="00995314" w:rsidP="00995314">
      <w:pPr>
        <w:pStyle w:val="Heading1"/>
      </w:pPr>
      <w:bookmarkStart w:id="2" w:name="_Toc234677744"/>
      <w:r>
        <w:t>I</w:t>
      </w:r>
      <w:r w:rsidRPr="00995314">
        <w:t xml:space="preserve">nnovation Proposal: How AI </w:t>
      </w:r>
      <w:proofErr w:type="spellStart"/>
      <w:r w:rsidRPr="00995314">
        <w:t>CareConnect</w:t>
      </w:r>
      <w:proofErr w:type="spellEnd"/>
      <w:r w:rsidRPr="00995314">
        <w:t xml:space="preserve"> Works</w:t>
      </w:r>
      <w:bookmarkEnd w:id="2"/>
      <w:r w:rsidRPr="00995314">
        <w:t xml:space="preserve"> </w:t>
      </w:r>
    </w:p>
    <w:p w14:paraId="51DB77B3" w14:textId="77777777" w:rsidR="00995314" w:rsidRDefault="00C74CC1" w:rsidP="00995314">
      <w:r w:rsidRPr="00C74CC1">
        <w:t xml:space="preserve">Securely joining primary care, hospitals, community health services and adult social care using interoperable electronic health records (EHRs) to allow authorised professionals to see accurate, real-time patient data with a secure, AI-powered digital platform – that's all AI </w:t>
      </w:r>
      <w:proofErr w:type="spellStart"/>
      <w:r w:rsidRPr="00C74CC1">
        <w:t>CareConnect</w:t>
      </w:r>
      <w:proofErr w:type="spellEnd"/>
      <w:r w:rsidRPr="00C74CC1">
        <w:t xml:space="preserve"> does. With the help of artificial intelligence and predictive analytics, the system continuously reviews clinical information to detect patients at risk for a deterioration triggering early intervention and thereby lowering avoidable hospital admission rates. Clinician dashboards provide a full picture of a patient's information, such as his or her risk score and personalized care recommendations, aiding his or her and clinicians to make informed decisions, and a patient mobile application gives him or her medication reminders, appointment reminders and personalized self-management advice</w:t>
      </w:r>
      <w:r w:rsidR="004019AB">
        <w:t xml:space="preserve"> </w:t>
      </w:r>
      <w:r w:rsidR="004019AB" w:rsidRPr="004019AB">
        <w:t>(Fahim et al., 2025)</w:t>
      </w:r>
      <w:r w:rsidRPr="00C74CC1">
        <w:t xml:space="preserve">. Secure messaging, which allows any GP, nurse, social worker, pharmacist, carer to communicate with each other at ease without any interruption, enhances the continuity of care. AI </w:t>
      </w:r>
      <w:proofErr w:type="spellStart"/>
      <w:r w:rsidRPr="00C74CC1">
        <w:t>CareConnect</w:t>
      </w:r>
      <w:proofErr w:type="spellEnd"/>
      <w:r w:rsidRPr="00C74CC1">
        <w:t xml:space="preserve"> builds a first unified, coordinated care pathway that underpins proactive, person-centred care with improved workforce efficiency and better value for health and care professionals and individuals, using integrated digital innovation, in contrast to the current disjointed systems of care</w:t>
      </w:r>
      <w:r w:rsidR="004019AB">
        <w:t xml:space="preserve"> </w:t>
      </w:r>
      <w:r w:rsidR="004019AB" w:rsidRPr="004019AB">
        <w:t>(England, 2023)</w:t>
      </w:r>
      <w:r w:rsidRPr="00C74CC1">
        <w:t xml:space="preserve">. </w:t>
      </w:r>
    </w:p>
    <w:p w14:paraId="6B8BF08E" w14:textId="77777777" w:rsidR="00995314" w:rsidRDefault="00995314" w:rsidP="00995314">
      <w:pPr>
        <w:pStyle w:val="Heading1"/>
      </w:pPr>
      <w:bookmarkStart w:id="3" w:name="_Toc234677745"/>
      <w:r w:rsidRPr="00995314">
        <w:t>Benefits for Health, Wellbeing and the Common Good</w:t>
      </w:r>
      <w:bookmarkEnd w:id="3"/>
    </w:p>
    <w:p w14:paraId="72987251" w14:textId="77777777" w:rsidR="00995314" w:rsidRDefault="00C74CC1" w:rsidP="00995314">
      <w:r w:rsidRPr="00C74CC1">
        <w:t xml:space="preserve">By detecting clinical deterioration earlier, AI </w:t>
      </w:r>
      <w:proofErr w:type="spellStart"/>
      <w:r w:rsidRPr="00C74CC1">
        <w:t>CareConnect</w:t>
      </w:r>
      <w:proofErr w:type="spellEnd"/>
      <w:r w:rsidRPr="00C74CC1">
        <w:t xml:space="preserve"> helps professionals to take action and prevent issues from deteriorating worse, thereby enhancing health and wellbeing. Early interventions with coordinated care, improve a patient's outcome, help maintain patient independence and mitigate avoidable hospitalizations. Safe sharing of information and electronic health record sharing boosts collaboration between GP and hospital clinicians, community nurses, pharmacists and social workers, which leads to better multidisciplinary care and less duplication of services. The application streamlines patient care competencies, guarantees accuracy of medicines administration, and security, as well as offering clinicians precise, current data. Overall, family carers can enjoy better communication and better planning of their care, and health professionals can have less administrative burden and faster decision-making. All of these benefits </w:t>
      </w:r>
      <w:r w:rsidRPr="00C74CC1">
        <w:lastRenderedPageBreak/>
        <w:t>combine to make for improving public health, reducing health inequalities, more sustainable NHS services and social value using person centred, integrated care</w:t>
      </w:r>
      <w:r w:rsidR="004019AB">
        <w:t xml:space="preserve"> </w:t>
      </w:r>
      <w:r w:rsidR="004019AB" w:rsidRPr="004019AB">
        <w:t>(England, 2026)</w:t>
      </w:r>
      <w:r w:rsidRPr="00C74CC1">
        <w:t>.</w:t>
      </w:r>
    </w:p>
    <w:p w14:paraId="5D667BA5" w14:textId="77777777" w:rsidR="00995314" w:rsidRPr="00995314" w:rsidRDefault="00995314" w:rsidP="00995314">
      <w:pPr>
        <w:pStyle w:val="Heading1"/>
      </w:pPr>
      <w:bookmarkStart w:id="4" w:name="_Toc234677746"/>
      <w:r w:rsidRPr="00995314">
        <w:t>Policy, Legislation and Professional Servi</w:t>
      </w:r>
      <w:r>
        <w:t>ces</w:t>
      </w:r>
      <w:bookmarkEnd w:id="4"/>
    </w:p>
    <w:p w14:paraId="3FA24A46" w14:textId="77777777" w:rsidR="00995314" w:rsidRDefault="00C74CC1" w:rsidP="00995314">
      <w:r w:rsidRPr="00C74CC1">
        <w:t xml:space="preserve">AI </w:t>
      </w:r>
      <w:proofErr w:type="spellStart"/>
      <w:r w:rsidRPr="00C74CC1">
        <w:t>CareConnect</w:t>
      </w:r>
      <w:proofErr w:type="spellEnd"/>
      <w:r w:rsidRPr="00C74CC1">
        <w:t xml:space="preserve"> is aligned with key health policies in the UK, including Prime Minister Davies' Integrated Care System Plan (ICS), Person-centred Surgeries Plan (Plan</w:t>
      </w:r>
      <w:r w:rsidR="004019AB">
        <w:t xml:space="preserve"> for Person-centred Surgeries) </w:t>
      </w:r>
      <w:r w:rsidRPr="00C74CC1">
        <w:t>for Digital-first Health that aim to drive integrated, person-centred and digitally enabled care</w:t>
      </w:r>
      <w:r w:rsidR="004019AB">
        <w:t xml:space="preserve"> </w:t>
      </w:r>
      <w:r w:rsidR="004019AB" w:rsidRPr="004019AB">
        <w:t>(Briggs et al., 2020)</w:t>
      </w:r>
      <w:r w:rsidRPr="00C74CC1">
        <w:t>. The NHS Long Term Plan and Integrated Care Systems (ICSs) aim to encourage organisations to collaborate together to meet the needs of the population, help reduce inequality and coordinate the health and social care services they offer. The framework of integrated working is contained in the Health and Care Act 2022 and GDPR and the Data Protection Act 2018 ensure that patient information is handled securely and appropriately. The innovation also aligns with NICE guidance which encourages coordinated care planning to be used at an individual level for older people with multiple long term conditions and with Care Quality Commission (CQC) expectations of safe, effective and integrated care</w:t>
      </w:r>
      <w:r w:rsidR="004019AB">
        <w:t xml:space="preserve"> </w:t>
      </w:r>
      <w:r w:rsidR="004019AB" w:rsidRPr="004019AB">
        <w:t>(NHS Digital, 2022)</w:t>
      </w:r>
      <w:r w:rsidRPr="00C74CC1">
        <w:t xml:space="preserve">. AI </w:t>
      </w:r>
      <w:proofErr w:type="spellStart"/>
      <w:r w:rsidRPr="00C74CC1">
        <w:t>CareConnect</w:t>
      </w:r>
      <w:proofErr w:type="spellEnd"/>
      <w:r w:rsidRPr="00C74CC1">
        <w:t xml:space="preserve"> would be a platform for information sharing, coordinating individual care plans, and providing timely, high-quality services, all while connecting various NHS organisations, GPs, community nurses, pharmacists, social workers and allied health professionals. </w:t>
      </w:r>
    </w:p>
    <w:p w14:paraId="50083765" w14:textId="77777777" w:rsidR="00995314" w:rsidRDefault="00995314" w:rsidP="00995314">
      <w:pPr>
        <w:pStyle w:val="Heading1"/>
      </w:pPr>
      <w:bookmarkStart w:id="5" w:name="_Toc234677747"/>
      <w:r>
        <w:t>Stakeholder and Public Engagement</w:t>
      </w:r>
      <w:bookmarkEnd w:id="5"/>
    </w:p>
    <w:p w14:paraId="664200F8" w14:textId="77777777" w:rsidR="00995314" w:rsidRDefault="00C74CC1" w:rsidP="00995314">
      <w:r w:rsidRPr="00C74CC1">
        <w:t xml:space="preserve">Achieving successful implementation of AI </w:t>
      </w:r>
      <w:proofErr w:type="spellStart"/>
      <w:r w:rsidRPr="00C74CC1">
        <w:t>CareConnect</w:t>
      </w:r>
      <w:proofErr w:type="spellEnd"/>
      <w:r w:rsidRPr="00C74CC1">
        <w:t xml:space="preserve"> requires patient/carer collaboration and working in partnership with NHS organisations, ICSs, healthcare professionals, charities like Age UK in addition to community organisations. By collaborative production the platform can capture </w:t>
      </w:r>
      <w:proofErr w:type="spellStart"/>
      <w:r w:rsidRPr="00C74CC1">
        <w:t>users</w:t>
      </w:r>
      <w:proofErr w:type="spellEnd"/>
      <w:r w:rsidRPr="00C74CC1">
        <w:t xml:space="preserve"> needs and enhance trust and the likelihood of it becoming widely used. Public engagement will be facilitated on NHS sites, via GP referral, on social media, at the community health events, with patient education day sessions and in collaboration with the voluntary organisations. This communication will raise awareness, help to make people feel part of their care and give them permission to be involved and engaged in their care, helping to promote integrated, person centred healthcare in the UK</w:t>
      </w:r>
      <w:r w:rsidR="004019AB">
        <w:t xml:space="preserve"> </w:t>
      </w:r>
      <w:r w:rsidR="004019AB" w:rsidRPr="004019AB">
        <w:t>(Conquer et al., 2024)</w:t>
      </w:r>
      <w:r w:rsidRPr="00C74CC1">
        <w:t>.</w:t>
      </w:r>
    </w:p>
    <w:p w14:paraId="0D2C1DC9" w14:textId="77777777" w:rsidR="00995314" w:rsidRPr="00995314" w:rsidRDefault="00995314" w:rsidP="00995314">
      <w:pPr>
        <w:pStyle w:val="Heading1"/>
      </w:pPr>
      <w:bookmarkStart w:id="6" w:name="_Toc234677748"/>
      <w:r>
        <w:t>Persuasive Conclusion</w:t>
      </w:r>
      <w:bookmarkEnd w:id="6"/>
    </w:p>
    <w:p w14:paraId="707F6CE0" w14:textId="77777777" w:rsidR="00995314" w:rsidRDefault="00C74CC1" w:rsidP="00995314">
      <w:r w:rsidRPr="00C74CC1">
        <w:t xml:space="preserve">AI </w:t>
      </w:r>
      <w:proofErr w:type="spellStart"/>
      <w:r w:rsidRPr="00C74CC1">
        <w:t>CareConnect</w:t>
      </w:r>
      <w:proofErr w:type="spellEnd"/>
      <w:r w:rsidRPr="00C74CC1">
        <w:t xml:space="preserve"> is a workable and future-proof approach to addressing one of the health and social care challenges in the UK for older people with multiple long-term health conditions: fragmented </w:t>
      </w:r>
      <w:r w:rsidRPr="00C74CC1">
        <w:lastRenderedPageBreak/>
        <w:t xml:space="preserve">care. Using AI to enable multi-modal, person-centred care, the platform makes an impact on outcomes, efficiency and creates public value. Investing in AI </w:t>
      </w:r>
      <w:proofErr w:type="spellStart"/>
      <w:r w:rsidRPr="00C74CC1">
        <w:t>CareConnect</w:t>
      </w:r>
      <w:proofErr w:type="spellEnd"/>
      <w:r w:rsidRPr="00C74CC1">
        <w:t xml:space="preserve"> will help stakeholders deliver safer, more coordinated and sustainable health and social care services across the UK.</w:t>
      </w:r>
    </w:p>
    <w:p w14:paraId="6380CACE" w14:textId="77777777" w:rsidR="00D71C78" w:rsidRDefault="00D71C78">
      <w:pPr>
        <w:suppressAutoHyphens w:val="0"/>
        <w:spacing w:line="240" w:lineRule="auto"/>
        <w:jc w:val="left"/>
      </w:pPr>
      <w:r>
        <w:br w:type="page"/>
      </w:r>
    </w:p>
    <w:p w14:paraId="5EF11D5F" w14:textId="77777777" w:rsidR="00D71C78" w:rsidRDefault="00D71C78" w:rsidP="00D71C78">
      <w:pPr>
        <w:pStyle w:val="Heading1"/>
      </w:pPr>
      <w:bookmarkStart w:id="7" w:name="_Toc234677749"/>
      <w:r>
        <w:lastRenderedPageBreak/>
        <w:t>References</w:t>
      </w:r>
      <w:bookmarkEnd w:id="7"/>
    </w:p>
    <w:p w14:paraId="6300ABDD"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Briggs, A.D.M., </w:t>
      </w:r>
      <w:proofErr w:type="spellStart"/>
      <w:r w:rsidRPr="00D71C78">
        <w:rPr>
          <w:rFonts w:eastAsia="Times New Roman"/>
          <w:color w:val="auto"/>
          <w:szCs w:val="24"/>
          <w:lang w:eastAsia="en-GB"/>
        </w:rPr>
        <w:t>Göpfert</w:t>
      </w:r>
      <w:proofErr w:type="spellEnd"/>
      <w:r w:rsidRPr="00D71C78">
        <w:rPr>
          <w:rFonts w:eastAsia="Times New Roman"/>
          <w:color w:val="auto"/>
          <w:szCs w:val="24"/>
          <w:lang w:eastAsia="en-GB"/>
        </w:rPr>
        <w:t xml:space="preserve">, A., </w:t>
      </w:r>
      <w:proofErr w:type="spellStart"/>
      <w:r w:rsidRPr="00D71C78">
        <w:rPr>
          <w:rFonts w:eastAsia="Times New Roman"/>
          <w:color w:val="auto"/>
          <w:szCs w:val="24"/>
          <w:lang w:eastAsia="en-GB"/>
        </w:rPr>
        <w:t>Thorlby</w:t>
      </w:r>
      <w:proofErr w:type="spellEnd"/>
      <w:r w:rsidRPr="00D71C78">
        <w:rPr>
          <w:rFonts w:eastAsia="Times New Roman"/>
          <w:color w:val="auto"/>
          <w:szCs w:val="24"/>
          <w:lang w:eastAsia="en-GB"/>
        </w:rPr>
        <w:t xml:space="preserve">, R., Allwood, D. and </w:t>
      </w:r>
      <w:proofErr w:type="spellStart"/>
      <w:r w:rsidRPr="00D71C78">
        <w:rPr>
          <w:rFonts w:eastAsia="Times New Roman"/>
          <w:color w:val="auto"/>
          <w:szCs w:val="24"/>
          <w:lang w:eastAsia="en-GB"/>
        </w:rPr>
        <w:t>Alderwick</w:t>
      </w:r>
      <w:proofErr w:type="spellEnd"/>
      <w:r w:rsidRPr="00D71C78">
        <w:rPr>
          <w:rFonts w:eastAsia="Times New Roman"/>
          <w:color w:val="auto"/>
          <w:szCs w:val="24"/>
          <w:lang w:eastAsia="en-GB"/>
        </w:rPr>
        <w:t xml:space="preserve">, H. (2020). Integrated health and care systems in England: Can they help prevent disease? </w:t>
      </w:r>
      <w:r w:rsidRPr="00D71C78">
        <w:rPr>
          <w:rFonts w:eastAsia="Times New Roman"/>
          <w:i/>
          <w:iCs/>
          <w:color w:val="auto"/>
          <w:szCs w:val="24"/>
          <w:lang w:eastAsia="en-GB"/>
        </w:rPr>
        <w:t>Integrated Healthcare Journal</w:t>
      </w:r>
      <w:r w:rsidRPr="00D71C78">
        <w:rPr>
          <w:rFonts w:eastAsia="Times New Roman"/>
          <w:color w:val="auto"/>
          <w:szCs w:val="24"/>
          <w:lang w:eastAsia="en-GB"/>
        </w:rPr>
        <w:t xml:space="preserve">, 2(1), p.e000013.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8" w:history="1">
        <w:r w:rsidRPr="00F73B02">
          <w:rPr>
            <w:rStyle w:val="Hyperlink"/>
            <w:rFonts w:eastAsia="Times New Roman"/>
            <w:szCs w:val="24"/>
            <w:lang w:eastAsia="en-GB"/>
          </w:rPr>
          <w:t>https://doi.org/10.1136/ihj-2019-000013</w:t>
        </w:r>
      </w:hyperlink>
      <w:r w:rsidRPr="00D71C78">
        <w:rPr>
          <w:rFonts w:eastAsia="Times New Roman"/>
          <w:color w:val="auto"/>
          <w:szCs w:val="24"/>
          <w:lang w:eastAsia="en-GB"/>
        </w:rPr>
        <w:t>.</w:t>
      </w:r>
      <w:r>
        <w:rPr>
          <w:rFonts w:eastAsia="Times New Roman"/>
          <w:color w:val="auto"/>
          <w:szCs w:val="24"/>
          <w:lang w:eastAsia="en-GB"/>
        </w:rPr>
        <w:t xml:space="preserve"> </w:t>
      </w:r>
    </w:p>
    <w:p w14:paraId="2BCE1BC5"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Conquer, S., Iles, R., Windle, K., Heathershaw, R. and Ski, C.F. (2024). Transforming Integrated Care Through Co-production: A Systematic Review Using Meta-ethnography. </w:t>
      </w:r>
      <w:r w:rsidRPr="00D71C78">
        <w:rPr>
          <w:rFonts w:eastAsia="Times New Roman"/>
          <w:i/>
          <w:iCs/>
          <w:color w:val="auto"/>
          <w:szCs w:val="24"/>
          <w:lang w:eastAsia="en-GB"/>
        </w:rPr>
        <w:t>International journal of integrated care</w:t>
      </w:r>
      <w:r w:rsidRPr="00D71C78">
        <w:rPr>
          <w:rFonts w:eastAsia="Times New Roman"/>
          <w:color w:val="auto"/>
          <w:szCs w:val="24"/>
          <w:lang w:eastAsia="en-GB"/>
        </w:rPr>
        <w:t xml:space="preserve">, 24(1), pp.17–17.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9" w:history="1">
        <w:r w:rsidRPr="00F73B02">
          <w:rPr>
            <w:rStyle w:val="Hyperlink"/>
            <w:rFonts w:eastAsia="Times New Roman"/>
            <w:szCs w:val="24"/>
            <w:lang w:eastAsia="en-GB"/>
          </w:rPr>
          <w:t>https://doi.org/10.5334/ijic.7603</w:t>
        </w:r>
      </w:hyperlink>
      <w:r w:rsidRPr="00D71C78">
        <w:rPr>
          <w:rFonts w:eastAsia="Times New Roman"/>
          <w:color w:val="auto"/>
          <w:szCs w:val="24"/>
          <w:lang w:eastAsia="en-GB"/>
        </w:rPr>
        <w:t>.</w:t>
      </w:r>
      <w:r>
        <w:rPr>
          <w:rFonts w:eastAsia="Times New Roman"/>
          <w:color w:val="auto"/>
          <w:szCs w:val="24"/>
          <w:lang w:eastAsia="en-GB"/>
        </w:rPr>
        <w:t xml:space="preserve"> </w:t>
      </w:r>
    </w:p>
    <w:p w14:paraId="1D0C3048"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Dambha-Miller, H., Simpson, G., Hobson, L., Roderick, P., Little, P., Everitt, H. and Santer, M. (2021). Integrated primary care and social services for older adults with multimorbidity in England: A scoping review. </w:t>
      </w:r>
      <w:r w:rsidRPr="00D71C78">
        <w:rPr>
          <w:rFonts w:eastAsia="Times New Roman"/>
          <w:i/>
          <w:iCs/>
          <w:color w:val="auto"/>
          <w:szCs w:val="24"/>
          <w:lang w:eastAsia="en-GB"/>
        </w:rPr>
        <w:t>BMC Geriatrics</w:t>
      </w:r>
      <w:r w:rsidRPr="00D71C78">
        <w:rPr>
          <w:rFonts w:eastAsia="Times New Roman"/>
          <w:color w:val="auto"/>
          <w:szCs w:val="24"/>
          <w:lang w:eastAsia="en-GB"/>
        </w:rPr>
        <w:t xml:space="preserve">, 21(1).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0" w:history="1">
        <w:r w:rsidRPr="00F73B02">
          <w:rPr>
            <w:rStyle w:val="Hyperlink"/>
            <w:rFonts w:eastAsia="Times New Roman"/>
            <w:szCs w:val="24"/>
            <w:lang w:eastAsia="en-GB"/>
          </w:rPr>
          <w:t>https://doi.org/10.1186/s12877-021-02618-8</w:t>
        </w:r>
      </w:hyperlink>
      <w:r w:rsidRPr="00D71C78">
        <w:rPr>
          <w:rFonts w:eastAsia="Times New Roman"/>
          <w:color w:val="auto"/>
          <w:szCs w:val="24"/>
          <w:lang w:eastAsia="en-GB"/>
        </w:rPr>
        <w:t>.</w:t>
      </w:r>
      <w:r>
        <w:rPr>
          <w:rFonts w:eastAsia="Times New Roman"/>
          <w:color w:val="auto"/>
          <w:szCs w:val="24"/>
          <w:lang w:eastAsia="en-GB"/>
        </w:rPr>
        <w:t xml:space="preserve"> </w:t>
      </w:r>
    </w:p>
    <w:p w14:paraId="77A4FA38"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proofErr w:type="spellStart"/>
      <w:r w:rsidRPr="00D71C78">
        <w:rPr>
          <w:rFonts w:eastAsia="Times New Roman"/>
          <w:color w:val="auto"/>
          <w:szCs w:val="24"/>
          <w:lang w:eastAsia="en-GB"/>
        </w:rPr>
        <w:t>Endalamaw</w:t>
      </w:r>
      <w:proofErr w:type="spellEnd"/>
      <w:r w:rsidRPr="00D71C78">
        <w:rPr>
          <w:rFonts w:eastAsia="Times New Roman"/>
          <w:color w:val="auto"/>
          <w:szCs w:val="24"/>
          <w:lang w:eastAsia="en-GB"/>
        </w:rPr>
        <w:t xml:space="preserve">, A., Zewdie, A., </w:t>
      </w:r>
      <w:proofErr w:type="spellStart"/>
      <w:r w:rsidRPr="00D71C78">
        <w:rPr>
          <w:rFonts w:eastAsia="Times New Roman"/>
          <w:color w:val="auto"/>
          <w:szCs w:val="24"/>
          <w:lang w:eastAsia="en-GB"/>
        </w:rPr>
        <w:t>Wolka</w:t>
      </w:r>
      <w:proofErr w:type="spellEnd"/>
      <w:r w:rsidRPr="00D71C78">
        <w:rPr>
          <w:rFonts w:eastAsia="Times New Roman"/>
          <w:color w:val="auto"/>
          <w:szCs w:val="24"/>
          <w:lang w:eastAsia="en-GB"/>
        </w:rPr>
        <w:t xml:space="preserve">, E. and Assefa, Y. (2024). Care models for individuals with chronic multimorbidity: Lessons for low- and middle-income countries. </w:t>
      </w:r>
      <w:r w:rsidRPr="00D71C78">
        <w:rPr>
          <w:rFonts w:eastAsia="Times New Roman"/>
          <w:i/>
          <w:iCs/>
          <w:color w:val="auto"/>
          <w:szCs w:val="24"/>
          <w:lang w:eastAsia="en-GB"/>
        </w:rPr>
        <w:t>BMC Health Services Research</w:t>
      </w:r>
      <w:r w:rsidRPr="00D71C78">
        <w:rPr>
          <w:rFonts w:eastAsia="Times New Roman"/>
          <w:color w:val="auto"/>
          <w:szCs w:val="24"/>
          <w:lang w:eastAsia="en-GB"/>
        </w:rPr>
        <w:t xml:space="preserve">, 24(1).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1" w:history="1">
        <w:r w:rsidRPr="00F73B02">
          <w:rPr>
            <w:rStyle w:val="Hyperlink"/>
            <w:rFonts w:eastAsia="Times New Roman"/>
            <w:szCs w:val="24"/>
            <w:lang w:eastAsia="en-GB"/>
          </w:rPr>
          <w:t>https://doi.org/10.1186/s12913-024-11351-y</w:t>
        </w:r>
      </w:hyperlink>
      <w:r w:rsidRPr="00D71C78">
        <w:rPr>
          <w:rFonts w:eastAsia="Times New Roman"/>
          <w:color w:val="auto"/>
          <w:szCs w:val="24"/>
          <w:lang w:eastAsia="en-GB"/>
        </w:rPr>
        <w:t>.</w:t>
      </w:r>
      <w:r>
        <w:rPr>
          <w:rFonts w:eastAsia="Times New Roman"/>
          <w:color w:val="auto"/>
          <w:szCs w:val="24"/>
          <w:lang w:eastAsia="en-GB"/>
        </w:rPr>
        <w:t xml:space="preserve"> </w:t>
      </w:r>
    </w:p>
    <w:p w14:paraId="0F201BCD"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England, N. (2023). </w:t>
      </w:r>
      <w:r w:rsidRPr="00D71C78">
        <w:rPr>
          <w:rFonts w:eastAsia="Times New Roman"/>
          <w:i/>
          <w:iCs/>
          <w:color w:val="auto"/>
          <w:szCs w:val="24"/>
          <w:lang w:eastAsia="en-GB"/>
        </w:rPr>
        <w:t>NHS England » Interoperability</w:t>
      </w:r>
      <w:r w:rsidRPr="00D71C78">
        <w:rPr>
          <w:rFonts w:eastAsia="Times New Roman"/>
          <w:color w:val="auto"/>
          <w:szCs w:val="24"/>
          <w:lang w:eastAsia="en-GB"/>
        </w:rPr>
        <w:t xml:space="preserve">. England.nhs.uk. Available at: </w:t>
      </w:r>
      <w:hyperlink r:id="rId12" w:history="1">
        <w:r w:rsidRPr="00F73B02">
          <w:rPr>
            <w:rStyle w:val="Hyperlink"/>
            <w:rFonts w:eastAsia="Times New Roman"/>
            <w:szCs w:val="24"/>
            <w:lang w:eastAsia="en-GB"/>
          </w:rPr>
          <w:t>https://www.england.nhs.uk/long-read/interoperability</w:t>
        </w:r>
      </w:hyperlink>
      <w:r w:rsidRPr="00D71C78">
        <w:rPr>
          <w:rFonts w:eastAsia="Times New Roman"/>
          <w:color w:val="auto"/>
          <w:szCs w:val="24"/>
          <w:lang w:eastAsia="en-GB"/>
        </w:rPr>
        <w:t>.</w:t>
      </w:r>
      <w:r>
        <w:rPr>
          <w:rFonts w:eastAsia="Times New Roman"/>
          <w:color w:val="auto"/>
          <w:szCs w:val="24"/>
          <w:lang w:eastAsia="en-GB"/>
        </w:rPr>
        <w:t xml:space="preserve"> </w:t>
      </w:r>
    </w:p>
    <w:p w14:paraId="5DD738D9"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England, N. (2026). </w:t>
      </w:r>
      <w:r w:rsidRPr="00D71C78">
        <w:rPr>
          <w:rFonts w:eastAsia="Times New Roman"/>
          <w:i/>
          <w:iCs/>
          <w:color w:val="auto"/>
          <w:szCs w:val="24"/>
          <w:lang w:eastAsia="en-GB"/>
        </w:rPr>
        <w:t>NHS England » Fit for the future: Towards population health delivery models</w:t>
      </w:r>
      <w:r w:rsidRPr="00D71C78">
        <w:rPr>
          <w:rFonts w:eastAsia="Times New Roman"/>
          <w:color w:val="auto"/>
          <w:szCs w:val="24"/>
          <w:lang w:eastAsia="en-GB"/>
        </w:rPr>
        <w:t xml:space="preserve">. England.nhs.uk. Available at: </w:t>
      </w:r>
      <w:hyperlink r:id="rId13" w:history="1">
        <w:r w:rsidRPr="00F73B02">
          <w:rPr>
            <w:rStyle w:val="Hyperlink"/>
            <w:rFonts w:eastAsia="Times New Roman"/>
            <w:szCs w:val="24"/>
            <w:lang w:eastAsia="en-GB"/>
          </w:rPr>
          <w:t>https://www.england.nhs.uk/publication/fit-for-the-future-towards-population-health-delivery-models/</w:t>
        </w:r>
      </w:hyperlink>
      <w:r w:rsidRPr="00D71C78">
        <w:rPr>
          <w:rFonts w:eastAsia="Times New Roman"/>
          <w:color w:val="auto"/>
          <w:szCs w:val="24"/>
          <w:lang w:eastAsia="en-GB"/>
        </w:rPr>
        <w:t>.</w:t>
      </w:r>
      <w:r>
        <w:rPr>
          <w:rFonts w:eastAsia="Times New Roman"/>
          <w:color w:val="auto"/>
          <w:szCs w:val="24"/>
          <w:lang w:eastAsia="en-GB"/>
        </w:rPr>
        <w:t xml:space="preserve"> </w:t>
      </w:r>
    </w:p>
    <w:p w14:paraId="24ACD193"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Fahim, Y.A., Hasani, I.W., Kabba, S. and Ragab, W.M. (2025). Artificial intelligence in healthcare and medicine: Clinical applications, therapeutic advances, and future perspectives. </w:t>
      </w:r>
      <w:r w:rsidRPr="00D71C78">
        <w:rPr>
          <w:rFonts w:eastAsia="Times New Roman"/>
          <w:i/>
          <w:iCs/>
          <w:color w:val="auto"/>
          <w:szCs w:val="24"/>
          <w:lang w:eastAsia="en-GB"/>
        </w:rPr>
        <w:t>European journal of medical research</w:t>
      </w:r>
      <w:r w:rsidRPr="00D71C78">
        <w:rPr>
          <w:rFonts w:eastAsia="Times New Roman"/>
          <w:color w:val="auto"/>
          <w:szCs w:val="24"/>
          <w:lang w:eastAsia="en-GB"/>
        </w:rPr>
        <w:t xml:space="preserve">, 30(1). </w:t>
      </w:r>
      <w:proofErr w:type="spellStart"/>
      <w:r>
        <w:rPr>
          <w:rFonts w:eastAsia="Times New Roman"/>
          <w:color w:val="auto"/>
          <w:szCs w:val="24"/>
          <w:lang w:eastAsia="en-GB"/>
        </w:rPr>
        <w:t>doi</w:t>
      </w:r>
      <w:proofErr w:type="spellEnd"/>
      <w:r>
        <w:rPr>
          <w:rFonts w:eastAsia="Times New Roman"/>
          <w:color w:val="auto"/>
          <w:szCs w:val="24"/>
          <w:lang w:eastAsia="en-GB"/>
        </w:rPr>
        <w:t xml:space="preserve">: </w:t>
      </w:r>
      <w:hyperlink r:id="rId14" w:history="1">
        <w:r w:rsidRPr="00F73B02">
          <w:rPr>
            <w:rStyle w:val="Hyperlink"/>
            <w:rFonts w:eastAsia="Times New Roman"/>
            <w:szCs w:val="24"/>
            <w:lang w:eastAsia="en-GB"/>
          </w:rPr>
          <w:t>https://doi.org/10.1186/s40001-025-03196-w</w:t>
        </w:r>
      </w:hyperlink>
      <w:r w:rsidRPr="00D71C78">
        <w:rPr>
          <w:rFonts w:eastAsia="Times New Roman"/>
          <w:color w:val="auto"/>
          <w:szCs w:val="24"/>
          <w:lang w:eastAsia="en-GB"/>
        </w:rPr>
        <w:t>.</w:t>
      </w:r>
      <w:r>
        <w:rPr>
          <w:rFonts w:eastAsia="Times New Roman"/>
          <w:color w:val="auto"/>
          <w:szCs w:val="24"/>
          <w:lang w:eastAsia="en-GB"/>
        </w:rPr>
        <w:t xml:space="preserve"> </w:t>
      </w:r>
    </w:p>
    <w:p w14:paraId="14F0A7BB"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McKelvie, G. (2026). </w:t>
      </w:r>
      <w:r w:rsidRPr="00D71C78">
        <w:rPr>
          <w:rFonts w:eastAsia="Times New Roman"/>
          <w:i/>
          <w:iCs/>
          <w:color w:val="auto"/>
          <w:szCs w:val="24"/>
          <w:lang w:eastAsia="en-GB"/>
        </w:rPr>
        <w:t>NHS to use AI on its app to direct patients to appropriate services</w:t>
      </w:r>
      <w:r w:rsidRPr="00D71C78">
        <w:rPr>
          <w:rFonts w:eastAsia="Times New Roman"/>
          <w:color w:val="auto"/>
          <w:szCs w:val="24"/>
          <w:lang w:eastAsia="en-GB"/>
        </w:rPr>
        <w:t xml:space="preserve">. The Guardian. Available at: </w:t>
      </w:r>
      <w:hyperlink r:id="rId15" w:history="1">
        <w:r w:rsidRPr="00F73B02">
          <w:rPr>
            <w:rStyle w:val="Hyperlink"/>
            <w:rFonts w:eastAsia="Times New Roman"/>
            <w:szCs w:val="24"/>
            <w:lang w:eastAsia="en-GB"/>
          </w:rPr>
          <w:t>https://www.theguardian.com/society/2026/jul/04/nhs-ai-app-patients-appropriate-services-health</w:t>
        </w:r>
      </w:hyperlink>
      <w:r w:rsidRPr="00D71C78">
        <w:rPr>
          <w:rFonts w:eastAsia="Times New Roman"/>
          <w:color w:val="auto"/>
          <w:szCs w:val="24"/>
          <w:lang w:eastAsia="en-GB"/>
        </w:rPr>
        <w:t>.</w:t>
      </w:r>
      <w:r>
        <w:rPr>
          <w:rFonts w:eastAsia="Times New Roman"/>
          <w:color w:val="auto"/>
          <w:szCs w:val="24"/>
          <w:lang w:eastAsia="en-GB"/>
        </w:rPr>
        <w:t xml:space="preserve"> </w:t>
      </w:r>
    </w:p>
    <w:p w14:paraId="6F5F74AB"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NHS Digital (2022). </w:t>
      </w:r>
      <w:r w:rsidRPr="00D71C78">
        <w:rPr>
          <w:rFonts w:eastAsia="Times New Roman"/>
          <w:i/>
          <w:iCs/>
          <w:color w:val="auto"/>
          <w:szCs w:val="24"/>
          <w:lang w:eastAsia="en-GB"/>
        </w:rPr>
        <w:t>General Data Protection Regulation (GDPR) - Information</w:t>
      </w:r>
      <w:r w:rsidRPr="00D71C78">
        <w:rPr>
          <w:rFonts w:eastAsia="Times New Roman"/>
          <w:color w:val="auto"/>
          <w:szCs w:val="24"/>
          <w:lang w:eastAsia="en-GB"/>
        </w:rPr>
        <w:t xml:space="preserve">. NHS Digital. Available at: </w:t>
      </w:r>
      <w:hyperlink r:id="rId16" w:history="1">
        <w:r w:rsidRPr="00F73B02">
          <w:rPr>
            <w:rStyle w:val="Hyperlink"/>
            <w:rFonts w:eastAsia="Times New Roman"/>
            <w:szCs w:val="24"/>
            <w:lang w:eastAsia="en-GB"/>
          </w:rPr>
          <w:t>https://digital.nhs.uk/data-and-information/keeping-data-safe-and-benefitting-the-public/gdpr</w:t>
        </w:r>
      </w:hyperlink>
      <w:r w:rsidRPr="00D71C78">
        <w:rPr>
          <w:rFonts w:eastAsia="Times New Roman"/>
          <w:color w:val="auto"/>
          <w:szCs w:val="24"/>
          <w:lang w:eastAsia="en-GB"/>
        </w:rPr>
        <w:t>.</w:t>
      </w:r>
      <w:r>
        <w:rPr>
          <w:rFonts w:eastAsia="Times New Roman"/>
          <w:color w:val="auto"/>
          <w:szCs w:val="24"/>
          <w:lang w:eastAsia="en-GB"/>
        </w:rPr>
        <w:t xml:space="preserve"> </w:t>
      </w:r>
    </w:p>
    <w:p w14:paraId="3C0BA5C1"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NHS England (2022). </w:t>
      </w:r>
      <w:r w:rsidRPr="00D71C78">
        <w:rPr>
          <w:rFonts w:eastAsia="Times New Roman"/>
          <w:i/>
          <w:iCs/>
          <w:color w:val="auto"/>
          <w:szCs w:val="24"/>
          <w:lang w:eastAsia="en-GB"/>
        </w:rPr>
        <w:t>What Are Integrated Care systems?</w:t>
      </w:r>
      <w:r w:rsidRPr="00D71C78">
        <w:rPr>
          <w:rFonts w:eastAsia="Times New Roman"/>
          <w:color w:val="auto"/>
          <w:szCs w:val="24"/>
          <w:lang w:eastAsia="en-GB"/>
        </w:rPr>
        <w:t xml:space="preserve"> NHS England. Available at: </w:t>
      </w:r>
      <w:hyperlink r:id="rId17" w:history="1">
        <w:r w:rsidRPr="00F73B02">
          <w:rPr>
            <w:rStyle w:val="Hyperlink"/>
            <w:rFonts w:eastAsia="Times New Roman"/>
            <w:szCs w:val="24"/>
            <w:lang w:eastAsia="en-GB"/>
          </w:rPr>
          <w:t>https://www.england.nhs.uk/integratedcare/what-is-integrated-care/</w:t>
        </w:r>
      </w:hyperlink>
      <w:r w:rsidRPr="00D71C78">
        <w:rPr>
          <w:rFonts w:eastAsia="Times New Roman"/>
          <w:color w:val="auto"/>
          <w:szCs w:val="24"/>
          <w:lang w:eastAsia="en-GB"/>
        </w:rPr>
        <w:t>.</w:t>
      </w:r>
      <w:r>
        <w:rPr>
          <w:rFonts w:eastAsia="Times New Roman"/>
          <w:color w:val="auto"/>
          <w:szCs w:val="24"/>
          <w:lang w:eastAsia="en-GB"/>
        </w:rPr>
        <w:t xml:space="preserve"> </w:t>
      </w:r>
    </w:p>
    <w:p w14:paraId="25E2AAAA" w14:textId="77777777" w:rsidR="00D71C78" w:rsidRPr="00D71C78" w:rsidRDefault="00D71C78" w:rsidP="00D71C78">
      <w:pPr>
        <w:suppressAutoHyphens w:val="0"/>
        <w:spacing w:after="240" w:line="240" w:lineRule="auto"/>
        <w:ind w:left="567" w:hanging="567"/>
        <w:rPr>
          <w:rFonts w:eastAsia="Times New Roman"/>
          <w:color w:val="auto"/>
          <w:szCs w:val="24"/>
          <w:lang w:eastAsia="en-GB"/>
        </w:rPr>
      </w:pPr>
      <w:r w:rsidRPr="00D71C78">
        <w:rPr>
          <w:rFonts w:eastAsia="Times New Roman"/>
          <w:color w:val="auto"/>
          <w:szCs w:val="24"/>
          <w:lang w:eastAsia="en-GB"/>
        </w:rPr>
        <w:t xml:space="preserve">NICE (2016). </w:t>
      </w:r>
      <w:r w:rsidRPr="00D71C78">
        <w:rPr>
          <w:rFonts w:eastAsia="Times New Roman"/>
          <w:i/>
          <w:iCs/>
          <w:color w:val="auto"/>
          <w:szCs w:val="24"/>
          <w:lang w:eastAsia="en-GB"/>
        </w:rPr>
        <w:t>Quality statement 4: Care planning | Social care for older people with multiple long-term conditions | Quality standards | NICE</w:t>
      </w:r>
      <w:r w:rsidRPr="00D71C78">
        <w:rPr>
          <w:rFonts w:eastAsia="Times New Roman"/>
          <w:color w:val="auto"/>
          <w:szCs w:val="24"/>
          <w:lang w:eastAsia="en-GB"/>
        </w:rPr>
        <w:t xml:space="preserve">. Www.nice.org.uk. Available at: </w:t>
      </w:r>
      <w:hyperlink r:id="rId18" w:history="1">
        <w:r w:rsidRPr="00F73B02">
          <w:rPr>
            <w:rStyle w:val="Hyperlink"/>
            <w:rFonts w:eastAsia="Times New Roman"/>
            <w:szCs w:val="24"/>
            <w:lang w:eastAsia="en-GB"/>
          </w:rPr>
          <w:t>https://www.nice.org.uk/guidance/qs132/chapter/Quality-statement-4-Care-planning</w:t>
        </w:r>
      </w:hyperlink>
      <w:r w:rsidRPr="00D71C78">
        <w:rPr>
          <w:rFonts w:eastAsia="Times New Roman"/>
          <w:color w:val="auto"/>
          <w:szCs w:val="24"/>
          <w:lang w:eastAsia="en-GB"/>
        </w:rPr>
        <w:t>.</w:t>
      </w:r>
      <w:r>
        <w:rPr>
          <w:rFonts w:eastAsia="Times New Roman"/>
          <w:color w:val="auto"/>
          <w:szCs w:val="24"/>
          <w:lang w:eastAsia="en-GB"/>
        </w:rPr>
        <w:t xml:space="preserve"> </w:t>
      </w:r>
    </w:p>
    <w:p w14:paraId="03BA1587" w14:textId="77777777" w:rsidR="00D71C78" w:rsidRPr="00D71C78" w:rsidRDefault="00D71C78" w:rsidP="00D71C78"/>
    <w:p w14:paraId="14D88063" w14:textId="77777777" w:rsidR="00995314" w:rsidRPr="00995314" w:rsidRDefault="00995314" w:rsidP="00995314"/>
    <w:sectPr w:rsidR="00995314" w:rsidRPr="00995314">
      <w:footerReference w:type="default" r:id="rId1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F5830" w14:textId="77777777" w:rsidR="00D759C6" w:rsidRDefault="00D759C6" w:rsidP="00A87747">
      <w:pPr>
        <w:spacing w:line="240" w:lineRule="auto"/>
      </w:pPr>
      <w:r>
        <w:separator/>
      </w:r>
    </w:p>
  </w:endnote>
  <w:endnote w:type="continuationSeparator" w:id="0">
    <w:p w14:paraId="3DEABB52" w14:textId="77777777" w:rsidR="00D759C6" w:rsidRDefault="00D759C6"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52C25" w14:textId="77777777" w:rsidR="00A87747" w:rsidRDefault="00A87747">
    <w:pPr>
      <w:pStyle w:val="Footer"/>
      <w:jc w:val="center"/>
    </w:pPr>
    <w:r>
      <w:fldChar w:fldCharType="begin"/>
    </w:r>
    <w:r>
      <w:instrText xml:space="preserve"> PAGE   \* MERGEFORMAT </w:instrText>
    </w:r>
    <w:r>
      <w:fldChar w:fldCharType="separate"/>
    </w:r>
    <w:r w:rsidR="00FF760D">
      <w:rPr>
        <w:noProof/>
      </w:rPr>
      <w:t>2</w:t>
    </w:r>
    <w:r>
      <w:rPr>
        <w:noProof/>
      </w:rPr>
      <w:fldChar w:fldCharType="end"/>
    </w:r>
  </w:p>
  <w:p w14:paraId="0E1B767D"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1F940" w14:textId="77777777" w:rsidR="00D759C6" w:rsidRDefault="00D759C6" w:rsidP="00A87747">
      <w:pPr>
        <w:spacing w:line="240" w:lineRule="auto"/>
      </w:pPr>
      <w:r>
        <w:separator/>
      </w:r>
    </w:p>
  </w:footnote>
  <w:footnote w:type="continuationSeparator" w:id="0">
    <w:p w14:paraId="274E4F80" w14:textId="77777777" w:rsidR="00D759C6" w:rsidRDefault="00D759C6" w:rsidP="00A877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7629382">
    <w:abstractNumId w:val="0"/>
  </w:num>
  <w:num w:numId="2" w16cid:durableId="1582375536">
    <w:abstractNumId w:val="1"/>
  </w:num>
  <w:num w:numId="3" w16cid:durableId="2108891001">
    <w:abstractNumId w:val="10"/>
  </w:num>
  <w:num w:numId="4" w16cid:durableId="81529422">
    <w:abstractNumId w:val="24"/>
  </w:num>
  <w:num w:numId="5" w16cid:durableId="623803439">
    <w:abstractNumId w:val="9"/>
  </w:num>
  <w:num w:numId="6" w16cid:durableId="44763987">
    <w:abstractNumId w:val="23"/>
  </w:num>
  <w:num w:numId="7" w16cid:durableId="676663098">
    <w:abstractNumId w:val="27"/>
  </w:num>
  <w:num w:numId="8" w16cid:durableId="1497957702">
    <w:abstractNumId w:val="19"/>
  </w:num>
  <w:num w:numId="9" w16cid:durableId="1978872250">
    <w:abstractNumId w:val="6"/>
  </w:num>
  <w:num w:numId="10" w16cid:durableId="997999734">
    <w:abstractNumId w:val="16"/>
  </w:num>
  <w:num w:numId="11" w16cid:durableId="1409427128">
    <w:abstractNumId w:val="20"/>
  </w:num>
  <w:num w:numId="12" w16cid:durableId="2033989922">
    <w:abstractNumId w:val="11"/>
  </w:num>
  <w:num w:numId="13" w16cid:durableId="979304670">
    <w:abstractNumId w:val="4"/>
  </w:num>
  <w:num w:numId="14" w16cid:durableId="318193482">
    <w:abstractNumId w:val="17"/>
  </w:num>
  <w:num w:numId="15" w16cid:durableId="2050840672">
    <w:abstractNumId w:val="5"/>
  </w:num>
  <w:num w:numId="16" w16cid:durableId="428626935">
    <w:abstractNumId w:val="22"/>
  </w:num>
  <w:num w:numId="17" w16cid:durableId="209850687">
    <w:abstractNumId w:val="3"/>
  </w:num>
  <w:num w:numId="18" w16cid:durableId="1590189738">
    <w:abstractNumId w:val="18"/>
  </w:num>
  <w:num w:numId="19" w16cid:durableId="653535590">
    <w:abstractNumId w:val="2"/>
  </w:num>
  <w:num w:numId="20" w16cid:durableId="741683418">
    <w:abstractNumId w:val="26"/>
  </w:num>
  <w:num w:numId="21" w16cid:durableId="792675214">
    <w:abstractNumId w:val="13"/>
  </w:num>
  <w:num w:numId="22" w16cid:durableId="1947731597">
    <w:abstractNumId w:val="12"/>
  </w:num>
  <w:num w:numId="23" w16cid:durableId="480780282">
    <w:abstractNumId w:val="25"/>
  </w:num>
  <w:num w:numId="24" w16cid:durableId="391537405">
    <w:abstractNumId w:val="28"/>
  </w:num>
  <w:num w:numId="25" w16cid:durableId="1732342470">
    <w:abstractNumId w:val="7"/>
  </w:num>
  <w:num w:numId="26" w16cid:durableId="20716485">
    <w:abstractNumId w:val="15"/>
  </w:num>
  <w:num w:numId="27" w16cid:durableId="2121102081">
    <w:abstractNumId w:val="14"/>
  </w:num>
  <w:num w:numId="28" w16cid:durableId="1723360767">
    <w:abstractNumId w:val="21"/>
  </w:num>
  <w:num w:numId="29" w16cid:durableId="7301549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wNawGiZSaALQAAAA=="/>
  </w:docVars>
  <w:rsids>
    <w:rsidRoot w:val="008D09FF"/>
    <w:rsid w:val="000143B4"/>
    <w:rsid w:val="000157F7"/>
    <w:rsid w:val="000169FC"/>
    <w:rsid w:val="00026F62"/>
    <w:rsid w:val="0003210E"/>
    <w:rsid w:val="00033E1E"/>
    <w:rsid w:val="00043DD1"/>
    <w:rsid w:val="00044E03"/>
    <w:rsid w:val="00051B13"/>
    <w:rsid w:val="0005499F"/>
    <w:rsid w:val="00073CCE"/>
    <w:rsid w:val="00077B6D"/>
    <w:rsid w:val="000824D7"/>
    <w:rsid w:val="0009752E"/>
    <w:rsid w:val="000A0300"/>
    <w:rsid w:val="000A2736"/>
    <w:rsid w:val="000A693F"/>
    <w:rsid w:val="000B4493"/>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531"/>
    <w:rsid w:val="002F4C8F"/>
    <w:rsid w:val="00306373"/>
    <w:rsid w:val="003347F4"/>
    <w:rsid w:val="00335076"/>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4001C6"/>
    <w:rsid w:val="004019AB"/>
    <w:rsid w:val="0040516B"/>
    <w:rsid w:val="00406F8A"/>
    <w:rsid w:val="00410CBD"/>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03F"/>
    <w:rsid w:val="006237FB"/>
    <w:rsid w:val="006302B6"/>
    <w:rsid w:val="006407FE"/>
    <w:rsid w:val="006438EC"/>
    <w:rsid w:val="006475FF"/>
    <w:rsid w:val="00654A6E"/>
    <w:rsid w:val="00656B94"/>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B6BA5"/>
    <w:rsid w:val="007C0686"/>
    <w:rsid w:val="007C1004"/>
    <w:rsid w:val="007C3193"/>
    <w:rsid w:val="007D0A05"/>
    <w:rsid w:val="007D1B17"/>
    <w:rsid w:val="007D4E7D"/>
    <w:rsid w:val="007D6079"/>
    <w:rsid w:val="007E5D62"/>
    <w:rsid w:val="007E61B3"/>
    <w:rsid w:val="007E79B8"/>
    <w:rsid w:val="007F543B"/>
    <w:rsid w:val="007F5B80"/>
    <w:rsid w:val="007F654B"/>
    <w:rsid w:val="00813D9D"/>
    <w:rsid w:val="00814EE5"/>
    <w:rsid w:val="0082293E"/>
    <w:rsid w:val="0083045C"/>
    <w:rsid w:val="0083094A"/>
    <w:rsid w:val="008309B1"/>
    <w:rsid w:val="00831ABD"/>
    <w:rsid w:val="00841350"/>
    <w:rsid w:val="00853117"/>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95314"/>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2BF"/>
    <w:rsid w:val="00B7065F"/>
    <w:rsid w:val="00B71230"/>
    <w:rsid w:val="00B74848"/>
    <w:rsid w:val="00B87943"/>
    <w:rsid w:val="00B91486"/>
    <w:rsid w:val="00B97BB3"/>
    <w:rsid w:val="00BA2FDA"/>
    <w:rsid w:val="00BA45F5"/>
    <w:rsid w:val="00BA67AD"/>
    <w:rsid w:val="00BC0402"/>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CC1"/>
    <w:rsid w:val="00C74D7D"/>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1C78"/>
    <w:rsid w:val="00D73C7F"/>
    <w:rsid w:val="00D759C6"/>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3AC0"/>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C7FEC"/>
    <w:rsid w:val="00ED6A6B"/>
    <w:rsid w:val="00EE04C1"/>
    <w:rsid w:val="00EE2BBA"/>
    <w:rsid w:val="00EE58F1"/>
    <w:rsid w:val="00EF0350"/>
    <w:rsid w:val="00F05440"/>
    <w:rsid w:val="00F10C64"/>
    <w:rsid w:val="00F16569"/>
    <w:rsid w:val="00F17CBC"/>
    <w:rsid w:val="00F31831"/>
    <w:rsid w:val="00F320B3"/>
    <w:rsid w:val="00F35020"/>
    <w:rsid w:val="00F3705F"/>
    <w:rsid w:val="00F42555"/>
    <w:rsid w:val="00F52B0E"/>
    <w:rsid w:val="00F71CCB"/>
    <w:rsid w:val="00F80D70"/>
    <w:rsid w:val="00FA1905"/>
    <w:rsid w:val="00FA3835"/>
    <w:rsid w:val="00FB012C"/>
    <w:rsid w:val="00FB44DD"/>
    <w:rsid w:val="00FB5913"/>
    <w:rsid w:val="00FB636C"/>
    <w:rsid w:val="00FD08F7"/>
    <w:rsid w:val="00FE007F"/>
    <w:rsid w:val="00FE1106"/>
    <w:rsid w:val="00FE22D5"/>
    <w:rsid w:val="00FE2AD0"/>
    <w:rsid w:val="00FE326E"/>
    <w:rsid w:val="00FE3A7A"/>
    <w:rsid w:val="00FE5D8F"/>
    <w:rsid w:val="00FF574F"/>
    <w:rsid w:val="00FF5CDD"/>
    <w:rsid w:val="00FF7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9A0C7E9"/>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232787411">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479856495">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558324735">
      <w:bodyDiv w:val="1"/>
      <w:marLeft w:val="0"/>
      <w:marRight w:val="0"/>
      <w:marTop w:val="0"/>
      <w:marBottom w:val="0"/>
      <w:divBdr>
        <w:top w:val="none" w:sz="0" w:space="0" w:color="auto"/>
        <w:left w:val="none" w:sz="0" w:space="0" w:color="auto"/>
        <w:bottom w:val="none" w:sz="0" w:space="0" w:color="auto"/>
        <w:right w:val="none" w:sz="0" w:space="0" w:color="auto"/>
      </w:divBdr>
      <w:divsChild>
        <w:div w:id="1816028715">
          <w:marLeft w:val="0"/>
          <w:marRight w:val="0"/>
          <w:marTop w:val="0"/>
          <w:marBottom w:val="0"/>
          <w:divBdr>
            <w:top w:val="none" w:sz="0" w:space="0" w:color="auto"/>
            <w:left w:val="none" w:sz="0" w:space="0" w:color="auto"/>
            <w:bottom w:val="none" w:sz="0" w:space="0" w:color="auto"/>
            <w:right w:val="none" w:sz="0" w:space="0" w:color="auto"/>
          </w:divBdr>
        </w:div>
      </w:divsChild>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29463184">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48333581">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36/ihj-2019-000013" TargetMode="External"/><Relationship Id="rId13" Type="http://schemas.openxmlformats.org/officeDocument/2006/relationships/hyperlink" Target="https://www.england.nhs.uk/publication/fit-for-the-future-towards-population-health-delivery-models/" TargetMode="External"/><Relationship Id="rId18" Type="http://schemas.openxmlformats.org/officeDocument/2006/relationships/hyperlink" Target="https://www.nice.org.uk/guidance/qs132/chapter/Quality-statement-4-Care-plann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ngland.nhs.uk/long-read/interoperability" TargetMode="External"/><Relationship Id="rId17" Type="http://schemas.openxmlformats.org/officeDocument/2006/relationships/hyperlink" Target="https://www.england.nhs.uk/integratedcare/what-is-integrated-care/" TargetMode="External"/><Relationship Id="rId2" Type="http://schemas.openxmlformats.org/officeDocument/2006/relationships/numbering" Target="numbering.xml"/><Relationship Id="rId16" Type="http://schemas.openxmlformats.org/officeDocument/2006/relationships/hyperlink" Target="https://digital.nhs.uk/data-and-information/keeping-data-safe-and-benefitting-the-public/gdp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913-024-11351-y" TargetMode="External"/><Relationship Id="rId5" Type="http://schemas.openxmlformats.org/officeDocument/2006/relationships/webSettings" Target="webSettings.xml"/><Relationship Id="rId15" Type="http://schemas.openxmlformats.org/officeDocument/2006/relationships/hyperlink" Target="https://www.theguardian.com/society/2026/jul/04/nhs-ai-app-patients-appropriate-services-health" TargetMode="External"/><Relationship Id="rId10" Type="http://schemas.openxmlformats.org/officeDocument/2006/relationships/hyperlink" Target="https://doi.org/10.1186/s12877-021-02618-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5334/ijic.7603" TargetMode="External"/><Relationship Id="rId14" Type="http://schemas.openxmlformats.org/officeDocument/2006/relationships/hyperlink" Target="https://doi.org/10.1186/s40001-025-03196-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C9B93D-02ED-438C-9A4F-E31C028E2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1829</Words>
  <Characters>10431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Ileana Cristina Marin (2314523)</cp:lastModifiedBy>
  <cp:revision>4</cp:revision>
  <cp:lastPrinted>1900-01-01T00:00:00Z</cp:lastPrinted>
  <dcterms:created xsi:type="dcterms:W3CDTF">2026-07-19T10:49:00Z</dcterms:created>
  <dcterms:modified xsi:type="dcterms:W3CDTF">2026-07-19T11:19:00Z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b66292ba-a64f-4e52-9f19-4d4c5fa4b144</vt:lpwstr>
  </property>
</Properties>
</file>