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B01E3" w14:textId="77777777" w:rsidR="002E61F0" w:rsidRPr="00DB2771" w:rsidRDefault="00FB5BE6" w:rsidP="002E61F0">
      <w:pPr>
        <w:pStyle w:val="MDPI11articletype"/>
      </w:pPr>
      <w:r>
        <w:t>Report</w:t>
      </w:r>
    </w:p>
    <w:p w14:paraId="6564383B" w14:textId="77777777" w:rsidR="002E61F0" w:rsidRDefault="00FB5BE6" w:rsidP="002E61F0">
      <w:pPr>
        <w:pStyle w:val="MDPI12title"/>
        <w:spacing w:line="240" w:lineRule="atLeast"/>
      </w:pPr>
      <w:r>
        <w:t>Green Agenda of The Main Political Parties</w:t>
      </w:r>
    </w:p>
    <w:p w14:paraId="50CE164F" w14:textId="1E306799" w:rsidR="00FB5BE6" w:rsidRPr="00FB5BE6" w:rsidRDefault="001D10F1" w:rsidP="00FB5BE6">
      <w:pPr>
        <w:pStyle w:val="MDPI13authornames"/>
        <w:rPr>
          <w:sz w:val="28"/>
          <w:szCs w:val="28"/>
        </w:rPr>
      </w:pPr>
      <w:r>
        <w:rPr>
          <w:sz w:val="28"/>
          <w:szCs w:val="28"/>
        </w:rPr>
        <w:t>GREEN PARTY</w:t>
      </w:r>
      <w:r w:rsidR="00FB5BE6" w:rsidRPr="00FB5BE6">
        <w:rPr>
          <w:sz w:val="28"/>
          <w:szCs w:val="28"/>
        </w:rPr>
        <w:t xml:space="preserve"> MANIFESTO </w:t>
      </w:r>
    </w:p>
    <w:p w14:paraId="0D3ABD9A" w14:textId="11D7F5E3" w:rsidR="002E61F0" w:rsidRPr="00DB2771" w:rsidRDefault="001D10F1" w:rsidP="002E61F0">
      <w:pPr>
        <w:pStyle w:val="MDPI13authornames"/>
      </w:pPr>
      <w:r>
        <w:t>Rowan Kenney, Imogen Lloyd, Daniel Jackson, Simon Richards and Ashleigh Roberts</w:t>
      </w:r>
    </w:p>
    <w:p w14:paraId="21887BD0" w14:textId="77777777" w:rsidR="002E61F0" w:rsidRPr="00DB2771" w:rsidRDefault="002E61F0" w:rsidP="002E61F0">
      <w:pPr>
        <w:pStyle w:val="MDPI19line"/>
      </w:pPr>
    </w:p>
    <w:p w14:paraId="0C029D41" w14:textId="32FC9D15" w:rsidR="002E61F0" w:rsidRPr="00DB2771" w:rsidRDefault="002E61F0" w:rsidP="002E61F0">
      <w:pPr>
        <w:pStyle w:val="MDPI21heading1"/>
      </w:pPr>
      <w:r w:rsidRPr="00DB2771">
        <w:t>Introduction</w:t>
      </w:r>
    </w:p>
    <w:p w14:paraId="5B576D0D" w14:textId="0FD353EA" w:rsidR="002E61F0" w:rsidRDefault="00DF4421" w:rsidP="002E61F0">
      <w:pPr>
        <w:pStyle w:val="MDPI31text"/>
        <w:rPr>
          <w:highlight w:val="yellow"/>
        </w:rPr>
      </w:pPr>
      <w:bookmarkStart w:id="0" w:name="OLE_LINK1"/>
      <w:bookmarkStart w:id="1" w:name="OLE_LINK2"/>
      <w:r w:rsidRPr="00DF4421">
        <w:t>This report highlights and discusses five major UK political parties’ environmental policies represented by students of BSc Environmental Conservation at The University of Wales Trinity St David, with the notable exception being the Brexit Party. Due to the environmental awareness that has been growing in recent years every political party has devoted more focus than ever before on what stands to become the UK’s first ‘climate election’. Thanks to increased pressure from activists such as Greta Thunberg and groups such as Extinction Rebellion, environmental policies are at the forefront of the political spectrum for the first time. This has led to a catalogue of new policies being discussed all across the political spectrum all the way from The Green Party’s’ new green deal, which aims to transform all aspects of society to be more environmentally conscious through to The Conservatives more moderate aim to become carbon neutral by 2050.</w:t>
      </w:r>
    </w:p>
    <w:p w14:paraId="7DD08AAA" w14:textId="4D627FEE" w:rsidR="001D10F1" w:rsidRDefault="001D10F1" w:rsidP="001D10F1">
      <w:pPr>
        <w:pStyle w:val="MDPI21heading1"/>
      </w:pPr>
      <w:r>
        <w:t>Report</w:t>
      </w:r>
    </w:p>
    <w:p w14:paraId="56D2A773" w14:textId="2FA40428" w:rsidR="001D10F1" w:rsidRDefault="007D3A85" w:rsidP="001D10F1">
      <w:pPr>
        <w:pStyle w:val="MDPI31text"/>
      </w:pPr>
      <w:r>
        <w:t>The Green Party</w:t>
      </w:r>
      <w:r w:rsidR="006D37AB">
        <w:t xml:space="preserve">’s key environmental pledge in their 2019 manifesto is the Green New Deal, an idea that transcends not just party boundaries, but international borders, rising in popularity in the </w:t>
      </w:r>
      <w:r w:rsidR="00C36ECD">
        <w:t>USA</w:t>
      </w:r>
      <w:r w:rsidR="006D37AB">
        <w:t>, from its humble beginnings in 2007 with a collection of economists and environmentalists, including the Green Party</w:t>
      </w:r>
      <w:r w:rsidR="00C36ECD">
        <w:t xml:space="preserve">’s current leader, </w:t>
      </w:r>
      <w:r w:rsidR="006D37AB">
        <w:t>Caroline Lucas (</w:t>
      </w:r>
      <w:proofErr w:type="spellStart"/>
      <w:r w:rsidR="006D37AB">
        <w:t>Pettifor</w:t>
      </w:r>
      <w:proofErr w:type="spellEnd"/>
      <w:r w:rsidR="006D37AB">
        <w:t>, 2019). This Green New Deal</w:t>
      </w:r>
      <w:r w:rsidR="00400113">
        <w:t>,</w:t>
      </w:r>
      <w:r w:rsidR="006D37AB">
        <w:t xml:space="preserve"> as set out in the manifesto</w:t>
      </w:r>
      <w:r w:rsidR="00400113">
        <w:t>,</w:t>
      </w:r>
      <w:r w:rsidR="006D37AB">
        <w:t xml:space="preserve"> is a comprehensive</w:t>
      </w:r>
      <w:r w:rsidR="00400113">
        <w:t xml:space="preserve"> </w:t>
      </w:r>
      <w:proofErr w:type="gramStart"/>
      <w:r w:rsidR="00400113">
        <w:t>10 year</w:t>
      </w:r>
      <w:proofErr w:type="gramEnd"/>
      <w:r w:rsidR="00400113">
        <w:t xml:space="preserve"> plan aiming to transform both the economy and society</w:t>
      </w:r>
      <w:r w:rsidR="00C36ECD">
        <w:t xml:space="preserve"> at large</w:t>
      </w:r>
      <w:r w:rsidR="00400113">
        <w:t xml:space="preserve">, changing </w:t>
      </w:r>
      <w:r w:rsidR="00C36ECD">
        <w:t xml:space="preserve">production and consumption </w:t>
      </w:r>
      <w:r w:rsidR="00400113">
        <w:t>of food and energy, alongside a massive shift within industry and transport. Millions of new ‘green-collar jobs’</w:t>
      </w:r>
      <w:r w:rsidR="00400113" w:rsidRPr="00400113">
        <w:rPr>
          <w:rFonts w:ascii="Times New Roman" w:hAnsi="Times New Roman"/>
          <w:snapToGrid/>
          <w:sz w:val="24"/>
          <w:szCs w:val="20"/>
          <w:lang w:bidi="ar-SA"/>
        </w:rPr>
        <w:t xml:space="preserve"> </w:t>
      </w:r>
      <w:r w:rsidR="00400113" w:rsidRPr="00400113">
        <w:t xml:space="preserve">would be created </w:t>
      </w:r>
      <w:r w:rsidR="00C36ECD">
        <w:t>as a result of this New Deal, across many industries,</w:t>
      </w:r>
      <w:r w:rsidR="00400113">
        <w:t xml:space="preserve"> </w:t>
      </w:r>
      <w:r w:rsidR="00FE1493">
        <w:t xml:space="preserve">atop a universal basic income of £89 a week for </w:t>
      </w:r>
      <w:r w:rsidR="00C36ECD">
        <w:t>all adults</w:t>
      </w:r>
      <w:r w:rsidR="00FE1493">
        <w:t>.</w:t>
      </w:r>
      <w:r w:rsidR="00400113">
        <w:t xml:space="preserve"> The ultimate goal for the Green Party </w:t>
      </w:r>
      <w:r w:rsidR="00C36ECD">
        <w:t>is</w:t>
      </w:r>
      <w:r w:rsidR="00400113">
        <w:t xml:space="preserve"> to reduce carbon emissions to net zero by 2030, at a cost of about £100 billion per </w:t>
      </w:r>
      <w:r w:rsidR="00C36ECD">
        <w:t>year</w:t>
      </w:r>
      <w:r w:rsidR="00400113">
        <w:t>.</w:t>
      </w:r>
    </w:p>
    <w:p w14:paraId="5EC4457C" w14:textId="3B2839F3" w:rsidR="00400113" w:rsidRDefault="00400113" w:rsidP="001D10F1">
      <w:pPr>
        <w:pStyle w:val="MDPI31text"/>
      </w:pPr>
      <w:bookmarkStart w:id="2" w:name="_GoBack"/>
      <w:bookmarkEnd w:id="2"/>
    </w:p>
    <w:p w14:paraId="1143FFF0" w14:textId="18468767" w:rsidR="00400113" w:rsidRDefault="00C36ECD" w:rsidP="001D10F1">
      <w:pPr>
        <w:pStyle w:val="MDPI31text"/>
      </w:pPr>
      <w:r>
        <w:t>Support and incentives would be provided towards</w:t>
      </w:r>
      <w:r w:rsidR="00400113">
        <w:t xml:space="preserve"> renewable energy, with an aim </w:t>
      </w:r>
      <w:r>
        <w:t>of</w:t>
      </w:r>
      <w:r w:rsidR="00400113">
        <w:t xml:space="preserve"> wind power alone provid</w:t>
      </w:r>
      <w:r>
        <w:t>ing</w:t>
      </w:r>
      <w:r w:rsidR="00400113">
        <w:t xml:space="preserve"> around 70% of UK energy by 2030, with the remainder made up by other renewable sources. Fracking would be banned under the Green Party, alongside construction of nuclear power</w:t>
      </w:r>
      <w:r>
        <w:t xml:space="preserve"> stations</w:t>
      </w:r>
      <w:r w:rsidR="00400113">
        <w:t xml:space="preserve">. </w:t>
      </w:r>
      <w:r w:rsidR="00161E0E">
        <w:t xml:space="preserve">Industry would be altered fundamentally, </w:t>
      </w:r>
      <w:r w:rsidR="00161E0E" w:rsidRPr="00161E0E">
        <w:rPr>
          <w:i/>
        </w:rPr>
        <w:t>‘from the carbon past</w:t>
      </w:r>
      <w:r>
        <w:rPr>
          <w:i/>
        </w:rPr>
        <w:t>’...’</w:t>
      </w:r>
      <w:r w:rsidR="00161E0E" w:rsidRPr="00161E0E">
        <w:rPr>
          <w:i/>
        </w:rPr>
        <w:t>towards the renewable future’</w:t>
      </w:r>
      <w:r w:rsidR="00161E0E" w:rsidRPr="00161E0E">
        <w:t>(Green Party</w:t>
      </w:r>
      <w:r w:rsidR="00161E0E">
        <w:t>,</w:t>
      </w:r>
      <w:r w:rsidR="00161E0E" w:rsidRPr="00161E0E">
        <w:t xml:space="preserve"> 2019</w:t>
      </w:r>
      <w:r w:rsidR="00161E0E">
        <w:t>,</w:t>
      </w:r>
      <w:r w:rsidR="00161E0E" w:rsidRPr="00161E0E">
        <w:t xml:space="preserve"> pp.19)</w:t>
      </w:r>
      <w:r w:rsidR="00161E0E">
        <w:t xml:space="preserve">, with a push towards a circular economy </w:t>
      </w:r>
      <w:r>
        <w:t>alongside</w:t>
      </w:r>
      <w:r w:rsidR="00FE3A10">
        <w:t xml:space="preserve"> a 10 year warranty on white goods, as a legal right to repair would come into effect under the Greens. The manifesto also pushes for a ban on single use plastics, </w:t>
      </w:r>
      <w:r w:rsidR="006104FC">
        <w:t>in addition to</w:t>
      </w:r>
      <w:r w:rsidR="00FE3A10">
        <w:t xml:space="preserve"> a promise of 100,000 new homes brought up to the </w:t>
      </w:r>
      <w:proofErr w:type="spellStart"/>
      <w:r w:rsidR="00FE3A10">
        <w:t>Passivhaus</w:t>
      </w:r>
      <w:proofErr w:type="spellEnd"/>
      <w:r w:rsidR="00FE3A10">
        <w:t xml:space="preserve"> standard, </w:t>
      </w:r>
      <w:r w:rsidR="006104FC">
        <w:t>reducing heat losses and thus, need for heating</w:t>
      </w:r>
      <w:r w:rsidR="00FE3A10">
        <w:t xml:space="preserve"> (</w:t>
      </w:r>
      <w:proofErr w:type="spellStart"/>
      <w:r w:rsidR="00FE3A10">
        <w:t>Passivhaus</w:t>
      </w:r>
      <w:proofErr w:type="spellEnd"/>
      <w:r w:rsidR="00FE3A10">
        <w:t xml:space="preserve"> Trust, </w:t>
      </w:r>
      <w:proofErr w:type="spellStart"/>
      <w:r w:rsidR="00FE3A10">
        <w:t>n.d</w:t>
      </w:r>
      <w:proofErr w:type="spellEnd"/>
      <w:r w:rsidR="00FE3A10">
        <w:t xml:space="preserve">) </w:t>
      </w:r>
      <w:r w:rsidR="006104FC">
        <w:t>with</w:t>
      </w:r>
      <w:r w:rsidR="00FE3A10">
        <w:t xml:space="preserve"> these new developments situated in such a way to reduce the need for cars.</w:t>
      </w:r>
    </w:p>
    <w:p w14:paraId="245001F0" w14:textId="6CD98814" w:rsidR="00FE3A10" w:rsidRDefault="00FE3A10" w:rsidP="001D10F1">
      <w:pPr>
        <w:pStyle w:val="MDPI31text"/>
      </w:pPr>
    </w:p>
    <w:p w14:paraId="704645E6" w14:textId="684EAE83" w:rsidR="00FE3A10" w:rsidRDefault="00FE3A10" w:rsidP="001D10F1">
      <w:pPr>
        <w:pStyle w:val="MDPI31text"/>
      </w:pPr>
      <w:r>
        <w:t xml:space="preserve">Another key focus for the Green Party is to end car dependency by </w:t>
      </w:r>
      <w:r w:rsidR="006104FC">
        <w:t>markedly changing</w:t>
      </w:r>
      <w:r>
        <w:t xml:space="preserve"> public transport, pouring £2.5 billion a year </w:t>
      </w:r>
      <w:r w:rsidR="006104FC">
        <w:t>into</w:t>
      </w:r>
      <w:r>
        <w:t xml:space="preserve"> cycleways and footpaths, from sustainable sources</w:t>
      </w:r>
      <w:r w:rsidR="006D5F1B">
        <w:t xml:space="preserve"> (Green Party, 2019)</w:t>
      </w:r>
      <w:r>
        <w:t xml:space="preserve">, </w:t>
      </w:r>
      <w:r w:rsidR="006104FC">
        <w:t>in addition to</w:t>
      </w:r>
      <w:r>
        <w:t xml:space="preserve"> renationalisation of the railways</w:t>
      </w:r>
      <w:r w:rsidR="006104FC">
        <w:t xml:space="preserve"> so </w:t>
      </w:r>
      <w:r>
        <w:t xml:space="preserve">public transport could be made </w:t>
      </w:r>
      <w:r w:rsidR="006104FC">
        <w:t xml:space="preserve">convenient and </w:t>
      </w:r>
      <w:r>
        <w:t xml:space="preserve">cheaper than cars. </w:t>
      </w:r>
      <w:r w:rsidR="006D5F1B">
        <w:t xml:space="preserve">Electric vehicles would be encouraged with carbon taxes, outlawing other types of car in 2030, and added charging stations, although </w:t>
      </w:r>
      <w:r w:rsidR="00225825">
        <w:t>working from home would reduce personal vehicle use too</w:t>
      </w:r>
      <w:r w:rsidR="006D5F1B">
        <w:t>.</w:t>
      </w:r>
      <w:r w:rsidR="00FE1493">
        <w:t xml:space="preserve"> The last portion of the Green New Deal is food, farming and forestry, where the Green Party sets intentions to revolutionise relationship</w:t>
      </w:r>
      <w:r w:rsidR="00225825">
        <w:t>s</w:t>
      </w:r>
      <w:r w:rsidR="00FE1493">
        <w:t xml:space="preserve"> with the land, </w:t>
      </w:r>
      <w:r w:rsidR="00F25EC3">
        <w:t>creating</w:t>
      </w:r>
      <w:r w:rsidR="006104FC">
        <w:t xml:space="preserve"> </w:t>
      </w:r>
      <w:r w:rsidR="006104FC">
        <w:lastRenderedPageBreak/>
        <w:t>a more integrated approach to land use by</w:t>
      </w:r>
      <w:r w:rsidR="00FE1493">
        <w:t xml:space="preserve"> pushing to agroecological farming via subsidies</w:t>
      </w:r>
      <w:r w:rsidR="006104FC">
        <w:t xml:space="preserve"> and</w:t>
      </w:r>
      <w:r w:rsidR="00FE1493">
        <w:t xml:space="preserve"> planting 700 million trees </w:t>
      </w:r>
      <w:r w:rsidR="00F25EC3">
        <w:t>over the decade</w:t>
      </w:r>
      <w:r w:rsidR="00FE1493">
        <w:t xml:space="preserve"> (</w:t>
      </w:r>
      <w:proofErr w:type="spellStart"/>
      <w:r w:rsidR="00FE1493">
        <w:t>Confor</w:t>
      </w:r>
      <w:proofErr w:type="spellEnd"/>
      <w:r w:rsidR="00FE1493">
        <w:t>, 2019</w:t>
      </w:r>
      <w:r w:rsidR="006104FC">
        <w:t>).</w:t>
      </w:r>
    </w:p>
    <w:p w14:paraId="562588C5" w14:textId="3243D82B" w:rsidR="00FE1493" w:rsidRDefault="00FE1493" w:rsidP="001D10F1">
      <w:pPr>
        <w:pStyle w:val="MDPI31text"/>
      </w:pPr>
    </w:p>
    <w:p w14:paraId="6FC8A88F" w14:textId="56F30A7B" w:rsidR="00FE1493" w:rsidRPr="00DB2771" w:rsidRDefault="00C342B0" w:rsidP="001D10F1">
      <w:pPr>
        <w:pStyle w:val="MDPI31text"/>
      </w:pPr>
      <w:r>
        <w:t>While this may seem like masses of environmental policy, the Green Party’s manifesto wasn’t the most eco-ambitious of the British parties, and wasn’t costed. The ‘cost’ of the manifesto ha</w:t>
      </w:r>
      <w:r w:rsidR="008A31CE">
        <w:t>s</w:t>
      </w:r>
      <w:r>
        <w:t xml:space="preserve"> been critiqued, as £100 billion borrowed per year seems extortionate</w:t>
      </w:r>
      <w:r w:rsidR="00745339">
        <w:t>, but it</w:t>
      </w:r>
      <w:r w:rsidR="008A31CE">
        <w:t xml:space="preserve"> ha</w:t>
      </w:r>
      <w:r w:rsidR="00745339">
        <w:t xml:space="preserve">s been calculated that the cost of keeping the Trident nuclear </w:t>
      </w:r>
      <w:proofErr w:type="spellStart"/>
      <w:r w:rsidR="00745339">
        <w:t>programme</w:t>
      </w:r>
      <w:proofErr w:type="spellEnd"/>
      <w:r w:rsidR="00745339">
        <w:t xml:space="preserve"> is about £205 billion (Campaign for Nuclear Disarmament, 2016, pp.1) and as the Green Party seek to end this, there should be ample funds, although the source is a disarmament group so their figure may be slightly biased.</w:t>
      </w:r>
      <w:r w:rsidR="00C36ECD">
        <w:t xml:space="preserve"> The Green Party also introduced a number of sources of income in addition to borrowing, in their manifesto, like the carbon tax that would gradually increase </w:t>
      </w:r>
      <w:r w:rsidR="008A31CE">
        <w:t>with renewables</w:t>
      </w:r>
      <w:r w:rsidR="00C36ECD">
        <w:t>, removal of eco-unfriendly subsidies, and tax reform so that big business may pay its fair dues (Green Party, 2019)</w:t>
      </w:r>
      <w:r w:rsidR="006104FC">
        <w:t>.</w:t>
      </w:r>
    </w:p>
    <w:bookmarkEnd w:id="0"/>
    <w:bookmarkEnd w:id="1"/>
    <w:p w14:paraId="43FF6C88" w14:textId="2DDACD73" w:rsidR="002E61F0" w:rsidRDefault="002E61F0" w:rsidP="002E61F0">
      <w:pPr>
        <w:pStyle w:val="MDPI21heading1"/>
      </w:pPr>
      <w:r>
        <w:t>Conclusion</w:t>
      </w:r>
    </w:p>
    <w:p w14:paraId="3E794171" w14:textId="3237840D" w:rsidR="001D10F1" w:rsidRPr="007D3A85" w:rsidRDefault="001D10F1" w:rsidP="007D3A85">
      <w:pPr>
        <w:pStyle w:val="MDPI31text"/>
        <w:rPr>
          <w:highlight w:val="yellow"/>
          <w:lang w:val="en-GB"/>
        </w:rPr>
      </w:pPr>
      <w:r w:rsidRPr="001D10F1">
        <w:rPr>
          <w:lang w:val="en-GB"/>
        </w:rPr>
        <w:t>As a whole, all of the main political parties in the UK had extraordinarily environmentally conscious manifestos, especially in comparison to previous elections, with both Labour and the Green Party proposing a Green New Deal (which Caroline Lucas, now Green leader helped formulate in 2007), a massive social, environmental and economic shift (</w:t>
      </w:r>
      <w:proofErr w:type="spellStart"/>
      <w:r w:rsidRPr="001D10F1">
        <w:rPr>
          <w:lang w:val="en-GB"/>
        </w:rPr>
        <w:t>Pettifor</w:t>
      </w:r>
      <w:proofErr w:type="spellEnd"/>
      <w:r w:rsidRPr="001D10F1">
        <w:rPr>
          <w:lang w:val="en-GB"/>
        </w:rPr>
        <w:t>, 2019). The Liberal Democrats had a number of environmental policies too, but didn’t sign up to a Green New Deal, whereas the Conservative Party had a more limited number of environmental policies, their focus instead being more economic, while Plaid Cymru has been praised for impressive schemes like a zero waste Wales by 2030, despite shortcomings in tackling agricultural impacts on the environment. All of the parties’ manifestos promised to increase the numbers of trees planted to aid carbon sequestration but again Plaid Cymru’s numbers were significantly beneath that of the English parties, thanks to their focus on a green industrial revolution, although their promise of 2000 hectares planted per year from 2020 aligns with recommendations from the UK Climate Change Committee (</w:t>
      </w:r>
      <w:proofErr w:type="spellStart"/>
      <w:r w:rsidRPr="001D10F1">
        <w:rPr>
          <w:lang w:val="en-GB"/>
        </w:rPr>
        <w:t>Confor</w:t>
      </w:r>
      <w:proofErr w:type="spellEnd"/>
      <w:r w:rsidRPr="001D10F1">
        <w:rPr>
          <w:lang w:val="en-GB"/>
        </w:rPr>
        <w:t>, 2019). Similarly, all the parties support carbon neutrality, with the Conservatives aiming for net zero by 2050, 2045 for Liberal Democrats, 2030 for the Greens and Plaid Cymru, while Labour promised for the bulk of carbon to be neutral by 2030, but no comment on true net zero and furthermore, none of the parties actively supported fracking in their manifestos in 2019 (Timms, 2019). Overall, the Conservatives opted to give themselves longer time targets, and fewer named obligations, making their manifesto relatively easy to act on, while the other parties all have strong environmental policies, which while more challenging to achieve, could show real change in a lifetime if acted upon, according to an assessment by Friends of the Earth (Timms, 2019</w:t>
      </w:r>
      <w:r w:rsidR="00161E0E">
        <w:rPr>
          <w:lang w:val="en-GB"/>
        </w:rPr>
        <w:t>b</w:t>
      </w:r>
      <w:r w:rsidRPr="001D10F1">
        <w:rPr>
          <w:lang w:val="en-GB"/>
        </w:rPr>
        <w:t>). Interesting to note is the increased youth votes for Labour, whose manifesto had the most environmental points of all the parties in this journal, with 56% of the vote among 18-24 year olds, an increasingly environmental generation, although the conservatives ended up winning the most seats to form a government (McDonnell and Curtis, 2019).</w:t>
      </w:r>
    </w:p>
    <w:p w14:paraId="59EBDA45" w14:textId="0F0D3FAF" w:rsidR="002E61F0" w:rsidRDefault="002E61F0" w:rsidP="007521BD">
      <w:pPr>
        <w:pStyle w:val="MDPI21heading1"/>
      </w:pPr>
      <w:r w:rsidRPr="00DB2771">
        <w:t>References</w:t>
      </w:r>
      <w:r w:rsidR="007521BD">
        <w:t xml:space="preserve"> </w:t>
      </w:r>
    </w:p>
    <w:p w14:paraId="5487F48F" w14:textId="2C40C52E" w:rsidR="00745339" w:rsidRDefault="00745339" w:rsidP="001D10F1">
      <w:pPr>
        <w:pStyle w:val="MDPI31text"/>
        <w:rPr>
          <w:lang w:val="en-GB"/>
        </w:rPr>
      </w:pPr>
      <w:r w:rsidRPr="00745339">
        <w:t>Campaign for Nuclear Disarmament. (2016). </w:t>
      </w:r>
      <w:r w:rsidRPr="00745339">
        <w:rPr>
          <w:i/>
          <w:iCs/>
        </w:rPr>
        <w:t>£205 billion: the cost of Trident -</w:t>
      </w:r>
      <w:r w:rsidRPr="00745339">
        <w:t>. [online] Available at: https://cnduk.org/wp-content/uploads/2018/02/Costs-2016-web.pdf [Accessed 2 Mar. 2020].</w:t>
      </w:r>
    </w:p>
    <w:p w14:paraId="698A42A4" w14:textId="7E95D136" w:rsidR="001D10F1" w:rsidRDefault="001D10F1" w:rsidP="001D10F1">
      <w:pPr>
        <w:pStyle w:val="MDPI31text"/>
        <w:rPr>
          <w:lang w:val="en-GB"/>
        </w:rPr>
      </w:pPr>
      <w:proofErr w:type="spellStart"/>
      <w:r w:rsidRPr="001D10F1">
        <w:rPr>
          <w:lang w:val="en-GB"/>
        </w:rPr>
        <w:t>Confor</w:t>
      </w:r>
      <w:proofErr w:type="spellEnd"/>
      <w:r w:rsidRPr="001D10F1">
        <w:rPr>
          <w:lang w:val="en-GB"/>
        </w:rPr>
        <w:t xml:space="preserve"> (2019). </w:t>
      </w:r>
      <w:r w:rsidRPr="001D10F1">
        <w:rPr>
          <w:i/>
          <w:iCs/>
          <w:lang w:val="en-GB"/>
        </w:rPr>
        <w:t>#GE2019 tree planting pledges analysed</w:t>
      </w:r>
      <w:r w:rsidRPr="001D10F1">
        <w:rPr>
          <w:lang w:val="en-GB"/>
        </w:rPr>
        <w:t>. [online] Available at: https://www.confor.org.uk/news/latest-news/ge2019-tree-planting-pledges-analysed/ [Accessed 2 Mar. 2020].</w:t>
      </w:r>
    </w:p>
    <w:p w14:paraId="66BD4AEC" w14:textId="3479BAB3" w:rsidR="001D10F1" w:rsidRPr="001D10F1" w:rsidRDefault="001D10F1" w:rsidP="001D10F1">
      <w:pPr>
        <w:pStyle w:val="MDPI31text"/>
      </w:pPr>
      <w:r w:rsidRPr="001D10F1">
        <w:t>Green Party. (2019). </w:t>
      </w:r>
      <w:r w:rsidRPr="001D10F1">
        <w:rPr>
          <w:i/>
          <w:iCs/>
        </w:rPr>
        <w:t>If Not Now, When- Manifesto 2019</w:t>
      </w:r>
      <w:r w:rsidRPr="001D10F1">
        <w:t>. [online] Available at: https://www.greenparty.org.uk/assets/files/Elections/Green%20Party%20Manifesto%202019.pdf [Accessed 2 Mar. 2020].</w:t>
      </w:r>
    </w:p>
    <w:p w14:paraId="782B7D4B" w14:textId="0B201251" w:rsidR="001D10F1" w:rsidRDefault="001D10F1" w:rsidP="001D10F1">
      <w:pPr>
        <w:pStyle w:val="MDPI31text"/>
        <w:rPr>
          <w:lang w:val="en-GB"/>
        </w:rPr>
      </w:pPr>
      <w:r w:rsidRPr="001D10F1">
        <w:rPr>
          <w:lang w:val="en-GB"/>
        </w:rPr>
        <w:t>McDonnell, A. and Curtis, C. (2019). </w:t>
      </w:r>
      <w:r w:rsidRPr="001D10F1">
        <w:rPr>
          <w:i/>
          <w:iCs/>
          <w:lang w:val="en-GB"/>
        </w:rPr>
        <w:t>How Britain voted in the 2019 general election | YouGov</w:t>
      </w:r>
      <w:r w:rsidRPr="001D10F1">
        <w:rPr>
          <w:lang w:val="en-GB"/>
        </w:rPr>
        <w:t>. [online] YouGov. Available at: https://yougov.co.uk/topics/politics/articles-reports/2019/12/17/how-britain-voted-2019-general-election [Accessed 2 Mar. 2020].</w:t>
      </w:r>
    </w:p>
    <w:p w14:paraId="686B7774" w14:textId="0A8FF19C" w:rsidR="00FE3A10" w:rsidRPr="001D10F1" w:rsidRDefault="00FE3A10" w:rsidP="001D10F1">
      <w:pPr>
        <w:pStyle w:val="MDPI31text"/>
        <w:rPr>
          <w:lang w:val="en-GB"/>
        </w:rPr>
      </w:pPr>
      <w:proofErr w:type="spellStart"/>
      <w:r w:rsidRPr="00FE3A10">
        <w:t>Passivhaus</w:t>
      </w:r>
      <w:proofErr w:type="spellEnd"/>
      <w:r w:rsidRPr="00FE3A10">
        <w:t xml:space="preserve"> Trust. (n.d.). </w:t>
      </w:r>
      <w:r w:rsidRPr="00FE3A10">
        <w:rPr>
          <w:i/>
          <w:iCs/>
        </w:rPr>
        <w:t xml:space="preserve">What is </w:t>
      </w:r>
      <w:proofErr w:type="spellStart"/>
      <w:proofErr w:type="gramStart"/>
      <w:r w:rsidRPr="00FE3A10">
        <w:rPr>
          <w:i/>
          <w:iCs/>
        </w:rPr>
        <w:t>Passivhaus</w:t>
      </w:r>
      <w:proofErr w:type="spellEnd"/>
      <w:r w:rsidRPr="00FE3A10">
        <w:rPr>
          <w:i/>
          <w:iCs/>
        </w:rPr>
        <w:t>?</w:t>
      </w:r>
      <w:r w:rsidRPr="00FE3A10">
        <w:t>.</w:t>
      </w:r>
      <w:proofErr w:type="gramEnd"/>
      <w:r w:rsidRPr="00FE3A10">
        <w:t xml:space="preserve"> [online] Available at: https://www.passivhaustrust.org.uk/what_is_passivhaus.php [Accessed 2 Mar. 2020].</w:t>
      </w:r>
    </w:p>
    <w:p w14:paraId="37729FC8" w14:textId="77777777" w:rsidR="001D10F1" w:rsidRPr="001D10F1" w:rsidRDefault="001D10F1" w:rsidP="001D10F1">
      <w:pPr>
        <w:pStyle w:val="MDPI31text"/>
        <w:rPr>
          <w:lang w:val="en-GB"/>
        </w:rPr>
      </w:pPr>
      <w:proofErr w:type="spellStart"/>
      <w:r w:rsidRPr="001D10F1">
        <w:rPr>
          <w:lang w:val="en-GB"/>
        </w:rPr>
        <w:lastRenderedPageBreak/>
        <w:t>Pettifor</w:t>
      </w:r>
      <w:proofErr w:type="spellEnd"/>
      <w:r w:rsidRPr="001D10F1">
        <w:rPr>
          <w:lang w:val="en-GB"/>
        </w:rPr>
        <w:t>, A. (2019). </w:t>
      </w:r>
      <w:r w:rsidRPr="001D10F1">
        <w:rPr>
          <w:i/>
          <w:iCs/>
          <w:lang w:val="en-GB"/>
        </w:rPr>
        <w:t xml:space="preserve">The beauty of a Green New Deal is that it would pay for itself | Ann </w:t>
      </w:r>
      <w:proofErr w:type="spellStart"/>
      <w:r w:rsidRPr="001D10F1">
        <w:rPr>
          <w:i/>
          <w:iCs/>
          <w:lang w:val="en-GB"/>
        </w:rPr>
        <w:t>Pettifor</w:t>
      </w:r>
      <w:proofErr w:type="spellEnd"/>
      <w:r w:rsidRPr="001D10F1">
        <w:rPr>
          <w:lang w:val="en-GB"/>
        </w:rPr>
        <w:t>. [online] The Guardian. Available at: https://www.theguardian.com/commentisfree/2019/sep/17/green-new-deal-climate-disaster#maincontent [Accessed 2 Mar. 2020].</w:t>
      </w:r>
    </w:p>
    <w:p w14:paraId="4368871C" w14:textId="633A8948" w:rsidR="001D10F1" w:rsidRPr="001D10F1" w:rsidRDefault="001D10F1" w:rsidP="001D10F1">
      <w:pPr>
        <w:pStyle w:val="MDPI31text"/>
        <w:rPr>
          <w:lang w:val="en-GB"/>
        </w:rPr>
      </w:pPr>
      <w:r w:rsidRPr="001D10F1">
        <w:rPr>
          <w:lang w:val="en-GB"/>
        </w:rPr>
        <w:t>Timms, D. (2019</w:t>
      </w:r>
      <w:r w:rsidR="00161E0E">
        <w:rPr>
          <w:lang w:val="en-GB"/>
        </w:rPr>
        <w:t>a</w:t>
      </w:r>
      <w:r w:rsidRPr="001D10F1">
        <w:rPr>
          <w:lang w:val="en-GB"/>
        </w:rPr>
        <w:t xml:space="preserve">). </w:t>
      </w:r>
      <w:r w:rsidRPr="001D10F1">
        <w:rPr>
          <w:i/>
          <w:iCs/>
          <w:lang w:val="en-GB"/>
        </w:rPr>
        <w:t>General Election: our take on the party manifestos | Friends of the Earth</w:t>
      </w:r>
      <w:r w:rsidRPr="001D10F1">
        <w:rPr>
          <w:lang w:val="en-GB"/>
        </w:rPr>
        <w:t>. [online] Friends of the Earth. Available at: https://friendsoftheearth.uk/general-election/general-election-our-take-party-manifestos [Accessed 2 Mar. 2020].</w:t>
      </w:r>
    </w:p>
    <w:p w14:paraId="5712C9AC" w14:textId="7F65C587" w:rsidR="001D10F1" w:rsidRPr="0063720E" w:rsidRDefault="001D10F1" w:rsidP="0063720E">
      <w:pPr>
        <w:pStyle w:val="MDPI31text"/>
        <w:rPr>
          <w:lang w:val="en-GB"/>
        </w:rPr>
      </w:pPr>
      <w:r w:rsidRPr="001D10F1">
        <w:rPr>
          <w:lang w:val="en-GB"/>
        </w:rPr>
        <w:t>Timms, D. (2019</w:t>
      </w:r>
      <w:r w:rsidR="00161E0E">
        <w:rPr>
          <w:lang w:val="en-GB"/>
        </w:rPr>
        <w:t>b</w:t>
      </w:r>
      <w:r w:rsidRPr="001D10F1">
        <w:rPr>
          <w:lang w:val="en-GB"/>
        </w:rPr>
        <w:t>). </w:t>
      </w:r>
      <w:r w:rsidRPr="001D10F1">
        <w:rPr>
          <w:i/>
          <w:iCs/>
          <w:lang w:val="en-GB"/>
        </w:rPr>
        <w:t>General Election 2019 manifestos: final scores | Friends of the Earth</w:t>
      </w:r>
      <w:r w:rsidRPr="001D10F1">
        <w:rPr>
          <w:lang w:val="en-GB"/>
        </w:rPr>
        <w:t>. [online] Friends of the Earth. Available at: https://friendsoftheearth.uk/general-election/general-election-2019-manifestos-final-scores [Accessed 2 Mar. 2020].</w:t>
      </w:r>
    </w:p>
    <w:sectPr w:rsidR="001D10F1" w:rsidRPr="0063720E" w:rsidSect="002E61F0">
      <w:headerReference w:type="even" r:id="rId11"/>
      <w:headerReference w:type="default" r:id="rId12"/>
      <w:footerReference w:type="default" r:id="rId13"/>
      <w:footerReference w:type="first" r:id="rId14"/>
      <w:pgSz w:w="11906" w:h="16838" w:code="9"/>
      <w:pgMar w:top="1417" w:right="1531" w:bottom="1077" w:left="1531" w:header="1020" w:footer="850" w:gutter="0"/>
      <w:lnNumType w:countBy="1" w:restart="continuous"/>
      <w:pgNumType w:start="1"/>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C9E894" w14:textId="77777777" w:rsidR="006104FC" w:rsidRDefault="006104FC">
      <w:pPr>
        <w:spacing w:line="240" w:lineRule="auto"/>
      </w:pPr>
      <w:r>
        <w:separator/>
      </w:r>
    </w:p>
  </w:endnote>
  <w:endnote w:type="continuationSeparator" w:id="0">
    <w:p w14:paraId="1FAB9685" w14:textId="77777777" w:rsidR="006104FC" w:rsidRDefault="00610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426AC" w14:textId="77777777" w:rsidR="006104FC" w:rsidRPr="00DD299E" w:rsidRDefault="006104FC" w:rsidP="004D189B">
    <w:pPr>
      <w:pStyle w:val="Footer"/>
      <w:spacing w:line="240"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E352B1" w14:textId="65C8F025" w:rsidR="006104FC" w:rsidRPr="008B308E" w:rsidRDefault="006104FC" w:rsidP="00E730E5">
    <w:pPr>
      <w:pStyle w:val="MDPIfooterfirstpage"/>
      <w:spacing w:line="240" w:lineRule="auto"/>
      <w:jc w:val="both"/>
      <w:rPr>
        <w:lang w:val="fr-CH"/>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39C94" w14:textId="77777777" w:rsidR="006104FC" w:rsidRDefault="006104FC">
      <w:pPr>
        <w:spacing w:line="240" w:lineRule="auto"/>
      </w:pPr>
      <w:r>
        <w:separator/>
      </w:r>
    </w:p>
  </w:footnote>
  <w:footnote w:type="continuationSeparator" w:id="0">
    <w:p w14:paraId="094A5C9C" w14:textId="77777777" w:rsidR="006104FC" w:rsidRDefault="006104F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BDCB9" w14:textId="77777777" w:rsidR="006104FC" w:rsidRDefault="006104FC" w:rsidP="004D189B">
    <w:pPr>
      <w:pStyle w:val="Header"/>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3DEA87" w14:textId="378C638E" w:rsidR="006104FC" w:rsidRPr="00693933" w:rsidRDefault="006104FC" w:rsidP="00E730E5">
    <w:pPr>
      <w:tabs>
        <w:tab w:val="right" w:pos="8844"/>
      </w:tabs>
      <w:adjustRightInd w:val="0"/>
      <w:snapToGrid w:val="0"/>
      <w:spacing w:after="240" w:line="240" w:lineRule="auto"/>
      <w:rPr>
        <w:rFonts w:ascii="Palatino Linotype" w:hAnsi="Palatino Linotype"/>
        <w:sz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A245F"/>
    <w:multiLevelType w:val="hybridMultilevel"/>
    <w:tmpl w:val="29E20A30"/>
    <w:lvl w:ilvl="0" w:tplc="1AF444CE">
      <w:start w:val="1"/>
      <w:numFmt w:val="decimal"/>
      <w:pStyle w:val="MDPI71References"/>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05051C"/>
    <w:multiLevelType w:val="hybridMultilevel"/>
    <w:tmpl w:val="D6480D34"/>
    <w:lvl w:ilvl="0" w:tplc="CDCEE7DA">
      <w:start w:val="1"/>
      <w:numFmt w:val="decimal"/>
      <w:pStyle w:val="MDPI37itemize"/>
      <w:lvlText w:val="%1."/>
      <w:lvlJc w:val="left"/>
      <w:pPr>
        <w:ind w:left="1429" w:hanging="360"/>
      </w:pPr>
    </w:lvl>
    <w:lvl w:ilvl="1" w:tplc="08070019" w:tentative="1">
      <w:start w:val="1"/>
      <w:numFmt w:val="lowerLetter"/>
      <w:lvlText w:val="%2."/>
      <w:lvlJc w:val="left"/>
      <w:pPr>
        <w:ind w:left="2149" w:hanging="360"/>
      </w:pPr>
    </w:lvl>
    <w:lvl w:ilvl="2" w:tplc="0807001B" w:tentative="1">
      <w:start w:val="1"/>
      <w:numFmt w:val="lowerRoman"/>
      <w:lvlText w:val="%3."/>
      <w:lvlJc w:val="right"/>
      <w:pPr>
        <w:ind w:left="2869" w:hanging="180"/>
      </w:pPr>
    </w:lvl>
    <w:lvl w:ilvl="3" w:tplc="0807000F" w:tentative="1">
      <w:start w:val="1"/>
      <w:numFmt w:val="decimal"/>
      <w:lvlText w:val="%4."/>
      <w:lvlJc w:val="left"/>
      <w:pPr>
        <w:ind w:left="3589" w:hanging="360"/>
      </w:pPr>
    </w:lvl>
    <w:lvl w:ilvl="4" w:tplc="08070019" w:tentative="1">
      <w:start w:val="1"/>
      <w:numFmt w:val="lowerLetter"/>
      <w:lvlText w:val="%5."/>
      <w:lvlJc w:val="left"/>
      <w:pPr>
        <w:ind w:left="4309" w:hanging="360"/>
      </w:pPr>
    </w:lvl>
    <w:lvl w:ilvl="5" w:tplc="0807001B" w:tentative="1">
      <w:start w:val="1"/>
      <w:numFmt w:val="lowerRoman"/>
      <w:lvlText w:val="%6."/>
      <w:lvlJc w:val="right"/>
      <w:pPr>
        <w:ind w:left="5029" w:hanging="180"/>
      </w:pPr>
    </w:lvl>
    <w:lvl w:ilvl="6" w:tplc="0807000F" w:tentative="1">
      <w:start w:val="1"/>
      <w:numFmt w:val="decimal"/>
      <w:lvlText w:val="%7."/>
      <w:lvlJc w:val="left"/>
      <w:pPr>
        <w:ind w:left="5749" w:hanging="360"/>
      </w:pPr>
    </w:lvl>
    <w:lvl w:ilvl="7" w:tplc="08070019" w:tentative="1">
      <w:start w:val="1"/>
      <w:numFmt w:val="lowerLetter"/>
      <w:lvlText w:val="%8."/>
      <w:lvlJc w:val="left"/>
      <w:pPr>
        <w:ind w:left="6469" w:hanging="360"/>
      </w:pPr>
    </w:lvl>
    <w:lvl w:ilvl="8" w:tplc="0807001B" w:tentative="1">
      <w:start w:val="1"/>
      <w:numFmt w:val="lowerRoman"/>
      <w:lvlText w:val="%9."/>
      <w:lvlJc w:val="right"/>
      <w:pPr>
        <w:ind w:left="7189" w:hanging="180"/>
      </w:pPr>
    </w:lvl>
  </w:abstractNum>
  <w:abstractNum w:abstractNumId="2" w15:restartNumberingAfterBreak="0">
    <w:nsid w:val="369A6535"/>
    <w:multiLevelType w:val="hybridMultilevel"/>
    <w:tmpl w:val="3CB68362"/>
    <w:lvl w:ilvl="0" w:tplc="B2367048">
      <w:start w:val="1"/>
      <w:numFmt w:val="bullet"/>
      <w:pStyle w:val="MDPI38bullet"/>
      <w:lvlText w:val=""/>
      <w:lvlJc w:val="left"/>
      <w:pPr>
        <w:ind w:left="1429" w:hanging="360"/>
      </w:pPr>
      <w:rPr>
        <w:rFonts w:ascii="Symbol" w:hAnsi="Symbol" w:hint="default"/>
      </w:rPr>
    </w:lvl>
    <w:lvl w:ilvl="1" w:tplc="08070003" w:tentative="1">
      <w:start w:val="1"/>
      <w:numFmt w:val="bullet"/>
      <w:lvlText w:val="o"/>
      <w:lvlJc w:val="left"/>
      <w:pPr>
        <w:ind w:left="2149" w:hanging="360"/>
      </w:pPr>
      <w:rPr>
        <w:rFonts w:ascii="Courier New" w:hAnsi="Courier New" w:cs="Courier New" w:hint="default"/>
      </w:rPr>
    </w:lvl>
    <w:lvl w:ilvl="2" w:tplc="08070005" w:tentative="1">
      <w:start w:val="1"/>
      <w:numFmt w:val="bullet"/>
      <w:lvlText w:val=""/>
      <w:lvlJc w:val="left"/>
      <w:pPr>
        <w:ind w:left="2869" w:hanging="360"/>
      </w:pPr>
      <w:rPr>
        <w:rFonts w:ascii="Wingdings" w:hAnsi="Wingdings" w:hint="default"/>
      </w:rPr>
    </w:lvl>
    <w:lvl w:ilvl="3" w:tplc="08070001" w:tentative="1">
      <w:start w:val="1"/>
      <w:numFmt w:val="bullet"/>
      <w:lvlText w:val=""/>
      <w:lvlJc w:val="left"/>
      <w:pPr>
        <w:ind w:left="3589" w:hanging="360"/>
      </w:pPr>
      <w:rPr>
        <w:rFonts w:ascii="Symbol" w:hAnsi="Symbol" w:hint="default"/>
      </w:rPr>
    </w:lvl>
    <w:lvl w:ilvl="4" w:tplc="08070003" w:tentative="1">
      <w:start w:val="1"/>
      <w:numFmt w:val="bullet"/>
      <w:lvlText w:val="o"/>
      <w:lvlJc w:val="left"/>
      <w:pPr>
        <w:ind w:left="4309" w:hanging="360"/>
      </w:pPr>
      <w:rPr>
        <w:rFonts w:ascii="Courier New" w:hAnsi="Courier New" w:cs="Courier New" w:hint="default"/>
      </w:rPr>
    </w:lvl>
    <w:lvl w:ilvl="5" w:tplc="08070005" w:tentative="1">
      <w:start w:val="1"/>
      <w:numFmt w:val="bullet"/>
      <w:lvlText w:val=""/>
      <w:lvlJc w:val="left"/>
      <w:pPr>
        <w:ind w:left="5029" w:hanging="360"/>
      </w:pPr>
      <w:rPr>
        <w:rFonts w:ascii="Wingdings" w:hAnsi="Wingdings" w:hint="default"/>
      </w:rPr>
    </w:lvl>
    <w:lvl w:ilvl="6" w:tplc="08070001" w:tentative="1">
      <w:start w:val="1"/>
      <w:numFmt w:val="bullet"/>
      <w:lvlText w:val=""/>
      <w:lvlJc w:val="left"/>
      <w:pPr>
        <w:ind w:left="5749" w:hanging="360"/>
      </w:pPr>
      <w:rPr>
        <w:rFonts w:ascii="Symbol" w:hAnsi="Symbol" w:hint="default"/>
      </w:rPr>
    </w:lvl>
    <w:lvl w:ilvl="7" w:tplc="08070003" w:tentative="1">
      <w:start w:val="1"/>
      <w:numFmt w:val="bullet"/>
      <w:lvlText w:val="o"/>
      <w:lvlJc w:val="left"/>
      <w:pPr>
        <w:ind w:left="6469" w:hanging="360"/>
      </w:pPr>
      <w:rPr>
        <w:rFonts w:ascii="Courier New" w:hAnsi="Courier New" w:cs="Courier New" w:hint="default"/>
      </w:rPr>
    </w:lvl>
    <w:lvl w:ilvl="8" w:tplc="08070005" w:tentative="1">
      <w:start w:val="1"/>
      <w:numFmt w:val="bullet"/>
      <w:lvlText w:val=""/>
      <w:lvlJc w:val="left"/>
      <w:pPr>
        <w:ind w:left="7189" w:hanging="360"/>
      </w:pPr>
      <w:rPr>
        <w:rFonts w:ascii="Wingdings" w:hAnsi="Wingdings" w:hint="default"/>
      </w:rPr>
    </w:lvl>
  </w:abstractNum>
  <w:num w:numId="1">
    <w:abstractNumId w:val="1"/>
  </w:num>
  <w:num w:numId="2">
    <w:abstractNumId w:val="2"/>
  </w:num>
  <w:num w:numId="3">
    <w:abstractNumId w:val="0"/>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attachedTemplate r:id="rId1"/>
  <w:defaultTabStop w:val="420"/>
  <w:drawingGridVerticalSpacing w:val="156"/>
  <w:displayHorizontalDrawingGridEvery w:val="0"/>
  <w:displayVerticalDrawingGridEvery w:val="2"/>
  <w:characterSpacingControl w:val="compressPunctuation"/>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1BD"/>
    <w:rsid w:val="0000245C"/>
    <w:rsid w:val="000236F7"/>
    <w:rsid w:val="00101464"/>
    <w:rsid w:val="00140507"/>
    <w:rsid w:val="00161E0E"/>
    <w:rsid w:val="001A2D44"/>
    <w:rsid w:val="001C4885"/>
    <w:rsid w:val="001D10F1"/>
    <w:rsid w:val="001E2AEB"/>
    <w:rsid w:val="002039FE"/>
    <w:rsid w:val="00212FA6"/>
    <w:rsid w:val="002247BA"/>
    <w:rsid w:val="00225825"/>
    <w:rsid w:val="00240AB6"/>
    <w:rsid w:val="00275822"/>
    <w:rsid w:val="002827B8"/>
    <w:rsid w:val="002B6C09"/>
    <w:rsid w:val="002E61F0"/>
    <w:rsid w:val="00303A0D"/>
    <w:rsid w:val="00326141"/>
    <w:rsid w:val="003404D9"/>
    <w:rsid w:val="0035111E"/>
    <w:rsid w:val="00384BB8"/>
    <w:rsid w:val="0039069E"/>
    <w:rsid w:val="00394A71"/>
    <w:rsid w:val="00400113"/>
    <w:rsid w:val="00401D30"/>
    <w:rsid w:val="00460016"/>
    <w:rsid w:val="00461B89"/>
    <w:rsid w:val="00486B47"/>
    <w:rsid w:val="004D189B"/>
    <w:rsid w:val="004F76F0"/>
    <w:rsid w:val="0052336B"/>
    <w:rsid w:val="00564E26"/>
    <w:rsid w:val="005E6F0B"/>
    <w:rsid w:val="0060575A"/>
    <w:rsid w:val="00605BE1"/>
    <w:rsid w:val="006104FC"/>
    <w:rsid w:val="006335E9"/>
    <w:rsid w:val="0063720E"/>
    <w:rsid w:val="00687971"/>
    <w:rsid w:val="00692393"/>
    <w:rsid w:val="006A321D"/>
    <w:rsid w:val="006D37AB"/>
    <w:rsid w:val="006D5F1B"/>
    <w:rsid w:val="006E09BD"/>
    <w:rsid w:val="006F107B"/>
    <w:rsid w:val="00716F84"/>
    <w:rsid w:val="00745339"/>
    <w:rsid w:val="007521BD"/>
    <w:rsid w:val="007D3A85"/>
    <w:rsid w:val="007E72DF"/>
    <w:rsid w:val="008027F8"/>
    <w:rsid w:val="00807B79"/>
    <w:rsid w:val="008A31CE"/>
    <w:rsid w:val="008A35C9"/>
    <w:rsid w:val="008A6E3D"/>
    <w:rsid w:val="008F68ED"/>
    <w:rsid w:val="00931127"/>
    <w:rsid w:val="00932349"/>
    <w:rsid w:val="009D7A91"/>
    <w:rsid w:val="009F70E6"/>
    <w:rsid w:val="00A034A2"/>
    <w:rsid w:val="00A14EFC"/>
    <w:rsid w:val="00A26E81"/>
    <w:rsid w:val="00A643EC"/>
    <w:rsid w:val="00A67AC6"/>
    <w:rsid w:val="00A771CF"/>
    <w:rsid w:val="00AC0BFE"/>
    <w:rsid w:val="00AE1A53"/>
    <w:rsid w:val="00AE550A"/>
    <w:rsid w:val="00B10D3F"/>
    <w:rsid w:val="00B16A97"/>
    <w:rsid w:val="00B21CDE"/>
    <w:rsid w:val="00B930BA"/>
    <w:rsid w:val="00BC306A"/>
    <w:rsid w:val="00BC6575"/>
    <w:rsid w:val="00C342B0"/>
    <w:rsid w:val="00C36ECD"/>
    <w:rsid w:val="00C818D5"/>
    <w:rsid w:val="00C94FA3"/>
    <w:rsid w:val="00D53C08"/>
    <w:rsid w:val="00D75B53"/>
    <w:rsid w:val="00DB596B"/>
    <w:rsid w:val="00DF4421"/>
    <w:rsid w:val="00E03E00"/>
    <w:rsid w:val="00E730E5"/>
    <w:rsid w:val="00EA6C82"/>
    <w:rsid w:val="00EB7D68"/>
    <w:rsid w:val="00EC6F62"/>
    <w:rsid w:val="00ED57EF"/>
    <w:rsid w:val="00F25EC3"/>
    <w:rsid w:val="00F722C4"/>
    <w:rsid w:val="00F80786"/>
    <w:rsid w:val="00FB5BE6"/>
    <w:rsid w:val="00FC6F80"/>
    <w:rsid w:val="00FE1493"/>
    <w:rsid w:val="00FE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F42199D"/>
  <w15:chartTrackingRefBased/>
  <w15:docId w15:val="{9D75B812-6E01-4D2A-9BF2-990CFF66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E61F0"/>
    <w:pPr>
      <w:spacing w:line="340" w:lineRule="atLeast"/>
      <w:jc w:val="both"/>
    </w:pPr>
    <w:rPr>
      <w:rFonts w:ascii="Times New Roman" w:eastAsia="Times New Roman" w:hAnsi="Times New Roman"/>
      <w:color w:val="000000"/>
      <w:sz w:val="24"/>
      <w:lang w:val="en-US" w:eastAsia="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DPI11articletype">
    <w:name w:val="MDPI_1.1_article_type"/>
    <w:basedOn w:val="MDPI31text"/>
    <w:next w:val="MDPI12title"/>
    <w:qFormat/>
    <w:rsid w:val="002E61F0"/>
    <w:pPr>
      <w:spacing w:before="240" w:line="240" w:lineRule="auto"/>
      <w:ind w:firstLine="0"/>
      <w:jc w:val="left"/>
    </w:pPr>
    <w:rPr>
      <w:i/>
    </w:rPr>
  </w:style>
  <w:style w:type="paragraph" w:customStyle="1" w:styleId="MDPI12title">
    <w:name w:val="MDPI_1.2_title"/>
    <w:next w:val="MDPI13authornames"/>
    <w:qFormat/>
    <w:rsid w:val="002E61F0"/>
    <w:pPr>
      <w:adjustRightInd w:val="0"/>
      <w:snapToGrid w:val="0"/>
      <w:spacing w:after="240" w:line="400" w:lineRule="exact"/>
    </w:pPr>
    <w:rPr>
      <w:rFonts w:ascii="Palatino Linotype" w:eastAsia="Times New Roman" w:hAnsi="Palatino Linotype"/>
      <w:b/>
      <w:snapToGrid w:val="0"/>
      <w:color w:val="000000"/>
      <w:sz w:val="36"/>
      <w:lang w:val="en-US" w:eastAsia="de-DE" w:bidi="en-US"/>
    </w:rPr>
  </w:style>
  <w:style w:type="paragraph" w:customStyle="1" w:styleId="MDPI13authornames">
    <w:name w:val="MDPI_1.3_authornames"/>
    <w:basedOn w:val="MDPI31text"/>
    <w:next w:val="MDPI14history"/>
    <w:qFormat/>
    <w:rsid w:val="002E61F0"/>
    <w:pPr>
      <w:spacing w:after="120"/>
      <w:ind w:firstLine="0"/>
      <w:jc w:val="left"/>
    </w:pPr>
    <w:rPr>
      <w:b/>
      <w:snapToGrid/>
    </w:rPr>
  </w:style>
  <w:style w:type="paragraph" w:customStyle="1" w:styleId="MDPI14history">
    <w:name w:val="MDPI_1.4_history"/>
    <w:basedOn w:val="MDPI62Acknowledgments"/>
    <w:next w:val="Normal"/>
    <w:qFormat/>
    <w:rsid w:val="002E61F0"/>
    <w:pPr>
      <w:ind w:left="113"/>
      <w:jc w:val="left"/>
    </w:pPr>
    <w:rPr>
      <w:snapToGrid/>
    </w:rPr>
  </w:style>
  <w:style w:type="paragraph" w:customStyle="1" w:styleId="MDPI16affiliation">
    <w:name w:val="MDPI_1.6_affiliation"/>
    <w:basedOn w:val="MDPI62Acknowledgments"/>
    <w:qFormat/>
    <w:rsid w:val="002E61F0"/>
    <w:pPr>
      <w:spacing w:before="0"/>
      <w:ind w:left="311" w:hanging="198"/>
      <w:jc w:val="left"/>
    </w:pPr>
    <w:rPr>
      <w:snapToGrid/>
      <w:szCs w:val="18"/>
    </w:rPr>
  </w:style>
  <w:style w:type="paragraph" w:customStyle="1" w:styleId="MDPI17abstract">
    <w:name w:val="MDPI_1.7_abstract"/>
    <w:basedOn w:val="MDPI31text"/>
    <w:next w:val="MDPI18keywords"/>
    <w:qFormat/>
    <w:rsid w:val="002E61F0"/>
    <w:pPr>
      <w:spacing w:before="240"/>
      <w:ind w:left="113" w:firstLine="0"/>
    </w:pPr>
    <w:rPr>
      <w:snapToGrid/>
    </w:rPr>
  </w:style>
  <w:style w:type="paragraph" w:customStyle="1" w:styleId="MDPI18keywords">
    <w:name w:val="MDPI_1.8_keywords"/>
    <w:basedOn w:val="MDPI31text"/>
    <w:next w:val="Normal"/>
    <w:qFormat/>
    <w:rsid w:val="002E61F0"/>
    <w:pPr>
      <w:spacing w:before="240"/>
      <w:ind w:left="113" w:firstLine="0"/>
    </w:pPr>
  </w:style>
  <w:style w:type="paragraph" w:customStyle="1" w:styleId="MDPI19line">
    <w:name w:val="MDPI_1.9_line"/>
    <w:basedOn w:val="MDPI31text"/>
    <w:qFormat/>
    <w:rsid w:val="002E61F0"/>
    <w:pPr>
      <w:pBdr>
        <w:bottom w:val="single" w:sz="6" w:space="1" w:color="auto"/>
      </w:pBdr>
      <w:ind w:firstLine="0"/>
    </w:pPr>
    <w:rPr>
      <w:snapToGrid/>
      <w:szCs w:val="24"/>
    </w:rPr>
  </w:style>
  <w:style w:type="table" w:customStyle="1" w:styleId="Mdeck5tablebodythreelines">
    <w:name w:val="M_deck_5_table_body_three_lines"/>
    <w:basedOn w:val="TableNormal"/>
    <w:uiPriority w:val="99"/>
    <w:rsid w:val="002E61F0"/>
    <w:pPr>
      <w:adjustRightInd w:val="0"/>
      <w:snapToGrid w:val="0"/>
      <w:spacing w:line="300" w:lineRule="exact"/>
      <w:jc w:val="center"/>
    </w:pPr>
    <w:rPr>
      <w:rFonts w:ascii="Times New Roman" w:hAnsi="Times New Roman"/>
      <w:lang w:val="de-DE" w:eastAsia="de-DE"/>
    </w:rPr>
    <w:tblPr>
      <w:jc w:val="center"/>
      <w:tblBorders>
        <w:bottom w:val="single" w:sz="8" w:space="0" w:color="auto"/>
      </w:tblBorders>
    </w:tblPr>
    <w:trPr>
      <w:jc w:val="center"/>
    </w:trPr>
    <w:tcPr>
      <w:vAlign w:val="center"/>
    </w:tcPr>
    <w:tblStylePr w:type="firstRow">
      <w:pPr>
        <w:wordWrap/>
        <w:adjustRightInd w:val="0"/>
        <w:snapToGrid w:val="0"/>
        <w:spacing w:beforeLines="0" w:beforeAutospacing="0" w:afterLines="0" w:afterAutospacing="0" w:line="300" w:lineRule="exact"/>
        <w:ind w:leftChars="0" w:left="0" w:rightChars="0" w:right="0" w:firstLineChars="0" w:firstLine="0"/>
        <w:contextualSpacing w:val="0"/>
        <w:mirrorIndents w:val="0"/>
        <w:jc w:val="center"/>
        <w:outlineLvl w:val="9"/>
      </w:pPr>
      <w:rPr>
        <w:rFonts w:ascii="Times New Roman" w:eastAsia="Times New Roman" w:hAnsi="Times New Roman"/>
        <w:b w:val="0"/>
        <w:i w:val="0"/>
        <w:snapToGrid w:val="0"/>
        <w:sz w:val="22"/>
      </w:rPr>
      <w:tblPr/>
      <w:tcPr>
        <w:tcBorders>
          <w:top w:val="single" w:sz="8" w:space="0" w:color="auto"/>
          <w:left w:val="nil"/>
          <w:bottom w:val="single" w:sz="4" w:space="0" w:color="auto"/>
          <w:right w:val="nil"/>
          <w:insideH w:val="nil"/>
          <w:insideV w:val="nil"/>
          <w:tl2br w:val="nil"/>
          <w:tr2bl w:val="nil"/>
        </w:tcBorders>
      </w:tcPr>
    </w:tblStylePr>
  </w:style>
  <w:style w:type="table" w:styleId="TableGrid">
    <w:name w:val="Table Grid"/>
    <w:basedOn w:val="TableNormal"/>
    <w:uiPriority w:val="59"/>
    <w:rsid w:val="002E61F0"/>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2E61F0"/>
    <w:pPr>
      <w:tabs>
        <w:tab w:val="center" w:pos="4153"/>
        <w:tab w:val="right" w:pos="8306"/>
      </w:tabs>
      <w:snapToGrid w:val="0"/>
      <w:spacing w:line="240" w:lineRule="atLeast"/>
    </w:pPr>
    <w:rPr>
      <w:sz w:val="18"/>
      <w:szCs w:val="18"/>
    </w:rPr>
  </w:style>
  <w:style w:type="character" w:customStyle="1" w:styleId="FooterChar">
    <w:name w:val="Footer Char"/>
    <w:link w:val="Footer"/>
    <w:uiPriority w:val="99"/>
    <w:rsid w:val="002E61F0"/>
    <w:rPr>
      <w:rFonts w:ascii="Times New Roman" w:eastAsia="Times New Roman" w:hAnsi="Times New Roman" w:cs="Times New Roman"/>
      <w:color w:val="000000"/>
      <w:kern w:val="0"/>
      <w:sz w:val="18"/>
      <w:szCs w:val="18"/>
      <w:lang w:eastAsia="de-DE"/>
    </w:rPr>
  </w:style>
  <w:style w:type="paragraph" w:styleId="Header">
    <w:name w:val="header"/>
    <w:basedOn w:val="Normal"/>
    <w:link w:val="HeaderChar"/>
    <w:uiPriority w:val="99"/>
    <w:rsid w:val="002E61F0"/>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HeaderChar">
    <w:name w:val="Header Char"/>
    <w:link w:val="Header"/>
    <w:uiPriority w:val="99"/>
    <w:rsid w:val="002E61F0"/>
    <w:rPr>
      <w:rFonts w:ascii="Times New Roman" w:eastAsia="Times New Roman" w:hAnsi="Times New Roman" w:cs="Times New Roman"/>
      <w:color w:val="000000"/>
      <w:kern w:val="0"/>
      <w:sz w:val="18"/>
      <w:szCs w:val="18"/>
      <w:lang w:eastAsia="de-DE"/>
    </w:rPr>
  </w:style>
  <w:style w:type="paragraph" w:customStyle="1" w:styleId="MDPIheaderjournallogo">
    <w:name w:val="MDPI_header_journal_logo"/>
    <w:qFormat/>
    <w:rsid w:val="002E61F0"/>
    <w:pPr>
      <w:adjustRightInd w:val="0"/>
      <w:snapToGrid w:val="0"/>
    </w:pPr>
    <w:rPr>
      <w:rFonts w:ascii="Palatino Linotype" w:eastAsia="Times New Roman" w:hAnsi="Palatino Linotype"/>
      <w:i/>
      <w:color w:val="000000"/>
      <w:sz w:val="24"/>
      <w:szCs w:val="22"/>
      <w:lang w:val="en-US" w:eastAsia="de-CH"/>
    </w:rPr>
  </w:style>
  <w:style w:type="paragraph" w:customStyle="1" w:styleId="MDPI32textnoindent">
    <w:name w:val="MDPI_3.2_text_no_indent"/>
    <w:basedOn w:val="MDPI31text"/>
    <w:qFormat/>
    <w:rsid w:val="002E61F0"/>
    <w:pPr>
      <w:ind w:firstLine="0"/>
    </w:pPr>
  </w:style>
  <w:style w:type="paragraph" w:customStyle="1" w:styleId="MDPI33textspaceafter">
    <w:name w:val="MDPI_3.3_text_space_after"/>
    <w:basedOn w:val="MDPI31text"/>
    <w:qFormat/>
    <w:rsid w:val="002E61F0"/>
    <w:pPr>
      <w:spacing w:after="240"/>
    </w:pPr>
  </w:style>
  <w:style w:type="paragraph" w:customStyle="1" w:styleId="MDPI35textbeforelist">
    <w:name w:val="MDPI_3.5_text_before_list"/>
    <w:basedOn w:val="MDPI31text"/>
    <w:qFormat/>
    <w:rsid w:val="002E61F0"/>
    <w:pPr>
      <w:spacing w:after="120"/>
    </w:pPr>
  </w:style>
  <w:style w:type="paragraph" w:customStyle="1" w:styleId="MDPI36textafterlist">
    <w:name w:val="MDPI_3.6_text_after_list"/>
    <w:basedOn w:val="MDPI31text"/>
    <w:qFormat/>
    <w:rsid w:val="002E61F0"/>
    <w:pPr>
      <w:spacing w:before="120"/>
    </w:pPr>
  </w:style>
  <w:style w:type="paragraph" w:customStyle="1" w:styleId="MDPI37itemize">
    <w:name w:val="MDPI_3.7_itemize"/>
    <w:basedOn w:val="MDPI31text"/>
    <w:qFormat/>
    <w:rsid w:val="002E61F0"/>
    <w:pPr>
      <w:numPr>
        <w:numId w:val="1"/>
      </w:numPr>
      <w:ind w:left="425" w:hanging="425"/>
    </w:pPr>
  </w:style>
  <w:style w:type="paragraph" w:customStyle="1" w:styleId="MDPI38bullet">
    <w:name w:val="MDPI_3.8_bullet"/>
    <w:basedOn w:val="MDPI31text"/>
    <w:qFormat/>
    <w:rsid w:val="002E61F0"/>
    <w:pPr>
      <w:numPr>
        <w:numId w:val="2"/>
      </w:numPr>
      <w:ind w:left="425" w:hanging="425"/>
    </w:pPr>
  </w:style>
  <w:style w:type="paragraph" w:customStyle="1" w:styleId="MDPI39equation">
    <w:name w:val="MDPI_3.9_equation"/>
    <w:basedOn w:val="MDPI31text"/>
    <w:qFormat/>
    <w:rsid w:val="002E61F0"/>
    <w:pPr>
      <w:spacing w:before="120" w:after="120"/>
      <w:ind w:left="709" w:firstLine="0"/>
      <w:jc w:val="center"/>
    </w:pPr>
  </w:style>
  <w:style w:type="paragraph" w:customStyle="1" w:styleId="MDPI3aequationnumber">
    <w:name w:val="MDPI_3.a_equation_number"/>
    <w:basedOn w:val="MDPI31text"/>
    <w:qFormat/>
    <w:rsid w:val="002E61F0"/>
    <w:pPr>
      <w:spacing w:before="120" w:after="120" w:line="240" w:lineRule="auto"/>
      <w:ind w:firstLine="0"/>
      <w:jc w:val="right"/>
    </w:pPr>
  </w:style>
  <w:style w:type="paragraph" w:customStyle="1" w:styleId="MDPI62Acknowledgments">
    <w:name w:val="MDPI_6.2_Acknowledgments"/>
    <w:qFormat/>
    <w:rsid w:val="002E61F0"/>
    <w:pPr>
      <w:adjustRightInd w:val="0"/>
      <w:snapToGrid w:val="0"/>
      <w:spacing w:before="120" w:line="200" w:lineRule="atLeast"/>
      <w:jc w:val="both"/>
    </w:pPr>
    <w:rPr>
      <w:rFonts w:ascii="Palatino Linotype" w:eastAsia="Times New Roman" w:hAnsi="Palatino Linotype"/>
      <w:snapToGrid w:val="0"/>
      <w:color w:val="000000"/>
      <w:sz w:val="18"/>
      <w:lang w:val="en-US" w:eastAsia="de-DE" w:bidi="en-US"/>
    </w:rPr>
  </w:style>
  <w:style w:type="paragraph" w:customStyle="1" w:styleId="MDPI41tablecaption">
    <w:name w:val="MDPI_4.1_table_caption"/>
    <w:basedOn w:val="MDPI62Acknowledgments"/>
    <w:qFormat/>
    <w:rsid w:val="002E61F0"/>
    <w:pPr>
      <w:spacing w:before="240" w:after="120" w:line="260" w:lineRule="atLeast"/>
      <w:ind w:left="425" w:right="425"/>
    </w:pPr>
    <w:rPr>
      <w:snapToGrid/>
      <w:szCs w:val="22"/>
    </w:rPr>
  </w:style>
  <w:style w:type="paragraph" w:customStyle="1" w:styleId="MDPI42tablebody">
    <w:name w:val="MDPI_4.2_table_body"/>
    <w:qFormat/>
    <w:rsid w:val="003404D9"/>
    <w:pPr>
      <w:adjustRightInd w:val="0"/>
      <w:snapToGrid w:val="0"/>
      <w:spacing w:line="260" w:lineRule="atLeast"/>
      <w:jc w:val="center"/>
    </w:pPr>
    <w:rPr>
      <w:rFonts w:ascii="Palatino Linotype" w:eastAsia="Times New Roman" w:hAnsi="Palatino Linotype"/>
      <w:snapToGrid w:val="0"/>
      <w:color w:val="000000"/>
      <w:lang w:val="en-US" w:eastAsia="de-DE" w:bidi="en-US"/>
    </w:rPr>
  </w:style>
  <w:style w:type="paragraph" w:customStyle="1" w:styleId="MDPI43tablefooter">
    <w:name w:val="MDPI_4.3_table_footer"/>
    <w:basedOn w:val="MDPI41tablecaption"/>
    <w:next w:val="MDPI31text"/>
    <w:qFormat/>
    <w:rsid w:val="002E61F0"/>
    <w:pPr>
      <w:spacing w:before="0"/>
      <w:ind w:left="0" w:right="0"/>
    </w:pPr>
  </w:style>
  <w:style w:type="paragraph" w:customStyle="1" w:styleId="MDPI51figurecaption">
    <w:name w:val="MDPI_5.1_figure_caption"/>
    <w:basedOn w:val="MDPI62Acknowledgments"/>
    <w:qFormat/>
    <w:rsid w:val="002E61F0"/>
    <w:pPr>
      <w:spacing w:after="240" w:line="260" w:lineRule="atLeast"/>
      <w:ind w:left="425" w:right="425"/>
    </w:pPr>
    <w:rPr>
      <w:snapToGrid/>
    </w:rPr>
  </w:style>
  <w:style w:type="paragraph" w:customStyle="1" w:styleId="MDPI52figure">
    <w:name w:val="MDPI_5.2_figure"/>
    <w:qFormat/>
    <w:rsid w:val="002E61F0"/>
    <w:pPr>
      <w:jc w:val="center"/>
    </w:pPr>
    <w:rPr>
      <w:rFonts w:ascii="Palatino Linotype" w:eastAsia="Times New Roman" w:hAnsi="Palatino Linotype"/>
      <w:snapToGrid w:val="0"/>
      <w:color w:val="000000"/>
      <w:sz w:val="24"/>
      <w:lang w:val="en-US" w:eastAsia="de-DE" w:bidi="en-US"/>
    </w:rPr>
  </w:style>
  <w:style w:type="paragraph" w:customStyle="1" w:styleId="MDPI61Supplementary">
    <w:name w:val="MDPI_6.1_Supplementary"/>
    <w:basedOn w:val="MDPI62Acknowledgments"/>
    <w:qFormat/>
    <w:rsid w:val="002E61F0"/>
    <w:pPr>
      <w:spacing w:before="240"/>
    </w:pPr>
    <w:rPr>
      <w:lang w:eastAsia="en-US"/>
    </w:rPr>
  </w:style>
  <w:style w:type="paragraph" w:customStyle="1" w:styleId="MDPI63AuthorContributions">
    <w:name w:val="MDPI_6.3_AuthorContributions"/>
    <w:basedOn w:val="MDPI62Acknowledgments"/>
    <w:qFormat/>
    <w:rsid w:val="002E61F0"/>
    <w:rPr>
      <w:rFonts w:eastAsia="SimSun"/>
      <w:color w:val="auto"/>
      <w:lang w:eastAsia="en-US"/>
    </w:rPr>
  </w:style>
  <w:style w:type="paragraph" w:customStyle="1" w:styleId="MDPI64CoI">
    <w:name w:val="MDPI_6.4_CoI"/>
    <w:basedOn w:val="MDPI62Acknowledgments"/>
    <w:qFormat/>
    <w:rsid w:val="002E61F0"/>
  </w:style>
  <w:style w:type="paragraph" w:customStyle="1" w:styleId="MDPIfooterfirstpage">
    <w:name w:val="MDPI_footer_firstpage"/>
    <w:basedOn w:val="Normal"/>
    <w:qFormat/>
    <w:rsid w:val="002E61F0"/>
    <w:pPr>
      <w:tabs>
        <w:tab w:val="right" w:pos="8845"/>
      </w:tabs>
      <w:adjustRightInd w:val="0"/>
      <w:snapToGrid w:val="0"/>
      <w:spacing w:before="120" w:line="160" w:lineRule="exact"/>
      <w:jc w:val="left"/>
    </w:pPr>
    <w:rPr>
      <w:rFonts w:ascii="Palatino Linotype" w:hAnsi="Palatino Linotype"/>
      <w:color w:val="auto"/>
      <w:sz w:val="16"/>
    </w:rPr>
  </w:style>
  <w:style w:type="paragraph" w:customStyle="1" w:styleId="MDPI31text">
    <w:name w:val="MDPI_3.1_text"/>
    <w:qFormat/>
    <w:rsid w:val="002E61F0"/>
    <w:pPr>
      <w:adjustRightInd w:val="0"/>
      <w:snapToGrid w:val="0"/>
      <w:spacing w:line="260" w:lineRule="atLeast"/>
      <w:ind w:firstLine="425"/>
      <w:jc w:val="both"/>
    </w:pPr>
    <w:rPr>
      <w:rFonts w:ascii="Palatino Linotype" w:eastAsia="Times New Roman" w:hAnsi="Palatino Linotype"/>
      <w:snapToGrid w:val="0"/>
      <w:color w:val="000000"/>
      <w:szCs w:val="22"/>
      <w:lang w:val="en-US" w:eastAsia="de-DE" w:bidi="en-US"/>
    </w:rPr>
  </w:style>
  <w:style w:type="paragraph" w:customStyle="1" w:styleId="MDPI23heading3">
    <w:name w:val="MDPI_2.3_heading3"/>
    <w:basedOn w:val="MDPI31text"/>
    <w:qFormat/>
    <w:rsid w:val="002E61F0"/>
    <w:pPr>
      <w:spacing w:before="240" w:after="120"/>
      <w:ind w:firstLine="0"/>
      <w:jc w:val="left"/>
      <w:outlineLvl w:val="2"/>
    </w:pPr>
  </w:style>
  <w:style w:type="paragraph" w:customStyle="1" w:styleId="MDPI21heading1">
    <w:name w:val="MDPI_2.1_heading1"/>
    <w:basedOn w:val="MDPI23heading3"/>
    <w:qFormat/>
    <w:rsid w:val="002E61F0"/>
    <w:pPr>
      <w:outlineLvl w:val="0"/>
    </w:pPr>
    <w:rPr>
      <w:b/>
    </w:rPr>
  </w:style>
  <w:style w:type="paragraph" w:customStyle="1" w:styleId="MDPI22heading2">
    <w:name w:val="MDPI_2.2_heading2"/>
    <w:basedOn w:val="Normal"/>
    <w:qFormat/>
    <w:rsid w:val="002E61F0"/>
    <w:pPr>
      <w:kinsoku w:val="0"/>
      <w:overflowPunct w:val="0"/>
      <w:autoSpaceDE w:val="0"/>
      <w:autoSpaceDN w:val="0"/>
      <w:adjustRightInd w:val="0"/>
      <w:snapToGrid w:val="0"/>
      <w:spacing w:before="240" w:after="120" w:line="260" w:lineRule="atLeast"/>
      <w:jc w:val="left"/>
      <w:outlineLvl w:val="1"/>
    </w:pPr>
    <w:rPr>
      <w:rFonts w:ascii="Palatino Linotype" w:hAnsi="Palatino Linotype"/>
      <w:i/>
      <w:noProof/>
      <w:snapToGrid w:val="0"/>
      <w:sz w:val="20"/>
      <w:szCs w:val="22"/>
      <w:lang w:bidi="en-US"/>
    </w:rPr>
  </w:style>
  <w:style w:type="paragraph" w:customStyle="1" w:styleId="MDPI71References">
    <w:name w:val="MDPI_7.1_References"/>
    <w:basedOn w:val="MDPI62Acknowledgments"/>
    <w:qFormat/>
    <w:rsid w:val="002E61F0"/>
    <w:pPr>
      <w:numPr>
        <w:numId w:val="3"/>
      </w:numPr>
      <w:spacing w:before="0" w:line="260" w:lineRule="atLeast"/>
      <w:ind w:left="425" w:hanging="425"/>
    </w:pPr>
  </w:style>
  <w:style w:type="paragraph" w:styleId="BalloonText">
    <w:name w:val="Balloon Text"/>
    <w:basedOn w:val="Normal"/>
    <w:link w:val="BalloonTextChar"/>
    <w:uiPriority w:val="99"/>
    <w:semiHidden/>
    <w:unhideWhenUsed/>
    <w:rsid w:val="002E61F0"/>
    <w:pPr>
      <w:spacing w:line="240" w:lineRule="auto"/>
    </w:pPr>
    <w:rPr>
      <w:sz w:val="18"/>
      <w:szCs w:val="18"/>
    </w:rPr>
  </w:style>
  <w:style w:type="character" w:customStyle="1" w:styleId="BalloonTextChar">
    <w:name w:val="Balloon Text Char"/>
    <w:link w:val="BalloonText"/>
    <w:uiPriority w:val="99"/>
    <w:semiHidden/>
    <w:rsid w:val="002E61F0"/>
    <w:rPr>
      <w:rFonts w:ascii="Times New Roman" w:eastAsia="Times New Roman" w:hAnsi="Times New Roman" w:cs="Times New Roman"/>
      <w:color w:val="000000"/>
      <w:kern w:val="0"/>
      <w:sz w:val="18"/>
      <w:szCs w:val="18"/>
      <w:lang w:eastAsia="de-DE"/>
    </w:rPr>
  </w:style>
  <w:style w:type="character" w:styleId="LineNumber">
    <w:name w:val="line number"/>
    <w:basedOn w:val="DefaultParagraphFont"/>
    <w:uiPriority w:val="99"/>
    <w:semiHidden/>
    <w:unhideWhenUsed/>
    <w:rsid w:val="002E61F0"/>
  </w:style>
  <w:style w:type="table" w:customStyle="1" w:styleId="MDPI41threelinetable">
    <w:name w:val="MDPI_4.1_three_line_table"/>
    <w:basedOn w:val="TableNormal"/>
    <w:uiPriority w:val="99"/>
    <w:rsid w:val="003404D9"/>
    <w:pPr>
      <w:adjustRightInd w:val="0"/>
      <w:snapToGrid w:val="0"/>
      <w:jc w:val="center"/>
    </w:pPr>
    <w:rPr>
      <w:rFonts w:ascii="Palatino Linotype" w:hAnsi="Palatino Linotype"/>
      <w:color w:val="000000"/>
    </w:rPr>
    <w:tblPr>
      <w:jc w:val="center"/>
      <w:tblBorders>
        <w:top w:val="single" w:sz="8" w:space="0" w:color="auto"/>
        <w:bottom w:val="single" w:sz="8" w:space="0" w:color="auto"/>
      </w:tblBorders>
    </w:tblPr>
    <w:trPr>
      <w:jc w:val="center"/>
    </w:trPr>
    <w:tcPr>
      <w:vAlign w:val="center"/>
    </w:tcPr>
    <w:tblStylePr w:type="firstRow">
      <w:rPr>
        <w:rFonts w:ascii="Calibri Light" w:hAnsi="Calibri Light"/>
        <w:b/>
        <w:i w:val="0"/>
        <w:sz w:val="20"/>
      </w:rPr>
      <w:tblPr/>
      <w:tcPr>
        <w:tcBorders>
          <w:bottom w:val="single" w:sz="4" w:space="0" w:color="auto"/>
        </w:tcBorders>
      </w:tcPr>
    </w:tblStylePr>
  </w:style>
  <w:style w:type="character" w:styleId="Hyperlink">
    <w:name w:val="Hyperlink"/>
    <w:uiPriority w:val="99"/>
    <w:unhideWhenUsed/>
    <w:rsid w:val="001A2D44"/>
    <w:rPr>
      <w:color w:val="0563C1"/>
      <w:u w:val="single"/>
    </w:rPr>
  </w:style>
  <w:style w:type="character" w:styleId="UnresolvedMention">
    <w:name w:val="Unresolved Mention"/>
    <w:uiPriority w:val="99"/>
    <w:semiHidden/>
    <w:unhideWhenUsed/>
    <w:rsid w:val="008027F8"/>
    <w:rPr>
      <w:color w:val="605E5C"/>
      <w:shd w:val="clear" w:color="auto" w:fill="E1DFDD"/>
    </w:rPr>
  </w:style>
  <w:style w:type="table" w:styleId="PlainTable4">
    <w:name w:val="Plain Table 4"/>
    <w:basedOn w:val="TableNormal"/>
    <w:uiPriority w:val="44"/>
    <w:rsid w:val="00B930B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iso-8859-6"/>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907207\Downloads\minerals-templat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DD879-83D7-4BE8-B30C-05DC37158835}">
  <ds:schemaRefs>
    <ds:schemaRef ds:uri="http://schemas.microsoft.com/sharepoint/v3/contenttype/forms"/>
  </ds:schemaRefs>
</ds:datastoreItem>
</file>

<file path=customXml/itemProps2.xml><?xml version="1.0" encoding="utf-8"?>
<ds:datastoreItem xmlns:ds="http://schemas.openxmlformats.org/officeDocument/2006/customXml" ds:itemID="{54FDF37F-2779-40A2-8690-3695768DAC0B}">
  <ds:schemaRefs>
    <ds:schemaRef ds:uri="http://purl.org/dc/dcmitype/"/>
    <ds:schemaRef ds:uri="38a49699-8251-46aa-85ce-476a66afaff0"/>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terms/"/>
    <ds:schemaRef ds:uri="http://purl.org/dc/elements/1.1/"/>
  </ds:schemaRefs>
</ds:datastoreItem>
</file>

<file path=customXml/itemProps3.xml><?xml version="1.0" encoding="utf-8"?>
<ds:datastoreItem xmlns:ds="http://schemas.openxmlformats.org/officeDocument/2006/customXml" ds:itemID="{E5A917C2-7668-4B2E-98AB-F2085688CF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F044DB-8E79-41BF-9081-3E14FF30E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minerals-template</Template>
  <TotalTime>0</TotalTime>
  <Pages>3</Pages>
  <Words>1285</Words>
  <Characters>7329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8597</CharactersWithSpaces>
  <SharedDoc>false</SharedDoc>
  <HLinks>
    <vt:vector size="6" baseType="variant">
      <vt:variant>
        <vt:i4>6094915</vt:i4>
      </vt:variant>
      <vt:variant>
        <vt:i4>0</vt:i4>
      </vt:variant>
      <vt:variant>
        <vt:i4>0</vt:i4>
      </vt:variant>
      <vt:variant>
        <vt:i4>5</vt:i4>
      </vt:variant>
      <vt:variant>
        <vt:lpwstr>http://img.mdpi.org/data/contributor-role-instruction.pdf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Lloyd-james (1907207)</dc:creator>
  <cp:keywords/>
  <dc:description/>
  <cp:lastModifiedBy>Rowan Kenney</cp:lastModifiedBy>
  <cp:revision>2</cp:revision>
  <dcterms:created xsi:type="dcterms:W3CDTF">2020-03-02T22:25:00Z</dcterms:created>
  <dcterms:modified xsi:type="dcterms:W3CDTF">2020-03-02T22:25:00Z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