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4E0A1E" w14:textId="72F6F253" w:rsidR="00D642AD" w:rsidRDefault="1E0619E2" w:rsidP="1A46E922">
      <w:pPr>
        <w:spacing w:line="257" w:lineRule="auto"/>
        <w:jc w:val="right"/>
      </w:pPr>
      <w:r w:rsidRPr="1A46E922">
        <w:rPr>
          <w:rFonts w:ascii="Calibri" w:eastAsia="Calibri" w:hAnsi="Calibri" w:cs="Calibri"/>
          <w:sz w:val="24"/>
          <w:szCs w:val="24"/>
        </w:rPr>
        <w:t>Bethan Davies</w:t>
      </w:r>
    </w:p>
    <w:p w14:paraId="261F552E" w14:textId="43D6D16B" w:rsidR="00D642AD" w:rsidRDefault="1E0619E2" w:rsidP="1A46E922">
      <w:pPr>
        <w:spacing w:line="257" w:lineRule="auto"/>
        <w:jc w:val="right"/>
      </w:pPr>
      <w:r w:rsidRPr="1A46E922">
        <w:rPr>
          <w:rFonts w:ascii="Calibri" w:eastAsia="Calibri" w:hAnsi="Calibri" w:cs="Calibri"/>
          <w:sz w:val="24"/>
          <w:szCs w:val="24"/>
        </w:rPr>
        <w:t>2101063</w:t>
      </w:r>
    </w:p>
    <w:p w14:paraId="411E4ED7" w14:textId="2D037210" w:rsidR="00D642AD" w:rsidRDefault="1E0619E2" w:rsidP="1A46E922">
      <w:pPr>
        <w:spacing w:line="257" w:lineRule="auto"/>
        <w:jc w:val="right"/>
      </w:pPr>
      <w:r w:rsidRPr="1A46E922">
        <w:rPr>
          <w:rFonts w:ascii="Calibri" w:eastAsia="Calibri" w:hAnsi="Calibri" w:cs="Calibri"/>
          <w:sz w:val="24"/>
          <w:szCs w:val="24"/>
        </w:rPr>
        <w:t>ACAA5003</w:t>
      </w:r>
    </w:p>
    <w:p w14:paraId="1A68DE01" w14:textId="74624A44" w:rsidR="00D642AD" w:rsidRDefault="1E0619E2" w:rsidP="1A46E922">
      <w:pPr>
        <w:spacing w:line="257" w:lineRule="auto"/>
        <w:jc w:val="right"/>
      </w:pPr>
      <w:r w:rsidRPr="1A46E922">
        <w:rPr>
          <w:rFonts w:ascii="Calibri" w:eastAsia="Calibri" w:hAnsi="Calibri" w:cs="Calibri"/>
          <w:sz w:val="24"/>
          <w:szCs w:val="24"/>
        </w:rPr>
        <w:t xml:space="preserve"> </w:t>
      </w:r>
    </w:p>
    <w:p w14:paraId="2159774A" w14:textId="162CE201" w:rsidR="00D642AD" w:rsidRDefault="1E0619E2" w:rsidP="1A46E922">
      <w:pPr>
        <w:spacing w:line="257" w:lineRule="auto"/>
        <w:jc w:val="center"/>
      </w:pPr>
      <w:r w:rsidRPr="1A46E922"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</w:p>
    <w:p w14:paraId="12F3967E" w14:textId="3CE77C70" w:rsidR="00D642AD" w:rsidRDefault="1E0619E2" w:rsidP="1A46E922">
      <w:pPr>
        <w:spacing w:line="257" w:lineRule="auto"/>
        <w:jc w:val="center"/>
      </w:pPr>
      <w:r w:rsidRPr="1A46E922"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</w:p>
    <w:p w14:paraId="5DE23E31" w14:textId="29B92942" w:rsidR="00D642AD" w:rsidRDefault="1E0619E2" w:rsidP="1A46E922">
      <w:pPr>
        <w:spacing w:line="257" w:lineRule="auto"/>
        <w:jc w:val="center"/>
      </w:pPr>
      <w:r w:rsidRPr="1A46E922">
        <w:rPr>
          <w:rFonts w:ascii="Calibri" w:eastAsia="Calibri" w:hAnsi="Calibri" w:cs="Calibri"/>
          <w:b/>
          <w:bCs/>
          <w:sz w:val="28"/>
          <w:szCs w:val="28"/>
          <w:u w:val="single"/>
        </w:rPr>
        <w:t>Dissertation Synopsis</w:t>
      </w:r>
    </w:p>
    <w:p w14:paraId="1BBCF288" w14:textId="3FD6EF98" w:rsidR="00D642AD" w:rsidRDefault="1E0619E2" w:rsidP="1A46E922">
      <w:pPr>
        <w:spacing w:line="257" w:lineRule="auto"/>
        <w:jc w:val="center"/>
      </w:pPr>
      <w:r w:rsidRPr="1A46E922">
        <w:rPr>
          <w:rFonts w:ascii="Calibri" w:eastAsia="Calibri" w:hAnsi="Calibri" w:cs="Calibri"/>
          <w:sz w:val="24"/>
          <w:szCs w:val="24"/>
        </w:rPr>
        <w:t xml:space="preserve"> </w:t>
      </w:r>
    </w:p>
    <w:p w14:paraId="57A02162" w14:textId="27D26815" w:rsidR="00D642AD" w:rsidRDefault="1E0619E2" w:rsidP="1A46E922">
      <w:pPr>
        <w:spacing w:line="257" w:lineRule="auto"/>
        <w:jc w:val="center"/>
      </w:pPr>
      <w:r w:rsidRPr="1A46E922">
        <w:rPr>
          <w:rFonts w:ascii="Calibri" w:eastAsia="Calibri" w:hAnsi="Calibri" w:cs="Calibri"/>
          <w:sz w:val="24"/>
          <w:szCs w:val="24"/>
        </w:rPr>
        <w:t>Monuments of remembrance. How architecture mourns the dead?</w:t>
      </w:r>
    </w:p>
    <w:p w14:paraId="58B20B59" w14:textId="5DB13055" w:rsidR="00D642AD" w:rsidRDefault="1E0619E2" w:rsidP="1A46E922">
      <w:pPr>
        <w:spacing w:line="257" w:lineRule="auto"/>
        <w:jc w:val="center"/>
      </w:pPr>
      <w:r w:rsidRPr="1A46E922">
        <w:rPr>
          <w:rFonts w:ascii="Calibri" w:eastAsia="Calibri" w:hAnsi="Calibri" w:cs="Calibri"/>
          <w:sz w:val="24"/>
          <w:szCs w:val="24"/>
        </w:rPr>
        <w:t xml:space="preserve"> </w:t>
      </w:r>
    </w:p>
    <w:p w14:paraId="0AB48D67" w14:textId="13F78720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Introduction:</w:t>
      </w:r>
    </w:p>
    <w:p w14:paraId="6D77BE5F" w14:textId="7FBAE4B0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</w:rPr>
        <w:t xml:space="preserve">In this essay, </w:t>
      </w:r>
      <w:r w:rsidR="005A4DEE">
        <w:rPr>
          <w:rFonts w:ascii="Calibri" w:eastAsia="Calibri" w:hAnsi="Calibri" w:cs="Calibri"/>
        </w:rPr>
        <w:t>this dissertation</w:t>
      </w:r>
      <w:r w:rsidRPr="1A46E922">
        <w:rPr>
          <w:rFonts w:ascii="Calibri" w:eastAsia="Calibri" w:hAnsi="Calibri" w:cs="Calibri"/>
        </w:rPr>
        <w:t xml:space="preserve"> will be discussing” How architecture mourns the dead?”. </w:t>
      </w:r>
      <w:r w:rsidR="005A4DEE">
        <w:rPr>
          <w:rFonts w:ascii="Calibri" w:eastAsia="Calibri" w:hAnsi="Calibri" w:cs="Calibri"/>
        </w:rPr>
        <w:t xml:space="preserve">The author </w:t>
      </w:r>
      <w:r w:rsidRPr="1A46E922">
        <w:rPr>
          <w:rFonts w:ascii="Calibri" w:eastAsia="Calibri" w:hAnsi="Calibri" w:cs="Calibri"/>
        </w:rPr>
        <w:t xml:space="preserve">feels strongly about this topic because it is interesting to find out how people celebrate death not in the traditional way. Some of the case studies </w:t>
      </w:r>
      <w:r w:rsidR="005A4DEE">
        <w:rPr>
          <w:rFonts w:ascii="Calibri" w:eastAsia="Calibri" w:hAnsi="Calibri" w:cs="Calibri"/>
        </w:rPr>
        <w:t>the author</w:t>
      </w:r>
      <w:r w:rsidRPr="1A46E922">
        <w:rPr>
          <w:rFonts w:ascii="Calibri" w:eastAsia="Calibri" w:hAnsi="Calibri" w:cs="Calibri"/>
        </w:rPr>
        <w:t xml:space="preserve"> will be looking at are for example. The Brion Cemetery by Carlo Scarpa near Treviso in Italy, Coy church Crematorium in Bridgend by Maxwell Fry, Pillar of </w:t>
      </w:r>
      <w:r w:rsidR="00FA319A" w:rsidRPr="1A46E922">
        <w:rPr>
          <w:rFonts w:ascii="Calibri" w:eastAsia="Calibri" w:hAnsi="Calibri" w:cs="Calibri"/>
        </w:rPr>
        <w:t>Elise</w:t>
      </w:r>
      <w:r w:rsidRPr="1A46E922">
        <w:rPr>
          <w:rFonts w:ascii="Calibri" w:eastAsia="Calibri" w:hAnsi="Calibri" w:cs="Calibri"/>
        </w:rPr>
        <w:t xml:space="preserve"> in North Llangollen, and </w:t>
      </w:r>
      <w:r w:rsidR="00FA319A" w:rsidRPr="1A46E922">
        <w:rPr>
          <w:rFonts w:ascii="Calibri" w:eastAsia="Calibri" w:hAnsi="Calibri" w:cs="Calibri"/>
        </w:rPr>
        <w:t>Blacking</w:t>
      </w:r>
      <w:r w:rsidRPr="1A46E922">
        <w:rPr>
          <w:rFonts w:ascii="Calibri" w:eastAsia="Calibri" w:hAnsi="Calibri" w:cs="Calibri"/>
        </w:rPr>
        <w:t xml:space="preserve"> Mausoleum in Norfolk</w:t>
      </w:r>
      <w:r w:rsidR="00FA319A">
        <w:rPr>
          <w:rFonts w:ascii="Calibri" w:eastAsia="Calibri" w:hAnsi="Calibri" w:cs="Calibri"/>
        </w:rPr>
        <w:t xml:space="preserve">, </w:t>
      </w:r>
      <w:r w:rsidR="00FA319A">
        <w:rPr>
          <w:rFonts w:ascii="Calibri" w:eastAsia="Calibri" w:hAnsi="Calibri" w:cs="Calibri"/>
        </w:rPr>
        <w:t>Western design architects</w:t>
      </w:r>
      <w:r w:rsidR="00FA319A">
        <w:rPr>
          <w:rFonts w:ascii="Calibri" w:eastAsia="Calibri" w:hAnsi="Calibri" w:cs="Calibri"/>
        </w:rPr>
        <w:t xml:space="preserve"> designed Harbour </w:t>
      </w:r>
      <w:r w:rsidR="00CD087C">
        <w:rPr>
          <w:rFonts w:ascii="Calibri" w:eastAsia="Calibri" w:hAnsi="Calibri" w:cs="Calibri"/>
        </w:rPr>
        <w:t>View</w:t>
      </w:r>
      <w:r w:rsidR="00FA319A">
        <w:rPr>
          <w:rFonts w:ascii="Calibri" w:eastAsia="Calibri" w:hAnsi="Calibri" w:cs="Calibri"/>
        </w:rPr>
        <w:t xml:space="preserve"> in Poole Harbour</w:t>
      </w:r>
      <w:r w:rsidR="00CD087C">
        <w:rPr>
          <w:rFonts w:ascii="Calibri" w:eastAsia="Calibri" w:hAnsi="Calibri" w:cs="Calibri"/>
        </w:rPr>
        <w:t>.</w:t>
      </w:r>
    </w:p>
    <w:p w14:paraId="6293FE96" w14:textId="600BBB87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Methodology:</w:t>
      </w:r>
    </w:p>
    <w:p w14:paraId="27D8BFC1" w14:textId="0BCFA54F" w:rsidR="00D642AD" w:rsidRPr="007E3DE2" w:rsidRDefault="1E0619E2" w:rsidP="1A46E922">
      <w:pPr>
        <w:spacing w:line="257" w:lineRule="auto"/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In this dissertation synopsis, </w:t>
      </w:r>
      <w:r w:rsidR="005A4DEE">
        <w:rPr>
          <w:rFonts w:ascii="Calibri" w:eastAsia="Calibri" w:hAnsi="Calibri" w:cs="Calibri"/>
        </w:rPr>
        <w:t>the author</w:t>
      </w:r>
      <w:r w:rsidRPr="1A46E922">
        <w:rPr>
          <w:rFonts w:ascii="Calibri" w:eastAsia="Calibri" w:hAnsi="Calibri" w:cs="Calibri"/>
        </w:rPr>
        <w:t xml:space="preserve"> will be looking at academic books from the library and looking at the Architect journal of my chosen Dissertation synopsis.</w:t>
      </w:r>
      <w:r w:rsidR="005A4DEE">
        <w:rPr>
          <w:rFonts w:ascii="Calibri" w:eastAsia="Calibri" w:hAnsi="Calibri" w:cs="Calibri"/>
        </w:rPr>
        <w:t xml:space="preserve"> The author</w:t>
      </w:r>
      <w:r w:rsidRPr="1A46E922">
        <w:rPr>
          <w:rFonts w:ascii="Calibri" w:eastAsia="Calibri" w:hAnsi="Calibri" w:cs="Calibri"/>
        </w:rPr>
        <w:t xml:space="preserve"> will also be going to see most of</w:t>
      </w:r>
      <w:r w:rsidR="004F0C94">
        <w:rPr>
          <w:rFonts w:ascii="Calibri" w:eastAsia="Calibri" w:hAnsi="Calibri" w:cs="Calibri"/>
        </w:rPr>
        <w:t xml:space="preserve"> the</w:t>
      </w:r>
      <w:r w:rsidRPr="1A46E922">
        <w:rPr>
          <w:rFonts w:ascii="Calibri" w:eastAsia="Calibri" w:hAnsi="Calibri" w:cs="Calibri"/>
        </w:rPr>
        <w:t xml:space="preserve"> chosen case studies before</w:t>
      </w:r>
      <w:r w:rsidR="004F0C94">
        <w:rPr>
          <w:rFonts w:ascii="Calibri" w:eastAsia="Calibri" w:hAnsi="Calibri" w:cs="Calibri"/>
        </w:rPr>
        <w:t xml:space="preserve"> t</w:t>
      </w:r>
      <w:r w:rsidR="004F0C94">
        <w:rPr>
          <w:rFonts w:ascii="Calibri" w:eastAsia="Calibri" w:hAnsi="Calibri" w:cs="Calibri"/>
        </w:rPr>
        <w:t>he author</w:t>
      </w:r>
      <w:r w:rsidRPr="1A46E922">
        <w:rPr>
          <w:rFonts w:ascii="Calibri" w:eastAsia="Calibri" w:hAnsi="Calibri" w:cs="Calibri"/>
        </w:rPr>
        <w:t xml:space="preserve"> starts to write up her dissertation topic. </w:t>
      </w:r>
      <w:r w:rsidR="00E206DC">
        <w:rPr>
          <w:rFonts w:ascii="Calibri" w:eastAsia="Calibri" w:hAnsi="Calibri" w:cs="Calibri"/>
        </w:rPr>
        <w:t>The author</w:t>
      </w:r>
      <w:r w:rsidRPr="1A46E922">
        <w:rPr>
          <w:rFonts w:ascii="Calibri" w:eastAsia="Calibri" w:hAnsi="Calibri" w:cs="Calibri"/>
        </w:rPr>
        <w:t xml:space="preserve"> will</w:t>
      </w:r>
      <w:r w:rsidR="00E206DC">
        <w:rPr>
          <w:rFonts w:ascii="Calibri" w:eastAsia="Calibri" w:hAnsi="Calibri" w:cs="Calibri"/>
        </w:rPr>
        <w:t xml:space="preserve"> </w:t>
      </w:r>
      <w:r w:rsidR="007E3DE2">
        <w:rPr>
          <w:rFonts w:ascii="Calibri" w:eastAsia="Calibri" w:hAnsi="Calibri" w:cs="Calibri"/>
        </w:rPr>
        <w:t xml:space="preserve">be doing interviews with people such as </w:t>
      </w:r>
      <w:r w:rsidR="00FA319A">
        <w:rPr>
          <w:rFonts w:ascii="Calibri" w:eastAsia="Calibri" w:hAnsi="Calibri" w:cs="Calibri"/>
        </w:rPr>
        <w:t>Western design architects</w:t>
      </w:r>
      <w:r w:rsidR="00DB1FB3">
        <w:rPr>
          <w:rFonts w:ascii="Calibri" w:eastAsia="Calibri" w:hAnsi="Calibri" w:cs="Calibri"/>
        </w:rPr>
        <w:t>.</w:t>
      </w:r>
    </w:p>
    <w:p w14:paraId="16FB97CF" w14:textId="54EE3B66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Aims and Objectives:</w:t>
      </w:r>
    </w:p>
    <w:p w14:paraId="0E842FCC" w14:textId="4C717556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</w:rPr>
        <w:t>The main aim of the dissertation is to understand “how architectural buildings respond to the mourning of the dead”. The dissertation will address the following objectives:</w:t>
      </w:r>
    </w:p>
    <w:p w14:paraId="0720CAD7" w14:textId="3CBEDB23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>Determine how buildings or monuments can be part of the “celebration of death”.</w:t>
      </w:r>
    </w:p>
    <w:p w14:paraId="2A5C17E8" w14:textId="4CAD27D6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Consider how funerary buildings are designed to ensure a seamless passage for both the dead and the living. </w:t>
      </w:r>
    </w:p>
    <w:p w14:paraId="6110F6D2" w14:textId="152F91AD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>Identify several appropriate case studies that highlight the aim of this dissertation.</w:t>
      </w:r>
    </w:p>
    <w:p w14:paraId="088F9800" w14:textId="697BE709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Limitations:</w:t>
      </w:r>
    </w:p>
    <w:p w14:paraId="2F951728" w14:textId="70257F31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</w:rPr>
        <w:t xml:space="preserve">Some limitations to her topic are that </w:t>
      </w:r>
      <w:r w:rsidR="00117899">
        <w:rPr>
          <w:rFonts w:ascii="Calibri" w:eastAsia="Calibri" w:hAnsi="Calibri" w:cs="Calibri"/>
        </w:rPr>
        <w:t>t</w:t>
      </w:r>
      <w:r w:rsidR="00117899">
        <w:rPr>
          <w:rFonts w:ascii="Calibri" w:eastAsia="Calibri" w:hAnsi="Calibri" w:cs="Calibri"/>
        </w:rPr>
        <w:t>he author</w:t>
      </w:r>
      <w:r w:rsidRPr="1A46E922">
        <w:rPr>
          <w:rFonts w:ascii="Calibri" w:eastAsia="Calibri" w:hAnsi="Calibri" w:cs="Calibri"/>
        </w:rPr>
        <w:t xml:space="preserve"> might not be able to visit all her chosen case studies</w:t>
      </w:r>
      <w:r w:rsidR="00CD087C">
        <w:rPr>
          <w:rFonts w:ascii="Calibri" w:eastAsia="Calibri" w:hAnsi="Calibri" w:cs="Calibri"/>
        </w:rPr>
        <w:t>. Another limitation could be that the end users of all the authors’ chosen case studies are not alive</w:t>
      </w:r>
      <w:r w:rsidR="00117899">
        <w:rPr>
          <w:rFonts w:ascii="Calibri" w:eastAsia="Calibri" w:hAnsi="Calibri" w:cs="Calibri"/>
        </w:rPr>
        <w:t xml:space="preserve"> and some of the interviews might not be wanting the author to add them to the author’s essay.</w:t>
      </w:r>
    </w:p>
    <w:p w14:paraId="0A2EDBC6" w14:textId="6D8D604A" w:rsidR="006606A5" w:rsidRPr="006606A5" w:rsidRDefault="1E0619E2" w:rsidP="1A46E922">
      <w:pPr>
        <w:spacing w:line="257" w:lineRule="auto"/>
        <w:rPr>
          <w:rFonts w:cstheme="minorHAnsi"/>
          <w:color w:val="000000"/>
          <w:shd w:val="clear" w:color="auto" w:fill="FFFFFF"/>
        </w:rPr>
      </w:pPr>
      <w:r w:rsidRPr="1A46E922">
        <w:rPr>
          <w:rFonts w:ascii="Calibri" w:eastAsia="Calibri" w:hAnsi="Calibri" w:cs="Calibri"/>
          <w:u w:val="single"/>
        </w:rPr>
        <w:t>Literature:</w:t>
      </w:r>
      <w:r w:rsidR="00017FD6">
        <w:br/>
      </w:r>
      <w:r w:rsidR="006606A5">
        <w:rPr>
          <w:rFonts w:cstheme="minorHAnsi"/>
          <w:color w:val="000000"/>
          <w:shd w:val="clear" w:color="auto" w:fill="FFFFFF"/>
        </w:rPr>
        <w:t>The dissertation will reference and look at the following books, websites, and journals:</w:t>
      </w:r>
    </w:p>
    <w:p w14:paraId="2A30324D" w14:textId="423A35CF" w:rsidR="00D642AD" w:rsidRPr="0064717E" w:rsidRDefault="1E0619E2" w:rsidP="006606A5">
      <w:pPr>
        <w:spacing w:before="240" w:line="257" w:lineRule="auto"/>
        <w:jc w:val="center"/>
        <w:rPr>
          <w:rFonts w:cstheme="minorHAnsi"/>
          <w:color w:val="000000"/>
          <w:shd w:val="clear" w:color="auto" w:fill="FFFFFF"/>
        </w:rPr>
      </w:pPr>
      <w:r w:rsidRPr="1A46E922">
        <w:rPr>
          <w:rFonts w:ascii="Calibri" w:eastAsia="Calibri" w:hAnsi="Calibri" w:cs="Calibri"/>
          <w:sz w:val="24"/>
          <w:szCs w:val="24"/>
        </w:rPr>
        <w:lastRenderedPageBreak/>
        <w:t>Bethan Davies</w:t>
      </w:r>
    </w:p>
    <w:p w14:paraId="346403F9" w14:textId="525BC4CC" w:rsidR="00D642AD" w:rsidRDefault="1E0619E2" w:rsidP="1A46E922">
      <w:pPr>
        <w:spacing w:line="257" w:lineRule="auto"/>
        <w:jc w:val="right"/>
      </w:pPr>
      <w:r w:rsidRPr="1A46E922">
        <w:rPr>
          <w:rFonts w:ascii="Calibri" w:eastAsia="Calibri" w:hAnsi="Calibri" w:cs="Calibri"/>
          <w:sz w:val="24"/>
          <w:szCs w:val="24"/>
        </w:rPr>
        <w:t>2101063</w:t>
      </w:r>
    </w:p>
    <w:p w14:paraId="20B92DFD" w14:textId="1F7A4BCE" w:rsidR="00D642AD" w:rsidRDefault="1E0619E2" w:rsidP="1A46E922">
      <w:pPr>
        <w:spacing w:line="257" w:lineRule="auto"/>
        <w:jc w:val="right"/>
        <w:rPr>
          <w:rFonts w:ascii="Calibri" w:eastAsia="Calibri" w:hAnsi="Calibri" w:cs="Calibri"/>
          <w:sz w:val="24"/>
          <w:szCs w:val="24"/>
        </w:rPr>
      </w:pPr>
      <w:r w:rsidRPr="1A46E922">
        <w:rPr>
          <w:rFonts w:ascii="Calibri" w:eastAsia="Calibri" w:hAnsi="Calibri" w:cs="Calibri"/>
          <w:sz w:val="24"/>
          <w:szCs w:val="24"/>
        </w:rPr>
        <w:t>ACAA5003</w:t>
      </w:r>
    </w:p>
    <w:p w14:paraId="6FD2D3D8" w14:textId="5C0BBB6C" w:rsidR="00117899" w:rsidRPr="00117899" w:rsidRDefault="0064717E" w:rsidP="00117899">
      <w:pPr>
        <w:pStyle w:val="ListParagraph"/>
        <w:numPr>
          <w:ilvl w:val="0"/>
          <w:numId w:val="12"/>
        </w:numPr>
        <w:spacing w:before="240" w:line="257" w:lineRule="auto"/>
        <w:rPr>
          <w:rStyle w:val="xcontentpasted2"/>
          <w:rFonts w:cstheme="minorHAnsi"/>
          <w:color w:val="000000"/>
          <w:shd w:val="clear" w:color="auto" w:fill="FFFFFF"/>
        </w:rPr>
      </w:pPr>
      <w:r w:rsidRPr="002A6E04">
        <w:rPr>
          <w:rStyle w:val="xcontentpasted2"/>
          <w:rFonts w:cstheme="minorHAnsi"/>
          <w:color w:val="000000"/>
          <w:bdr w:val="none" w:sz="0" w:space="0" w:color="auto" w:frame="1"/>
          <w:shd w:val="clear" w:color="auto" w:fill="FFFFFF"/>
        </w:rPr>
        <w:t> </w:t>
      </w:r>
      <w:r w:rsidR="00117899" w:rsidRPr="002A6E04">
        <w:rPr>
          <w:rFonts w:cstheme="minorHAnsi"/>
          <w:color w:val="000000"/>
          <w:shd w:val="clear" w:color="auto" w:fill="FFFFFF"/>
        </w:rPr>
        <w:t xml:space="preserve">Hilary J. Grainger’s 2005, </w:t>
      </w:r>
      <w:r w:rsidR="00117899" w:rsidRPr="002A6E04">
        <w:rPr>
          <w:rFonts w:cstheme="minorHAnsi"/>
          <w:i/>
          <w:iCs/>
          <w:color w:val="000000"/>
          <w:shd w:val="clear" w:color="auto" w:fill="FFFFFF"/>
        </w:rPr>
        <w:t>British Crematoria: History, Architecture and Landscape</w:t>
      </w:r>
      <w:r w:rsidR="00117899" w:rsidRPr="002A6E04">
        <w:rPr>
          <w:rFonts w:cstheme="minorHAnsi"/>
          <w:color w:val="000000"/>
          <w:shd w:val="clear" w:color="auto" w:fill="FFFFFF"/>
        </w:rPr>
        <w:t>.</w:t>
      </w:r>
    </w:p>
    <w:p w14:paraId="2895F4C2" w14:textId="0DAE3924" w:rsidR="0064717E" w:rsidRPr="002A6E04" w:rsidRDefault="0064717E" w:rsidP="00586061">
      <w:pPr>
        <w:pStyle w:val="ListParagraph"/>
        <w:numPr>
          <w:ilvl w:val="0"/>
          <w:numId w:val="12"/>
        </w:numPr>
        <w:spacing w:before="240" w:line="257" w:lineRule="auto"/>
        <w:rPr>
          <w:rFonts w:cstheme="minorHAnsi"/>
          <w:color w:val="000000"/>
          <w:bdr w:val="none" w:sz="0" w:space="0" w:color="auto" w:frame="1"/>
          <w:shd w:val="clear" w:color="auto" w:fill="FFFFFF"/>
        </w:rPr>
      </w:pPr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Avril </w:t>
      </w:r>
      <w:proofErr w:type="spellStart"/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>Maddrell’s</w:t>
      </w:r>
      <w:proofErr w:type="spellEnd"/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2010 work, </w:t>
      </w:r>
      <w:proofErr w:type="spellStart"/>
      <w:r w:rsidRPr="002A6E04">
        <w:rPr>
          <w:rFonts w:cstheme="minorHAnsi"/>
          <w:i/>
          <w:iCs/>
          <w:color w:val="000000"/>
          <w:bdr w:val="none" w:sz="0" w:space="0" w:color="auto" w:frame="1"/>
          <w:shd w:val="clear" w:color="auto" w:fill="FFFFFF"/>
        </w:rPr>
        <w:t>Deathscapes</w:t>
      </w:r>
      <w:proofErr w:type="spellEnd"/>
      <w:r w:rsidRPr="002A6E04">
        <w:rPr>
          <w:rFonts w:cstheme="minorHAnsi"/>
          <w:i/>
          <w:iCs/>
          <w:color w:val="000000"/>
          <w:bdr w:val="none" w:sz="0" w:space="0" w:color="auto" w:frame="1"/>
          <w:shd w:val="clear" w:color="auto" w:fill="FFFFFF"/>
        </w:rPr>
        <w:t>: Spaces for Death, Dying, Mourning</w:t>
      </w:r>
      <w:r w:rsidR="00A67B4D" w:rsidRPr="002A6E04">
        <w:rPr>
          <w:rFonts w:cstheme="minorHAnsi"/>
          <w:i/>
          <w:iCs/>
          <w:color w:val="000000"/>
          <w:bdr w:val="none" w:sz="0" w:space="0" w:color="auto" w:frame="1"/>
          <w:shd w:val="clear" w:color="auto" w:fill="FFFFFF"/>
        </w:rPr>
        <w:t>,</w:t>
      </w:r>
      <w:r w:rsidRPr="002A6E04">
        <w:rPr>
          <w:rFonts w:cstheme="minorHAnsi"/>
          <w:i/>
          <w:iCs/>
          <w:color w:val="000000"/>
          <w:bdr w:val="none" w:sz="0" w:space="0" w:color="auto" w:frame="1"/>
          <w:shd w:val="clear" w:color="auto" w:fill="FFFFFF"/>
        </w:rPr>
        <w:t xml:space="preserve"> and Remembrance</w:t>
      </w:r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>.</w:t>
      </w:r>
    </w:p>
    <w:p w14:paraId="4E1B0B41" w14:textId="31768B81" w:rsidR="00E85C56" w:rsidRPr="002A6E04" w:rsidRDefault="00E85C56" w:rsidP="00586061">
      <w:pPr>
        <w:pStyle w:val="ListParagraph"/>
        <w:numPr>
          <w:ilvl w:val="0"/>
          <w:numId w:val="12"/>
        </w:numPr>
        <w:spacing w:before="240" w:line="257" w:lineRule="auto"/>
        <w:rPr>
          <w:rFonts w:cstheme="minorHAnsi"/>
          <w:color w:val="000000"/>
          <w:bdr w:val="none" w:sz="0" w:space="0" w:color="auto" w:frame="1"/>
          <w:shd w:val="clear" w:color="auto" w:fill="FFFFFF"/>
        </w:rPr>
      </w:pPr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>Steven Morris</w:t>
      </w:r>
      <w:r w:rsidR="00586061"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2006, A crematorium to die for.</w:t>
      </w:r>
    </w:p>
    <w:p w14:paraId="672F5A28" w14:textId="56C56916" w:rsidR="00B13385" w:rsidRPr="002A6E04" w:rsidRDefault="00B13385" w:rsidP="00586061">
      <w:pPr>
        <w:pStyle w:val="ListParagraph"/>
        <w:numPr>
          <w:ilvl w:val="0"/>
          <w:numId w:val="12"/>
        </w:numPr>
        <w:spacing w:before="240" w:line="257" w:lineRule="auto"/>
        <w:rPr>
          <w:rFonts w:cstheme="minorHAnsi"/>
          <w:color w:val="000000"/>
          <w:bdr w:val="none" w:sz="0" w:space="0" w:color="auto" w:frame="1"/>
          <w:shd w:val="clear" w:color="auto" w:fill="FFFFFF"/>
        </w:rPr>
      </w:pPr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Harbour </w:t>
      </w:r>
      <w:r w:rsidR="0089578F"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>View</w:t>
      </w:r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2018-19</w:t>
      </w:r>
      <w:r w:rsidR="0089578F"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>, Harbour View Burial Ground.</w:t>
      </w:r>
    </w:p>
    <w:p w14:paraId="7D677CF0" w14:textId="77777777" w:rsidR="00064DA7" w:rsidRDefault="00552932" w:rsidP="00586061">
      <w:pPr>
        <w:pStyle w:val="ListParagraph"/>
        <w:numPr>
          <w:ilvl w:val="0"/>
          <w:numId w:val="12"/>
        </w:numPr>
        <w:spacing w:before="240" w:line="257" w:lineRule="auto"/>
        <w:rPr>
          <w:rFonts w:cstheme="minorHAnsi"/>
          <w:color w:val="000000"/>
          <w:bdr w:val="none" w:sz="0" w:space="0" w:color="auto" w:frame="1"/>
          <w:shd w:val="clear" w:color="auto" w:fill="FFFFFF"/>
        </w:rPr>
      </w:pPr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Valentina </w:t>
      </w:r>
      <w:proofErr w:type="spellStart"/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>Sichenze</w:t>
      </w:r>
      <w:proofErr w:type="spellEnd"/>
      <w:r w:rsidRPr="002A6E04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2018</w:t>
      </w:r>
      <w:r w:rsidR="00E227B1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, Threshold Brion Cemetery </w:t>
      </w:r>
      <w:r w:rsidR="00064DA7">
        <w:rPr>
          <w:rFonts w:cstheme="minorHAnsi"/>
          <w:color w:val="000000"/>
          <w:bdr w:val="none" w:sz="0" w:space="0" w:color="auto" w:frame="1"/>
          <w:shd w:val="clear" w:color="auto" w:fill="FFFFFF"/>
        </w:rPr>
        <w:t>by</w:t>
      </w:r>
      <w:r w:rsidR="00E227B1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Carlo Scarpa</w:t>
      </w:r>
      <w:r w:rsidR="00064DA7">
        <w:rPr>
          <w:rFonts w:cstheme="minorHAnsi"/>
          <w:color w:val="000000"/>
          <w:bdr w:val="none" w:sz="0" w:space="0" w:color="auto" w:frame="1"/>
          <w:shd w:val="clear" w:color="auto" w:fill="FFFFFF"/>
        </w:rPr>
        <w:t>.</w:t>
      </w:r>
    </w:p>
    <w:p w14:paraId="0DF54912" w14:textId="6EEB5D9D" w:rsidR="0089578F" w:rsidRDefault="00E227B1" w:rsidP="00586061">
      <w:pPr>
        <w:pStyle w:val="ListParagraph"/>
        <w:numPr>
          <w:ilvl w:val="0"/>
          <w:numId w:val="12"/>
        </w:numPr>
        <w:spacing w:before="240" w:line="257" w:lineRule="auto"/>
        <w:rPr>
          <w:rFonts w:cstheme="minorHAnsi"/>
          <w:color w:val="000000"/>
          <w:bdr w:val="none" w:sz="0" w:space="0" w:color="auto" w:frame="1"/>
          <w:shd w:val="clear" w:color="auto" w:fill="FFFFFF"/>
        </w:rPr>
      </w:pPr>
      <w:r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</w:t>
      </w:r>
      <w:r w:rsidR="00E559B4">
        <w:rPr>
          <w:rFonts w:cstheme="minorHAnsi"/>
          <w:color w:val="000000"/>
          <w:bdr w:val="none" w:sz="0" w:space="0" w:color="auto" w:frame="1"/>
          <w:shd w:val="clear" w:color="auto" w:fill="FFFFFF"/>
        </w:rPr>
        <w:t>D.H. Evans 1987</w:t>
      </w:r>
      <w:r w:rsidR="00E04F9B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, Valle Crucis Abbey/ Pillar of </w:t>
      </w:r>
      <w:proofErr w:type="spellStart"/>
      <w:r w:rsidR="00E04F9B">
        <w:rPr>
          <w:rFonts w:cstheme="minorHAnsi"/>
          <w:color w:val="000000"/>
          <w:bdr w:val="none" w:sz="0" w:space="0" w:color="auto" w:frame="1"/>
          <w:shd w:val="clear" w:color="auto" w:fill="FFFFFF"/>
        </w:rPr>
        <w:t>Eliseg</w:t>
      </w:r>
      <w:proofErr w:type="spellEnd"/>
      <w:r w:rsidR="00E04F9B">
        <w:rPr>
          <w:rFonts w:cstheme="minorHAnsi"/>
          <w:color w:val="000000"/>
          <w:bdr w:val="none" w:sz="0" w:space="0" w:color="auto" w:frame="1"/>
          <w:shd w:val="clear" w:color="auto" w:fill="FFFFFF"/>
        </w:rPr>
        <w:t>.</w:t>
      </w:r>
    </w:p>
    <w:p w14:paraId="6C6E7941" w14:textId="652E9D62" w:rsidR="000E1873" w:rsidRPr="002A6E04" w:rsidRDefault="000E1873" w:rsidP="00586061">
      <w:pPr>
        <w:pStyle w:val="ListParagraph"/>
        <w:numPr>
          <w:ilvl w:val="0"/>
          <w:numId w:val="12"/>
        </w:numPr>
        <w:spacing w:before="240" w:line="257" w:lineRule="auto"/>
        <w:rPr>
          <w:rFonts w:cstheme="minorHAnsi"/>
          <w:color w:val="000000"/>
          <w:bdr w:val="none" w:sz="0" w:space="0" w:color="auto" w:frame="1"/>
          <w:shd w:val="clear" w:color="auto" w:fill="FFFFFF"/>
        </w:rPr>
      </w:pPr>
      <w:r w:rsidRPr="1A46E922">
        <w:rPr>
          <w:rFonts w:ascii="Calibri" w:eastAsia="Calibri" w:hAnsi="Calibri" w:cs="Calibri"/>
        </w:rPr>
        <w:t xml:space="preserve">Invisible Works (2019) Lost in a Landscape: </w:t>
      </w:r>
      <w:proofErr w:type="spellStart"/>
      <w:r w:rsidRPr="1A46E922">
        <w:rPr>
          <w:rFonts w:ascii="Calibri" w:eastAsia="Calibri" w:hAnsi="Calibri" w:cs="Calibri"/>
        </w:rPr>
        <w:t>Blicking</w:t>
      </w:r>
      <w:proofErr w:type="spellEnd"/>
      <w:r w:rsidRPr="1A46E922">
        <w:rPr>
          <w:rFonts w:ascii="Calibri" w:eastAsia="Calibri" w:hAnsi="Calibri" w:cs="Calibri"/>
        </w:rPr>
        <w:t xml:space="preserve"> Mausoleum</w:t>
      </w:r>
    </w:p>
    <w:p w14:paraId="1F726838" w14:textId="172A329B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Ethical Considerations:</w:t>
      </w:r>
    </w:p>
    <w:p w14:paraId="18FCCAF3" w14:textId="10E4CD65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</w:rPr>
        <w:t xml:space="preserve">For this essay, </w:t>
      </w:r>
      <w:r w:rsidR="00BE3268">
        <w:rPr>
          <w:rFonts w:ascii="Calibri" w:eastAsia="Calibri" w:hAnsi="Calibri" w:cs="Calibri"/>
        </w:rPr>
        <w:t>the author</w:t>
      </w:r>
      <w:r w:rsidRPr="1A46E922">
        <w:rPr>
          <w:rFonts w:ascii="Calibri" w:eastAsia="Calibri" w:hAnsi="Calibri" w:cs="Calibri"/>
        </w:rPr>
        <w:t xml:space="preserve"> will</w:t>
      </w:r>
      <w:r w:rsidR="00117899">
        <w:rPr>
          <w:rFonts w:ascii="Calibri" w:eastAsia="Calibri" w:hAnsi="Calibri" w:cs="Calibri"/>
        </w:rPr>
        <w:t xml:space="preserve"> </w:t>
      </w:r>
      <w:r w:rsidRPr="1A46E922">
        <w:rPr>
          <w:rFonts w:ascii="Calibri" w:eastAsia="Calibri" w:hAnsi="Calibri" w:cs="Calibri"/>
        </w:rPr>
        <w:t>be conducting interviews so there are no ethical considerations to think about within her essay.</w:t>
      </w:r>
    </w:p>
    <w:p w14:paraId="10252871" w14:textId="7BA38B3C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Time Frame:</w:t>
      </w:r>
    </w:p>
    <w:p w14:paraId="017BAC16" w14:textId="23410836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During the summer holidays, </w:t>
      </w:r>
      <w:r w:rsidR="00117899">
        <w:rPr>
          <w:rFonts w:ascii="Calibri" w:eastAsia="Calibri" w:hAnsi="Calibri" w:cs="Calibri"/>
        </w:rPr>
        <w:t>t</w:t>
      </w:r>
      <w:r w:rsidR="00117899">
        <w:rPr>
          <w:rFonts w:ascii="Calibri" w:eastAsia="Calibri" w:hAnsi="Calibri" w:cs="Calibri"/>
        </w:rPr>
        <w:t>he author</w:t>
      </w:r>
      <w:r w:rsidR="00117899" w:rsidRPr="1A46E922">
        <w:rPr>
          <w:rFonts w:ascii="Calibri" w:eastAsia="Calibri" w:hAnsi="Calibri" w:cs="Calibri"/>
        </w:rPr>
        <w:t xml:space="preserve"> </w:t>
      </w:r>
      <w:r w:rsidRPr="1A46E922">
        <w:rPr>
          <w:rFonts w:ascii="Calibri" w:eastAsia="Calibri" w:hAnsi="Calibri" w:cs="Calibri"/>
        </w:rPr>
        <w:t xml:space="preserve">will visit more of </w:t>
      </w:r>
      <w:r w:rsidR="00117899">
        <w:rPr>
          <w:rFonts w:ascii="Calibri" w:eastAsia="Calibri" w:hAnsi="Calibri" w:cs="Calibri"/>
        </w:rPr>
        <w:t>the</w:t>
      </w:r>
      <w:r w:rsidRPr="1A46E922">
        <w:rPr>
          <w:rFonts w:ascii="Calibri" w:eastAsia="Calibri" w:hAnsi="Calibri" w:cs="Calibri"/>
        </w:rPr>
        <w:t xml:space="preserve"> chosen case studies and gather information.</w:t>
      </w:r>
    </w:p>
    <w:p w14:paraId="27A139B1" w14:textId="3641FB4F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October to December is when </w:t>
      </w:r>
      <w:r w:rsidR="00117899">
        <w:rPr>
          <w:rFonts w:ascii="Calibri" w:eastAsia="Calibri" w:hAnsi="Calibri" w:cs="Calibri"/>
        </w:rPr>
        <w:t>t</w:t>
      </w:r>
      <w:r w:rsidR="00117899">
        <w:rPr>
          <w:rFonts w:ascii="Calibri" w:eastAsia="Calibri" w:hAnsi="Calibri" w:cs="Calibri"/>
        </w:rPr>
        <w:t>he author</w:t>
      </w:r>
      <w:r w:rsidRPr="1A46E922">
        <w:rPr>
          <w:rFonts w:ascii="Calibri" w:eastAsia="Calibri" w:hAnsi="Calibri" w:cs="Calibri"/>
        </w:rPr>
        <w:t xml:space="preserve"> will start to gather all the essential research for the dissertation and explore her question more widely. </w:t>
      </w:r>
    </w:p>
    <w:p w14:paraId="0E458AB8" w14:textId="7CA674FC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 After Christmas, </w:t>
      </w:r>
      <w:r w:rsidR="00117899">
        <w:rPr>
          <w:rFonts w:ascii="Calibri" w:eastAsia="Calibri" w:hAnsi="Calibri" w:cs="Calibri"/>
        </w:rPr>
        <w:t>t</w:t>
      </w:r>
      <w:r w:rsidR="00117899">
        <w:rPr>
          <w:rFonts w:ascii="Calibri" w:eastAsia="Calibri" w:hAnsi="Calibri" w:cs="Calibri"/>
        </w:rPr>
        <w:t>he author</w:t>
      </w:r>
      <w:r w:rsidR="00117899" w:rsidRPr="1A46E922">
        <w:rPr>
          <w:rFonts w:ascii="Calibri" w:eastAsia="Calibri" w:hAnsi="Calibri" w:cs="Calibri"/>
        </w:rPr>
        <w:t xml:space="preserve"> </w:t>
      </w:r>
      <w:r w:rsidRPr="1A46E922">
        <w:rPr>
          <w:rFonts w:ascii="Calibri" w:eastAsia="Calibri" w:hAnsi="Calibri" w:cs="Calibri"/>
        </w:rPr>
        <w:t>will start to put all</w:t>
      </w:r>
      <w:r w:rsidR="00117899">
        <w:rPr>
          <w:rFonts w:ascii="Calibri" w:eastAsia="Calibri" w:hAnsi="Calibri" w:cs="Calibri"/>
        </w:rPr>
        <w:t xml:space="preserve"> the</w:t>
      </w:r>
      <w:r w:rsidRPr="1A46E922">
        <w:rPr>
          <w:rFonts w:ascii="Calibri" w:eastAsia="Calibri" w:hAnsi="Calibri" w:cs="Calibri"/>
        </w:rPr>
        <w:t xml:space="preserve"> research into 10,000- word document. </w:t>
      </w:r>
    </w:p>
    <w:p w14:paraId="0E21EF43" w14:textId="7AF07988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>Conclusion:</w:t>
      </w:r>
    </w:p>
    <w:p w14:paraId="439166F2" w14:textId="679F98B0" w:rsidR="00D642AD" w:rsidRDefault="00117899" w:rsidP="1A46E922">
      <w:pPr>
        <w:spacing w:line="257" w:lineRule="auto"/>
      </w:pPr>
      <w:r>
        <w:rPr>
          <w:rFonts w:ascii="Calibri" w:eastAsia="Calibri" w:hAnsi="Calibri" w:cs="Calibri"/>
        </w:rPr>
        <w:t>The author</w:t>
      </w:r>
      <w:r w:rsidR="1E0619E2" w:rsidRPr="1A46E922">
        <w:rPr>
          <w:rFonts w:ascii="Calibri" w:eastAsia="Calibri" w:hAnsi="Calibri" w:cs="Calibri"/>
        </w:rPr>
        <w:t xml:space="preserve"> has chosen to investigate the relationship between the celebration of the dead and how architecture mourns the dead since </w:t>
      </w:r>
      <w:r>
        <w:rPr>
          <w:rFonts w:ascii="Calibri" w:eastAsia="Calibri" w:hAnsi="Calibri" w:cs="Calibri"/>
        </w:rPr>
        <w:t>t</w:t>
      </w:r>
      <w:r>
        <w:rPr>
          <w:rFonts w:ascii="Calibri" w:eastAsia="Calibri" w:hAnsi="Calibri" w:cs="Calibri"/>
        </w:rPr>
        <w:t>he author</w:t>
      </w:r>
      <w:r w:rsidR="1E0619E2" w:rsidRPr="1A46E922">
        <w:rPr>
          <w:rFonts w:ascii="Calibri" w:eastAsia="Calibri" w:hAnsi="Calibri" w:cs="Calibri"/>
        </w:rPr>
        <w:t xml:space="preserve"> believes that </w:t>
      </w:r>
      <w:r>
        <w:rPr>
          <w:rFonts w:ascii="Calibri" w:eastAsia="Calibri" w:hAnsi="Calibri" w:cs="Calibri"/>
        </w:rPr>
        <w:t>t</w:t>
      </w:r>
      <w:r>
        <w:rPr>
          <w:rFonts w:ascii="Calibri" w:eastAsia="Calibri" w:hAnsi="Calibri" w:cs="Calibri"/>
        </w:rPr>
        <w:t>he author</w:t>
      </w:r>
      <w:r w:rsidRPr="1A46E922">
        <w:rPr>
          <w:rFonts w:ascii="Calibri" w:eastAsia="Calibri" w:hAnsi="Calibri" w:cs="Calibri"/>
        </w:rPr>
        <w:t xml:space="preserve"> </w:t>
      </w:r>
      <w:r w:rsidR="1E0619E2" w:rsidRPr="1A46E922">
        <w:rPr>
          <w:rFonts w:ascii="Calibri" w:eastAsia="Calibri" w:hAnsi="Calibri" w:cs="Calibri"/>
        </w:rPr>
        <w:t xml:space="preserve">will have a lot more to write about the topic and </w:t>
      </w:r>
      <w:r>
        <w:rPr>
          <w:rFonts w:ascii="Calibri" w:eastAsia="Calibri" w:hAnsi="Calibri" w:cs="Calibri"/>
        </w:rPr>
        <w:t>t</w:t>
      </w:r>
      <w:r>
        <w:rPr>
          <w:rFonts w:ascii="Calibri" w:eastAsia="Calibri" w:hAnsi="Calibri" w:cs="Calibri"/>
        </w:rPr>
        <w:t>he author</w:t>
      </w:r>
      <w:r w:rsidRPr="1A46E922">
        <w:rPr>
          <w:rFonts w:ascii="Calibri" w:eastAsia="Calibri" w:hAnsi="Calibri" w:cs="Calibri"/>
        </w:rPr>
        <w:t xml:space="preserve"> </w:t>
      </w:r>
      <w:r w:rsidR="1E0619E2" w:rsidRPr="1A46E922">
        <w:rPr>
          <w:rFonts w:ascii="Calibri" w:eastAsia="Calibri" w:hAnsi="Calibri" w:cs="Calibri"/>
        </w:rPr>
        <w:t xml:space="preserve">feels strongly about </w:t>
      </w:r>
      <w:r>
        <w:rPr>
          <w:rFonts w:ascii="Calibri" w:eastAsia="Calibri" w:hAnsi="Calibri" w:cs="Calibri"/>
        </w:rPr>
        <w:t xml:space="preserve">the </w:t>
      </w:r>
      <w:r w:rsidR="1E0619E2" w:rsidRPr="1A46E922">
        <w:rPr>
          <w:rFonts w:ascii="Calibri" w:eastAsia="Calibri" w:hAnsi="Calibri" w:cs="Calibri"/>
        </w:rPr>
        <w:t>chosen idea and that carrying out further research in this area will be a good understanding of the topic as well. The research will portray a strong enough relationship between these two factors to encourage further research.</w:t>
      </w:r>
    </w:p>
    <w:p w14:paraId="3115C083" w14:textId="269F58D8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</w:rPr>
        <w:t xml:space="preserve"> </w:t>
      </w:r>
    </w:p>
    <w:p w14:paraId="0639DA07" w14:textId="1CF3F33D" w:rsidR="00D642AD" w:rsidRDefault="1E0619E2" w:rsidP="1A46E922">
      <w:pPr>
        <w:spacing w:line="257" w:lineRule="auto"/>
      </w:pPr>
      <w:r w:rsidRPr="1A46E922">
        <w:rPr>
          <w:rFonts w:ascii="Calibri" w:eastAsia="Calibri" w:hAnsi="Calibri" w:cs="Calibri"/>
          <w:u w:val="single"/>
        </w:rPr>
        <w:t xml:space="preserve">References: </w:t>
      </w:r>
    </w:p>
    <w:p w14:paraId="76E85693" w14:textId="614C3C9A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>Morris, S. (2006)” A Crematorium to die for”. The Guardian 8</w:t>
      </w:r>
      <w:r w:rsidRPr="1A46E922">
        <w:rPr>
          <w:rFonts w:ascii="Calibri" w:eastAsia="Calibri" w:hAnsi="Calibri" w:cs="Calibri"/>
          <w:vertAlign w:val="superscript"/>
        </w:rPr>
        <w:t>th</w:t>
      </w:r>
      <w:r w:rsidRPr="1A46E922">
        <w:rPr>
          <w:rFonts w:ascii="Calibri" w:eastAsia="Calibri" w:hAnsi="Calibri" w:cs="Calibri"/>
        </w:rPr>
        <w:t xml:space="preserve"> June. Available at: </w:t>
      </w:r>
      <w:hyperlink r:id="rId5">
        <w:r w:rsidRPr="1A46E922">
          <w:rPr>
            <w:rStyle w:val="Hyperlink"/>
            <w:rFonts w:ascii="Calibri" w:eastAsia="Calibri" w:hAnsi="Calibri" w:cs="Calibri"/>
          </w:rPr>
          <w:t>https://www.theguardian.com/artanddesign/2006/jun/08/architecture.britishidentity</w:t>
        </w:r>
      </w:hyperlink>
      <w:r w:rsidRPr="1A46E922">
        <w:rPr>
          <w:rFonts w:ascii="Calibri" w:eastAsia="Calibri" w:hAnsi="Calibri" w:cs="Calibri"/>
        </w:rPr>
        <w:t xml:space="preserve"> (Accessed: 7th May 2023).</w:t>
      </w:r>
    </w:p>
    <w:p w14:paraId="19C93E9D" w14:textId="567AA088" w:rsidR="00D642AD" w:rsidRDefault="1E0619E2" w:rsidP="1A46E922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proofErr w:type="spellStart"/>
      <w:r w:rsidRPr="1A46E922">
        <w:rPr>
          <w:rFonts w:ascii="Calibri" w:eastAsia="Calibri" w:hAnsi="Calibri" w:cs="Calibri"/>
        </w:rPr>
        <w:t>Cadw</w:t>
      </w:r>
      <w:proofErr w:type="spellEnd"/>
      <w:r w:rsidRPr="1A46E922">
        <w:rPr>
          <w:rFonts w:ascii="Calibri" w:eastAsia="Calibri" w:hAnsi="Calibri" w:cs="Calibri"/>
        </w:rPr>
        <w:t xml:space="preserve"> (2015) </w:t>
      </w:r>
      <w:proofErr w:type="spellStart"/>
      <w:r w:rsidRPr="1A46E922">
        <w:rPr>
          <w:rFonts w:ascii="Calibri" w:eastAsia="Calibri" w:hAnsi="Calibri" w:cs="Calibri"/>
        </w:rPr>
        <w:t>Eliseg’s</w:t>
      </w:r>
      <w:proofErr w:type="spellEnd"/>
      <w:r w:rsidRPr="1A46E922">
        <w:rPr>
          <w:rFonts w:ascii="Calibri" w:eastAsia="Calibri" w:hAnsi="Calibri" w:cs="Calibri"/>
        </w:rPr>
        <w:t xml:space="preserve"> Pillar. Available at: </w:t>
      </w:r>
      <w:hyperlink r:id="rId6">
        <w:r w:rsidRPr="1A46E922">
          <w:rPr>
            <w:rStyle w:val="Hyperlink"/>
            <w:rFonts w:ascii="Calibri" w:eastAsia="Calibri" w:hAnsi="Calibri" w:cs="Calibri"/>
          </w:rPr>
          <w:t>https://cadw.gov.wales/visit/places-to-visit/elisegs-pillar</w:t>
        </w:r>
      </w:hyperlink>
      <w:r w:rsidRPr="1A46E922">
        <w:rPr>
          <w:rFonts w:ascii="Calibri" w:eastAsia="Calibri" w:hAnsi="Calibri" w:cs="Calibri"/>
        </w:rPr>
        <w:t xml:space="preserve"> (Accessed: 7</w:t>
      </w:r>
      <w:r w:rsidRPr="1A46E922">
        <w:rPr>
          <w:rFonts w:ascii="Calibri" w:eastAsia="Calibri" w:hAnsi="Calibri" w:cs="Calibri"/>
          <w:vertAlign w:val="superscript"/>
        </w:rPr>
        <w:t>th</w:t>
      </w:r>
      <w:r w:rsidRPr="1A46E922">
        <w:rPr>
          <w:rFonts w:ascii="Calibri" w:eastAsia="Calibri" w:hAnsi="Calibri" w:cs="Calibri"/>
        </w:rPr>
        <w:t xml:space="preserve"> May 2023).</w:t>
      </w:r>
    </w:p>
    <w:p w14:paraId="00DF099C" w14:textId="77777777" w:rsidR="0064717E" w:rsidRDefault="0064717E" w:rsidP="0064717E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Invisible Works (2019) Lost in a Landscape: </w:t>
      </w:r>
      <w:proofErr w:type="spellStart"/>
      <w:r w:rsidRPr="1A46E922">
        <w:rPr>
          <w:rFonts w:ascii="Calibri" w:eastAsia="Calibri" w:hAnsi="Calibri" w:cs="Calibri"/>
        </w:rPr>
        <w:t>Blicking</w:t>
      </w:r>
      <w:proofErr w:type="spellEnd"/>
      <w:r w:rsidRPr="1A46E922">
        <w:rPr>
          <w:rFonts w:ascii="Calibri" w:eastAsia="Calibri" w:hAnsi="Calibri" w:cs="Calibri"/>
        </w:rPr>
        <w:t xml:space="preserve"> Mausoleum. Available at: </w:t>
      </w:r>
      <w:hyperlink r:id="rId7">
        <w:r w:rsidRPr="1A46E922">
          <w:rPr>
            <w:rStyle w:val="Hyperlink"/>
            <w:rFonts w:ascii="Calibri" w:eastAsia="Calibri" w:hAnsi="Calibri" w:cs="Calibri"/>
          </w:rPr>
          <w:t>https://www.invisibleworks.co.uk/lost-in-a-landscape-blicking-mausoleum/</w:t>
        </w:r>
      </w:hyperlink>
      <w:r w:rsidRPr="1A46E922">
        <w:rPr>
          <w:rFonts w:ascii="Calibri" w:eastAsia="Calibri" w:hAnsi="Calibri" w:cs="Calibri"/>
        </w:rPr>
        <w:t xml:space="preserve"> (Accessed: 7</w:t>
      </w:r>
      <w:r w:rsidRPr="1A46E922">
        <w:rPr>
          <w:rFonts w:ascii="Calibri" w:eastAsia="Calibri" w:hAnsi="Calibri" w:cs="Calibri"/>
          <w:vertAlign w:val="superscript"/>
        </w:rPr>
        <w:t>th</w:t>
      </w:r>
      <w:r w:rsidRPr="1A46E922">
        <w:rPr>
          <w:rFonts w:ascii="Calibri" w:eastAsia="Calibri" w:hAnsi="Calibri" w:cs="Calibri"/>
        </w:rPr>
        <w:t xml:space="preserve"> May 2023).</w:t>
      </w:r>
      <w:r w:rsidRPr="1A46E922">
        <w:rPr>
          <w:rFonts w:ascii="Calibri" w:eastAsia="Calibri" w:hAnsi="Calibri" w:cs="Calibri"/>
          <w:sz w:val="24"/>
          <w:szCs w:val="24"/>
        </w:rPr>
        <w:t xml:space="preserve"> </w:t>
      </w:r>
      <w:r w:rsidRPr="1A46E922">
        <w:rPr>
          <w:rFonts w:ascii="Calibri" w:eastAsia="Calibri" w:hAnsi="Calibri" w:cs="Calibri"/>
        </w:rPr>
        <w:t xml:space="preserve"> </w:t>
      </w:r>
    </w:p>
    <w:p w14:paraId="078068F6" w14:textId="77777777" w:rsidR="0064717E" w:rsidRDefault="0064717E" w:rsidP="0064717E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Mili, S. 2023 “Architecture that hides stories: A look at the Brion tomb by Carlo Scarpa. Arch Daily 2023. Available at: </w:t>
      </w:r>
      <w:hyperlink r:id="rId8">
        <w:r w:rsidRPr="1A46E922">
          <w:rPr>
            <w:rStyle w:val="Hyperlink"/>
            <w:rFonts w:ascii="Calibri" w:eastAsia="Calibri" w:hAnsi="Calibri" w:cs="Calibri"/>
          </w:rPr>
          <w:t>https://www.archdaily.com/991218/architecture-that-hides-stories-a-look-at-the-brion-tomb-by-carlo-scarpa</w:t>
        </w:r>
      </w:hyperlink>
      <w:r w:rsidRPr="1A46E922">
        <w:rPr>
          <w:rFonts w:ascii="Calibri" w:eastAsia="Calibri" w:hAnsi="Calibri" w:cs="Calibri"/>
        </w:rPr>
        <w:t xml:space="preserve"> (Accessed: 7</w:t>
      </w:r>
      <w:r w:rsidRPr="1A46E922">
        <w:rPr>
          <w:rFonts w:ascii="Calibri" w:eastAsia="Calibri" w:hAnsi="Calibri" w:cs="Calibri"/>
          <w:vertAlign w:val="superscript"/>
        </w:rPr>
        <w:t>th</w:t>
      </w:r>
      <w:r w:rsidRPr="1A46E922">
        <w:rPr>
          <w:rFonts w:ascii="Calibri" w:eastAsia="Calibri" w:hAnsi="Calibri" w:cs="Calibri"/>
        </w:rPr>
        <w:t xml:space="preserve"> May 2023).</w:t>
      </w:r>
    </w:p>
    <w:p w14:paraId="64475D30" w14:textId="77777777" w:rsidR="0064717E" w:rsidRDefault="0064717E" w:rsidP="0064717E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proofErr w:type="spellStart"/>
      <w:r w:rsidRPr="1A46E922">
        <w:rPr>
          <w:rFonts w:ascii="Calibri" w:eastAsia="Calibri" w:hAnsi="Calibri" w:cs="Calibri"/>
        </w:rPr>
        <w:t>Sichenze</w:t>
      </w:r>
      <w:proofErr w:type="spellEnd"/>
      <w:r w:rsidRPr="1A46E922">
        <w:rPr>
          <w:rFonts w:ascii="Calibri" w:eastAsia="Calibri" w:hAnsi="Calibri" w:cs="Calibri"/>
        </w:rPr>
        <w:t xml:space="preserve"> V (2017) “Threshold: Brion Cemetery by Carlo Scarpa”. List Lab.</w:t>
      </w:r>
    </w:p>
    <w:p w14:paraId="615C69FD" w14:textId="77777777" w:rsidR="00D91976" w:rsidRPr="00D91976" w:rsidRDefault="00D91976" w:rsidP="00D91976">
      <w:pPr>
        <w:pStyle w:val="ListParagraph"/>
        <w:numPr>
          <w:ilvl w:val="0"/>
          <w:numId w:val="12"/>
        </w:numPr>
        <w:spacing w:before="240" w:line="257" w:lineRule="auto"/>
        <w:jc w:val="right"/>
        <w:rPr>
          <w:rFonts w:cstheme="minorHAnsi"/>
          <w:color w:val="000000"/>
          <w:shd w:val="clear" w:color="auto" w:fill="FFFFFF"/>
        </w:rPr>
      </w:pPr>
    </w:p>
    <w:p w14:paraId="714DF7CA" w14:textId="47494803" w:rsidR="00D91976" w:rsidRPr="00D91976" w:rsidRDefault="00D91976" w:rsidP="00D91976">
      <w:pPr>
        <w:spacing w:before="240" w:line="257" w:lineRule="auto"/>
        <w:ind w:left="360"/>
        <w:jc w:val="right"/>
        <w:rPr>
          <w:rFonts w:cstheme="minorHAnsi"/>
          <w:color w:val="000000"/>
          <w:shd w:val="clear" w:color="auto" w:fill="FFFFFF"/>
        </w:rPr>
      </w:pPr>
      <w:r w:rsidRPr="00D91976">
        <w:rPr>
          <w:rFonts w:ascii="Calibri" w:eastAsia="Calibri" w:hAnsi="Calibri" w:cs="Calibri"/>
          <w:sz w:val="24"/>
          <w:szCs w:val="24"/>
        </w:rPr>
        <w:lastRenderedPageBreak/>
        <w:t>Bethan Davies</w:t>
      </w:r>
    </w:p>
    <w:p w14:paraId="5727FFFC" w14:textId="77777777" w:rsidR="00D91976" w:rsidRDefault="00D91976" w:rsidP="00D91976">
      <w:pPr>
        <w:spacing w:line="257" w:lineRule="auto"/>
        <w:ind w:left="360"/>
        <w:jc w:val="right"/>
      </w:pPr>
      <w:r w:rsidRPr="00D91976">
        <w:rPr>
          <w:rFonts w:ascii="Calibri" w:eastAsia="Calibri" w:hAnsi="Calibri" w:cs="Calibri"/>
          <w:sz w:val="24"/>
          <w:szCs w:val="24"/>
        </w:rPr>
        <w:t>2101063</w:t>
      </w:r>
    </w:p>
    <w:p w14:paraId="34944D46" w14:textId="77777777" w:rsidR="00D91976" w:rsidRPr="00D91976" w:rsidRDefault="00D91976" w:rsidP="00D91976">
      <w:pPr>
        <w:spacing w:line="257" w:lineRule="auto"/>
        <w:ind w:left="360"/>
        <w:jc w:val="right"/>
        <w:rPr>
          <w:rFonts w:ascii="Calibri" w:eastAsia="Calibri" w:hAnsi="Calibri" w:cs="Calibri"/>
          <w:sz w:val="24"/>
          <w:szCs w:val="24"/>
        </w:rPr>
      </w:pPr>
      <w:r w:rsidRPr="00D91976">
        <w:rPr>
          <w:rFonts w:ascii="Calibri" w:eastAsia="Calibri" w:hAnsi="Calibri" w:cs="Calibri"/>
          <w:sz w:val="24"/>
          <w:szCs w:val="24"/>
        </w:rPr>
        <w:t>ACAA5003</w:t>
      </w:r>
    </w:p>
    <w:p w14:paraId="741A3886" w14:textId="77777777" w:rsidR="00D91976" w:rsidRPr="00D91976" w:rsidRDefault="00D91976" w:rsidP="00D91976">
      <w:pPr>
        <w:rPr>
          <w:rFonts w:ascii="Calibri" w:eastAsia="Calibri" w:hAnsi="Calibri" w:cs="Calibri"/>
        </w:rPr>
      </w:pPr>
    </w:p>
    <w:p w14:paraId="35C70BA0" w14:textId="0C93B707" w:rsidR="00BE3268" w:rsidRPr="00D91976" w:rsidRDefault="0064717E" w:rsidP="00BE3268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1A46E922">
        <w:rPr>
          <w:rFonts w:ascii="Calibri" w:eastAsia="Calibri" w:hAnsi="Calibri" w:cs="Calibri"/>
        </w:rPr>
        <w:t xml:space="preserve">Evans D.H, Knight J (1987) “Valle Crucis Abbey/ The Pillar of </w:t>
      </w:r>
      <w:proofErr w:type="spellStart"/>
      <w:r w:rsidRPr="1A46E922">
        <w:rPr>
          <w:rFonts w:ascii="Calibri" w:eastAsia="Calibri" w:hAnsi="Calibri" w:cs="Calibri"/>
        </w:rPr>
        <w:t>Eliseg</w:t>
      </w:r>
      <w:proofErr w:type="spellEnd"/>
      <w:r w:rsidRPr="1A46E922">
        <w:rPr>
          <w:rFonts w:ascii="Calibri" w:eastAsia="Calibri" w:hAnsi="Calibri" w:cs="Calibri"/>
        </w:rPr>
        <w:t xml:space="preserve">. </w:t>
      </w:r>
      <w:proofErr w:type="spellStart"/>
      <w:r w:rsidRPr="1A46E922">
        <w:rPr>
          <w:rFonts w:ascii="Calibri" w:eastAsia="Calibri" w:hAnsi="Calibri" w:cs="Calibri"/>
        </w:rPr>
        <w:t>Cadw</w:t>
      </w:r>
      <w:proofErr w:type="spellEnd"/>
      <w:r w:rsidRPr="1A46E922">
        <w:rPr>
          <w:rFonts w:ascii="Calibri" w:eastAsia="Calibri" w:hAnsi="Calibri" w:cs="Calibri"/>
        </w:rPr>
        <w:t xml:space="preserve">: Welsh Historic Monuments... </w:t>
      </w:r>
      <w:proofErr w:type="spellStart"/>
      <w:r w:rsidRPr="1A46E922">
        <w:rPr>
          <w:rFonts w:ascii="Calibri" w:eastAsia="Calibri" w:hAnsi="Calibri" w:cs="Calibri"/>
        </w:rPr>
        <w:t>Cadw</w:t>
      </w:r>
      <w:proofErr w:type="spellEnd"/>
      <w:r w:rsidRPr="1A46E922">
        <w:rPr>
          <w:rFonts w:ascii="Calibri" w:eastAsia="Calibri" w:hAnsi="Calibri" w:cs="Calibri"/>
        </w:rPr>
        <w:t>: Welsh Historic Monuments.</w:t>
      </w:r>
    </w:p>
    <w:p w14:paraId="663C2B9A" w14:textId="77777777" w:rsidR="00BE3268" w:rsidRDefault="00203050" w:rsidP="00BE3268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Harbour Poole 2018-2019</w:t>
      </w:r>
      <w:r w:rsidR="00054961">
        <w:rPr>
          <w:rFonts w:ascii="Calibri" w:eastAsia="Calibri" w:hAnsi="Calibri" w:cs="Calibri"/>
        </w:rPr>
        <w:t xml:space="preserve"> “Harbour View Burial Ground”. Available at:</w:t>
      </w:r>
      <w:r w:rsidR="00054961" w:rsidRPr="00054961">
        <w:t xml:space="preserve"> </w:t>
      </w:r>
      <w:hyperlink r:id="rId9" w:history="1">
        <w:r w:rsidR="00054961" w:rsidRPr="006175AB">
          <w:rPr>
            <w:rStyle w:val="Hyperlink"/>
            <w:rFonts w:ascii="Calibri" w:eastAsia="Calibri" w:hAnsi="Calibri" w:cs="Calibri"/>
          </w:rPr>
          <w:t>https://www.westerndesignarchitects.com/portfolio/all-projects/harbour-view-crematorium-poole</w:t>
        </w:r>
      </w:hyperlink>
      <w:r w:rsidR="00054961">
        <w:rPr>
          <w:rFonts w:ascii="Calibri" w:eastAsia="Calibri" w:hAnsi="Calibri" w:cs="Calibri"/>
        </w:rPr>
        <w:t xml:space="preserve">. </w:t>
      </w:r>
    </w:p>
    <w:p w14:paraId="0C8D3EE1" w14:textId="77777777" w:rsidR="00BE3268" w:rsidRPr="00BE3268" w:rsidRDefault="00476B5C" w:rsidP="00BE3268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00BE3268">
        <w:rPr>
          <w:rFonts w:cstheme="minorHAnsi"/>
          <w:color w:val="000000"/>
          <w:shd w:val="clear" w:color="auto" w:fill="FFFFFF"/>
        </w:rPr>
        <w:t xml:space="preserve">Hilary J. Grainger’s 2005, </w:t>
      </w:r>
      <w:r w:rsidRPr="00BE3268">
        <w:rPr>
          <w:rFonts w:cstheme="minorHAnsi"/>
          <w:i/>
          <w:iCs/>
          <w:color w:val="000000"/>
          <w:shd w:val="clear" w:color="auto" w:fill="FFFFFF"/>
        </w:rPr>
        <w:t>British Crematoria: History, Architecture and Landscape</w:t>
      </w:r>
      <w:r w:rsidRPr="00BE3268">
        <w:rPr>
          <w:rFonts w:cstheme="minorHAnsi"/>
          <w:color w:val="000000"/>
          <w:shd w:val="clear" w:color="auto" w:fill="FFFFFF"/>
        </w:rPr>
        <w:t>.</w:t>
      </w:r>
    </w:p>
    <w:p w14:paraId="5E5787A5" w14:textId="5EA5752E" w:rsidR="00D642AD" w:rsidRPr="00BE3268" w:rsidRDefault="00BE3268" w:rsidP="00BE3268">
      <w:pPr>
        <w:pStyle w:val="ListParagraph"/>
        <w:numPr>
          <w:ilvl w:val="0"/>
          <w:numId w:val="12"/>
        </w:numPr>
        <w:rPr>
          <w:rFonts w:ascii="Calibri" w:eastAsia="Calibri" w:hAnsi="Calibri" w:cs="Calibri"/>
        </w:rPr>
      </w:pPr>
      <w:r w:rsidRPr="00BE3268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Avril </w:t>
      </w:r>
      <w:proofErr w:type="spellStart"/>
      <w:r w:rsidRPr="00BE3268">
        <w:rPr>
          <w:rFonts w:cstheme="minorHAnsi"/>
          <w:color w:val="000000"/>
          <w:bdr w:val="none" w:sz="0" w:space="0" w:color="auto" w:frame="1"/>
          <w:shd w:val="clear" w:color="auto" w:fill="FFFFFF"/>
        </w:rPr>
        <w:t>Maddrell’s</w:t>
      </w:r>
      <w:proofErr w:type="spellEnd"/>
      <w:r w:rsidRPr="00BE3268">
        <w:rPr>
          <w:rFonts w:cstheme="minorHAnsi"/>
          <w:color w:val="000000"/>
          <w:bdr w:val="none" w:sz="0" w:space="0" w:color="auto" w:frame="1"/>
          <w:shd w:val="clear" w:color="auto" w:fill="FFFFFF"/>
        </w:rPr>
        <w:t xml:space="preserve"> 2010 work, </w:t>
      </w:r>
      <w:proofErr w:type="spellStart"/>
      <w:r w:rsidRPr="00BE3268">
        <w:rPr>
          <w:rFonts w:cstheme="minorHAnsi"/>
          <w:i/>
          <w:iCs/>
          <w:color w:val="000000"/>
          <w:bdr w:val="none" w:sz="0" w:space="0" w:color="auto" w:frame="1"/>
          <w:shd w:val="clear" w:color="auto" w:fill="FFFFFF"/>
        </w:rPr>
        <w:t>Deathscapes</w:t>
      </w:r>
      <w:proofErr w:type="spellEnd"/>
      <w:r w:rsidRPr="00BE3268">
        <w:rPr>
          <w:rFonts w:cstheme="minorHAnsi"/>
          <w:i/>
          <w:iCs/>
          <w:color w:val="000000"/>
          <w:bdr w:val="none" w:sz="0" w:space="0" w:color="auto" w:frame="1"/>
          <w:shd w:val="clear" w:color="auto" w:fill="FFFFFF"/>
        </w:rPr>
        <w:t>: Spaces for Death, Dying, Mourning, and Remembrance</w:t>
      </w:r>
      <w:r w:rsidRPr="00BE3268">
        <w:rPr>
          <w:rFonts w:cstheme="minorHAnsi"/>
          <w:color w:val="000000"/>
          <w:bdr w:val="none" w:sz="0" w:space="0" w:color="auto" w:frame="1"/>
          <w:shd w:val="clear" w:color="auto" w:fill="FFFFFF"/>
        </w:rPr>
        <w:t>.</w:t>
      </w:r>
    </w:p>
    <w:sectPr w:rsidR="00D642AD" w:rsidRPr="00BE32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byMe+wAp60Guz" int2:id="stQ0v26V">
      <int2:state int2:value="Rejected" int2:type="AugLoop_Text_Critique"/>
    </int2:textHash>
    <int2:textHash int2:hashCode="j2n4IeY1aLRQBl" int2:id="oGiEFxiA">
      <int2:state int2:value="Rejected" int2:type="AugLoop_Text_Critique"/>
    </int2:textHash>
    <int2:textHash int2:hashCode="WEza3J+EmqvdQj" int2:id="yVxp3kXs">
      <int2:state int2:value="Rejected" int2:type="AugLoop_Text_Critique"/>
    </int2:textHash>
    <int2:textHash int2:hashCode="d7QZEFUNxNCanB" int2:id="RlWNFUhO">
      <int2:state int2:value="Rejected" int2:type="AugLoop_Text_Critique"/>
    </int2:textHash>
    <int2:textHash int2:hashCode="jrSNTeOcFhBnxS" int2:id="MdmmFxHx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633557"/>
    <w:multiLevelType w:val="hybridMultilevel"/>
    <w:tmpl w:val="C672B598"/>
    <w:lvl w:ilvl="0" w:tplc="23AA896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52C8E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C248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2003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1259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A80D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1A9D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3C01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16AD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CF06E5"/>
    <w:multiLevelType w:val="hybridMultilevel"/>
    <w:tmpl w:val="E068A63A"/>
    <w:lvl w:ilvl="0" w:tplc="A718C3C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E7E46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005F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F0AC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F65E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1490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3891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9E30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48AE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F16512"/>
    <w:multiLevelType w:val="hybridMultilevel"/>
    <w:tmpl w:val="AC80281C"/>
    <w:lvl w:ilvl="0" w:tplc="1882769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06AD1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A6FE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26FC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061E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1235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A6A7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86AC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54FA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A9A88B"/>
    <w:multiLevelType w:val="hybridMultilevel"/>
    <w:tmpl w:val="8CA8AD98"/>
    <w:lvl w:ilvl="0" w:tplc="3F7256C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CDACF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8408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FE56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0674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F01D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9471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E8C3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3A7B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E2FF20"/>
    <w:multiLevelType w:val="hybridMultilevel"/>
    <w:tmpl w:val="9ED27208"/>
    <w:lvl w:ilvl="0" w:tplc="2D1E5F0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88E9B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EE64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8AE3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1AE9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90EA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A27E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9448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884F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2BF43C"/>
    <w:multiLevelType w:val="hybridMultilevel"/>
    <w:tmpl w:val="C3C051B0"/>
    <w:lvl w:ilvl="0" w:tplc="1E86541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70604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5C8D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2A77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5AD3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E38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E818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54F3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6D897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A6FEE3"/>
    <w:multiLevelType w:val="hybridMultilevel"/>
    <w:tmpl w:val="53CC1CAC"/>
    <w:lvl w:ilvl="0" w:tplc="49661F3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48EFA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EE1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B619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6837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8810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B887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5ABA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7089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0CCD7B"/>
    <w:multiLevelType w:val="hybridMultilevel"/>
    <w:tmpl w:val="61B0199C"/>
    <w:lvl w:ilvl="0" w:tplc="C060A47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346BC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94EF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C2C5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4C24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3E68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7291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1288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B2AA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EA20B5"/>
    <w:multiLevelType w:val="hybridMultilevel"/>
    <w:tmpl w:val="15E42146"/>
    <w:lvl w:ilvl="0" w:tplc="EDA6A5E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09867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1880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6E0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30A4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268A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C4B7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C404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62F1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3700D8"/>
    <w:multiLevelType w:val="hybridMultilevel"/>
    <w:tmpl w:val="F238DD4C"/>
    <w:lvl w:ilvl="0" w:tplc="713C9A0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2FE61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32EA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5CE1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3010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0AD7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0014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D4D5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BAB5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F412A95"/>
    <w:multiLevelType w:val="hybridMultilevel"/>
    <w:tmpl w:val="0F30F078"/>
    <w:lvl w:ilvl="0" w:tplc="F120165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56A07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98DD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8CA6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8A1F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59A22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946F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5097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B8F9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81925B"/>
    <w:multiLevelType w:val="hybridMultilevel"/>
    <w:tmpl w:val="9466A740"/>
    <w:lvl w:ilvl="0" w:tplc="F5C4E9E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BFED9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9A0F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1AF0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DCBE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1875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EA89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90E2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9EDD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773222">
    <w:abstractNumId w:val="4"/>
  </w:num>
  <w:num w:numId="2" w16cid:durableId="479465746">
    <w:abstractNumId w:val="6"/>
  </w:num>
  <w:num w:numId="3" w16cid:durableId="970939363">
    <w:abstractNumId w:val="1"/>
  </w:num>
  <w:num w:numId="4" w16cid:durableId="355470287">
    <w:abstractNumId w:val="5"/>
  </w:num>
  <w:num w:numId="5" w16cid:durableId="440539558">
    <w:abstractNumId w:val="10"/>
  </w:num>
  <w:num w:numId="6" w16cid:durableId="1322277488">
    <w:abstractNumId w:val="0"/>
  </w:num>
  <w:num w:numId="7" w16cid:durableId="1537350318">
    <w:abstractNumId w:val="9"/>
  </w:num>
  <w:num w:numId="8" w16cid:durableId="504978214">
    <w:abstractNumId w:val="2"/>
  </w:num>
  <w:num w:numId="9" w16cid:durableId="580409621">
    <w:abstractNumId w:val="11"/>
  </w:num>
  <w:num w:numId="10" w16cid:durableId="682706332">
    <w:abstractNumId w:val="7"/>
  </w:num>
  <w:num w:numId="11" w16cid:durableId="1957323906">
    <w:abstractNumId w:val="3"/>
  </w:num>
  <w:num w:numId="12" w16cid:durableId="115502994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2679A4"/>
    <w:rsid w:val="00017FD6"/>
    <w:rsid w:val="00054961"/>
    <w:rsid w:val="00064DA7"/>
    <w:rsid w:val="000E1873"/>
    <w:rsid w:val="00117899"/>
    <w:rsid w:val="00203050"/>
    <w:rsid w:val="002A6E04"/>
    <w:rsid w:val="003D4D28"/>
    <w:rsid w:val="00476B5C"/>
    <w:rsid w:val="004F0C94"/>
    <w:rsid w:val="00552932"/>
    <w:rsid w:val="00586061"/>
    <w:rsid w:val="005A4DEE"/>
    <w:rsid w:val="005E732A"/>
    <w:rsid w:val="0064717E"/>
    <w:rsid w:val="006606A5"/>
    <w:rsid w:val="007E3DE2"/>
    <w:rsid w:val="0089578F"/>
    <w:rsid w:val="00A67B4D"/>
    <w:rsid w:val="00B13385"/>
    <w:rsid w:val="00B81229"/>
    <w:rsid w:val="00B93F1E"/>
    <w:rsid w:val="00BE3268"/>
    <w:rsid w:val="00CC5C34"/>
    <w:rsid w:val="00CD087C"/>
    <w:rsid w:val="00D642AD"/>
    <w:rsid w:val="00D91976"/>
    <w:rsid w:val="00DB1FB3"/>
    <w:rsid w:val="00E04F9B"/>
    <w:rsid w:val="00E206DC"/>
    <w:rsid w:val="00E227B1"/>
    <w:rsid w:val="00E559B4"/>
    <w:rsid w:val="00E85C56"/>
    <w:rsid w:val="00EB07C5"/>
    <w:rsid w:val="00ED1036"/>
    <w:rsid w:val="00FA319A"/>
    <w:rsid w:val="0A27C5B9"/>
    <w:rsid w:val="0A406C98"/>
    <w:rsid w:val="1970B80D"/>
    <w:rsid w:val="1A46E922"/>
    <w:rsid w:val="1E0619E2"/>
    <w:rsid w:val="38FF9E37"/>
    <w:rsid w:val="412679A4"/>
    <w:rsid w:val="50262562"/>
    <w:rsid w:val="51C1F5C3"/>
    <w:rsid w:val="54E96E99"/>
    <w:rsid w:val="6DE2F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679A4"/>
  <w15:chartTrackingRefBased/>
  <w15:docId w15:val="{AFCAB02F-0613-49EE-89FB-800DD685A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xcontentpasted2">
    <w:name w:val="x_contentpasted2"/>
    <w:basedOn w:val="DefaultParagraphFont"/>
    <w:rsid w:val="0064717E"/>
  </w:style>
  <w:style w:type="character" w:styleId="UnresolvedMention">
    <w:name w:val="Unresolved Mention"/>
    <w:basedOn w:val="DefaultParagraphFont"/>
    <w:uiPriority w:val="99"/>
    <w:semiHidden/>
    <w:unhideWhenUsed/>
    <w:rsid w:val="000549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chdaily.com/991218/architecture-that-hides-stories-a-look-at-the-brion-tomb-by-carlo-scarpa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visibleworks.co.uk/lost-in-a-landscape-blicking-mausoleum/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adw.gov.wales/visit/places-to-visit/elisegs-pillar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theguardian.com/artanddesign/2006/jun/08/architecture.britishidentity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westerndesignarchitects.com/portfolio/all-projects/harbour-view-crematorium-poo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792</Words>
  <Characters>4515</Characters>
  <Application>Microsoft Office Word</Application>
  <DocSecurity>0</DocSecurity>
  <Lines>100</Lines>
  <Paragraphs>60</Paragraphs>
  <ScaleCrop>false</ScaleCrop>
  <Company/>
  <LinksUpToDate>false</LinksUpToDate>
  <CharactersWithSpaces>5247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Davies (2101063)</dc:creator>
  <cp:keywords/>
  <dc:description/>
  <cp:lastModifiedBy>bethan davies</cp:lastModifiedBy>
  <cp:revision>3</cp:revision>
  <dcterms:created xsi:type="dcterms:W3CDTF">2023-05-08T20:36:00Z</dcterms:created>
  <dcterms:modified xsi:type="dcterms:W3CDTF">2023-05-08T20:36:00Z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ad3feb8979f76281f037ac5449c34c64a3410d2831bb1decd64568b2ab6084e6</vt:lpwstr>
  </property>
</Properties>
</file>