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41D4D" w14:textId="5E8E1076" w:rsidR="00AB2877" w:rsidRDefault="005D62F3">
      <w:pPr>
        <w:spacing w:before="400" w:after="200"/>
        <w:jc w:val="center"/>
      </w:pPr>
      <w:r>
        <w:rPr>
          <w:b/>
          <w:bCs/>
          <w:color w:val="1F3864"/>
          <w:sz w:val="34"/>
          <w:szCs w:val="34"/>
        </w:rPr>
        <w:t>Foucault's Governmentality</w:t>
      </w:r>
      <w:r w:rsidR="00756236">
        <w:rPr>
          <w:b/>
          <w:bCs/>
          <w:color w:val="1F3864"/>
          <w:sz w:val="34"/>
          <w:szCs w:val="34"/>
        </w:rPr>
        <w:t xml:space="preserve">: </w:t>
      </w:r>
      <w:r>
        <w:rPr>
          <w:b/>
          <w:bCs/>
          <w:color w:val="1F3864"/>
          <w:sz w:val="34"/>
          <w:szCs w:val="34"/>
        </w:rPr>
        <w:t xml:space="preserve"> A Plain-English Overview</w:t>
      </w:r>
    </w:p>
    <w:p w14:paraId="6044DDE6" w14:textId="77777777" w:rsidR="00AB2877" w:rsidRDefault="005D62F3">
      <w:pPr>
        <w:spacing w:after="80"/>
        <w:jc w:val="center"/>
      </w:pPr>
      <w:r>
        <w:rPr>
          <w:i/>
          <w:iCs/>
          <w:color w:val="2E75B6"/>
          <w:sz w:val="22"/>
          <w:szCs w:val="22"/>
        </w:rPr>
        <w:t>And how it applies to understanding problem gambling</w:t>
      </w:r>
    </w:p>
    <w:p w14:paraId="4D01B2F8" w14:textId="77777777" w:rsidR="00AB2877" w:rsidRDefault="00AB2877">
      <w:pPr>
        <w:pBdr>
          <w:bottom w:val="single" w:sz="4" w:space="1" w:color="2E75B6"/>
        </w:pBdr>
        <w:spacing w:before="120" w:after="120"/>
      </w:pPr>
    </w:p>
    <w:p w14:paraId="553BBBF2" w14:textId="77777777" w:rsidR="00AB2877" w:rsidRDefault="00AB2877">
      <w:pPr>
        <w:spacing w:before="100" w:after="80"/>
      </w:pPr>
    </w:p>
    <w:p w14:paraId="6FA6034F" w14:textId="1CAC01E0" w:rsidR="00AB2877" w:rsidRDefault="005D62F3">
      <w:pPr>
        <w:spacing w:before="60" w:after="100"/>
      </w:pPr>
      <w:r>
        <w:t>Michel Foucault was a French philosopher interested in how power works in modern societies</w:t>
      </w:r>
      <w:r w:rsidR="00756236">
        <w:t xml:space="preserve">: </w:t>
      </w:r>
      <w:r>
        <w:t xml:space="preserve"> not through force or law alone, but through the way people come to govern themselves.</w:t>
      </w:r>
    </w:p>
    <w:p w14:paraId="4ED9EA14" w14:textId="77777777" w:rsidR="00AB2877" w:rsidRDefault="00AB2877">
      <w:pPr>
        <w:spacing w:before="40" w:after="40"/>
      </w:pPr>
    </w:p>
    <w:p w14:paraId="18F5EF30" w14:textId="1B5BF1A6" w:rsidR="00AB2877" w:rsidRDefault="005D62F3">
      <w:pPr>
        <w:spacing w:before="60" w:after="100"/>
      </w:pPr>
      <w:r>
        <w:t>His concept of governmentality describes how governments, institutions, and industries shape the way individuals think about their own behaviour. Rather than telling people what to do, modern power works by persuading people to want to regulate themselves</w:t>
      </w:r>
      <w:r w:rsidR="00756236">
        <w:t xml:space="preserve">: </w:t>
      </w:r>
      <w:r>
        <w:t xml:space="preserve"> to be responsible, sensible, and self-managing.</w:t>
      </w:r>
    </w:p>
    <w:p w14:paraId="2DE5C9D3" w14:textId="77777777" w:rsidR="00AB2877" w:rsidRDefault="00AB2877">
      <w:pPr>
        <w:spacing w:before="40" w:after="40"/>
      </w:pPr>
    </w:p>
    <w:p w14:paraId="637C5EC5" w14:textId="2EC52BBB" w:rsidR="00AB2877" w:rsidRDefault="005D62F3">
      <w:pPr>
        <w:spacing w:before="60" w:after="100"/>
      </w:pPr>
      <w:r>
        <w:rPr>
          <w:color w:val="222222"/>
        </w:rPr>
        <w:t xml:space="preserve">The key idea is </w:t>
      </w:r>
      <w:proofErr w:type="spellStart"/>
      <w:r>
        <w:rPr>
          <w:b/>
          <w:bCs/>
          <w:color w:val="5C1A6E"/>
        </w:rPr>
        <w:t>responsibilisation</w:t>
      </w:r>
      <w:proofErr w:type="spellEnd"/>
      <w:r>
        <w:rPr>
          <w:color w:val="222222"/>
        </w:rPr>
        <w:t xml:space="preserve">: the process by which responsibility for complex social problems is shifted from institutions onto individuals. You are not told to stop gambling; you are given a </w:t>
      </w:r>
      <w:r>
        <w:rPr>
          <w:i/>
          <w:iCs/>
        </w:rPr>
        <w:t>self-exclusion scheme</w:t>
      </w:r>
      <w:r>
        <w:rPr>
          <w:color w:val="222222"/>
        </w:rPr>
        <w:t xml:space="preserve"> and told to use it. The problem</w:t>
      </w:r>
      <w:r w:rsidR="00756236">
        <w:rPr>
          <w:color w:val="222222"/>
        </w:rPr>
        <w:t xml:space="preserve">: </w:t>
      </w:r>
      <w:r>
        <w:rPr>
          <w:color w:val="222222"/>
        </w:rPr>
        <w:t xml:space="preserve"> and the </w:t>
      </w:r>
      <w:proofErr w:type="gramStart"/>
      <w:r>
        <w:rPr>
          <w:color w:val="222222"/>
        </w:rPr>
        <w:t>solution</w:t>
      </w:r>
      <w:r w:rsidR="00756236">
        <w:rPr>
          <w:color w:val="222222"/>
        </w:rPr>
        <w:t>:</w:t>
      </w:r>
      <w:proofErr w:type="gramEnd"/>
      <w:r w:rsidR="00756236">
        <w:rPr>
          <w:color w:val="222222"/>
        </w:rPr>
        <w:t xml:space="preserve"> </w:t>
      </w:r>
      <w:r>
        <w:rPr>
          <w:color w:val="222222"/>
        </w:rPr>
        <w:t xml:space="preserve"> are both placed in your hands.</w:t>
      </w:r>
    </w:p>
    <w:p w14:paraId="354C9178" w14:textId="77777777" w:rsidR="00AB2877" w:rsidRDefault="00AB2877">
      <w:pPr>
        <w:spacing w:before="40" w:after="40"/>
      </w:pPr>
    </w:p>
    <w:p w14:paraId="557583A1" w14:textId="650DAD3E" w:rsidR="00AB2877" w:rsidRDefault="005D62F3">
      <w:pPr>
        <w:spacing w:before="60" w:after="100"/>
      </w:pPr>
      <w:r>
        <w:t xml:space="preserve">In gambling research, governmentality helps us ask: who is </w:t>
      </w:r>
      <w:proofErr w:type="gramStart"/>
      <w:r>
        <w:t>actually responsible</w:t>
      </w:r>
      <w:proofErr w:type="gramEnd"/>
      <w:r>
        <w:t xml:space="preserve"> for problem gambling</w:t>
      </w:r>
      <w:r w:rsidR="00756236">
        <w:t xml:space="preserve">: </w:t>
      </w:r>
      <w:r>
        <w:t xml:space="preserve"> the industry that profits from it, or the individual who struggles with it? And whose interests are served by framing it as a personal failure of self-control rather than a structural problem?</w:t>
      </w:r>
    </w:p>
    <w:p w14:paraId="1847ABEE" w14:textId="77777777" w:rsidR="00AB2877" w:rsidRDefault="00AB2877">
      <w:pPr>
        <w:spacing w:before="100" w:after="80"/>
      </w:pPr>
    </w:p>
    <w:p w14:paraId="109B8748" w14:textId="77777777" w:rsidR="00AB2877" w:rsidRDefault="00AB2877">
      <w:pPr>
        <w:pBdr>
          <w:bottom w:val="single" w:sz="4" w:space="1" w:color="5C1A6E"/>
        </w:pBdr>
        <w:spacing w:before="120" w:after="120"/>
      </w:pPr>
    </w:p>
    <w:p w14:paraId="39A18303" w14:textId="77777777" w:rsidR="00AB2877" w:rsidRDefault="00AB2877">
      <w:pPr>
        <w:spacing w:before="60" w:after="60"/>
      </w:pPr>
    </w:p>
    <w:p w14:paraId="042BEA3A" w14:textId="77777777" w:rsidR="00AB2877" w:rsidRDefault="005D62F3">
      <w:pPr>
        <w:spacing w:before="60" w:after="100"/>
      </w:pPr>
      <w:r>
        <w:rPr>
          <w:b/>
          <w:bCs/>
          <w:color w:val="1F3864"/>
        </w:rPr>
        <w:t>Three concepts from governmentality that appear in this interview:</w:t>
      </w:r>
    </w:p>
    <w:p w14:paraId="23C56845" w14:textId="77777777" w:rsidR="00AB2877" w:rsidRDefault="00AB2877">
      <w:pPr>
        <w:spacing w:before="60" w:after="60"/>
      </w:pPr>
    </w:p>
    <w:tbl>
      <w:tblPr>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54"/>
        <w:gridCol w:w="3053"/>
        <w:gridCol w:w="3053"/>
      </w:tblGrid>
      <w:tr w:rsidR="00AB2877" w14:paraId="242F5420" w14:textId="77777777">
        <w:tblPrEx>
          <w:tblCellMar>
            <w:top w:w="0" w:type="dxa"/>
            <w:bottom w:w="0" w:type="dxa"/>
          </w:tblCellMar>
        </w:tblPrEx>
        <w:tc>
          <w:tcPr>
            <w:tcW w:w="3053" w:type="dxa"/>
            <w:tcBorders>
              <w:top w:val="single" w:sz="1" w:space="0" w:color="CCCCCC"/>
              <w:left w:val="single" w:sz="1" w:space="0" w:color="CCCCCC"/>
              <w:bottom w:val="single" w:sz="1" w:space="0" w:color="CCCCCC"/>
              <w:right w:val="single" w:sz="1" w:space="0" w:color="CCCCCC"/>
            </w:tcBorders>
            <w:shd w:val="clear" w:color="auto" w:fill="F0E6FA"/>
            <w:tcMar>
              <w:top w:w="100" w:type="dxa"/>
              <w:left w:w="160" w:type="dxa"/>
              <w:bottom w:w="100" w:type="dxa"/>
              <w:right w:w="160" w:type="dxa"/>
            </w:tcMar>
          </w:tcPr>
          <w:p w14:paraId="673DF78E" w14:textId="77777777" w:rsidR="00AB2877" w:rsidRDefault="005D62F3">
            <w:pPr>
              <w:spacing w:before="40" w:after="60"/>
            </w:pPr>
            <w:proofErr w:type="spellStart"/>
            <w:r>
              <w:rPr>
                <w:b/>
                <w:bCs/>
                <w:color w:val="5C1A6E"/>
                <w:sz w:val="19"/>
                <w:szCs w:val="19"/>
              </w:rPr>
              <w:t>Responsibilisation</w:t>
            </w:r>
            <w:proofErr w:type="spellEnd"/>
          </w:p>
          <w:p w14:paraId="4F4EF048" w14:textId="4246842D" w:rsidR="00AB2877" w:rsidRDefault="005D62F3">
            <w:pPr>
              <w:spacing w:after="40"/>
            </w:pPr>
            <w:r>
              <w:rPr>
                <w:color w:val="333333"/>
                <w:sz w:val="18"/>
                <w:szCs w:val="18"/>
              </w:rPr>
              <w:t>The industry puts the burden on the individual</w:t>
            </w:r>
            <w:r w:rsidR="00756236">
              <w:rPr>
                <w:color w:val="333333"/>
                <w:sz w:val="18"/>
                <w:szCs w:val="18"/>
              </w:rPr>
              <w:t xml:space="preserve">: </w:t>
            </w:r>
            <w:r>
              <w:rPr>
                <w:color w:val="333333"/>
                <w:sz w:val="18"/>
                <w:szCs w:val="18"/>
              </w:rPr>
              <w:t xml:space="preserve"> self-exclusion, deposit limits, 'gamble responsibly'. Our participant shows why this fails when someone is already addicted.</w:t>
            </w:r>
          </w:p>
        </w:tc>
        <w:tc>
          <w:tcPr>
            <w:tcW w:w="3053" w:type="dxa"/>
            <w:tcBorders>
              <w:top w:val="single" w:sz="1" w:space="0" w:color="CCCCCC"/>
              <w:left w:val="single" w:sz="1" w:space="0" w:color="CCCCCC"/>
              <w:bottom w:val="single" w:sz="1" w:space="0" w:color="CCCCCC"/>
              <w:right w:val="single" w:sz="1" w:space="0" w:color="CCCCCC"/>
            </w:tcBorders>
            <w:shd w:val="clear" w:color="auto" w:fill="EAF4EE"/>
            <w:tcMar>
              <w:top w:w="100" w:type="dxa"/>
              <w:left w:w="160" w:type="dxa"/>
              <w:bottom w:w="100" w:type="dxa"/>
              <w:right w:w="160" w:type="dxa"/>
            </w:tcMar>
          </w:tcPr>
          <w:p w14:paraId="2264D100" w14:textId="77777777" w:rsidR="00AB2877" w:rsidRDefault="005D62F3">
            <w:pPr>
              <w:spacing w:before="40" w:after="60"/>
            </w:pPr>
            <w:r>
              <w:rPr>
                <w:b/>
                <w:bCs/>
                <w:color w:val="1E5C38"/>
                <w:sz w:val="19"/>
                <w:szCs w:val="19"/>
              </w:rPr>
              <w:t>Self-surveillance</w:t>
            </w:r>
          </w:p>
          <w:p w14:paraId="10B2B47C" w14:textId="6FAD926F" w:rsidR="00AB2877" w:rsidRDefault="005D62F3">
            <w:pPr>
              <w:spacing w:after="40"/>
            </w:pPr>
            <w:r>
              <w:rPr>
                <w:color w:val="333333"/>
                <w:sz w:val="18"/>
                <w:szCs w:val="18"/>
              </w:rPr>
              <w:t>He monitored himself constantly</w:t>
            </w:r>
            <w:r w:rsidR="00756236">
              <w:rPr>
                <w:color w:val="333333"/>
                <w:sz w:val="18"/>
                <w:szCs w:val="18"/>
              </w:rPr>
              <w:t xml:space="preserve">: </w:t>
            </w:r>
            <w:r>
              <w:rPr>
                <w:color w:val="333333"/>
                <w:sz w:val="18"/>
                <w:szCs w:val="18"/>
              </w:rPr>
              <w:t xml:space="preserve"> performing normality, pre-empting discovery. He had internalised the judgement of others and policed his own behaviour accordingly.</w:t>
            </w:r>
          </w:p>
        </w:tc>
        <w:tc>
          <w:tcPr>
            <w:tcW w:w="3053" w:type="dxa"/>
            <w:tcBorders>
              <w:top w:val="single" w:sz="1" w:space="0" w:color="CCCCCC"/>
              <w:left w:val="single" w:sz="1" w:space="0" w:color="CCCCCC"/>
              <w:bottom w:val="single" w:sz="1" w:space="0" w:color="CCCCCC"/>
              <w:right w:val="single" w:sz="1" w:space="0" w:color="CCCCCC"/>
            </w:tcBorders>
            <w:shd w:val="clear" w:color="auto" w:fill="FDF6E3"/>
            <w:tcMar>
              <w:top w:w="100" w:type="dxa"/>
              <w:left w:w="160" w:type="dxa"/>
              <w:bottom w:w="100" w:type="dxa"/>
              <w:right w:w="160" w:type="dxa"/>
            </w:tcMar>
          </w:tcPr>
          <w:p w14:paraId="32C2B777" w14:textId="77777777" w:rsidR="00AB2877" w:rsidRDefault="005D62F3">
            <w:pPr>
              <w:spacing w:before="40" w:after="60"/>
            </w:pPr>
            <w:r>
              <w:rPr>
                <w:b/>
                <w:bCs/>
                <w:color w:val="7B5200"/>
                <w:sz w:val="19"/>
                <w:szCs w:val="19"/>
              </w:rPr>
              <w:t>Technologies of the self</w:t>
            </w:r>
          </w:p>
          <w:p w14:paraId="73050F78" w14:textId="19E92C7D" w:rsidR="00AB2877" w:rsidRDefault="005D62F3">
            <w:pPr>
              <w:spacing w:after="40"/>
            </w:pPr>
            <w:r>
              <w:rPr>
                <w:color w:val="333333"/>
                <w:sz w:val="18"/>
                <w:szCs w:val="18"/>
              </w:rPr>
              <w:t>Treatment reshaped how he sees himself and talks about his past. Recovery is not just stopping a behaviour</w:t>
            </w:r>
            <w:r w:rsidR="00756236">
              <w:rPr>
                <w:color w:val="333333"/>
                <w:sz w:val="18"/>
                <w:szCs w:val="18"/>
              </w:rPr>
              <w:t xml:space="preserve">: </w:t>
            </w:r>
            <w:r>
              <w:rPr>
                <w:color w:val="333333"/>
                <w:sz w:val="18"/>
                <w:szCs w:val="18"/>
              </w:rPr>
              <w:t xml:space="preserve"> it is becoming a different kind of subject.</w:t>
            </w:r>
          </w:p>
        </w:tc>
      </w:tr>
    </w:tbl>
    <w:p w14:paraId="46BB07E5" w14:textId="77777777" w:rsidR="00AB2877" w:rsidRDefault="00AB2877">
      <w:pPr>
        <w:spacing w:before="100" w:after="80"/>
      </w:pPr>
    </w:p>
    <w:p w14:paraId="102AC5D8" w14:textId="77777777" w:rsidR="00AB2877" w:rsidRDefault="00AB2877">
      <w:pPr>
        <w:pBdr>
          <w:bottom w:val="single" w:sz="4" w:space="1" w:color="2E75B6"/>
        </w:pBdr>
        <w:spacing w:before="120" w:after="120"/>
      </w:pPr>
    </w:p>
    <w:p w14:paraId="53F4A74A" w14:textId="77777777" w:rsidR="00AB2877" w:rsidRDefault="00AB2877">
      <w:pPr>
        <w:spacing w:before="60" w:after="40"/>
      </w:pPr>
    </w:p>
    <w:p w14:paraId="6BC2A815" w14:textId="7074E408" w:rsidR="00AB2877" w:rsidRDefault="005D62F3">
      <w:pPr>
        <w:spacing w:before="60" w:after="100"/>
      </w:pPr>
      <w:r>
        <w:rPr>
          <w:color w:val="555555"/>
        </w:rPr>
        <w:t>You do not need to be a Foucault scholar to use these ideas. They are simply a lens</w:t>
      </w:r>
      <w:r w:rsidR="00756236">
        <w:rPr>
          <w:color w:val="555555"/>
        </w:rPr>
        <w:t xml:space="preserve">: </w:t>
      </w:r>
      <w:r>
        <w:rPr>
          <w:color w:val="555555"/>
        </w:rPr>
        <w:t xml:space="preserve"> a set of questions you can hold alongside your data:</w:t>
      </w:r>
    </w:p>
    <w:p w14:paraId="25B7248B" w14:textId="77777777" w:rsidR="00AB2877" w:rsidRDefault="00AB2877">
      <w:pPr>
        <w:spacing w:before="40" w:after="40"/>
      </w:pPr>
    </w:p>
    <w:p w14:paraId="7E01A629" w14:textId="3E28D774" w:rsidR="00AB2877" w:rsidRDefault="005D62F3">
      <w:pPr>
        <w:spacing w:before="60" w:after="100"/>
      </w:pPr>
      <w:r>
        <w:rPr>
          <w:i/>
          <w:iCs/>
          <w:color w:val="1F3864"/>
        </w:rPr>
        <w:t>Who is being asked to take responsibility here</w:t>
      </w:r>
      <w:r w:rsidR="00756236">
        <w:rPr>
          <w:i/>
          <w:iCs/>
          <w:color w:val="1F3864"/>
        </w:rPr>
        <w:t xml:space="preserve">: </w:t>
      </w:r>
      <w:r>
        <w:rPr>
          <w:i/>
          <w:iCs/>
          <w:color w:val="1F3864"/>
        </w:rPr>
        <w:t xml:space="preserve"> and why?</w:t>
      </w:r>
    </w:p>
    <w:p w14:paraId="20505F8B" w14:textId="77777777" w:rsidR="00AB2877" w:rsidRDefault="005D62F3">
      <w:pPr>
        <w:spacing w:before="60" w:after="100"/>
      </w:pPr>
      <w:r>
        <w:rPr>
          <w:i/>
          <w:iCs/>
          <w:color w:val="1F3864"/>
        </w:rPr>
        <w:t>What structures or institutions are being let off the hook?</w:t>
      </w:r>
    </w:p>
    <w:p w14:paraId="466E19A8" w14:textId="77777777" w:rsidR="00AB2877" w:rsidRDefault="005D62F3">
      <w:pPr>
        <w:spacing w:before="60" w:after="100"/>
      </w:pPr>
      <w:r>
        <w:rPr>
          <w:i/>
          <w:iCs/>
          <w:color w:val="1F3864"/>
        </w:rPr>
        <w:t>Whose interests does this framing serve?</w:t>
      </w:r>
    </w:p>
    <w:p w14:paraId="08DB2AC9" w14:textId="77777777" w:rsidR="00AB2877" w:rsidRDefault="00AB2877">
      <w:pPr>
        <w:spacing w:before="80" w:after="40"/>
      </w:pPr>
    </w:p>
    <w:p w14:paraId="5B0511F2" w14:textId="77777777" w:rsidR="00AB2877" w:rsidRDefault="005D62F3">
      <w:pPr>
        <w:spacing w:before="60" w:after="100"/>
      </w:pPr>
      <w:r>
        <w:rPr>
          <w:color w:val="555555"/>
        </w:rPr>
        <w:lastRenderedPageBreak/>
        <w:t>Those questions are relevant whether your own research is about leadership, trust, working from home, or anything else. Governmentality is always asking: where does the responsibility really sit?</w:t>
      </w:r>
    </w:p>
    <w:p w14:paraId="6C8E6234" w14:textId="77777777" w:rsidR="00AB2877" w:rsidRDefault="00AB2877">
      <w:pPr>
        <w:spacing w:before="80" w:after="40"/>
      </w:pPr>
    </w:p>
    <w:p w14:paraId="2D5A574F" w14:textId="77777777" w:rsidR="00AB2877" w:rsidRDefault="00AB2877">
      <w:pPr>
        <w:pBdr>
          <w:bottom w:val="single" w:sz="4" w:space="1" w:color="2E75B6"/>
        </w:pBdr>
        <w:spacing w:before="120" w:after="120"/>
      </w:pPr>
    </w:p>
    <w:p w14:paraId="7DD43342" w14:textId="77777777" w:rsidR="00AB2877" w:rsidRDefault="00AB2877">
      <w:pPr>
        <w:spacing w:before="60" w:after="40"/>
      </w:pPr>
    </w:p>
    <w:p w14:paraId="50BF68B5" w14:textId="77777777" w:rsidR="00AB2877" w:rsidRDefault="005D62F3">
      <w:pPr>
        <w:spacing w:before="60" w:after="100"/>
      </w:pPr>
      <w:r>
        <w:rPr>
          <w:color w:val="555555"/>
          <w:sz w:val="18"/>
          <w:szCs w:val="18"/>
        </w:rPr>
        <w:t>Foucault, M. (1991) Governmentality, in Burchell, G., Gordon, C. and Miller, P. (eds.) The Foucault Effect. Chicago: University of Chicago Press, pp. 87–104.</w:t>
      </w:r>
    </w:p>
    <w:p w14:paraId="5A20B9CD" w14:textId="77777777" w:rsidR="00AB2877" w:rsidRDefault="005D62F3">
      <w:pPr>
        <w:spacing w:before="60" w:after="100"/>
      </w:pPr>
      <w:r>
        <w:rPr>
          <w:color w:val="555555"/>
          <w:sz w:val="18"/>
          <w:szCs w:val="18"/>
        </w:rPr>
        <w:t>Rose, N. (1999) Powers of Freedom. Cambridge: Cambridge University Press.</w:t>
      </w:r>
    </w:p>
    <w:sectPr w:rsidR="00AB2877">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83D8C"/>
    <w:multiLevelType w:val="hybridMultilevel"/>
    <w:tmpl w:val="D194C3D8"/>
    <w:lvl w:ilvl="0" w:tplc="D57A364A">
      <w:start w:val="1"/>
      <w:numFmt w:val="bullet"/>
      <w:lvlText w:val="●"/>
      <w:lvlJc w:val="left"/>
      <w:pPr>
        <w:ind w:left="720" w:hanging="360"/>
      </w:pPr>
    </w:lvl>
    <w:lvl w:ilvl="1" w:tplc="166C8376">
      <w:start w:val="1"/>
      <w:numFmt w:val="bullet"/>
      <w:lvlText w:val="○"/>
      <w:lvlJc w:val="left"/>
      <w:pPr>
        <w:ind w:left="1440" w:hanging="360"/>
      </w:pPr>
    </w:lvl>
    <w:lvl w:ilvl="2" w:tplc="AA784BD8">
      <w:start w:val="1"/>
      <w:numFmt w:val="bullet"/>
      <w:lvlText w:val="■"/>
      <w:lvlJc w:val="left"/>
      <w:pPr>
        <w:ind w:left="2160" w:hanging="360"/>
      </w:pPr>
    </w:lvl>
    <w:lvl w:ilvl="3" w:tplc="FA5C67E4">
      <w:start w:val="1"/>
      <w:numFmt w:val="bullet"/>
      <w:lvlText w:val="●"/>
      <w:lvlJc w:val="left"/>
      <w:pPr>
        <w:ind w:left="2880" w:hanging="360"/>
      </w:pPr>
    </w:lvl>
    <w:lvl w:ilvl="4" w:tplc="EBA6C560">
      <w:start w:val="1"/>
      <w:numFmt w:val="bullet"/>
      <w:lvlText w:val="○"/>
      <w:lvlJc w:val="left"/>
      <w:pPr>
        <w:ind w:left="3600" w:hanging="360"/>
      </w:pPr>
    </w:lvl>
    <w:lvl w:ilvl="5" w:tplc="65446D76">
      <w:start w:val="1"/>
      <w:numFmt w:val="bullet"/>
      <w:lvlText w:val="■"/>
      <w:lvlJc w:val="left"/>
      <w:pPr>
        <w:ind w:left="4320" w:hanging="360"/>
      </w:pPr>
    </w:lvl>
    <w:lvl w:ilvl="6" w:tplc="D2EC51FC">
      <w:start w:val="1"/>
      <w:numFmt w:val="bullet"/>
      <w:lvlText w:val="●"/>
      <w:lvlJc w:val="left"/>
      <w:pPr>
        <w:ind w:left="5040" w:hanging="360"/>
      </w:pPr>
    </w:lvl>
    <w:lvl w:ilvl="7" w:tplc="C89A5E5C">
      <w:start w:val="1"/>
      <w:numFmt w:val="bullet"/>
      <w:lvlText w:val="●"/>
      <w:lvlJc w:val="left"/>
      <w:pPr>
        <w:ind w:left="5760" w:hanging="360"/>
      </w:pPr>
    </w:lvl>
    <w:lvl w:ilvl="8" w:tplc="7D8491F6">
      <w:start w:val="1"/>
      <w:numFmt w:val="bullet"/>
      <w:lvlText w:val="●"/>
      <w:lvlJc w:val="left"/>
      <w:pPr>
        <w:ind w:left="6480" w:hanging="360"/>
      </w:pPr>
    </w:lvl>
  </w:abstractNum>
  <w:num w:numId="1" w16cid:durableId="162144987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877"/>
    <w:rsid w:val="005D62F3"/>
    <w:rsid w:val="00756236"/>
    <w:rsid w:val="00AB2877"/>
    <w:rsid w:val="00DF22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F056A"/>
  <w15:docId w15:val="{151A8A99-DA7C-4F23-80C5-4C0E0BDAA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1"/>
        <w:szCs w:val="21"/>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370</Words>
  <Characters>2188</Characters>
  <Application>Microsoft Office Word</Application>
  <DocSecurity>0</DocSecurity>
  <Lines>53</Lines>
  <Paragraphs>30</Paragraphs>
  <ScaleCrop>false</ScaleCrop>
  <Company/>
  <LinksUpToDate>false</LinksUpToDate>
  <CharactersWithSpaces>2528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Caroline Jawad</cp:lastModifiedBy>
  <cp:revision>2</cp:revision>
  <dcterms:created xsi:type="dcterms:W3CDTF">2026-03-05T09:37:00Z</dcterms:created>
  <dcterms:modified xsi:type="dcterms:W3CDTF">2026-03-05T09:37:00Z</dcterms:modified>
</cp:coreProperties>
</file>