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03167710"/>
        <w:docPartObj>
          <w:docPartGallery w:val="Cover Pages"/>
          <w:docPartUnique/>
        </w:docPartObj>
      </w:sdtPr>
      <w:sdtContent>
        <w:p w:rsidR="00AE3F9E" w:rsidRDefault="00AE3F9E">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E0C63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E3F9E" w:rsidRPr="00876921" w:rsidRDefault="00AE3F9E" w:rsidP="00AE3F9E">
                                <w:pPr>
                                  <w:spacing w:before="120" w:after="120" w:line="240" w:lineRule="auto"/>
                                  <w:jc w:val="center"/>
                                  <w:rPr>
                                    <w:rFonts w:ascii="Arial" w:eastAsia="Times New Roman" w:hAnsi="Arial" w:cs="Arial"/>
                                    <w:b/>
                                    <w:lang w:eastAsia="en-GB"/>
                                  </w:rPr>
                                </w:pPr>
                                <w:r>
                                  <w:rPr>
                                    <w:rFonts w:ascii="Arial" w:eastAsia="Times New Roman" w:hAnsi="Arial" w:cs="Arial"/>
                                    <w:b/>
                                    <w:lang w:eastAsia="en-GB"/>
                                  </w:rPr>
                                  <w:t>Operational Police Practice 2</w:t>
                                </w:r>
                              </w:p>
                              <w:p w:rsidR="00AE3F9E" w:rsidRDefault="00AE3F9E" w:rsidP="00AE3F9E">
                                <w:pPr>
                                  <w:pStyle w:val="NoSpacing"/>
                                  <w:jc w:val="center"/>
                                  <w:rPr>
                                    <w:rFonts w:ascii="Arial" w:eastAsia="Times New Roman" w:hAnsi="Arial" w:cs="Arial"/>
                                    <w:b/>
                                    <w:lang w:eastAsia="en-GB"/>
                                  </w:rPr>
                                </w:pPr>
                                <w:r>
                                  <w:rPr>
                                    <w:rFonts w:ascii="Arial" w:eastAsia="Times New Roman" w:hAnsi="Arial" w:cs="Arial"/>
                                    <w:b/>
                                    <w:lang w:eastAsia="en-GB"/>
                                  </w:rPr>
                                  <w:t>BMPP5002D</w:t>
                                </w:r>
                              </w:p>
                              <w:p w:rsidR="00AE3F9E" w:rsidRPr="00AE3F9E" w:rsidRDefault="00AE3F9E" w:rsidP="00AE3F9E">
                                <w:pPr>
                                  <w:pStyle w:val="NoSpacing"/>
                                  <w:jc w:val="center"/>
                                  <w:rPr>
                                    <w:b/>
                                    <w:color w:val="595959" w:themeColor="text1" w:themeTint="A6"/>
                                    <w:sz w:val="18"/>
                                    <w:szCs w:val="18"/>
                                  </w:rPr>
                                </w:pPr>
                                <w:r>
                                  <w:rPr>
                                    <w:rFonts w:ascii="Arial" w:eastAsia="Times New Roman" w:hAnsi="Arial" w:cs="Arial"/>
                                    <w:b/>
                                    <w:lang w:eastAsia="en-GB"/>
                                  </w:rPr>
                                  <w:t>Due 15</w:t>
                                </w:r>
                                <w:r w:rsidRPr="00AE3F9E">
                                  <w:rPr>
                                    <w:rFonts w:ascii="Arial" w:eastAsia="Times New Roman" w:hAnsi="Arial" w:cs="Arial"/>
                                    <w:b/>
                                    <w:vertAlign w:val="superscript"/>
                                    <w:lang w:eastAsia="en-GB"/>
                                  </w:rPr>
                                  <w:t>th</w:t>
                                </w:r>
                                <w:r>
                                  <w:rPr>
                                    <w:rFonts w:ascii="Arial" w:eastAsia="Times New Roman" w:hAnsi="Arial" w:cs="Arial"/>
                                    <w:b/>
                                    <w:lang w:eastAsia="en-GB"/>
                                  </w:rPr>
                                  <w:t xml:space="preserve"> February 2021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rsidR="00AE3F9E" w:rsidRPr="00876921" w:rsidRDefault="00AE3F9E" w:rsidP="00AE3F9E">
                          <w:pPr>
                            <w:spacing w:before="120" w:after="120" w:line="240" w:lineRule="auto"/>
                            <w:jc w:val="center"/>
                            <w:rPr>
                              <w:rFonts w:ascii="Arial" w:eastAsia="Times New Roman" w:hAnsi="Arial" w:cs="Arial"/>
                              <w:b/>
                              <w:lang w:eastAsia="en-GB"/>
                            </w:rPr>
                          </w:pPr>
                          <w:r>
                            <w:rPr>
                              <w:rFonts w:ascii="Arial" w:eastAsia="Times New Roman" w:hAnsi="Arial" w:cs="Arial"/>
                              <w:b/>
                              <w:lang w:eastAsia="en-GB"/>
                            </w:rPr>
                            <w:t>Operational Police Practice 2</w:t>
                          </w:r>
                        </w:p>
                        <w:p w:rsidR="00AE3F9E" w:rsidRDefault="00AE3F9E" w:rsidP="00AE3F9E">
                          <w:pPr>
                            <w:pStyle w:val="NoSpacing"/>
                            <w:jc w:val="center"/>
                            <w:rPr>
                              <w:rFonts w:ascii="Arial" w:eastAsia="Times New Roman" w:hAnsi="Arial" w:cs="Arial"/>
                              <w:b/>
                              <w:lang w:eastAsia="en-GB"/>
                            </w:rPr>
                          </w:pPr>
                          <w:r>
                            <w:rPr>
                              <w:rFonts w:ascii="Arial" w:eastAsia="Times New Roman" w:hAnsi="Arial" w:cs="Arial"/>
                              <w:b/>
                              <w:lang w:eastAsia="en-GB"/>
                            </w:rPr>
                            <w:t>BMPP5002D</w:t>
                          </w:r>
                        </w:p>
                        <w:p w:rsidR="00AE3F9E" w:rsidRPr="00AE3F9E" w:rsidRDefault="00AE3F9E" w:rsidP="00AE3F9E">
                          <w:pPr>
                            <w:pStyle w:val="NoSpacing"/>
                            <w:jc w:val="center"/>
                            <w:rPr>
                              <w:b/>
                              <w:color w:val="595959" w:themeColor="text1" w:themeTint="A6"/>
                              <w:sz w:val="18"/>
                              <w:szCs w:val="18"/>
                            </w:rPr>
                          </w:pPr>
                          <w:r>
                            <w:rPr>
                              <w:rFonts w:ascii="Arial" w:eastAsia="Times New Roman" w:hAnsi="Arial" w:cs="Arial"/>
                              <w:b/>
                              <w:lang w:eastAsia="en-GB"/>
                            </w:rPr>
                            <w:t>Due 15</w:t>
                          </w:r>
                          <w:r w:rsidRPr="00AE3F9E">
                            <w:rPr>
                              <w:rFonts w:ascii="Arial" w:eastAsia="Times New Roman" w:hAnsi="Arial" w:cs="Arial"/>
                              <w:b/>
                              <w:vertAlign w:val="superscript"/>
                              <w:lang w:eastAsia="en-GB"/>
                            </w:rPr>
                            <w:t>th</w:t>
                          </w:r>
                          <w:r>
                            <w:rPr>
                              <w:rFonts w:ascii="Arial" w:eastAsia="Times New Roman" w:hAnsi="Arial" w:cs="Arial"/>
                              <w:b/>
                              <w:lang w:eastAsia="en-GB"/>
                            </w:rPr>
                            <w:t xml:space="preserve"> February 2021</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E3F9E" w:rsidRDefault="00AE3F9E">
                                <w:pPr>
                                  <w:pStyle w:val="NoSpacing"/>
                                  <w:jc w:val="right"/>
                                  <w:rPr>
                                    <w:color w:val="5B9BD5" w:themeColor="accent1"/>
                                    <w:sz w:val="28"/>
                                    <w:szCs w:val="28"/>
                                  </w:rPr>
                                </w:pPr>
                                <w:r>
                                  <w:rPr>
                                    <w:color w:val="5B9BD5" w:themeColor="accent1"/>
                                    <w:sz w:val="28"/>
                                    <w:szCs w:val="28"/>
                                  </w:rPr>
                                  <w:t>Student Number – 1910637</w:t>
                                </w:r>
                              </w:p>
                              <w:p w:rsidR="00AE3F9E" w:rsidRDefault="00AE3F9E">
                                <w:pPr>
                                  <w:pStyle w:val="NoSpacing"/>
                                  <w:jc w:val="right"/>
                                  <w:rPr>
                                    <w:color w:val="5B9BD5" w:themeColor="accent1"/>
                                    <w:sz w:val="28"/>
                                    <w:szCs w:val="28"/>
                                  </w:rPr>
                                </w:pPr>
                                <w:r>
                                  <w:rPr>
                                    <w:color w:val="5B9BD5" w:themeColor="accent1"/>
                                    <w:sz w:val="28"/>
                                    <w:szCs w:val="28"/>
                                  </w:rPr>
                                  <w:t xml:space="preserve">Kamal Hannan </w:t>
                                </w:r>
                              </w:p>
                              <w:p w:rsidR="00AE3F9E" w:rsidRDefault="00AE3F9E">
                                <w:pPr>
                                  <w:pStyle w:val="NoSpacing"/>
                                  <w:jc w:val="right"/>
                                  <w:rPr>
                                    <w:color w:val="5B9BD5"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AE3F9E" w:rsidRDefault="00AE3F9E">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AE3F9E" w:rsidRDefault="00AE3F9E">
                          <w:pPr>
                            <w:pStyle w:val="NoSpacing"/>
                            <w:jc w:val="right"/>
                            <w:rPr>
                              <w:color w:val="5B9BD5" w:themeColor="accent1"/>
                              <w:sz w:val="28"/>
                              <w:szCs w:val="28"/>
                            </w:rPr>
                          </w:pPr>
                          <w:r>
                            <w:rPr>
                              <w:color w:val="5B9BD5" w:themeColor="accent1"/>
                              <w:sz w:val="28"/>
                              <w:szCs w:val="28"/>
                            </w:rPr>
                            <w:t>Student Number – 1910637</w:t>
                          </w:r>
                        </w:p>
                        <w:p w:rsidR="00AE3F9E" w:rsidRDefault="00AE3F9E">
                          <w:pPr>
                            <w:pStyle w:val="NoSpacing"/>
                            <w:jc w:val="right"/>
                            <w:rPr>
                              <w:color w:val="5B9BD5" w:themeColor="accent1"/>
                              <w:sz w:val="28"/>
                              <w:szCs w:val="28"/>
                            </w:rPr>
                          </w:pPr>
                          <w:r>
                            <w:rPr>
                              <w:color w:val="5B9BD5" w:themeColor="accent1"/>
                              <w:sz w:val="28"/>
                              <w:szCs w:val="28"/>
                            </w:rPr>
                            <w:t xml:space="preserve">Kamal Hannan </w:t>
                          </w:r>
                        </w:p>
                        <w:p w:rsidR="00AE3F9E" w:rsidRDefault="00AE3F9E">
                          <w:pPr>
                            <w:pStyle w:val="NoSpacing"/>
                            <w:jc w:val="right"/>
                            <w:rPr>
                              <w:color w:val="5B9BD5"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AE3F9E" w:rsidRDefault="00AE3F9E">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E3F9E" w:rsidRDefault="00AE3F9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AE3F9E" w:rsidRDefault="00AE3F9E">
                                    <w:pPr>
                                      <w:jc w:val="right"/>
                                      <w:rPr>
                                        <w:smallCaps/>
                                        <w:color w:val="404040" w:themeColor="text1" w:themeTint="BF"/>
                                        <w:sz w:val="36"/>
                                        <w:szCs w:val="36"/>
                                      </w:rPr>
                                    </w:pPr>
                                    <w:r>
                                      <w:rPr>
                                        <w:color w:val="404040" w:themeColor="text1" w:themeTint="BF"/>
                                        <w:sz w:val="36"/>
                                        <w:szCs w:val="36"/>
                                      </w:rPr>
                                      <w:t xml:space="preserve">PCDA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AE3F9E" w:rsidRDefault="00AE3F9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AE3F9E" w:rsidRDefault="00AE3F9E">
                              <w:pPr>
                                <w:jc w:val="right"/>
                                <w:rPr>
                                  <w:smallCaps/>
                                  <w:color w:val="404040" w:themeColor="text1" w:themeTint="BF"/>
                                  <w:sz w:val="36"/>
                                  <w:szCs w:val="36"/>
                                </w:rPr>
                              </w:pPr>
                              <w:r>
                                <w:rPr>
                                  <w:color w:val="404040" w:themeColor="text1" w:themeTint="BF"/>
                                  <w:sz w:val="36"/>
                                  <w:szCs w:val="36"/>
                                </w:rPr>
                                <w:t xml:space="preserve">PCDA </w:t>
                              </w:r>
                            </w:p>
                          </w:sdtContent>
                        </w:sdt>
                      </w:txbxContent>
                    </v:textbox>
                    <w10:wrap type="square" anchorx="page" anchory="page"/>
                  </v:shape>
                </w:pict>
              </mc:Fallback>
            </mc:AlternateContent>
          </w:r>
        </w:p>
        <w:p w:rsidR="00AE3F9E" w:rsidRDefault="00AE3F9E">
          <w:r>
            <w:br w:type="page"/>
          </w:r>
        </w:p>
      </w:sdtContent>
    </w:sdt>
    <w:p w:rsidR="00AE3F9E" w:rsidRPr="00AE3F9E" w:rsidRDefault="00AE3F9E" w:rsidP="00AE3F9E">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AE3F9E">
        <w:rPr>
          <w:rFonts w:ascii="Arial" w:eastAsia="Times New Roman" w:hAnsi="Arial" w:cs="Arial"/>
          <w:b/>
          <w:lang w:eastAsia="en-GB"/>
        </w:rPr>
        <w:lastRenderedPageBreak/>
        <w:t>Title 1: Analyse potential links between serious and organised crime and public protection issues and assess the role and impact of MAPPA. Consider the use of community intelligence in managing offenders and evaluate the effectiveness of current public protection practices in investigating public protection incidents and the effect of media coverage on public protection policing strategy.</w:t>
      </w:r>
    </w:p>
    <w:p w:rsidR="0008228D" w:rsidRDefault="0008228D"/>
    <w:p w:rsidR="00AE3F9E" w:rsidRPr="00AE3F9E" w:rsidRDefault="00AE3F9E" w:rsidP="00AE3F9E">
      <w:pPr>
        <w:rPr>
          <w:rFonts w:ascii="Arial" w:hAnsi="Arial" w:cs="Arial"/>
          <w:b/>
          <w:sz w:val="20"/>
          <w:szCs w:val="20"/>
          <w:u w:val="single"/>
        </w:rPr>
      </w:pPr>
      <w:r w:rsidRPr="00AE3F9E">
        <w:rPr>
          <w:rFonts w:ascii="Arial" w:hAnsi="Arial" w:cs="Arial"/>
          <w:b/>
          <w:sz w:val="20"/>
          <w:szCs w:val="20"/>
          <w:u w:val="single"/>
        </w:rPr>
        <w:t>Introduction</w:t>
      </w:r>
    </w:p>
    <w:p w:rsidR="00AE3F9E" w:rsidRPr="00AE3F9E" w:rsidRDefault="00AE3F9E" w:rsidP="00AE3F9E">
      <w:pPr>
        <w:rPr>
          <w:rFonts w:ascii="Arial" w:eastAsia="Times New Roman" w:hAnsi="Arial" w:cs="Arial"/>
          <w:color w:val="212529"/>
          <w:sz w:val="20"/>
          <w:szCs w:val="20"/>
          <w:bdr w:val="none" w:sz="0" w:space="0" w:color="auto" w:frame="1"/>
          <w:shd w:val="clear" w:color="auto" w:fill="FFFFFF"/>
          <w:lang w:eastAsia="en-GB"/>
        </w:rPr>
      </w:pPr>
      <w:r w:rsidRPr="00AE3F9E">
        <w:rPr>
          <w:rFonts w:ascii="Arial" w:hAnsi="Arial" w:cs="Arial"/>
          <w:sz w:val="20"/>
          <w:szCs w:val="20"/>
        </w:rPr>
        <w:t xml:space="preserve">MAPPA refers to Multi Agency Public Protection Arrangements. These arrangements are in place to assist bodies such as the Police, NHS, Department for Work and Pensions and other partner agencies that manage offenders whom have completed their sentence and are due for release back into society. The reason that these bodies and agencies to share information between themselves is to safeguard the public from the most serious offenders in relation to sexual and violent crimes. (Taylor Et Al, 2019). </w:t>
      </w:r>
    </w:p>
    <w:p w:rsidR="00AE3F9E" w:rsidRPr="00AE3F9E" w:rsidRDefault="00AE3F9E" w:rsidP="00AE3F9E">
      <w:pPr>
        <w:rPr>
          <w:rFonts w:ascii="Arial" w:eastAsia="Times New Roman" w:hAnsi="Arial" w:cs="Arial"/>
          <w:b/>
          <w:color w:val="212529"/>
          <w:sz w:val="20"/>
          <w:szCs w:val="20"/>
          <w:u w:val="single"/>
          <w:bdr w:val="none" w:sz="0" w:space="0" w:color="auto" w:frame="1"/>
          <w:shd w:val="clear" w:color="auto" w:fill="FFFFFF"/>
          <w:lang w:eastAsia="en-GB"/>
        </w:rPr>
      </w:pPr>
      <w:r w:rsidRPr="00AE3F9E">
        <w:rPr>
          <w:rFonts w:ascii="Arial" w:eastAsia="Times New Roman" w:hAnsi="Arial" w:cs="Arial"/>
          <w:b/>
          <w:color w:val="212529"/>
          <w:sz w:val="20"/>
          <w:szCs w:val="20"/>
          <w:u w:val="single"/>
          <w:bdr w:val="none" w:sz="0" w:space="0" w:color="auto" w:frame="1"/>
          <w:shd w:val="clear" w:color="auto" w:fill="FFFFFF"/>
          <w:lang w:eastAsia="en-GB"/>
        </w:rPr>
        <w:t xml:space="preserve">The Practices and Current Role of MAPPA </w:t>
      </w:r>
    </w:p>
    <w:p w:rsidR="00AE3F9E" w:rsidRPr="00AE3F9E" w:rsidRDefault="00AE3F9E" w:rsidP="00AE3F9E">
      <w:pPr>
        <w:rPr>
          <w:rFonts w:ascii="Arial" w:eastAsia="Times New Roman" w:hAnsi="Arial" w:cs="Arial"/>
          <w:color w:val="212529"/>
          <w:sz w:val="20"/>
          <w:szCs w:val="20"/>
          <w:bdr w:val="none" w:sz="0" w:space="0" w:color="auto" w:frame="1"/>
          <w:shd w:val="clear" w:color="auto" w:fill="FFFFFF"/>
          <w:lang w:eastAsia="en-GB"/>
        </w:rPr>
      </w:pPr>
      <w:r w:rsidRPr="00AE3F9E">
        <w:rPr>
          <w:rFonts w:ascii="Arial" w:eastAsia="Times New Roman" w:hAnsi="Arial" w:cs="Arial"/>
          <w:color w:val="212529"/>
          <w:sz w:val="20"/>
          <w:szCs w:val="20"/>
          <w:bdr w:val="none" w:sz="0" w:space="0" w:color="auto" w:frame="1"/>
          <w:shd w:val="clear" w:color="auto" w:fill="FFFFFF"/>
          <w:lang w:eastAsia="en-GB"/>
        </w:rPr>
        <w:t xml:space="preserve">The current practices of MAPPA in the present day consists specific arrangements set for offenders finishing their sentence. The offender is monitored and assessed to predict the probability of re offending/sentencing by using the Offender Assessment System. This system has proven to predict the risk of violence. The system puts the offenders into specific categories and grades them as low, medium or high risk. This then allows the necessary public protection arrangement to be formed. (Maguire, 2017). </w:t>
      </w:r>
    </w:p>
    <w:p w:rsidR="00AE3F9E" w:rsidRPr="00AE3F9E" w:rsidRDefault="00AE3F9E" w:rsidP="00AE3F9E">
      <w:pPr>
        <w:rPr>
          <w:rFonts w:ascii="Arial" w:eastAsia="Times New Roman" w:hAnsi="Arial" w:cs="Arial"/>
          <w:color w:val="201F1E"/>
          <w:sz w:val="20"/>
          <w:szCs w:val="20"/>
          <w:bdr w:val="none" w:sz="0" w:space="0" w:color="auto" w:frame="1"/>
          <w:lang w:eastAsia="en-GB"/>
        </w:rPr>
      </w:pPr>
      <w:r w:rsidRPr="00AE3F9E">
        <w:rPr>
          <w:rFonts w:ascii="Arial" w:eastAsia="Times New Roman" w:hAnsi="Arial" w:cs="Arial"/>
          <w:color w:val="212529"/>
          <w:sz w:val="20"/>
          <w:szCs w:val="20"/>
          <w:bdr w:val="none" w:sz="0" w:space="0" w:color="auto" w:frame="1"/>
          <w:shd w:val="clear" w:color="auto" w:fill="FFFFFF"/>
          <w:lang w:eastAsia="en-GB"/>
        </w:rPr>
        <w:t>For MAPPA it is vital for them to set the correct arrangements especially for medium risk offenders who are likely to cause serious harm if the necessary factors are not considered. An example of this is if there is a “</w:t>
      </w:r>
      <w:r w:rsidRPr="00AE3F9E">
        <w:rPr>
          <w:rFonts w:ascii="Arial" w:eastAsia="Times New Roman" w:hAnsi="Arial" w:cs="Arial"/>
          <w:color w:val="201F1E"/>
          <w:sz w:val="20"/>
          <w:szCs w:val="20"/>
          <w:bdr w:val="none" w:sz="0" w:space="0" w:color="auto" w:frame="1"/>
          <w:lang w:eastAsia="en-GB"/>
        </w:rPr>
        <w:t>failure to take medication, loss of accommodation, relationship breakdown, and drug or alcohol misuse it could result in re offending” (National Offenders Management Service, 2015).</w:t>
      </w:r>
    </w:p>
    <w:p w:rsidR="00AE3F9E" w:rsidRPr="00AE3F9E" w:rsidRDefault="00AE3F9E" w:rsidP="00AE3F9E">
      <w:pPr>
        <w:rPr>
          <w:rFonts w:ascii="Arial" w:hAnsi="Arial" w:cs="Arial"/>
          <w:sz w:val="20"/>
          <w:szCs w:val="20"/>
        </w:rPr>
      </w:pPr>
      <w:r w:rsidRPr="00AE3F9E">
        <w:rPr>
          <w:rFonts w:ascii="Arial" w:eastAsia="Times New Roman" w:hAnsi="Arial" w:cs="Arial"/>
          <w:color w:val="201F1E"/>
          <w:sz w:val="20"/>
          <w:szCs w:val="20"/>
          <w:bdr w:val="none" w:sz="0" w:space="0" w:color="auto" w:frame="1"/>
          <w:lang w:eastAsia="en-GB"/>
        </w:rPr>
        <w:t xml:space="preserve">MAPPA assesses factors which may impact the probability of re offending. This information is then shared and analysed between agencies who in turn use the information to set the arrangement with the intention of reducing the risk of harm to the general public. </w:t>
      </w:r>
      <w:r w:rsidRPr="00AE3F9E">
        <w:rPr>
          <w:rFonts w:ascii="Arial" w:hAnsi="Arial" w:cs="Arial"/>
          <w:sz w:val="20"/>
          <w:szCs w:val="20"/>
        </w:rPr>
        <w:t xml:space="preserve">(Taylor Et Al, 2019). By sharing this information across multiple agencies it allows the correct arrangement to be set and tailored specifically to each offender which will attempt to reduce the likelihood of re offending. </w:t>
      </w:r>
    </w:p>
    <w:p w:rsidR="00AE3F9E" w:rsidRPr="00AE3F9E" w:rsidRDefault="00AE3F9E" w:rsidP="00AE3F9E">
      <w:pPr>
        <w:rPr>
          <w:rFonts w:ascii="Arial" w:hAnsi="Arial" w:cs="Arial"/>
          <w:sz w:val="20"/>
          <w:szCs w:val="20"/>
        </w:rPr>
      </w:pPr>
      <w:r w:rsidRPr="00AE3F9E">
        <w:rPr>
          <w:rFonts w:ascii="Arial" w:hAnsi="Arial" w:cs="Arial"/>
          <w:sz w:val="20"/>
          <w:szCs w:val="20"/>
        </w:rPr>
        <w:t xml:space="preserve">An example of this is a high risk sex offender not being housed near a primary school or having conditions of not entering proximity of schools. (Jespersen, 2009). </w:t>
      </w:r>
    </w:p>
    <w:p w:rsidR="00AE3F9E" w:rsidRPr="00AE3F9E" w:rsidRDefault="00AE3F9E" w:rsidP="00AE3F9E">
      <w:pPr>
        <w:rPr>
          <w:rFonts w:ascii="Arial" w:eastAsia="Times New Roman" w:hAnsi="Arial" w:cs="Arial"/>
          <w:color w:val="212529"/>
          <w:sz w:val="20"/>
          <w:szCs w:val="20"/>
          <w:bdr w:val="none" w:sz="0" w:space="0" w:color="auto" w:frame="1"/>
          <w:shd w:val="clear" w:color="auto" w:fill="FFFFFF"/>
          <w:lang w:eastAsia="en-GB"/>
        </w:rPr>
      </w:pPr>
      <w:r w:rsidRPr="00AE3F9E">
        <w:rPr>
          <w:rFonts w:ascii="Arial" w:hAnsi="Arial" w:cs="Arial"/>
          <w:sz w:val="20"/>
          <w:szCs w:val="20"/>
        </w:rPr>
        <w:t xml:space="preserve">Research completed by the Ministry of Justice in 2020 shows that MAPPA has successfully impact the likelihood and reoffending rates. This was the case within level 3 offenders who are thought to be the serious crime offenders and face the harshest punishments for re offending. </w:t>
      </w:r>
      <w:r w:rsidRPr="00AE3F9E">
        <w:rPr>
          <w:rFonts w:ascii="Arial" w:eastAsia="Times New Roman" w:hAnsi="Arial" w:cs="Arial"/>
          <w:color w:val="212529"/>
          <w:sz w:val="20"/>
          <w:szCs w:val="20"/>
          <w:bdr w:val="none" w:sz="0" w:space="0" w:color="auto" w:frame="1"/>
          <w:shd w:val="clear" w:color="auto" w:fill="FFFFFF"/>
          <w:lang w:eastAsia="en-GB"/>
        </w:rPr>
        <w:t xml:space="preserve">(Ministry of Justice, 2020). This is a clear example of how the information shared between agencies allows the correct arrangement to be set by MAPPA which ultimately impact the decision making process of the offender. </w:t>
      </w:r>
    </w:p>
    <w:p w:rsidR="00AE3F9E" w:rsidRPr="00AE3F9E" w:rsidRDefault="00AE3F9E" w:rsidP="00AE3F9E">
      <w:pPr>
        <w:rPr>
          <w:rFonts w:ascii="Arial" w:hAnsi="Arial" w:cs="Arial"/>
          <w:b/>
          <w:sz w:val="20"/>
          <w:szCs w:val="20"/>
          <w:u w:val="single"/>
        </w:rPr>
      </w:pPr>
      <w:r w:rsidRPr="00AE3F9E">
        <w:rPr>
          <w:rFonts w:ascii="Arial" w:hAnsi="Arial" w:cs="Arial"/>
          <w:b/>
          <w:sz w:val="20"/>
          <w:szCs w:val="20"/>
          <w:u w:val="single"/>
        </w:rPr>
        <w:t xml:space="preserve">Community Intelligence </w:t>
      </w:r>
    </w:p>
    <w:p w:rsidR="00AE3F9E" w:rsidRPr="00AE3F9E" w:rsidRDefault="00AE3F9E" w:rsidP="00AE3F9E">
      <w:pPr>
        <w:rPr>
          <w:rFonts w:ascii="Arial" w:hAnsi="Arial" w:cs="Arial"/>
          <w:sz w:val="20"/>
          <w:szCs w:val="20"/>
        </w:rPr>
      </w:pPr>
      <w:r w:rsidRPr="00AE3F9E">
        <w:rPr>
          <w:rFonts w:ascii="Arial" w:hAnsi="Arial" w:cs="Arial"/>
          <w:sz w:val="20"/>
          <w:szCs w:val="20"/>
        </w:rPr>
        <w:t>MAPPA brings together a variety of agencies who disseminate intelligence across all agencies involved. This provides a clear scope to what is taking place within communities that home offenders and enables the safeguarding process to begin. This could be seen to be more effective than Police working with offenders alone, although a conflict of views and opinions may arise. (Butcher Et al, 2019).</w:t>
      </w:r>
    </w:p>
    <w:p w:rsidR="00AE3F9E" w:rsidRPr="00AE3F9E" w:rsidRDefault="00AE3F9E" w:rsidP="00AE3F9E">
      <w:pPr>
        <w:rPr>
          <w:rFonts w:ascii="Arial" w:hAnsi="Arial" w:cs="Arial"/>
          <w:sz w:val="20"/>
          <w:szCs w:val="20"/>
        </w:rPr>
      </w:pPr>
      <w:r w:rsidRPr="00AE3F9E">
        <w:rPr>
          <w:rFonts w:ascii="Arial" w:hAnsi="Arial" w:cs="Arial"/>
          <w:sz w:val="20"/>
          <w:szCs w:val="20"/>
        </w:rPr>
        <w:t xml:space="preserve">Agencies within MAPPA regularly work closely alongside communities and businesses who provide vital intelligence which helps detect crime and identify potential problems that may arise by releasing an offender into a certain community. This is actively practiced when dealing with offenders who have been involved in serious and organised crime. (Carter, 2019).  </w:t>
      </w:r>
    </w:p>
    <w:p w:rsidR="00AE3F9E" w:rsidRPr="00AE3F9E" w:rsidRDefault="00AE3F9E" w:rsidP="00AE3F9E">
      <w:pPr>
        <w:rPr>
          <w:rFonts w:ascii="Arial" w:hAnsi="Arial" w:cs="Arial"/>
          <w:sz w:val="20"/>
          <w:szCs w:val="20"/>
        </w:rPr>
      </w:pPr>
      <w:r w:rsidRPr="00AE3F9E">
        <w:rPr>
          <w:rFonts w:ascii="Arial" w:hAnsi="Arial" w:cs="Arial"/>
          <w:sz w:val="20"/>
          <w:szCs w:val="20"/>
        </w:rPr>
        <w:lastRenderedPageBreak/>
        <w:t xml:space="preserve">An example of this is during the Rotherham Child Sexual Exploitation investigation which took place between 2000 and 2013. The development of intelligence provided by members of the community allowed police and partner agencies such as MAPPA to identify offenders who were ready to be released from prison but were entering serious and organised crime again. </w:t>
      </w:r>
    </w:p>
    <w:p w:rsidR="00AE3F9E" w:rsidRPr="00AE3F9E" w:rsidRDefault="00AE3F9E" w:rsidP="00AE3F9E">
      <w:pPr>
        <w:rPr>
          <w:rFonts w:ascii="Arial" w:eastAsia="Times New Roman" w:hAnsi="Arial" w:cs="Arial"/>
          <w:color w:val="212529"/>
          <w:sz w:val="20"/>
          <w:szCs w:val="20"/>
          <w:bdr w:val="none" w:sz="0" w:space="0" w:color="auto" w:frame="1"/>
          <w:shd w:val="clear" w:color="auto" w:fill="FFFFFF"/>
          <w:lang w:eastAsia="en-GB"/>
        </w:rPr>
      </w:pPr>
      <w:r w:rsidRPr="00AE3F9E">
        <w:rPr>
          <w:rFonts w:ascii="Arial" w:hAnsi="Arial" w:cs="Arial"/>
          <w:sz w:val="20"/>
          <w:szCs w:val="20"/>
        </w:rPr>
        <w:t xml:space="preserve">The intelligence provided by the community allowed evidence to be gathered for a starting point in the investigation of the offenders. In relation to MAPPA this intelligence allowed prompt action to be taken towards the offender, which in turn safeguarded victims within the community who may have been subject to further sexual exploitation. This clearly shows that without agencies engaging with communities it would not have been possible to develop the intelligence that supported the final outcome and prevent further crime. </w:t>
      </w:r>
    </w:p>
    <w:p w:rsidR="00AE3F9E" w:rsidRPr="00AE3F9E" w:rsidRDefault="00AE3F9E" w:rsidP="00AE3F9E">
      <w:pPr>
        <w:rPr>
          <w:rFonts w:ascii="Arial" w:eastAsia="Times New Roman" w:hAnsi="Arial" w:cs="Arial"/>
          <w:color w:val="212529"/>
          <w:sz w:val="20"/>
          <w:szCs w:val="20"/>
          <w:bdr w:val="none" w:sz="0" w:space="0" w:color="auto" w:frame="1"/>
          <w:shd w:val="clear" w:color="auto" w:fill="FFFFFF"/>
          <w:lang w:eastAsia="en-GB"/>
        </w:rPr>
      </w:pPr>
      <w:r w:rsidRPr="00AE3F9E">
        <w:rPr>
          <w:rFonts w:ascii="Arial" w:eastAsia="Times New Roman" w:hAnsi="Arial" w:cs="Arial"/>
          <w:color w:val="212529"/>
          <w:sz w:val="20"/>
          <w:szCs w:val="20"/>
          <w:bdr w:val="none" w:sz="0" w:space="0" w:color="auto" w:frame="1"/>
          <w:shd w:val="clear" w:color="auto" w:fill="FFFFFF"/>
          <w:lang w:eastAsia="en-GB"/>
        </w:rPr>
        <w:t>Having the local agencies other than the police involved in managing offenders provides a broader skillset that can be used to inform offender management strategies and increase the chances of success. Also to reflect the view of the local community whose needs must be taken into consideration if a meaningful relationship it to be established (Cambridgeshire MAPPA, 2014).</w:t>
      </w:r>
    </w:p>
    <w:p w:rsidR="00AE3F9E" w:rsidRPr="00AE3F9E" w:rsidRDefault="00AE3F9E" w:rsidP="00AE3F9E">
      <w:pPr>
        <w:rPr>
          <w:rFonts w:ascii="Arial" w:eastAsia="Times New Roman" w:hAnsi="Arial" w:cs="Arial"/>
          <w:color w:val="212529"/>
          <w:sz w:val="20"/>
          <w:szCs w:val="20"/>
          <w:bdr w:val="none" w:sz="0" w:space="0" w:color="auto" w:frame="1"/>
          <w:shd w:val="clear" w:color="auto" w:fill="FFFFFF"/>
          <w:lang w:eastAsia="en-GB"/>
        </w:rPr>
      </w:pPr>
    </w:p>
    <w:p w:rsidR="00AE3F9E" w:rsidRPr="00AE3F9E" w:rsidRDefault="00AE3F9E" w:rsidP="00AE3F9E">
      <w:pPr>
        <w:rPr>
          <w:rFonts w:ascii="Arial" w:eastAsia="Times New Roman" w:hAnsi="Arial" w:cs="Arial"/>
          <w:b/>
          <w:color w:val="212529"/>
          <w:sz w:val="20"/>
          <w:szCs w:val="20"/>
          <w:u w:val="single"/>
          <w:bdr w:val="none" w:sz="0" w:space="0" w:color="auto" w:frame="1"/>
          <w:shd w:val="clear" w:color="auto" w:fill="FFFFFF"/>
          <w:lang w:eastAsia="en-GB"/>
        </w:rPr>
      </w:pPr>
      <w:r w:rsidRPr="00AE3F9E">
        <w:rPr>
          <w:rFonts w:ascii="Arial" w:eastAsia="Times New Roman" w:hAnsi="Arial" w:cs="Arial"/>
          <w:b/>
          <w:color w:val="212529"/>
          <w:sz w:val="20"/>
          <w:szCs w:val="20"/>
          <w:u w:val="single"/>
          <w:bdr w:val="none" w:sz="0" w:space="0" w:color="auto" w:frame="1"/>
          <w:shd w:val="clear" w:color="auto" w:fill="FFFFFF"/>
          <w:lang w:eastAsia="en-GB"/>
        </w:rPr>
        <w:t>Public Image and the Media</w:t>
      </w:r>
    </w:p>
    <w:p w:rsidR="00AE3F9E" w:rsidRPr="00AE3F9E" w:rsidRDefault="00AE3F9E" w:rsidP="00AE3F9E">
      <w:pPr>
        <w:rPr>
          <w:rFonts w:ascii="Arial" w:eastAsia="Times New Roman" w:hAnsi="Arial" w:cs="Arial"/>
          <w:color w:val="212529"/>
          <w:sz w:val="20"/>
          <w:szCs w:val="20"/>
          <w:bdr w:val="none" w:sz="0" w:space="0" w:color="auto" w:frame="1"/>
          <w:shd w:val="clear" w:color="auto" w:fill="FFFFFF"/>
          <w:lang w:eastAsia="en-GB"/>
        </w:rPr>
      </w:pPr>
      <w:r w:rsidRPr="00AE3F9E">
        <w:rPr>
          <w:rFonts w:ascii="Arial" w:eastAsia="Times New Roman" w:hAnsi="Arial" w:cs="Arial"/>
          <w:color w:val="212529"/>
          <w:sz w:val="20"/>
          <w:szCs w:val="20"/>
          <w:bdr w:val="none" w:sz="0" w:space="0" w:color="auto" w:frame="1"/>
          <w:shd w:val="clear" w:color="auto" w:fill="FFFFFF"/>
          <w:lang w:eastAsia="en-GB"/>
        </w:rPr>
        <w:t xml:space="preserve">When MAPPA provides arrangements for offenders they are not always taken lightly by the media and may portray a bad image of the relevant agency. Although agencies may use the community to gather intelligence, it also helps MAPPA to understand the needs and wants of a community. (Ferguson, 2018). However the needs and wants of the community may not always be the same as what MAPPA intends to do. The release of some high profile cases of offenders committing crimes while on probation can lead communities to adopt more punitive approaches. </w:t>
      </w:r>
    </w:p>
    <w:p w:rsidR="00AE3F9E" w:rsidRPr="00AE3F9E" w:rsidRDefault="00AE3F9E" w:rsidP="00AE3F9E">
      <w:pPr>
        <w:rPr>
          <w:rFonts w:ascii="Arial" w:eastAsia="Times New Roman" w:hAnsi="Arial" w:cs="Arial"/>
          <w:color w:val="212529"/>
          <w:sz w:val="20"/>
          <w:szCs w:val="20"/>
          <w:bdr w:val="none" w:sz="0" w:space="0" w:color="auto" w:frame="1"/>
          <w:shd w:val="clear" w:color="auto" w:fill="FFFFFF"/>
          <w:lang w:eastAsia="en-GB"/>
        </w:rPr>
      </w:pPr>
      <w:r w:rsidRPr="00AE3F9E">
        <w:rPr>
          <w:rFonts w:ascii="Arial" w:eastAsia="Times New Roman" w:hAnsi="Arial" w:cs="Arial"/>
          <w:color w:val="212529"/>
          <w:sz w:val="20"/>
          <w:szCs w:val="20"/>
          <w:bdr w:val="none" w:sz="0" w:space="0" w:color="auto" w:frame="1"/>
          <w:shd w:val="clear" w:color="auto" w:fill="FFFFFF"/>
          <w:lang w:eastAsia="en-GB"/>
        </w:rPr>
        <w:t>An example of this is the case of Damien Hanson who was granted parole after being sentenced for attempted murder. When Damien was released back into the community there was up raw from the community but was disregarded by MAPPA. Damien went on to re offended by the means of attempting to murder again. The probation service was scrutinised extensively as Damien had a 91% reconviction rate but was still released back into his original community. (HMI Probation, 2006)</w:t>
      </w:r>
    </w:p>
    <w:p w:rsidR="00AE3F9E" w:rsidRPr="00AE3F9E" w:rsidRDefault="00AE3F9E" w:rsidP="00AE3F9E">
      <w:pPr>
        <w:rPr>
          <w:rFonts w:ascii="Arial" w:eastAsia="Times New Roman" w:hAnsi="Arial" w:cs="Arial"/>
          <w:color w:val="212529"/>
          <w:sz w:val="20"/>
          <w:szCs w:val="20"/>
          <w:bdr w:val="none" w:sz="0" w:space="0" w:color="auto" w:frame="1"/>
          <w:shd w:val="clear" w:color="auto" w:fill="FFFFFF"/>
          <w:lang w:eastAsia="en-GB"/>
        </w:rPr>
      </w:pPr>
      <w:r w:rsidRPr="00AE3F9E">
        <w:rPr>
          <w:rFonts w:ascii="Arial" w:eastAsia="Times New Roman" w:hAnsi="Arial" w:cs="Arial"/>
          <w:color w:val="212529"/>
          <w:sz w:val="20"/>
          <w:szCs w:val="20"/>
          <w:bdr w:val="none" w:sz="0" w:space="0" w:color="auto" w:frame="1"/>
          <w:shd w:val="clear" w:color="auto" w:fill="FFFFFF"/>
          <w:lang w:eastAsia="en-GB"/>
        </w:rPr>
        <w:t>(</w:t>
      </w:r>
      <w:r w:rsidRPr="00AE3F9E">
        <w:rPr>
          <w:rFonts w:ascii="Arial" w:eastAsia="Times New Roman" w:hAnsi="Arial" w:cs="Arial"/>
          <w:color w:val="201F1E"/>
          <w:sz w:val="20"/>
          <w:szCs w:val="20"/>
          <w:bdr w:val="none" w:sz="0" w:space="0" w:color="auto" w:frame="1"/>
          <w:lang w:eastAsia="en-GB"/>
        </w:rPr>
        <w:t>Griffin and Miller, 2008)</w:t>
      </w:r>
      <w:r w:rsidRPr="00AE3F9E">
        <w:rPr>
          <w:rFonts w:ascii="Arial" w:eastAsia="Times New Roman" w:hAnsi="Arial" w:cs="Arial"/>
          <w:color w:val="212529"/>
          <w:sz w:val="20"/>
          <w:szCs w:val="20"/>
          <w:bdr w:val="none" w:sz="0" w:space="0" w:color="auto" w:frame="1"/>
          <w:shd w:val="clear" w:color="auto" w:fill="FFFFFF"/>
          <w:lang w:eastAsia="en-GB"/>
        </w:rPr>
        <w:t> says that the reaction to high-profile cases may be to adopt more punitive approaches to crime which may appease the public regardless of their effectiveness. The report looking into the failures of this case states that “the purpose of probation is no longer to </w:t>
      </w:r>
      <w:r w:rsidRPr="00AE3F9E">
        <w:rPr>
          <w:rFonts w:ascii="Arial" w:eastAsia="Times New Roman" w:hAnsi="Arial" w:cs="Arial"/>
          <w:color w:val="201F1E"/>
          <w:sz w:val="20"/>
          <w:szCs w:val="20"/>
          <w:bdr w:val="none" w:sz="0" w:space="0" w:color="auto" w:frame="1"/>
          <w:lang w:eastAsia="en-GB"/>
        </w:rPr>
        <w:t>advise, assist and befriend offenders but to Punish, Help, Change and Control” (</w:t>
      </w:r>
      <w:r w:rsidRPr="00AE3F9E">
        <w:rPr>
          <w:rFonts w:ascii="Arial" w:eastAsia="Times New Roman" w:hAnsi="Arial" w:cs="Arial"/>
          <w:color w:val="212529"/>
          <w:sz w:val="20"/>
          <w:szCs w:val="20"/>
          <w:bdr w:val="none" w:sz="0" w:space="0" w:color="auto" w:frame="1"/>
          <w:shd w:val="clear" w:color="auto" w:fill="FFFFFF"/>
          <w:lang w:eastAsia="en-GB"/>
        </w:rPr>
        <w:t>HMI Probation, 2006) which some have seen as part of a punitive trend in criminal justice (Hutton, 2005). This shows there is every possibility that both the community and agencies act more on the fear of harm and the fear of tarnishing their public image than they do on the facts (</w:t>
      </w:r>
      <w:proofErr w:type="spellStart"/>
      <w:r w:rsidRPr="00AE3F9E">
        <w:rPr>
          <w:rFonts w:ascii="Arial" w:eastAsia="Times New Roman" w:hAnsi="Arial" w:cs="Arial"/>
          <w:color w:val="212529"/>
          <w:sz w:val="20"/>
          <w:szCs w:val="20"/>
          <w:bdr w:val="none" w:sz="0" w:space="0" w:color="auto" w:frame="1"/>
          <w:shd w:val="clear" w:color="auto" w:fill="FFFFFF"/>
          <w:lang w:eastAsia="en-GB"/>
        </w:rPr>
        <w:t>Glassner</w:t>
      </w:r>
      <w:proofErr w:type="spellEnd"/>
      <w:r w:rsidRPr="00AE3F9E">
        <w:rPr>
          <w:rFonts w:ascii="Arial" w:eastAsia="Times New Roman" w:hAnsi="Arial" w:cs="Arial"/>
          <w:color w:val="212529"/>
          <w:sz w:val="20"/>
          <w:szCs w:val="20"/>
          <w:bdr w:val="none" w:sz="0" w:space="0" w:color="auto" w:frame="1"/>
          <w:shd w:val="clear" w:color="auto" w:fill="FFFFFF"/>
          <w:lang w:eastAsia="en-GB"/>
        </w:rPr>
        <w:t>, 2009).</w:t>
      </w:r>
    </w:p>
    <w:p w:rsidR="00AE3F9E" w:rsidRPr="00AE3F9E" w:rsidRDefault="00AE3F9E" w:rsidP="00AE3F9E">
      <w:pPr>
        <w:rPr>
          <w:rFonts w:ascii="Arial" w:eastAsia="Times New Roman" w:hAnsi="Arial" w:cs="Arial"/>
          <w:color w:val="212529"/>
          <w:sz w:val="20"/>
          <w:szCs w:val="20"/>
          <w:bdr w:val="none" w:sz="0" w:space="0" w:color="auto" w:frame="1"/>
          <w:shd w:val="clear" w:color="auto" w:fill="FFFFFF"/>
          <w:lang w:eastAsia="en-GB"/>
        </w:rPr>
      </w:pPr>
    </w:p>
    <w:p w:rsidR="00AE3F9E" w:rsidRPr="00AE3F9E" w:rsidRDefault="00AE3F9E" w:rsidP="00AE3F9E">
      <w:pPr>
        <w:rPr>
          <w:rFonts w:ascii="Arial" w:eastAsia="Times New Roman" w:hAnsi="Arial" w:cs="Arial"/>
          <w:color w:val="212529"/>
          <w:sz w:val="20"/>
          <w:szCs w:val="20"/>
          <w:bdr w:val="none" w:sz="0" w:space="0" w:color="auto" w:frame="1"/>
          <w:shd w:val="clear" w:color="auto" w:fill="FFFFFF"/>
          <w:lang w:eastAsia="en-GB"/>
        </w:rPr>
      </w:pPr>
      <w:r w:rsidRPr="00AE3F9E">
        <w:rPr>
          <w:rFonts w:ascii="Arial" w:eastAsia="Times New Roman" w:hAnsi="Arial" w:cs="Arial"/>
          <w:b/>
          <w:color w:val="212529"/>
          <w:sz w:val="20"/>
          <w:szCs w:val="20"/>
          <w:u w:val="single"/>
          <w:bdr w:val="none" w:sz="0" w:space="0" w:color="auto" w:frame="1"/>
          <w:shd w:val="clear" w:color="auto" w:fill="FFFFFF"/>
          <w:lang w:eastAsia="en-GB"/>
        </w:rPr>
        <w:t>Conclusion</w:t>
      </w:r>
    </w:p>
    <w:p w:rsidR="00AE3F9E" w:rsidRPr="00AE3F9E" w:rsidRDefault="00AE3F9E" w:rsidP="00AE3F9E">
      <w:pPr>
        <w:rPr>
          <w:rFonts w:ascii="Arial" w:eastAsia="Times New Roman" w:hAnsi="Arial" w:cs="Arial"/>
          <w:color w:val="212529"/>
          <w:sz w:val="20"/>
          <w:szCs w:val="20"/>
          <w:bdr w:val="none" w:sz="0" w:space="0" w:color="auto" w:frame="1"/>
          <w:shd w:val="clear" w:color="auto" w:fill="FFFFFF"/>
          <w:lang w:eastAsia="en-GB"/>
        </w:rPr>
      </w:pPr>
      <w:r w:rsidRPr="00AE3F9E">
        <w:rPr>
          <w:rFonts w:ascii="Arial" w:eastAsia="Times New Roman" w:hAnsi="Arial" w:cs="Arial"/>
          <w:color w:val="212529"/>
          <w:sz w:val="20"/>
          <w:szCs w:val="20"/>
          <w:bdr w:val="none" w:sz="0" w:space="0" w:color="auto" w:frame="1"/>
          <w:shd w:val="clear" w:color="auto" w:fill="FFFFFF"/>
          <w:lang w:eastAsia="en-GB"/>
        </w:rPr>
        <w:t xml:space="preserve">To summarise, it is clear that whilst MAPPA benefits from exchange of intelligence and data sharing between agencies, it can lead to conflicting opinions by the media and public on the best way to manage offenders. It is clear that MAPPA has proven to impact and reduce reoffending rates however it has been liable for failing to protect the public as shown in the Damien Hanson case. This can result in the intelligence not being disclosed by the public and criticism from the media. </w:t>
      </w:r>
    </w:p>
    <w:p w:rsidR="00AE3F9E" w:rsidRPr="00AE3F9E" w:rsidRDefault="00AE3F9E" w:rsidP="00AE3F9E">
      <w:pPr>
        <w:shd w:val="clear" w:color="auto" w:fill="FFFFFF"/>
        <w:spacing w:after="0" w:line="486" w:lineRule="atLeast"/>
        <w:jc w:val="both"/>
        <w:textAlignment w:val="baseline"/>
        <w:rPr>
          <w:rFonts w:ascii="Arial" w:eastAsia="Times New Roman" w:hAnsi="Arial" w:cs="Arial"/>
          <w:color w:val="201F1E"/>
          <w:sz w:val="27"/>
          <w:szCs w:val="27"/>
          <w:lang w:eastAsia="en-GB"/>
        </w:rPr>
      </w:pPr>
      <w:r w:rsidRPr="00AE3F9E">
        <w:rPr>
          <w:rFonts w:ascii="Arial" w:eastAsia="Times New Roman" w:hAnsi="Arial" w:cs="Arial"/>
          <w:color w:val="201F1E"/>
          <w:sz w:val="27"/>
          <w:szCs w:val="27"/>
          <w:bdr w:val="none" w:sz="0" w:space="0" w:color="auto" w:frame="1"/>
          <w:lang w:eastAsia="en-GB"/>
        </w:rPr>
        <w:t> </w:t>
      </w:r>
    </w:p>
    <w:p w:rsidR="00AE3F9E" w:rsidRPr="00823E93" w:rsidRDefault="00AE3F9E" w:rsidP="00AE3F9E">
      <w:pPr>
        <w:shd w:val="clear" w:color="auto" w:fill="FFFFFF"/>
        <w:spacing w:after="0" w:line="240" w:lineRule="auto"/>
        <w:textAlignment w:val="baseline"/>
        <w:rPr>
          <w:rFonts w:ascii="&amp;quot" w:eastAsia="Times New Roman" w:hAnsi="&amp;quot" w:cs="Times New Roman"/>
          <w:color w:val="201F1E"/>
          <w:sz w:val="23"/>
          <w:szCs w:val="23"/>
          <w:lang w:eastAsia="en-GB"/>
        </w:rPr>
      </w:pPr>
    </w:p>
    <w:p w:rsidR="00AE3F9E" w:rsidRDefault="00AE3F9E" w:rsidP="00AE3F9E"/>
    <w:p w:rsidR="00AE3F9E" w:rsidRPr="00552184" w:rsidRDefault="00AE3F9E" w:rsidP="00AE3F9E">
      <w:pPr>
        <w:rPr>
          <w:rFonts w:ascii="Arial" w:eastAsia="Times New Roman" w:hAnsi="Arial" w:cs="Arial"/>
          <w:color w:val="212529"/>
          <w:sz w:val="20"/>
          <w:szCs w:val="20"/>
          <w:bdr w:val="none" w:sz="0" w:space="0" w:color="auto" w:frame="1"/>
          <w:shd w:val="clear" w:color="auto" w:fill="FFFFFF"/>
          <w:lang w:eastAsia="en-GB"/>
        </w:rPr>
      </w:pPr>
    </w:p>
    <w:p w:rsidR="00AE3F9E" w:rsidRDefault="00AE3F9E" w:rsidP="00AE3F9E">
      <w:pPr>
        <w:rPr>
          <w:rFonts w:ascii="Arial" w:hAnsi="Arial" w:cs="Arial"/>
          <w:sz w:val="20"/>
          <w:szCs w:val="20"/>
        </w:rPr>
      </w:pPr>
    </w:p>
    <w:p w:rsidR="00AE3F9E" w:rsidRPr="0081770F" w:rsidRDefault="00AE3F9E" w:rsidP="00AE3F9E">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81770F">
        <w:rPr>
          <w:rFonts w:ascii="Arial" w:eastAsia="Times New Roman" w:hAnsi="Arial" w:cs="Arial"/>
          <w:b/>
          <w:lang w:eastAsia="en-GB"/>
        </w:rPr>
        <w:lastRenderedPageBreak/>
        <w:t>Title 2: Analyse the role of professional standards and independent bodies such as the IOPC or HMICFRS in holding the police accountable to the public and the impact of malpractice and corruption on policing using examples to support your argument.</w:t>
      </w:r>
    </w:p>
    <w:p w:rsidR="00AE3F9E" w:rsidRDefault="00AE3F9E" w:rsidP="00AE3F9E">
      <w:pPr>
        <w:rPr>
          <w:rFonts w:ascii="Arial" w:eastAsia="Times New Roman" w:hAnsi="Arial" w:cs="Arial"/>
          <w:color w:val="212529"/>
          <w:sz w:val="20"/>
          <w:szCs w:val="20"/>
          <w:bdr w:val="none" w:sz="0" w:space="0" w:color="auto" w:frame="1"/>
          <w:shd w:val="clear" w:color="auto" w:fill="FFFFFF"/>
          <w:lang w:eastAsia="en-GB"/>
        </w:rPr>
      </w:pPr>
    </w:p>
    <w:p w:rsidR="00AE3F9E" w:rsidRPr="00AE3F9E" w:rsidRDefault="00AE3F9E" w:rsidP="00AE3F9E">
      <w:pPr>
        <w:spacing w:after="0" w:line="240" w:lineRule="auto"/>
        <w:rPr>
          <w:rFonts w:ascii="Arial" w:hAnsi="Arial" w:cs="Arial"/>
          <w:b/>
          <w:sz w:val="20"/>
          <w:szCs w:val="20"/>
          <w:u w:val="single"/>
        </w:rPr>
      </w:pPr>
      <w:r w:rsidRPr="00AE3F9E">
        <w:rPr>
          <w:rFonts w:ascii="Arial" w:hAnsi="Arial" w:cs="Arial"/>
          <w:b/>
          <w:sz w:val="20"/>
          <w:szCs w:val="20"/>
          <w:u w:val="single"/>
        </w:rPr>
        <w:t xml:space="preserve">Introduction </w:t>
      </w:r>
    </w:p>
    <w:p w:rsidR="00AE3F9E" w:rsidRPr="00AE3F9E" w:rsidRDefault="00AE3F9E" w:rsidP="00AE3F9E">
      <w:pPr>
        <w:spacing w:after="0" w:line="240" w:lineRule="auto"/>
        <w:rPr>
          <w:rStyle w:val="xbumpedfont15"/>
          <w:rFonts w:ascii="Arial" w:hAnsi="Arial" w:cs="Arial"/>
          <w:sz w:val="20"/>
          <w:szCs w:val="20"/>
        </w:rPr>
      </w:pPr>
      <w:r w:rsidRPr="00AE3F9E">
        <w:rPr>
          <w:rFonts w:ascii="Arial" w:hAnsi="Arial" w:cs="Arial"/>
          <w:sz w:val="20"/>
          <w:szCs w:val="20"/>
        </w:rPr>
        <w:t>The daily duties for police officers are governed by 10 standards of professional practices highlighted in the Home Office’s guidance for policing standards. These are further explained in the 9 policing principles which are known as the Code of Ethics. These principles include “</w:t>
      </w:r>
      <w:r w:rsidRPr="00AE3F9E">
        <w:rPr>
          <w:rStyle w:val="xbumpedfont15"/>
          <w:rFonts w:ascii="Arial" w:hAnsi="Arial" w:cs="Arial"/>
          <w:i/>
          <w:iCs/>
          <w:sz w:val="20"/>
          <w:szCs w:val="20"/>
        </w:rPr>
        <w:t>accountability, fairness, honesty, integrity, leadership, objectivity, openness, respect and selflessness</w:t>
      </w:r>
      <w:r w:rsidRPr="00AE3F9E">
        <w:rPr>
          <w:rStyle w:val="xbumpedfont15"/>
          <w:rFonts w:ascii="Arial" w:hAnsi="Arial" w:cs="Arial"/>
          <w:sz w:val="20"/>
          <w:szCs w:val="20"/>
        </w:rPr>
        <w:t xml:space="preserve">” (College of Policing, 2014). </w:t>
      </w:r>
    </w:p>
    <w:p w:rsidR="00AE3F9E" w:rsidRPr="00AE3F9E" w:rsidRDefault="00AE3F9E" w:rsidP="00AE3F9E">
      <w:pPr>
        <w:spacing w:after="0" w:line="240" w:lineRule="auto"/>
        <w:rPr>
          <w:rStyle w:val="xbumpedfont15"/>
          <w:rFonts w:ascii="Arial" w:hAnsi="Arial" w:cs="Arial"/>
          <w:sz w:val="20"/>
          <w:szCs w:val="20"/>
        </w:rPr>
      </w:pPr>
    </w:p>
    <w:p w:rsidR="00AE3F9E" w:rsidRDefault="00AE3F9E" w:rsidP="00AE3F9E">
      <w:pPr>
        <w:spacing w:after="0" w:line="240" w:lineRule="auto"/>
        <w:rPr>
          <w:rStyle w:val="xbumpedfont15"/>
          <w:rFonts w:ascii="Arial" w:hAnsi="Arial" w:cs="Arial"/>
          <w:sz w:val="20"/>
          <w:szCs w:val="20"/>
        </w:rPr>
      </w:pPr>
      <w:r w:rsidRPr="00AE3F9E">
        <w:rPr>
          <w:rStyle w:val="xbumpedfont15"/>
          <w:rFonts w:ascii="Arial" w:hAnsi="Arial" w:cs="Arial"/>
          <w:sz w:val="20"/>
          <w:szCs w:val="20"/>
        </w:rPr>
        <w:t xml:space="preserve">It is believed that these principles are vital for providing an ethical and professional Police service in the UK. Although these principles are encoded into every police force, there are occasions when these standards can be breached and therefore require an independent body to oversee internal investigations. </w:t>
      </w:r>
    </w:p>
    <w:p w:rsidR="00AE3F9E" w:rsidRPr="00AE3F9E" w:rsidRDefault="00AE3F9E" w:rsidP="00AE3F9E">
      <w:pPr>
        <w:spacing w:after="0" w:line="240" w:lineRule="auto"/>
        <w:rPr>
          <w:rStyle w:val="xbumpedfont15"/>
          <w:rFonts w:ascii="Arial" w:hAnsi="Arial" w:cs="Arial"/>
          <w:sz w:val="20"/>
          <w:szCs w:val="20"/>
        </w:rPr>
      </w:pPr>
    </w:p>
    <w:p w:rsidR="00AE3F9E" w:rsidRPr="00AE3F9E" w:rsidRDefault="00AE3F9E" w:rsidP="00AE3F9E">
      <w:pPr>
        <w:spacing w:after="0" w:line="240" w:lineRule="auto"/>
        <w:rPr>
          <w:rStyle w:val="xbumpedfont15"/>
          <w:rFonts w:ascii="Arial" w:hAnsi="Arial" w:cs="Arial"/>
          <w:sz w:val="20"/>
          <w:szCs w:val="20"/>
        </w:rPr>
      </w:pPr>
      <w:r w:rsidRPr="00AE3F9E">
        <w:rPr>
          <w:rStyle w:val="xbumpedfont15"/>
          <w:rFonts w:ascii="Arial" w:hAnsi="Arial" w:cs="Arial"/>
          <w:sz w:val="20"/>
          <w:szCs w:val="20"/>
        </w:rPr>
        <w:t xml:space="preserve">In the UK there are two main overseeing bodies known as the Independent Office for Police Conduct (IOPC) and Her Majesty’s Inspectorate of Constabulary and Fire &amp; Rescue Services (HMICFRS). </w:t>
      </w:r>
    </w:p>
    <w:p w:rsidR="00AE3F9E" w:rsidRPr="00AE3F9E" w:rsidRDefault="00AE3F9E" w:rsidP="00AE3F9E">
      <w:pPr>
        <w:spacing w:after="0" w:line="240" w:lineRule="auto"/>
        <w:rPr>
          <w:rFonts w:ascii="Arial" w:hAnsi="Arial" w:cs="Arial"/>
          <w:sz w:val="20"/>
          <w:szCs w:val="20"/>
        </w:rPr>
      </w:pPr>
    </w:p>
    <w:p w:rsidR="00AE3F9E" w:rsidRPr="00AE3F9E" w:rsidRDefault="00AE3F9E" w:rsidP="00AE3F9E">
      <w:pPr>
        <w:pStyle w:val="xs4"/>
        <w:spacing w:before="0" w:beforeAutospacing="0" w:after="0" w:afterAutospacing="0"/>
        <w:jc w:val="both"/>
        <w:rPr>
          <w:rFonts w:ascii="Arial" w:hAnsi="Arial" w:cs="Arial"/>
          <w:sz w:val="20"/>
          <w:szCs w:val="20"/>
          <w:u w:val="single"/>
        </w:rPr>
      </w:pPr>
      <w:r w:rsidRPr="00AE3F9E">
        <w:rPr>
          <w:rStyle w:val="xbumpedfont15"/>
          <w:rFonts w:ascii="Arial" w:hAnsi="Arial" w:cs="Arial"/>
          <w:b/>
          <w:bCs/>
          <w:sz w:val="20"/>
          <w:szCs w:val="20"/>
          <w:u w:val="single"/>
        </w:rPr>
        <w:t>Policing, Professional Standards and Independent Bodies:</w:t>
      </w:r>
    </w:p>
    <w:p w:rsidR="00AE3F9E" w:rsidRPr="00AE3F9E" w:rsidRDefault="00AE3F9E" w:rsidP="00AE3F9E">
      <w:pPr>
        <w:spacing w:after="0" w:line="240" w:lineRule="auto"/>
        <w:rPr>
          <w:rFonts w:ascii="Arial" w:hAnsi="Arial" w:cs="Arial"/>
          <w:sz w:val="20"/>
          <w:szCs w:val="20"/>
        </w:rPr>
      </w:pPr>
      <w:r w:rsidRPr="00AE3F9E">
        <w:rPr>
          <w:rFonts w:ascii="Arial" w:hAnsi="Arial" w:cs="Arial"/>
          <w:sz w:val="20"/>
          <w:szCs w:val="20"/>
        </w:rPr>
        <w:t xml:space="preserve">The professional policing standards are seen to act as a framework for Police Officers in the UK to complete their daily duties whilst portraying a fair and equal treatment of the public that they may deal with and prevent any malpractice or engagement in corruption (Westmarland, 2020). It is also understood that these standards reassure the public that policing is fair and ethical whilst preventing officers abusing their legal powers or adopting a coercive policing style. By following these standards, incidents such as the 1989 Hillsborough disaster can be avoided (Cooper, 2019). </w:t>
      </w:r>
    </w:p>
    <w:p w:rsidR="00AE3F9E" w:rsidRPr="00AE3F9E" w:rsidRDefault="00AE3F9E" w:rsidP="00AE3F9E">
      <w:pPr>
        <w:spacing w:after="0" w:line="240" w:lineRule="auto"/>
        <w:rPr>
          <w:rFonts w:ascii="Arial" w:hAnsi="Arial" w:cs="Arial"/>
          <w:sz w:val="20"/>
          <w:szCs w:val="20"/>
        </w:rPr>
      </w:pPr>
    </w:p>
    <w:p w:rsidR="00AE3F9E" w:rsidRDefault="00AE3F9E" w:rsidP="00AE3F9E">
      <w:pPr>
        <w:spacing w:after="0" w:line="240" w:lineRule="auto"/>
        <w:rPr>
          <w:rFonts w:ascii="Arial" w:hAnsi="Arial" w:cs="Arial"/>
          <w:sz w:val="20"/>
          <w:szCs w:val="20"/>
        </w:rPr>
      </w:pPr>
      <w:r w:rsidRPr="00AE3F9E">
        <w:rPr>
          <w:rFonts w:ascii="Arial" w:hAnsi="Arial" w:cs="Arial"/>
          <w:sz w:val="20"/>
          <w:szCs w:val="20"/>
        </w:rPr>
        <w:t xml:space="preserve">During the 1989 Hillsborough tragedy the overcrowding of spectators at a football match caused the death of 96 men and children. It was argued during the hearing that officers failed to follow professional standards and the use of coercive policing was one of many factors that caused the deaths of the spectators. (Canning, 2018). </w:t>
      </w:r>
    </w:p>
    <w:p w:rsidR="00AE3F9E" w:rsidRPr="00AE3F9E" w:rsidRDefault="00AE3F9E" w:rsidP="00AE3F9E">
      <w:pPr>
        <w:spacing w:after="0" w:line="240" w:lineRule="auto"/>
        <w:rPr>
          <w:rFonts w:ascii="Arial" w:hAnsi="Arial" w:cs="Arial"/>
          <w:sz w:val="20"/>
          <w:szCs w:val="20"/>
        </w:rPr>
      </w:pPr>
    </w:p>
    <w:p w:rsidR="00AE3F9E" w:rsidRDefault="00AE3F9E" w:rsidP="00AE3F9E">
      <w:pPr>
        <w:spacing w:after="0" w:line="240" w:lineRule="auto"/>
        <w:rPr>
          <w:rFonts w:ascii="Arial" w:hAnsi="Arial" w:cs="Arial"/>
          <w:sz w:val="20"/>
          <w:szCs w:val="20"/>
        </w:rPr>
      </w:pPr>
      <w:r w:rsidRPr="00AE3F9E">
        <w:rPr>
          <w:rFonts w:ascii="Arial" w:hAnsi="Arial" w:cs="Arial"/>
          <w:sz w:val="20"/>
          <w:szCs w:val="20"/>
        </w:rPr>
        <w:t xml:space="preserve">These policing standards are available publicly and therefore means that they act as a framework to which the general public can judge and scrutinise police behaviours. It allows them to use it as a template for fair and ethical policing and an opportunity to identify poor practice which they then can report to the necessary body. (Home Office, 2020). </w:t>
      </w:r>
    </w:p>
    <w:p w:rsidR="00AE3F9E" w:rsidRPr="00AE3F9E" w:rsidRDefault="00AE3F9E" w:rsidP="00AE3F9E">
      <w:pPr>
        <w:spacing w:after="0" w:line="240" w:lineRule="auto"/>
        <w:rPr>
          <w:rFonts w:ascii="Arial" w:hAnsi="Arial" w:cs="Arial"/>
          <w:sz w:val="20"/>
          <w:szCs w:val="20"/>
        </w:rPr>
      </w:pPr>
    </w:p>
    <w:p w:rsidR="00AE3F9E" w:rsidRDefault="00AE3F9E" w:rsidP="00AE3F9E">
      <w:pPr>
        <w:spacing w:after="0" w:line="240" w:lineRule="auto"/>
        <w:rPr>
          <w:rFonts w:ascii="Arial" w:hAnsi="Arial" w:cs="Arial"/>
          <w:sz w:val="20"/>
          <w:szCs w:val="20"/>
        </w:rPr>
      </w:pPr>
      <w:r w:rsidRPr="00AE3F9E">
        <w:rPr>
          <w:rFonts w:ascii="Arial" w:hAnsi="Arial" w:cs="Arial"/>
          <w:sz w:val="20"/>
          <w:szCs w:val="20"/>
        </w:rPr>
        <w:t>Regardless of this, there are occasions in the present day where misconduct and corruption may still be prevalent (Porter et al, 2016) and as a result of this one role of independent bodies is to oversee ethical policing in accordance with professional standards and investigate incidents of interest (IOPC, 2020).</w:t>
      </w:r>
    </w:p>
    <w:p w:rsidR="00AE3F9E" w:rsidRPr="00AE3F9E" w:rsidRDefault="00AE3F9E" w:rsidP="00AE3F9E">
      <w:pPr>
        <w:spacing w:after="0" w:line="240" w:lineRule="auto"/>
        <w:rPr>
          <w:rFonts w:ascii="Arial" w:hAnsi="Arial" w:cs="Arial"/>
          <w:sz w:val="20"/>
          <w:szCs w:val="20"/>
        </w:rPr>
      </w:pPr>
    </w:p>
    <w:p w:rsidR="00AE3F9E" w:rsidRDefault="00AE3F9E" w:rsidP="00AE3F9E">
      <w:pPr>
        <w:spacing w:after="0" w:line="240" w:lineRule="auto"/>
        <w:rPr>
          <w:rFonts w:ascii="Arial" w:hAnsi="Arial" w:cs="Arial"/>
          <w:sz w:val="20"/>
          <w:szCs w:val="20"/>
        </w:rPr>
      </w:pPr>
      <w:r w:rsidRPr="00AE3F9E">
        <w:rPr>
          <w:rFonts w:ascii="Arial" w:hAnsi="Arial" w:cs="Arial"/>
          <w:sz w:val="20"/>
          <w:szCs w:val="20"/>
        </w:rPr>
        <w:t>Furthermore these organisations are inclusive of acting as an independent reviewing agency whilst acting as objective independent watchdogs for the public should they feel that the police have breached any standards or feel that they have been treated unfairly. This then provides a public reassurance and an additional level of justice support along with presenting improvements from such incidents to further better British Policing (Police Foundation, 2021).</w:t>
      </w:r>
    </w:p>
    <w:p w:rsidR="00AE3F9E" w:rsidRPr="00AE3F9E" w:rsidRDefault="00AE3F9E" w:rsidP="00AE3F9E">
      <w:pPr>
        <w:spacing w:after="0" w:line="240" w:lineRule="auto"/>
        <w:rPr>
          <w:rFonts w:ascii="Arial" w:hAnsi="Arial" w:cs="Arial"/>
          <w:sz w:val="20"/>
          <w:szCs w:val="20"/>
        </w:rPr>
      </w:pPr>
    </w:p>
    <w:p w:rsidR="00AE3F9E" w:rsidRDefault="00AE3F9E" w:rsidP="00AE3F9E">
      <w:pPr>
        <w:spacing w:after="0" w:line="240" w:lineRule="auto"/>
        <w:rPr>
          <w:rFonts w:ascii="Arial" w:hAnsi="Arial" w:cs="Arial"/>
          <w:sz w:val="20"/>
          <w:szCs w:val="20"/>
        </w:rPr>
      </w:pPr>
      <w:r w:rsidRPr="00AE3F9E">
        <w:rPr>
          <w:rFonts w:ascii="Arial" w:hAnsi="Arial" w:cs="Arial"/>
          <w:sz w:val="20"/>
          <w:szCs w:val="20"/>
        </w:rPr>
        <w:t>From the view of the public it could be seen that the independent bodies such as HMICFRS and IOPC and there to police the police to ensure officers are acting within the Code of Ethics and professional standards set. In contrary to this it is often portrayed in the media that bodies such as HMICFRS and the IOPC can show an unconscious bias and favouritism towards police officers rather than the public interest. In the case of Georgina Gasallah who was a female that had gone missing from her home address in Surrey but was later found murdered.</w:t>
      </w:r>
    </w:p>
    <w:p w:rsidR="00AE3F9E" w:rsidRDefault="00AE3F9E" w:rsidP="00AE3F9E">
      <w:pPr>
        <w:spacing w:after="0" w:line="240" w:lineRule="auto"/>
        <w:rPr>
          <w:rFonts w:ascii="Arial" w:hAnsi="Arial" w:cs="Arial"/>
          <w:sz w:val="20"/>
          <w:szCs w:val="20"/>
        </w:rPr>
      </w:pPr>
    </w:p>
    <w:p w:rsidR="00AE3F9E" w:rsidRDefault="00AE3F9E" w:rsidP="00AE3F9E">
      <w:pPr>
        <w:spacing w:after="0" w:line="240" w:lineRule="auto"/>
        <w:rPr>
          <w:rFonts w:ascii="Arial" w:hAnsi="Arial" w:cs="Arial"/>
          <w:sz w:val="20"/>
          <w:szCs w:val="20"/>
        </w:rPr>
      </w:pPr>
    </w:p>
    <w:p w:rsidR="00AE3F9E" w:rsidRDefault="00AE3F9E" w:rsidP="00AE3F9E">
      <w:pPr>
        <w:spacing w:after="0" w:line="240" w:lineRule="auto"/>
        <w:rPr>
          <w:rFonts w:ascii="Arial" w:hAnsi="Arial" w:cs="Arial"/>
          <w:sz w:val="20"/>
          <w:szCs w:val="20"/>
        </w:rPr>
      </w:pPr>
    </w:p>
    <w:p w:rsidR="00AE3F9E" w:rsidRPr="00AE3F9E" w:rsidRDefault="00AE3F9E" w:rsidP="00AE3F9E">
      <w:pPr>
        <w:spacing w:after="0" w:line="240" w:lineRule="auto"/>
        <w:rPr>
          <w:rFonts w:ascii="Arial" w:hAnsi="Arial" w:cs="Arial"/>
          <w:sz w:val="20"/>
          <w:szCs w:val="20"/>
        </w:rPr>
      </w:pPr>
    </w:p>
    <w:p w:rsidR="00AE3F9E" w:rsidRPr="00AE3F9E" w:rsidRDefault="00AE3F9E" w:rsidP="00AE3F9E">
      <w:pPr>
        <w:spacing w:after="0" w:line="240" w:lineRule="auto"/>
        <w:rPr>
          <w:rFonts w:ascii="Arial" w:hAnsi="Arial" w:cs="Arial"/>
          <w:sz w:val="20"/>
          <w:szCs w:val="20"/>
        </w:rPr>
      </w:pPr>
      <w:r w:rsidRPr="00AE3F9E">
        <w:rPr>
          <w:rFonts w:ascii="Arial" w:hAnsi="Arial" w:cs="Arial"/>
          <w:sz w:val="20"/>
          <w:szCs w:val="20"/>
        </w:rPr>
        <w:lastRenderedPageBreak/>
        <w:t xml:space="preserve">A complaint was made by Gasallah’s family to the IOPC that the initial investigation of her being a missing person was not taken seriously and therefore the failing by Surrey Police led to her death. </w:t>
      </w:r>
    </w:p>
    <w:p w:rsidR="00AE3F9E" w:rsidRDefault="00AE3F9E" w:rsidP="00AE3F9E">
      <w:pPr>
        <w:spacing w:after="0" w:line="240" w:lineRule="auto"/>
        <w:rPr>
          <w:rFonts w:ascii="Arial" w:hAnsi="Arial" w:cs="Arial"/>
          <w:sz w:val="20"/>
          <w:szCs w:val="20"/>
        </w:rPr>
      </w:pPr>
      <w:r w:rsidRPr="00AE3F9E">
        <w:rPr>
          <w:rFonts w:ascii="Arial" w:hAnsi="Arial" w:cs="Arial"/>
          <w:sz w:val="20"/>
          <w:szCs w:val="20"/>
        </w:rPr>
        <w:t xml:space="preserve">The IOPC reviewed the case to which it did find minor failings but did not take disciplinary action towards officers or take any action against the force. </w:t>
      </w:r>
    </w:p>
    <w:p w:rsidR="00AE3F9E" w:rsidRDefault="00AE3F9E" w:rsidP="00AE3F9E">
      <w:pPr>
        <w:spacing w:after="0" w:line="240" w:lineRule="auto"/>
        <w:rPr>
          <w:rFonts w:ascii="Arial" w:hAnsi="Arial" w:cs="Arial"/>
          <w:sz w:val="20"/>
          <w:szCs w:val="20"/>
        </w:rPr>
      </w:pPr>
    </w:p>
    <w:p w:rsidR="00AE3F9E" w:rsidRDefault="00AE3F9E" w:rsidP="00AE3F9E">
      <w:pPr>
        <w:spacing w:after="0" w:line="240" w:lineRule="auto"/>
        <w:rPr>
          <w:rFonts w:ascii="Arial" w:hAnsi="Arial" w:cs="Arial"/>
          <w:sz w:val="20"/>
          <w:szCs w:val="20"/>
        </w:rPr>
      </w:pPr>
      <w:r w:rsidRPr="00AE3F9E">
        <w:rPr>
          <w:rFonts w:ascii="Arial" w:hAnsi="Arial" w:cs="Arial"/>
          <w:sz w:val="20"/>
          <w:szCs w:val="20"/>
        </w:rPr>
        <w:t xml:space="preserve">This was portrayed by the media that the IOPC was using complaints as lessons for the police rather than bring charges to officers for misconduct. </w:t>
      </w:r>
    </w:p>
    <w:p w:rsidR="00AE3F9E" w:rsidRPr="00AE3F9E" w:rsidRDefault="00AE3F9E" w:rsidP="00AE3F9E">
      <w:pPr>
        <w:spacing w:after="0" w:line="240" w:lineRule="auto"/>
        <w:rPr>
          <w:rFonts w:ascii="Arial" w:hAnsi="Arial" w:cs="Arial"/>
          <w:sz w:val="20"/>
          <w:szCs w:val="20"/>
        </w:rPr>
      </w:pPr>
    </w:p>
    <w:p w:rsidR="00AE3F9E" w:rsidRPr="00AE3F9E" w:rsidRDefault="00AE3F9E" w:rsidP="00AE3F9E">
      <w:pPr>
        <w:spacing w:after="0" w:line="240" w:lineRule="auto"/>
        <w:rPr>
          <w:rFonts w:ascii="Arial" w:hAnsi="Arial" w:cs="Arial"/>
          <w:sz w:val="20"/>
          <w:szCs w:val="20"/>
        </w:rPr>
      </w:pPr>
      <w:r w:rsidRPr="00AE3F9E">
        <w:rPr>
          <w:rFonts w:ascii="Arial" w:hAnsi="Arial" w:cs="Arial"/>
          <w:sz w:val="20"/>
          <w:szCs w:val="20"/>
        </w:rPr>
        <w:t>A similar example is the IOPC’s support for officers who have engaged in racial speeches and derogatory behaviours during the Black Lives Matter protests across the UK. (</w:t>
      </w:r>
      <w:r w:rsidRPr="00AE3F9E">
        <w:rPr>
          <w:rFonts w:ascii="Arial" w:hAnsi="Arial" w:cs="Arial"/>
          <w:color w:val="3A3A3A"/>
          <w:sz w:val="20"/>
          <w:szCs w:val="20"/>
        </w:rPr>
        <w:t>Bond, Chelsea J et al, 2020). The examples shown do prove the that it is questionable of the fact that these bodies such as HMICFRS and IOPC are independent and work on objective rather than fact.</w:t>
      </w:r>
    </w:p>
    <w:p w:rsidR="00AE3F9E" w:rsidRPr="00954C86" w:rsidRDefault="00AE3F9E" w:rsidP="00AE3F9E">
      <w:pPr>
        <w:spacing w:after="0" w:line="240" w:lineRule="auto"/>
        <w:rPr>
          <w:rFonts w:ascii="Arial" w:hAnsi="Arial" w:cs="Arial"/>
          <w:sz w:val="20"/>
          <w:szCs w:val="20"/>
          <w:u w:val="single"/>
        </w:rPr>
      </w:pPr>
    </w:p>
    <w:p w:rsidR="00AE3F9E" w:rsidRPr="00954C86" w:rsidRDefault="00AE3F9E" w:rsidP="00AE3F9E">
      <w:pPr>
        <w:pStyle w:val="xs4"/>
        <w:spacing w:before="0" w:beforeAutospacing="0" w:after="0" w:afterAutospacing="0"/>
        <w:jc w:val="both"/>
        <w:rPr>
          <w:rStyle w:val="xbumpedfont15"/>
          <w:rFonts w:ascii="Arial" w:hAnsi="Arial" w:cs="Arial"/>
          <w:b/>
          <w:bCs/>
          <w:sz w:val="20"/>
          <w:szCs w:val="20"/>
          <w:u w:val="single"/>
        </w:rPr>
      </w:pPr>
      <w:r w:rsidRPr="00954C86">
        <w:rPr>
          <w:rStyle w:val="xbumpedfont15"/>
          <w:rFonts w:ascii="Arial" w:hAnsi="Arial" w:cs="Arial"/>
          <w:b/>
          <w:bCs/>
          <w:sz w:val="20"/>
          <w:szCs w:val="20"/>
          <w:u w:val="single"/>
        </w:rPr>
        <w:t>The Impact of Malprac</w:t>
      </w:r>
      <w:r w:rsidR="00954C86" w:rsidRPr="00954C86">
        <w:rPr>
          <w:rStyle w:val="xbumpedfont15"/>
          <w:rFonts w:ascii="Arial" w:hAnsi="Arial" w:cs="Arial"/>
          <w:b/>
          <w:bCs/>
          <w:sz w:val="20"/>
          <w:szCs w:val="20"/>
          <w:u w:val="single"/>
        </w:rPr>
        <w:t>tice and Corruption on Policing</w:t>
      </w:r>
    </w:p>
    <w:p w:rsidR="00AE3F9E" w:rsidRDefault="00AE3F9E" w:rsidP="00AE3F9E">
      <w:pPr>
        <w:pStyle w:val="xs4"/>
        <w:spacing w:before="0" w:beforeAutospacing="0" w:after="0" w:afterAutospacing="0"/>
        <w:jc w:val="both"/>
        <w:rPr>
          <w:rFonts w:ascii="Arial" w:hAnsi="Arial" w:cs="Arial"/>
          <w:color w:val="3A3A3A"/>
          <w:sz w:val="20"/>
          <w:szCs w:val="20"/>
        </w:rPr>
      </w:pPr>
      <w:r w:rsidRPr="00AE3F9E">
        <w:rPr>
          <w:rStyle w:val="xbumpedfont15"/>
          <w:rFonts w:ascii="Arial" w:hAnsi="Arial" w:cs="Arial"/>
          <w:bCs/>
          <w:sz w:val="20"/>
          <w:szCs w:val="20"/>
        </w:rPr>
        <w:t>Malpractice and corruption within the Police service can have catastrophic impacts such as the loss of public support and the reduced likelihood of community partnerships which has been proven to be significant to modern day policing (</w:t>
      </w:r>
      <w:r w:rsidRPr="00AE3F9E">
        <w:rPr>
          <w:rFonts w:ascii="Arial" w:hAnsi="Arial" w:cs="Arial"/>
          <w:color w:val="3A3A3A"/>
          <w:sz w:val="20"/>
          <w:szCs w:val="20"/>
        </w:rPr>
        <w:t>Bagnall et al, 2017)</w:t>
      </w:r>
    </w:p>
    <w:p w:rsidR="00954C86" w:rsidRPr="00AE3F9E" w:rsidRDefault="00954C86" w:rsidP="00AE3F9E">
      <w:pPr>
        <w:pStyle w:val="xs4"/>
        <w:spacing w:before="0" w:beforeAutospacing="0" w:after="0" w:afterAutospacing="0"/>
        <w:jc w:val="both"/>
        <w:rPr>
          <w:rFonts w:ascii="Arial" w:hAnsi="Arial" w:cs="Arial"/>
          <w:color w:val="3A3A3A"/>
          <w:sz w:val="20"/>
          <w:szCs w:val="20"/>
        </w:rPr>
      </w:pPr>
    </w:p>
    <w:p w:rsidR="00AE3F9E" w:rsidRDefault="00AE3F9E" w:rsidP="00AE3F9E">
      <w:pPr>
        <w:pStyle w:val="xs4"/>
        <w:spacing w:before="0" w:beforeAutospacing="0" w:after="0" w:afterAutospacing="0"/>
        <w:jc w:val="both"/>
        <w:rPr>
          <w:rFonts w:ascii="Arial" w:hAnsi="Arial" w:cs="Arial"/>
          <w:color w:val="3A3A3A"/>
          <w:sz w:val="20"/>
          <w:szCs w:val="20"/>
        </w:rPr>
      </w:pPr>
      <w:r w:rsidRPr="00AE3F9E">
        <w:rPr>
          <w:rFonts w:ascii="Arial" w:hAnsi="Arial" w:cs="Arial"/>
          <w:color w:val="3A3A3A"/>
          <w:sz w:val="20"/>
          <w:szCs w:val="20"/>
        </w:rPr>
        <w:t xml:space="preserve">An example of corruption that was noted within senior officers in South Yorkshire Police, as they were proven to ignore and downplay the seriousness of the child sexual exploitation that took place in Rotherham (Hallett, 2016). This led to a public outrage to which a loss of faith and confidence was experienced in the local policing area of South Yorkshire. Similar to this was also the Hillsborough disaster which too highlighted malpractice between senior officers during the investigation to be what had happened and certain evidential enquiries ignored. </w:t>
      </w:r>
    </w:p>
    <w:p w:rsidR="00954C86" w:rsidRPr="00AE3F9E" w:rsidRDefault="00954C86" w:rsidP="00AE3F9E">
      <w:pPr>
        <w:pStyle w:val="xs4"/>
        <w:spacing w:before="0" w:beforeAutospacing="0" w:after="0" w:afterAutospacing="0"/>
        <w:jc w:val="both"/>
        <w:rPr>
          <w:rFonts w:ascii="Arial" w:hAnsi="Arial" w:cs="Arial"/>
          <w:sz w:val="20"/>
          <w:szCs w:val="20"/>
        </w:rPr>
      </w:pPr>
    </w:p>
    <w:p w:rsidR="00AE3F9E" w:rsidRPr="00AE3F9E" w:rsidRDefault="00AE3F9E" w:rsidP="00AE3F9E">
      <w:pPr>
        <w:spacing w:after="0" w:line="240" w:lineRule="auto"/>
        <w:rPr>
          <w:rFonts w:ascii="Arial" w:hAnsi="Arial" w:cs="Arial"/>
          <w:sz w:val="20"/>
          <w:szCs w:val="20"/>
        </w:rPr>
      </w:pPr>
      <w:r w:rsidRPr="00AE3F9E">
        <w:rPr>
          <w:rFonts w:ascii="Arial" w:hAnsi="Arial" w:cs="Arial"/>
          <w:sz w:val="20"/>
          <w:szCs w:val="20"/>
        </w:rPr>
        <w:t xml:space="preserve">In addition to this another impact to policing is that makes it harder for officers to enforce the law as this reduces the likelihood of the public engaging and participating with procedures. This also reduces the chances of crime detection and criminal justice being actioned (Millie, 2018). </w:t>
      </w:r>
    </w:p>
    <w:p w:rsidR="00AE3F9E" w:rsidRPr="00AE3F9E" w:rsidRDefault="00AE3F9E" w:rsidP="00AE3F9E">
      <w:pPr>
        <w:spacing w:after="0" w:line="240" w:lineRule="auto"/>
        <w:rPr>
          <w:rFonts w:ascii="Arial" w:hAnsi="Arial" w:cs="Arial"/>
          <w:sz w:val="20"/>
          <w:szCs w:val="20"/>
        </w:rPr>
      </w:pPr>
    </w:p>
    <w:p w:rsidR="00AE3F9E" w:rsidRPr="00AE3F9E" w:rsidRDefault="00AE3F9E" w:rsidP="00AE3F9E">
      <w:pPr>
        <w:spacing w:after="0" w:line="240" w:lineRule="auto"/>
        <w:rPr>
          <w:rFonts w:ascii="Arial" w:hAnsi="Arial" w:cs="Arial"/>
          <w:b/>
          <w:sz w:val="20"/>
          <w:szCs w:val="20"/>
          <w:u w:val="single"/>
        </w:rPr>
      </w:pPr>
      <w:r w:rsidRPr="00AE3F9E">
        <w:rPr>
          <w:rFonts w:ascii="Arial" w:hAnsi="Arial" w:cs="Arial"/>
          <w:b/>
          <w:sz w:val="20"/>
          <w:szCs w:val="20"/>
          <w:u w:val="single"/>
        </w:rPr>
        <w:t>Conclusion</w:t>
      </w:r>
    </w:p>
    <w:p w:rsidR="00AE3F9E" w:rsidRDefault="00AE3F9E" w:rsidP="00AE3F9E">
      <w:pPr>
        <w:spacing w:after="0" w:line="240" w:lineRule="auto"/>
        <w:rPr>
          <w:rFonts w:ascii="Arial" w:hAnsi="Arial" w:cs="Arial"/>
          <w:sz w:val="20"/>
          <w:szCs w:val="20"/>
        </w:rPr>
      </w:pPr>
      <w:r w:rsidRPr="00AE3F9E">
        <w:rPr>
          <w:rFonts w:ascii="Arial" w:hAnsi="Arial" w:cs="Arial"/>
          <w:sz w:val="20"/>
          <w:szCs w:val="20"/>
        </w:rPr>
        <w:t xml:space="preserve">To conclude it is understandable that corruption and malpractice can have game changing effects on policing in regards to the ability to operate efficiently and effectively as such incidents can damage the reputation of British Policing or an individual force. This ultimately reduces the public faith in the legitimacy of Policing which in turn reduces the amount of public support and partnership working within communities. This impacts genuine honest officers by the means of them being not being able to engage with members of the public. </w:t>
      </w:r>
    </w:p>
    <w:p w:rsidR="00954C86" w:rsidRPr="00AE3F9E" w:rsidRDefault="00954C86" w:rsidP="00AE3F9E">
      <w:pPr>
        <w:spacing w:after="0" w:line="240" w:lineRule="auto"/>
        <w:rPr>
          <w:rFonts w:ascii="Arial" w:hAnsi="Arial" w:cs="Arial"/>
          <w:sz w:val="20"/>
          <w:szCs w:val="20"/>
        </w:rPr>
      </w:pPr>
    </w:p>
    <w:p w:rsidR="00AE3F9E" w:rsidRPr="00AE3F9E" w:rsidRDefault="00AE3F9E" w:rsidP="00AE3F9E">
      <w:pPr>
        <w:spacing w:after="0" w:line="240" w:lineRule="auto"/>
        <w:rPr>
          <w:rFonts w:ascii="Arial" w:hAnsi="Arial" w:cs="Arial"/>
          <w:sz w:val="20"/>
          <w:szCs w:val="20"/>
        </w:rPr>
      </w:pPr>
      <w:r w:rsidRPr="00AE3F9E">
        <w:rPr>
          <w:rFonts w:ascii="Arial" w:hAnsi="Arial" w:cs="Arial"/>
          <w:sz w:val="20"/>
          <w:szCs w:val="20"/>
        </w:rPr>
        <w:t>Solely based on this it is argued that the professional standards present helps provide guidance for officers to provide a fair and ethical policing service and make efforts to prevent corruption and malpractice, but also consideration for the public to hold the police accountable for their actions.</w:t>
      </w:r>
    </w:p>
    <w:p w:rsidR="00954C86" w:rsidRDefault="00AE3F9E" w:rsidP="00AE3F9E">
      <w:pPr>
        <w:spacing w:after="0" w:line="240" w:lineRule="auto"/>
        <w:rPr>
          <w:rFonts w:ascii="Arial" w:hAnsi="Arial" w:cs="Arial"/>
          <w:sz w:val="20"/>
          <w:szCs w:val="20"/>
        </w:rPr>
      </w:pPr>
      <w:r w:rsidRPr="00AE3F9E">
        <w:rPr>
          <w:rFonts w:ascii="Arial" w:hAnsi="Arial" w:cs="Arial"/>
          <w:sz w:val="20"/>
          <w:szCs w:val="20"/>
        </w:rPr>
        <w:t>Independent bodies such as the IOPC and the HMICFRS act as watchdogs within the policing sector to essentially police the police and ensure that the standards of policing are being maintained with regards to officers adhering to the Code of Ethics.</w:t>
      </w:r>
    </w:p>
    <w:p w:rsidR="00AE3F9E" w:rsidRPr="00AE3F9E" w:rsidRDefault="00AE3F9E" w:rsidP="00AE3F9E">
      <w:pPr>
        <w:spacing w:after="0" w:line="240" w:lineRule="auto"/>
        <w:rPr>
          <w:rFonts w:ascii="Arial" w:hAnsi="Arial" w:cs="Arial"/>
          <w:sz w:val="20"/>
          <w:szCs w:val="20"/>
        </w:rPr>
      </w:pPr>
      <w:r w:rsidRPr="00AE3F9E">
        <w:rPr>
          <w:rFonts w:ascii="Arial" w:hAnsi="Arial" w:cs="Arial"/>
          <w:sz w:val="20"/>
          <w:szCs w:val="20"/>
        </w:rPr>
        <w:t xml:space="preserve"> </w:t>
      </w:r>
    </w:p>
    <w:p w:rsidR="00AE3F9E" w:rsidRPr="00AE3F9E" w:rsidRDefault="00AE3F9E" w:rsidP="00AE3F9E">
      <w:pPr>
        <w:spacing w:after="0" w:line="240" w:lineRule="auto"/>
        <w:rPr>
          <w:rFonts w:ascii="Arial" w:hAnsi="Arial" w:cs="Arial"/>
          <w:sz w:val="20"/>
          <w:szCs w:val="20"/>
        </w:rPr>
      </w:pPr>
      <w:r w:rsidRPr="00AE3F9E">
        <w:rPr>
          <w:rFonts w:ascii="Arial" w:hAnsi="Arial" w:cs="Arial"/>
          <w:sz w:val="20"/>
          <w:szCs w:val="20"/>
        </w:rPr>
        <w:t>Regardless of this is malpractice and corruption do still exist within policing and even independent bodies have been criticized for misconduct by the means of be</w:t>
      </w:r>
      <w:r w:rsidRPr="00AE3F9E">
        <w:rPr>
          <w:rStyle w:val="xbumpedfont15"/>
          <w:rFonts w:ascii="Arial" w:hAnsi="Arial" w:cs="Arial"/>
          <w:sz w:val="20"/>
          <w:szCs w:val="20"/>
        </w:rPr>
        <w:t>ing biased toward police officers rather providing objective oversight, possibly highlighting the need for community-led watchdogs and other alternatives being introduced to guarantee that policing practice is ethical and professional across the country.</w:t>
      </w:r>
    </w:p>
    <w:p w:rsidR="00AE3F9E" w:rsidRPr="00AE3F9E" w:rsidRDefault="00AE3F9E" w:rsidP="00AE3F9E">
      <w:pPr>
        <w:rPr>
          <w:rFonts w:ascii="Arial" w:hAnsi="Arial" w:cs="Arial"/>
        </w:rPr>
      </w:pPr>
    </w:p>
    <w:p w:rsidR="00AE3F9E" w:rsidRPr="00A73E38" w:rsidRDefault="00AE3F9E" w:rsidP="00AE3F9E"/>
    <w:p w:rsidR="00AE3F9E" w:rsidRDefault="00AE3F9E" w:rsidP="00AE3F9E">
      <w:pPr>
        <w:rPr>
          <w:rFonts w:ascii="Arial" w:eastAsia="Times New Roman" w:hAnsi="Arial" w:cs="Arial"/>
          <w:color w:val="212529"/>
          <w:sz w:val="20"/>
          <w:szCs w:val="20"/>
          <w:bdr w:val="none" w:sz="0" w:space="0" w:color="auto" w:frame="1"/>
          <w:shd w:val="clear" w:color="auto" w:fill="FFFFFF"/>
          <w:lang w:eastAsia="en-GB"/>
        </w:rPr>
      </w:pPr>
    </w:p>
    <w:p w:rsidR="00AE3F9E" w:rsidRDefault="00AE3F9E" w:rsidP="00AE3F9E">
      <w:pPr>
        <w:rPr>
          <w:rFonts w:ascii="Arial" w:eastAsia="Times New Roman" w:hAnsi="Arial" w:cs="Arial"/>
          <w:color w:val="212529"/>
          <w:sz w:val="20"/>
          <w:szCs w:val="20"/>
          <w:bdr w:val="none" w:sz="0" w:space="0" w:color="auto" w:frame="1"/>
          <w:shd w:val="clear" w:color="auto" w:fill="FFFFFF"/>
          <w:lang w:eastAsia="en-GB"/>
        </w:rPr>
      </w:pPr>
    </w:p>
    <w:p w:rsidR="00AE3F9E" w:rsidRDefault="00AE3F9E" w:rsidP="00AE3F9E">
      <w:pPr>
        <w:rPr>
          <w:rFonts w:ascii="Arial" w:eastAsia="Times New Roman" w:hAnsi="Arial" w:cs="Arial"/>
          <w:color w:val="212529"/>
          <w:sz w:val="20"/>
          <w:szCs w:val="20"/>
          <w:bdr w:val="none" w:sz="0" w:space="0" w:color="auto" w:frame="1"/>
          <w:shd w:val="clear" w:color="auto" w:fill="FFFFFF"/>
          <w:lang w:eastAsia="en-GB"/>
        </w:rPr>
      </w:pPr>
    </w:p>
    <w:p w:rsidR="00AE3F9E" w:rsidRDefault="00AE3F9E" w:rsidP="00AE3F9E">
      <w:pPr>
        <w:rPr>
          <w:rFonts w:ascii="Arial" w:eastAsia="Times New Roman" w:hAnsi="Arial" w:cs="Arial"/>
          <w:color w:val="212529"/>
          <w:sz w:val="20"/>
          <w:szCs w:val="20"/>
          <w:bdr w:val="none" w:sz="0" w:space="0" w:color="auto" w:frame="1"/>
          <w:shd w:val="clear" w:color="auto" w:fill="FFFFFF"/>
          <w:lang w:eastAsia="en-GB"/>
        </w:rPr>
      </w:pPr>
    </w:p>
    <w:p w:rsidR="00AE3F9E" w:rsidRPr="0081770F" w:rsidRDefault="00AE3F9E" w:rsidP="00AE3F9E">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81770F">
        <w:rPr>
          <w:rFonts w:ascii="Arial" w:eastAsia="Times New Roman" w:hAnsi="Arial" w:cs="Arial"/>
          <w:b/>
          <w:lang w:eastAsia="en-GB"/>
        </w:rPr>
        <w:lastRenderedPageBreak/>
        <w:t xml:space="preserve">Title 3: Analyse the developing issues of youth gangs, and why people are drawn into becoming part of a gang culture. </w:t>
      </w:r>
    </w:p>
    <w:p w:rsidR="00AE3F9E" w:rsidRPr="00E453C8" w:rsidRDefault="00AE3F9E" w:rsidP="00AE3F9E">
      <w:pPr>
        <w:spacing w:after="0" w:line="240" w:lineRule="auto"/>
        <w:rPr>
          <w:rFonts w:cstheme="minorHAnsi"/>
          <w:b/>
          <w:sz w:val="20"/>
          <w:szCs w:val="20"/>
          <w:u w:val="single"/>
        </w:rPr>
      </w:pPr>
    </w:p>
    <w:p w:rsidR="00AE3F9E" w:rsidRPr="00E453C8" w:rsidRDefault="00AE3F9E" w:rsidP="00AE3F9E">
      <w:pPr>
        <w:spacing w:after="0" w:line="240" w:lineRule="auto"/>
        <w:rPr>
          <w:rFonts w:cstheme="minorHAnsi"/>
          <w:b/>
          <w:sz w:val="20"/>
          <w:szCs w:val="20"/>
          <w:u w:val="single"/>
        </w:rPr>
      </w:pPr>
      <w:r w:rsidRPr="00E453C8">
        <w:rPr>
          <w:rFonts w:cstheme="minorHAnsi"/>
          <w:b/>
          <w:sz w:val="20"/>
          <w:szCs w:val="20"/>
          <w:u w:val="single"/>
        </w:rPr>
        <w:t xml:space="preserve">Introduction </w:t>
      </w:r>
    </w:p>
    <w:p w:rsidR="00AE3F9E" w:rsidRPr="00E453C8" w:rsidRDefault="00AE3F9E" w:rsidP="00AE3F9E">
      <w:pPr>
        <w:spacing w:after="0" w:line="240" w:lineRule="auto"/>
        <w:rPr>
          <w:rFonts w:cstheme="minorHAnsi"/>
          <w:color w:val="201F1E"/>
          <w:sz w:val="20"/>
          <w:szCs w:val="20"/>
          <w:bdr w:val="none" w:sz="0" w:space="0" w:color="auto" w:frame="1"/>
        </w:rPr>
      </w:pPr>
      <w:r w:rsidRPr="00E453C8">
        <w:rPr>
          <w:rFonts w:cstheme="minorHAnsi"/>
          <w:sz w:val="20"/>
          <w:szCs w:val="20"/>
        </w:rPr>
        <w:t xml:space="preserve">In recent times youth gangs have developed further and some of the issues present within youth gangs suggest that the typical theories that youths join gangs out of fear and protection should be reconsidered to include factors such as street credibility, vulnerability and </w:t>
      </w:r>
      <w:r w:rsidRPr="00E453C8">
        <w:rPr>
          <w:rFonts w:cstheme="minorHAnsi"/>
          <w:color w:val="201F1E"/>
          <w:sz w:val="20"/>
          <w:szCs w:val="20"/>
          <w:bdr w:val="none" w:sz="0" w:space="0" w:color="auto" w:frame="1"/>
        </w:rPr>
        <w:t>state absenteeism (Harding, 2020)</w:t>
      </w:r>
    </w:p>
    <w:p w:rsidR="00AE3F9E" w:rsidRPr="00E453C8" w:rsidRDefault="00AE3F9E" w:rsidP="00AE3F9E">
      <w:pPr>
        <w:spacing w:after="0" w:line="240" w:lineRule="auto"/>
        <w:rPr>
          <w:rFonts w:cstheme="minorHAnsi"/>
          <w:color w:val="201F1E"/>
          <w:sz w:val="20"/>
          <w:szCs w:val="20"/>
          <w:bdr w:val="none" w:sz="0" w:space="0" w:color="auto" w:frame="1"/>
        </w:rPr>
      </w:pPr>
      <w:r w:rsidRPr="00E453C8">
        <w:rPr>
          <w:rFonts w:cstheme="minorHAnsi"/>
          <w:color w:val="201F1E"/>
          <w:sz w:val="20"/>
          <w:szCs w:val="20"/>
          <w:bdr w:val="none" w:sz="0" w:space="0" w:color="auto" w:frame="1"/>
        </w:rPr>
        <w:t>Legislators currently consider a passage taken from a 2009 paper titled </w:t>
      </w:r>
      <w:r w:rsidRPr="00E453C8">
        <w:rPr>
          <w:rFonts w:cstheme="minorHAnsi"/>
          <w:i/>
          <w:iCs/>
          <w:color w:val="201F1E"/>
          <w:sz w:val="20"/>
          <w:szCs w:val="20"/>
          <w:bdr w:val="none" w:sz="0" w:space="0" w:color="auto" w:frame="1"/>
        </w:rPr>
        <w:t xml:space="preserve">Dying to Belong </w:t>
      </w:r>
      <w:r w:rsidRPr="00E453C8">
        <w:rPr>
          <w:rFonts w:cstheme="minorHAnsi"/>
          <w:iCs/>
          <w:color w:val="201F1E"/>
          <w:sz w:val="20"/>
          <w:szCs w:val="20"/>
          <w:bdr w:val="none" w:sz="0" w:space="0" w:color="auto" w:frame="1"/>
        </w:rPr>
        <w:t>to define youth gangs</w:t>
      </w:r>
      <w:r w:rsidRPr="00E453C8">
        <w:rPr>
          <w:rFonts w:cstheme="minorHAnsi"/>
          <w:i/>
          <w:iCs/>
          <w:color w:val="201F1E"/>
          <w:sz w:val="20"/>
          <w:szCs w:val="20"/>
          <w:bdr w:val="none" w:sz="0" w:space="0" w:color="auto" w:frame="1"/>
        </w:rPr>
        <w:t> </w:t>
      </w:r>
      <w:r w:rsidRPr="00E453C8">
        <w:rPr>
          <w:rFonts w:cstheme="minorHAnsi"/>
          <w:color w:val="201F1E"/>
          <w:sz w:val="20"/>
          <w:szCs w:val="20"/>
          <w:bdr w:val="none" w:sz="0" w:space="0" w:color="auto" w:frame="1"/>
        </w:rPr>
        <w:t>and is as follows:</w:t>
      </w:r>
    </w:p>
    <w:p w:rsidR="00AE3F9E" w:rsidRPr="00E453C8" w:rsidRDefault="00AE3F9E" w:rsidP="00AE3F9E">
      <w:pPr>
        <w:pStyle w:val="xs6"/>
        <w:spacing w:before="0" w:beforeAutospacing="0" w:after="0" w:afterAutospacing="0"/>
        <w:ind w:left="1050" w:right="1050"/>
        <w:jc w:val="both"/>
        <w:rPr>
          <w:rFonts w:asciiTheme="minorHAnsi" w:hAnsiTheme="minorHAnsi" w:cstheme="minorHAnsi"/>
          <w:color w:val="201F1E"/>
          <w:sz w:val="20"/>
          <w:szCs w:val="20"/>
        </w:rPr>
      </w:pPr>
      <w:r w:rsidRPr="00E453C8">
        <w:rPr>
          <w:rFonts w:asciiTheme="minorHAnsi" w:hAnsiTheme="minorHAnsi" w:cstheme="minorHAnsi"/>
          <w:color w:val="201F1E"/>
          <w:sz w:val="20"/>
          <w:szCs w:val="20"/>
          <w:bdr w:val="none" w:sz="0" w:space="0" w:color="auto" w:frame="1"/>
        </w:rPr>
        <w:t>“</w:t>
      </w:r>
      <w:r w:rsidRPr="00E453C8">
        <w:rPr>
          <w:rFonts w:asciiTheme="minorHAnsi" w:hAnsiTheme="minorHAnsi" w:cstheme="minorHAnsi"/>
          <w:i/>
          <w:color w:val="201F1E"/>
          <w:sz w:val="20"/>
          <w:szCs w:val="20"/>
          <w:bdr w:val="none" w:sz="0" w:space="0" w:color="auto" w:frame="1"/>
        </w:rPr>
        <w:t>A relatively durable, predominantly street-based group of young people who: - see themselves (and are seen by others) as a discernible group; and - engage in a range of criminal activity and violence. They may also have any or all of the following features: - identify with or lay claim over territory; - have some form of identifying structure feature; and - are in conflict with other, similar gangs”.</w:t>
      </w:r>
      <w:r w:rsidRPr="00E453C8">
        <w:rPr>
          <w:rFonts w:asciiTheme="minorHAnsi" w:hAnsiTheme="minorHAnsi" w:cstheme="minorHAnsi"/>
          <w:color w:val="201F1E"/>
          <w:sz w:val="20"/>
          <w:szCs w:val="20"/>
          <w:bdr w:val="none" w:sz="0" w:space="0" w:color="auto" w:frame="1"/>
        </w:rPr>
        <w:t xml:space="preserve"> (Centre for Social Justice, 2009)</w:t>
      </w:r>
    </w:p>
    <w:p w:rsidR="00AE3F9E" w:rsidRPr="00E453C8" w:rsidRDefault="00AE3F9E" w:rsidP="00AE3F9E">
      <w:pPr>
        <w:spacing w:after="0" w:line="240" w:lineRule="auto"/>
        <w:rPr>
          <w:rFonts w:cstheme="minorHAnsi"/>
          <w:sz w:val="20"/>
          <w:szCs w:val="20"/>
        </w:rPr>
      </w:pPr>
    </w:p>
    <w:p w:rsidR="00AE3F9E" w:rsidRDefault="00AE3F9E" w:rsidP="00AE3F9E">
      <w:pPr>
        <w:spacing w:after="0" w:line="240" w:lineRule="auto"/>
        <w:rPr>
          <w:rFonts w:cstheme="minorHAnsi"/>
          <w:color w:val="201F1E"/>
          <w:sz w:val="20"/>
          <w:szCs w:val="20"/>
          <w:bdr w:val="none" w:sz="0" w:space="0" w:color="auto" w:frame="1"/>
        </w:rPr>
      </w:pPr>
      <w:r w:rsidRPr="00E453C8">
        <w:rPr>
          <w:rFonts w:cstheme="minorHAnsi"/>
          <w:sz w:val="20"/>
          <w:szCs w:val="20"/>
        </w:rPr>
        <w:t>Based on the current day in 2021 it is reasonable to believe that this definition has outdated terms that are beyond the depth of this assignment. (</w:t>
      </w:r>
      <w:r w:rsidRPr="00E453C8">
        <w:rPr>
          <w:rFonts w:cstheme="minorHAnsi"/>
          <w:color w:val="201F1E"/>
          <w:sz w:val="20"/>
          <w:szCs w:val="20"/>
          <w:bdr w:val="none" w:sz="0" w:space="0" w:color="auto" w:frame="1"/>
        </w:rPr>
        <w:t xml:space="preserve">Densley, Deuchar and Harding, 2020) are one of many academics who have scrutinised how youth gangs are described. In this assignment I will analyse the reasons why today’s youth join gangs and the culture that attracts them. I will also explore some of the developing issues within this topic. </w:t>
      </w:r>
    </w:p>
    <w:p w:rsidR="00AE3F9E" w:rsidRPr="00E453C8" w:rsidRDefault="00AE3F9E" w:rsidP="00AE3F9E">
      <w:pPr>
        <w:spacing w:after="0" w:line="240" w:lineRule="auto"/>
        <w:rPr>
          <w:rFonts w:cstheme="minorHAnsi"/>
          <w:color w:val="201F1E"/>
          <w:sz w:val="20"/>
          <w:szCs w:val="20"/>
          <w:bdr w:val="none" w:sz="0" w:space="0" w:color="auto" w:frame="1"/>
        </w:rPr>
      </w:pPr>
    </w:p>
    <w:p w:rsidR="00AE3F9E" w:rsidRPr="00E453C8" w:rsidRDefault="00AE3F9E" w:rsidP="00AE3F9E">
      <w:pPr>
        <w:pStyle w:val="xs8"/>
        <w:spacing w:before="0" w:beforeAutospacing="0" w:after="0" w:afterAutospacing="0"/>
        <w:rPr>
          <w:rStyle w:val="xbumpedfont15"/>
          <w:rFonts w:asciiTheme="minorHAnsi" w:hAnsiTheme="minorHAnsi" w:cstheme="minorHAnsi"/>
          <w:b/>
          <w:bCs/>
          <w:iCs/>
          <w:color w:val="201F1E"/>
          <w:sz w:val="20"/>
          <w:szCs w:val="20"/>
          <w:u w:val="single"/>
          <w:bdr w:val="none" w:sz="0" w:space="0" w:color="auto" w:frame="1"/>
        </w:rPr>
      </w:pPr>
      <w:r w:rsidRPr="00E453C8">
        <w:rPr>
          <w:rStyle w:val="xbumpedfont15"/>
          <w:rFonts w:asciiTheme="minorHAnsi" w:hAnsiTheme="minorHAnsi" w:cstheme="minorHAnsi"/>
          <w:b/>
          <w:bCs/>
          <w:iCs/>
          <w:color w:val="201F1E"/>
          <w:sz w:val="20"/>
          <w:szCs w:val="20"/>
          <w:u w:val="single"/>
          <w:bdr w:val="none" w:sz="0" w:space="0" w:color="auto" w:frame="1"/>
        </w:rPr>
        <w:t>The Cool Factor, Social Capital, and Survival</w:t>
      </w:r>
    </w:p>
    <w:p w:rsidR="00AE3F9E" w:rsidRDefault="00AE3F9E" w:rsidP="00AE3F9E">
      <w:pPr>
        <w:pStyle w:val="xs8"/>
        <w:spacing w:before="0" w:beforeAutospacing="0" w:after="0" w:afterAutospacing="0"/>
        <w:rPr>
          <w:rFonts w:asciiTheme="minorHAnsi" w:hAnsiTheme="minorHAnsi" w:cstheme="minorHAnsi"/>
          <w:color w:val="201F1E"/>
          <w:sz w:val="20"/>
          <w:szCs w:val="20"/>
          <w:bdr w:val="none" w:sz="0" w:space="0" w:color="auto" w:frame="1"/>
        </w:rPr>
      </w:pPr>
      <w:r w:rsidRPr="00E453C8">
        <w:rPr>
          <w:rStyle w:val="xbumpedfont15"/>
          <w:rFonts w:asciiTheme="minorHAnsi" w:hAnsiTheme="minorHAnsi" w:cstheme="minorHAnsi"/>
          <w:bCs/>
          <w:iCs/>
          <w:color w:val="201F1E"/>
          <w:sz w:val="20"/>
          <w:szCs w:val="20"/>
          <w:bdr w:val="none" w:sz="0" w:space="0" w:color="auto" w:frame="1"/>
        </w:rPr>
        <w:t xml:space="preserve">According to the (Youth Select Committee, 2019) youngsters opt to be recruited into a gang because it gives them a sense of belonging </w:t>
      </w:r>
      <w:r>
        <w:rPr>
          <w:rStyle w:val="xbumpedfont15"/>
          <w:rFonts w:asciiTheme="minorHAnsi" w:hAnsiTheme="minorHAnsi" w:cstheme="minorHAnsi"/>
          <w:bCs/>
          <w:iCs/>
          <w:color w:val="201F1E"/>
          <w:sz w:val="20"/>
          <w:szCs w:val="20"/>
          <w:bdr w:val="none" w:sz="0" w:space="0" w:color="auto" w:frame="1"/>
        </w:rPr>
        <w:t>as some may have</w:t>
      </w:r>
      <w:r w:rsidRPr="00E453C8">
        <w:rPr>
          <w:rStyle w:val="xbumpedfont15"/>
          <w:rFonts w:asciiTheme="minorHAnsi" w:hAnsiTheme="minorHAnsi" w:cstheme="minorHAnsi"/>
          <w:bCs/>
          <w:iCs/>
          <w:color w:val="201F1E"/>
          <w:sz w:val="20"/>
          <w:szCs w:val="20"/>
          <w:bdr w:val="none" w:sz="0" w:space="0" w:color="auto" w:frame="1"/>
        </w:rPr>
        <w:t xml:space="preserve"> come from broken homes or troubled family relations. In addition to this is it is believed that youths from poorer backgrounds are also subject to joining for this reason too. (</w:t>
      </w:r>
      <w:r w:rsidRPr="00E453C8">
        <w:rPr>
          <w:rFonts w:asciiTheme="minorHAnsi" w:hAnsiTheme="minorHAnsi" w:cstheme="minorHAnsi"/>
          <w:color w:val="201F1E"/>
          <w:sz w:val="20"/>
          <w:szCs w:val="20"/>
          <w:bdr w:val="none" w:sz="0" w:space="0" w:color="auto" w:frame="1"/>
        </w:rPr>
        <w:t xml:space="preserve">Centre for Social Justice, 2009). (Osman, 2020) says that youths who tend to hang around together in groups due to boredom and that the criminal element which forms the crime gang may simply be due to the </w:t>
      </w:r>
      <w:r>
        <w:rPr>
          <w:rFonts w:asciiTheme="minorHAnsi" w:hAnsiTheme="minorHAnsi" w:cstheme="minorHAnsi"/>
          <w:color w:val="201F1E"/>
          <w:sz w:val="20"/>
          <w:szCs w:val="20"/>
          <w:bdr w:val="none" w:sz="0" w:space="0" w:color="auto" w:frame="1"/>
        </w:rPr>
        <w:t>social economic factor of not having money</w:t>
      </w:r>
      <w:r w:rsidRPr="00E453C8">
        <w:rPr>
          <w:rFonts w:asciiTheme="minorHAnsi" w:hAnsiTheme="minorHAnsi" w:cstheme="minorHAnsi"/>
          <w:color w:val="201F1E"/>
          <w:sz w:val="20"/>
          <w:szCs w:val="20"/>
          <w:bdr w:val="none" w:sz="0" w:space="0" w:color="auto" w:frame="1"/>
        </w:rPr>
        <w:t xml:space="preserve">. Furthermore it there is little evidence to suggest that the gang is formed for criminal reasons. </w:t>
      </w:r>
    </w:p>
    <w:p w:rsidR="00AE3F9E" w:rsidRPr="00E453C8" w:rsidRDefault="00AE3F9E" w:rsidP="00AE3F9E">
      <w:pPr>
        <w:pStyle w:val="xs8"/>
        <w:spacing w:before="0" w:beforeAutospacing="0" w:after="0" w:afterAutospacing="0"/>
        <w:rPr>
          <w:rFonts w:asciiTheme="minorHAnsi" w:hAnsiTheme="minorHAnsi" w:cstheme="minorHAnsi"/>
          <w:color w:val="201F1E"/>
          <w:sz w:val="20"/>
          <w:szCs w:val="20"/>
          <w:bdr w:val="none" w:sz="0" w:space="0" w:color="auto" w:frame="1"/>
        </w:rPr>
      </w:pPr>
    </w:p>
    <w:p w:rsidR="00AE3F9E" w:rsidRPr="00E453C8" w:rsidRDefault="00AE3F9E" w:rsidP="00AE3F9E">
      <w:pPr>
        <w:pStyle w:val="xs8"/>
        <w:spacing w:before="0" w:beforeAutospacing="0" w:after="0" w:afterAutospacing="0"/>
        <w:rPr>
          <w:rFonts w:asciiTheme="minorHAnsi" w:hAnsiTheme="minorHAnsi" w:cstheme="minorHAnsi"/>
          <w:color w:val="201F1E"/>
          <w:sz w:val="20"/>
          <w:szCs w:val="20"/>
          <w:bdr w:val="none" w:sz="0" w:space="0" w:color="auto" w:frame="1"/>
        </w:rPr>
      </w:pPr>
      <w:r w:rsidRPr="00E453C8">
        <w:rPr>
          <w:rFonts w:asciiTheme="minorHAnsi" w:hAnsiTheme="minorHAnsi" w:cstheme="minorHAnsi"/>
          <w:color w:val="201F1E"/>
          <w:sz w:val="20"/>
          <w:szCs w:val="20"/>
          <w:bdr w:val="none" w:sz="0" w:space="0" w:color="auto" w:frame="1"/>
        </w:rPr>
        <w:t xml:space="preserve">In addition to this (Smithson, 2016) believes that youths who join gangs have always had different rules growing up when compared with youths from different social classes in society. Therefore this impacts the decision making and morals of the youth when entering the gang and escalating into criminality. </w:t>
      </w:r>
    </w:p>
    <w:p w:rsidR="00AE3F9E" w:rsidRPr="00E453C8" w:rsidRDefault="00AE3F9E" w:rsidP="00AE3F9E">
      <w:pPr>
        <w:pStyle w:val="xs8"/>
        <w:spacing w:before="0" w:beforeAutospacing="0" w:after="0" w:afterAutospacing="0"/>
        <w:rPr>
          <w:rFonts w:asciiTheme="minorHAnsi" w:hAnsiTheme="minorHAnsi" w:cstheme="minorHAnsi"/>
          <w:color w:val="201F1E"/>
          <w:sz w:val="20"/>
          <w:szCs w:val="20"/>
          <w:bdr w:val="none" w:sz="0" w:space="0" w:color="auto" w:frame="1"/>
        </w:rPr>
      </w:pPr>
    </w:p>
    <w:p w:rsidR="00AE3F9E" w:rsidRPr="00E453C8" w:rsidRDefault="00AE3F9E" w:rsidP="00AE3F9E">
      <w:pPr>
        <w:pStyle w:val="xs8"/>
        <w:spacing w:before="0" w:beforeAutospacing="0" w:after="0" w:afterAutospacing="0"/>
        <w:rPr>
          <w:rFonts w:asciiTheme="minorHAnsi" w:hAnsiTheme="minorHAnsi" w:cstheme="minorHAnsi"/>
          <w:color w:val="201F1E"/>
          <w:sz w:val="20"/>
          <w:szCs w:val="20"/>
          <w:bdr w:val="none" w:sz="0" w:space="0" w:color="auto" w:frame="1"/>
        </w:rPr>
      </w:pPr>
      <w:r w:rsidRPr="00E453C8">
        <w:rPr>
          <w:rFonts w:asciiTheme="minorHAnsi" w:hAnsiTheme="minorHAnsi" w:cstheme="minorHAnsi"/>
          <w:color w:val="201F1E"/>
          <w:sz w:val="20"/>
          <w:szCs w:val="20"/>
          <w:bdr w:val="none" w:sz="0" w:space="0" w:color="auto" w:frame="1"/>
        </w:rPr>
        <w:t>When the youth has joined a gang it is reasonable to believe that the criminal behaviour starts to begin as the group of youths see a criminal act to be fun or coo</w:t>
      </w:r>
      <w:r>
        <w:rPr>
          <w:rFonts w:asciiTheme="minorHAnsi" w:hAnsiTheme="minorHAnsi" w:cstheme="minorHAnsi"/>
          <w:color w:val="201F1E"/>
          <w:sz w:val="20"/>
          <w:szCs w:val="20"/>
          <w:bdr w:val="none" w:sz="0" w:space="0" w:color="auto" w:frame="1"/>
        </w:rPr>
        <w:t xml:space="preserve">l. Upon completing the act the individual gains </w:t>
      </w:r>
      <w:r w:rsidRPr="00E453C8">
        <w:rPr>
          <w:rFonts w:asciiTheme="minorHAnsi" w:hAnsiTheme="minorHAnsi" w:cstheme="minorHAnsi"/>
          <w:color w:val="201F1E"/>
          <w:sz w:val="20"/>
          <w:szCs w:val="20"/>
          <w:bdr w:val="none" w:sz="0" w:space="0" w:color="auto" w:frame="1"/>
        </w:rPr>
        <w:t>respect and acknowledgement by other gang members. This then motivates the individual to progress into more criminality whilst leading other youths in the immediate social environment to imitate it. </w:t>
      </w:r>
    </w:p>
    <w:p w:rsidR="00AE3F9E" w:rsidRPr="00E453C8" w:rsidRDefault="00AE3F9E" w:rsidP="00AE3F9E">
      <w:pPr>
        <w:pStyle w:val="xs8"/>
        <w:spacing w:before="0" w:beforeAutospacing="0" w:after="0" w:afterAutospacing="0"/>
        <w:rPr>
          <w:rFonts w:asciiTheme="minorHAnsi" w:hAnsiTheme="minorHAnsi" w:cstheme="minorHAnsi"/>
          <w:color w:val="201F1E"/>
          <w:sz w:val="20"/>
          <w:szCs w:val="20"/>
          <w:bdr w:val="none" w:sz="0" w:space="0" w:color="auto" w:frame="1"/>
        </w:rPr>
      </w:pPr>
      <w:r w:rsidRPr="00E453C8">
        <w:rPr>
          <w:rFonts w:asciiTheme="minorHAnsi" w:hAnsiTheme="minorHAnsi" w:cstheme="minorHAnsi"/>
          <w:color w:val="201F1E"/>
          <w:sz w:val="20"/>
          <w:szCs w:val="20"/>
          <w:bdr w:val="none" w:sz="0" w:space="0" w:color="auto" w:frame="1"/>
        </w:rPr>
        <w:t>Where the environment in the youth gang promotes criminal behaviour this can lead the group to form an identity for a specific criminal activity which can result in the once small youth gang expanding into an organised criminal enterprise which is more prevalent ever than before (Young, 2014).</w:t>
      </w:r>
    </w:p>
    <w:p w:rsidR="00AE3F9E" w:rsidRPr="00E453C8" w:rsidRDefault="00AE3F9E" w:rsidP="00AE3F9E">
      <w:pPr>
        <w:pStyle w:val="xs8"/>
        <w:spacing w:before="0" w:beforeAutospacing="0" w:after="0" w:afterAutospacing="0"/>
        <w:rPr>
          <w:rFonts w:asciiTheme="minorHAnsi" w:hAnsiTheme="minorHAnsi" w:cstheme="minorHAnsi"/>
          <w:color w:val="201F1E"/>
          <w:sz w:val="20"/>
          <w:szCs w:val="20"/>
          <w:bdr w:val="none" w:sz="0" w:space="0" w:color="auto" w:frame="1"/>
        </w:rPr>
      </w:pPr>
    </w:p>
    <w:p w:rsidR="00AE3F9E" w:rsidRPr="00E453C8" w:rsidRDefault="00AE3F9E" w:rsidP="00AE3F9E">
      <w:pPr>
        <w:pStyle w:val="xs8"/>
        <w:spacing w:before="0" w:beforeAutospacing="0" w:after="0" w:afterAutospacing="0"/>
        <w:rPr>
          <w:rFonts w:asciiTheme="minorHAnsi" w:hAnsiTheme="minorHAnsi" w:cstheme="minorHAnsi"/>
          <w:color w:val="201F1E"/>
          <w:sz w:val="20"/>
          <w:szCs w:val="20"/>
          <w:bdr w:val="none" w:sz="0" w:space="0" w:color="auto" w:frame="1"/>
        </w:rPr>
      </w:pPr>
      <w:r w:rsidRPr="00E453C8">
        <w:rPr>
          <w:rFonts w:asciiTheme="minorHAnsi" w:hAnsiTheme="minorHAnsi" w:cstheme="minorHAnsi"/>
          <w:color w:val="201F1E"/>
          <w:sz w:val="20"/>
          <w:szCs w:val="20"/>
          <w:bdr w:val="none" w:sz="0" w:space="0" w:color="auto" w:frame="1"/>
        </w:rPr>
        <w:t xml:space="preserve">(Bourdieu, 2010) suggests that social factors within a given </w:t>
      </w:r>
      <w:r>
        <w:rPr>
          <w:rFonts w:asciiTheme="minorHAnsi" w:hAnsiTheme="minorHAnsi" w:cstheme="minorHAnsi"/>
          <w:color w:val="201F1E"/>
          <w:sz w:val="20"/>
          <w:szCs w:val="20"/>
          <w:bdr w:val="none" w:sz="0" w:space="0" w:color="auto" w:frame="1"/>
        </w:rPr>
        <w:t xml:space="preserve">gang </w:t>
      </w:r>
      <w:r w:rsidRPr="00E453C8">
        <w:rPr>
          <w:rFonts w:asciiTheme="minorHAnsi" w:hAnsiTheme="minorHAnsi" w:cstheme="minorHAnsi"/>
          <w:color w:val="201F1E"/>
          <w:sz w:val="20"/>
          <w:szCs w:val="20"/>
          <w:bdr w:val="none" w:sz="0" w:space="0" w:color="auto" w:frame="1"/>
        </w:rPr>
        <w:t>environment create a hierarchy, where the main goal is to move up that hierarchy. When a group of youths hanging out together move from the aforementioned occasional acts of criminality to an identity founded on illegal activities, a hierarchy begins to form.</w:t>
      </w:r>
    </w:p>
    <w:p w:rsidR="00AE3F9E" w:rsidRPr="00E453C8" w:rsidRDefault="00AE3F9E" w:rsidP="00AE3F9E">
      <w:pPr>
        <w:spacing w:after="0" w:line="240" w:lineRule="auto"/>
        <w:rPr>
          <w:rFonts w:cstheme="minorHAnsi"/>
          <w:sz w:val="20"/>
          <w:szCs w:val="20"/>
        </w:rPr>
      </w:pPr>
    </w:p>
    <w:p w:rsidR="00AE3F9E" w:rsidRDefault="00AE3F9E" w:rsidP="00AE3F9E">
      <w:pPr>
        <w:spacing w:after="0" w:line="240" w:lineRule="auto"/>
        <w:rPr>
          <w:rFonts w:cstheme="minorHAnsi"/>
          <w:sz w:val="20"/>
          <w:szCs w:val="20"/>
        </w:rPr>
      </w:pPr>
      <w:r w:rsidRPr="00E453C8">
        <w:rPr>
          <w:rFonts w:cstheme="minorHAnsi"/>
          <w:sz w:val="20"/>
          <w:szCs w:val="20"/>
        </w:rPr>
        <w:t xml:space="preserve">The expectation of those within youth gangs is that they have a preselected nature of behaviour such as reacting violently when violated by other gangs or having motivations to be the biggest and wealthiest drug dealer in the local area. (Pitts, 2020).  An example of this is the current ongoing issues with county line gangs. This is when youth gangs can supply and traffic drugs to surrounding areas outside their patch. Due to the money involved with this type of criminality it brings substantial financial benefit and therefore fuels the motivation further for the youths to become a wealthy drug dealer. </w:t>
      </w:r>
    </w:p>
    <w:p w:rsidR="00AE3F9E" w:rsidRPr="00E453C8" w:rsidRDefault="00AE3F9E" w:rsidP="00AE3F9E">
      <w:pPr>
        <w:spacing w:after="0" w:line="240" w:lineRule="auto"/>
        <w:rPr>
          <w:rFonts w:cstheme="minorHAnsi"/>
          <w:sz w:val="20"/>
          <w:szCs w:val="20"/>
        </w:rPr>
      </w:pPr>
    </w:p>
    <w:p w:rsidR="00AE3F9E" w:rsidRPr="00E453C8" w:rsidRDefault="00AE3F9E" w:rsidP="00AE3F9E">
      <w:pPr>
        <w:spacing w:after="0" w:line="240" w:lineRule="auto"/>
        <w:rPr>
          <w:rFonts w:cstheme="minorHAnsi"/>
          <w:sz w:val="20"/>
          <w:szCs w:val="20"/>
        </w:rPr>
      </w:pPr>
      <w:r w:rsidRPr="00E453C8">
        <w:rPr>
          <w:rFonts w:cstheme="minorHAnsi"/>
          <w:sz w:val="20"/>
          <w:szCs w:val="20"/>
        </w:rPr>
        <w:t xml:space="preserve">In addition to this, it can be a way to recruit new gang members from deprived backgrounds due to them witnessing how much money can be made in the criminal activity that is conducted and also the respect that is given when new milestones are reached. (Pitts, 2020). </w:t>
      </w:r>
    </w:p>
    <w:p w:rsidR="00AE3F9E" w:rsidRPr="00E453C8" w:rsidRDefault="00AE3F9E" w:rsidP="00AE3F9E">
      <w:pPr>
        <w:spacing w:after="0" w:line="240" w:lineRule="auto"/>
        <w:rPr>
          <w:rFonts w:cstheme="minorHAnsi"/>
          <w:sz w:val="20"/>
          <w:szCs w:val="20"/>
        </w:rPr>
      </w:pPr>
      <w:r w:rsidRPr="00E453C8">
        <w:rPr>
          <w:rFonts w:cstheme="minorHAnsi"/>
          <w:sz w:val="20"/>
          <w:szCs w:val="20"/>
        </w:rPr>
        <w:lastRenderedPageBreak/>
        <w:t>(Pitts, 2020) also highlights how the gangs which once were small and local have expanded to more complex and networked organisations therefore making them far more profitable than</w:t>
      </w:r>
      <w:r>
        <w:rPr>
          <w:rFonts w:cstheme="minorHAnsi"/>
          <w:sz w:val="20"/>
          <w:szCs w:val="20"/>
        </w:rPr>
        <w:t xml:space="preserve"> they were and evolve into organised crime. </w:t>
      </w:r>
    </w:p>
    <w:p w:rsidR="00AE3F9E" w:rsidRPr="00E453C8" w:rsidRDefault="00AE3F9E" w:rsidP="00AE3F9E">
      <w:pPr>
        <w:spacing w:after="0" w:line="240" w:lineRule="auto"/>
        <w:rPr>
          <w:rFonts w:cstheme="minorHAnsi"/>
          <w:sz w:val="20"/>
          <w:szCs w:val="20"/>
        </w:rPr>
      </w:pPr>
    </w:p>
    <w:p w:rsidR="00AE3F9E" w:rsidRDefault="00AE3F9E" w:rsidP="00AE3F9E">
      <w:pPr>
        <w:spacing w:after="0" w:line="240" w:lineRule="auto"/>
        <w:rPr>
          <w:rFonts w:cstheme="minorHAnsi"/>
          <w:sz w:val="20"/>
          <w:szCs w:val="20"/>
        </w:rPr>
      </w:pPr>
      <w:r w:rsidRPr="00E453C8">
        <w:rPr>
          <w:rFonts w:cstheme="minorHAnsi"/>
          <w:sz w:val="20"/>
          <w:szCs w:val="20"/>
        </w:rPr>
        <w:t xml:space="preserve">For youths who grow up in the social environment where gang culture is present it is believed to enforce and emphasis on street credibility rather than social credibility. As a result of this it may prove harder for these youths not to take part in violence or opportunities to prove their strength. </w:t>
      </w:r>
    </w:p>
    <w:p w:rsidR="00AE3F9E" w:rsidRPr="00E453C8" w:rsidRDefault="00AE3F9E" w:rsidP="00AE3F9E">
      <w:pPr>
        <w:spacing w:after="0" w:line="240" w:lineRule="auto"/>
        <w:rPr>
          <w:rFonts w:cstheme="minorHAnsi"/>
          <w:sz w:val="20"/>
          <w:szCs w:val="20"/>
        </w:rPr>
      </w:pPr>
    </w:p>
    <w:p w:rsidR="00AE3F9E" w:rsidRPr="00E453C8" w:rsidRDefault="00AE3F9E" w:rsidP="00AE3F9E">
      <w:pPr>
        <w:spacing w:after="0" w:line="240" w:lineRule="auto"/>
        <w:rPr>
          <w:rFonts w:cstheme="minorHAnsi"/>
          <w:color w:val="201F1E"/>
          <w:sz w:val="20"/>
          <w:szCs w:val="20"/>
          <w:bdr w:val="none" w:sz="0" w:space="0" w:color="auto" w:frame="1"/>
        </w:rPr>
      </w:pPr>
      <w:r w:rsidRPr="00E453C8">
        <w:rPr>
          <w:rFonts w:cstheme="minorHAnsi"/>
          <w:sz w:val="20"/>
          <w:szCs w:val="20"/>
        </w:rPr>
        <w:t>(Meddle, 2008) says that the theory of victim precipitation states that “</w:t>
      </w:r>
      <w:r w:rsidRPr="00E453C8">
        <w:rPr>
          <w:rFonts w:cstheme="minorHAnsi"/>
          <w:color w:val="201F1E"/>
          <w:sz w:val="20"/>
          <w:szCs w:val="20"/>
          <w:bdr w:val="none" w:sz="0" w:space="0" w:color="auto" w:frame="1"/>
        </w:rPr>
        <w:t>those who fall victim to gang crime may have played an active role in their victimisation by provoking the attacker when refusing to back down”. </w:t>
      </w:r>
    </w:p>
    <w:p w:rsidR="00AE3F9E" w:rsidRDefault="00AE3F9E" w:rsidP="00AE3F9E">
      <w:pPr>
        <w:spacing w:after="0" w:line="240" w:lineRule="auto"/>
        <w:rPr>
          <w:rFonts w:cstheme="minorHAnsi"/>
          <w:color w:val="201F1E"/>
          <w:sz w:val="20"/>
          <w:szCs w:val="20"/>
          <w:bdr w:val="none" w:sz="0" w:space="0" w:color="auto" w:frame="1"/>
        </w:rPr>
      </w:pPr>
      <w:r w:rsidRPr="00E453C8">
        <w:rPr>
          <w:rFonts w:cstheme="minorHAnsi"/>
          <w:color w:val="201F1E"/>
          <w:sz w:val="20"/>
          <w:szCs w:val="20"/>
          <w:bdr w:val="none" w:sz="0" w:space="0" w:color="auto" w:frame="1"/>
        </w:rPr>
        <w:t xml:space="preserve">When state absenteeism is added to the equation it makes it more likely for youths to form gangs for protection and over a period of time the likelihood of a youth gang coming into conflict with another youth gang heightens. This is the how the pattern of gang violence begins (Emergency Nurse, 2019). </w:t>
      </w:r>
    </w:p>
    <w:p w:rsidR="00AE3F9E" w:rsidRPr="00E453C8" w:rsidRDefault="00AE3F9E" w:rsidP="00AE3F9E">
      <w:pPr>
        <w:spacing w:after="0" w:line="240" w:lineRule="auto"/>
        <w:rPr>
          <w:rFonts w:cstheme="minorHAnsi"/>
          <w:color w:val="201F1E"/>
          <w:sz w:val="20"/>
          <w:szCs w:val="20"/>
          <w:bdr w:val="none" w:sz="0" w:space="0" w:color="auto" w:frame="1"/>
        </w:rPr>
      </w:pPr>
    </w:p>
    <w:p w:rsidR="00AE3F9E" w:rsidRDefault="00AE3F9E" w:rsidP="00AE3F9E">
      <w:pPr>
        <w:spacing w:after="0" w:line="240" w:lineRule="auto"/>
        <w:rPr>
          <w:rFonts w:cstheme="minorHAnsi"/>
          <w:color w:val="201F1E"/>
          <w:sz w:val="20"/>
          <w:szCs w:val="20"/>
          <w:bdr w:val="none" w:sz="0" w:space="0" w:color="auto" w:frame="1"/>
        </w:rPr>
      </w:pPr>
      <w:r w:rsidRPr="00E453C8">
        <w:rPr>
          <w:rFonts w:cstheme="minorHAnsi"/>
          <w:color w:val="201F1E"/>
          <w:sz w:val="20"/>
          <w:szCs w:val="20"/>
          <w:bdr w:val="none" w:sz="0" w:space="0" w:color="auto" w:frame="1"/>
        </w:rPr>
        <w:t xml:space="preserve">In contrary to this a study completed by the Victim Support Group for gang violence in London shows that due to a lack of confidence in the police </w:t>
      </w:r>
      <w:r>
        <w:rPr>
          <w:rFonts w:cstheme="minorHAnsi"/>
          <w:color w:val="201F1E"/>
          <w:sz w:val="20"/>
          <w:szCs w:val="20"/>
          <w:bdr w:val="none" w:sz="0" w:space="0" w:color="auto" w:frame="1"/>
        </w:rPr>
        <w:t xml:space="preserve">it </w:t>
      </w:r>
      <w:r w:rsidRPr="00E453C8">
        <w:rPr>
          <w:rFonts w:cstheme="minorHAnsi"/>
          <w:color w:val="201F1E"/>
          <w:sz w:val="20"/>
          <w:szCs w:val="20"/>
          <w:bdr w:val="none" w:sz="0" w:space="0" w:color="auto" w:frame="1"/>
        </w:rPr>
        <w:t xml:space="preserve">results in victims or gang members not reporting crime or seeking help. In this environment “snitching” is looked down upon and is punishable and therefore victims and informants do not consider it’s worth the risk of even attempting to work with Police. (Victim Support Group, 2017). </w:t>
      </w:r>
    </w:p>
    <w:p w:rsidR="00AE3F9E" w:rsidRPr="00E453C8" w:rsidRDefault="00AE3F9E" w:rsidP="00AE3F9E">
      <w:pPr>
        <w:spacing w:after="0" w:line="240" w:lineRule="auto"/>
        <w:rPr>
          <w:rFonts w:cstheme="minorHAnsi"/>
          <w:color w:val="201F1E"/>
          <w:sz w:val="20"/>
          <w:szCs w:val="20"/>
          <w:bdr w:val="none" w:sz="0" w:space="0" w:color="auto" w:frame="1"/>
        </w:rPr>
      </w:pPr>
    </w:p>
    <w:p w:rsidR="00AE3F9E" w:rsidRPr="00E453C8" w:rsidRDefault="00AE3F9E" w:rsidP="00AE3F9E">
      <w:pPr>
        <w:tabs>
          <w:tab w:val="left" w:pos="5100"/>
        </w:tabs>
        <w:spacing w:after="0" w:line="240" w:lineRule="auto"/>
        <w:rPr>
          <w:rFonts w:cstheme="minorHAnsi"/>
          <w:color w:val="201F1E"/>
          <w:sz w:val="20"/>
          <w:szCs w:val="20"/>
          <w:bdr w:val="none" w:sz="0" w:space="0" w:color="auto" w:frame="1"/>
        </w:rPr>
      </w:pPr>
      <w:r w:rsidRPr="00E453C8">
        <w:rPr>
          <w:rFonts w:cstheme="minorHAnsi"/>
          <w:color w:val="201F1E"/>
          <w:sz w:val="20"/>
          <w:szCs w:val="20"/>
          <w:bdr w:val="none" w:sz="0" w:space="0" w:color="auto" w:frame="1"/>
        </w:rPr>
        <w:t xml:space="preserve">Furthermore this makes vulnerable youth even more attractive when being targeted by elder gang members </w:t>
      </w:r>
      <w:r>
        <w:rPr>
          <w:rFonts w:cstheme="minorHAnsi"/>
          <w:color w:val="201F1E"/>
          <w:sz w:val="20"/>
          <w:szCs w:val="20"/>
          <w:bdr w:val="none" w:sz="0" w:space="0" w:color="auto" w:frame="1"/>
        </w:rPr>
        <w:t xml:space="preserve">for recruitment </w:t>
      </w:r>
      <w:r w:rsidRPr="00E453C8">
        <w:rPr>
          <w:rFonts w:cstheme="minorHAnsi"/>
          <w:color w:val="201F1E"/>
          <w:sz w:val="20"/>
          <w:szCs w:val="20"/>
          <w:bdr w:val="none" w:sz="0" w:space="0" w:color="auto" w:frame="1"/>
        </w:rPr>
        <w:t xml:space="preserve">especially if they appear not to back down from a challenge. This is purely because they know that the youths cannot rely on the police and ultimately rules out the probability of them cooperating with police. When added to the equation for a sense of belonging and a social environment that benefits them financially and provides protection it is clear to see why those who have joined made the choice to do so. </w:t>
      </w:r>
    </w:p>
    <w:p w:rsidR="00AE3F9E" w:rsidRDefault="00AE3F9E" w:rsidP="00AE3F9E">
      <w:pPr>
        <w:rPr>
          <w:rFonts w:ascii="Arial" w:eastAsia="Times New Roman" w:hAnsi="Arial" w:cs="Arial"/>
          <w:color w:val="212529"/>
          <w:sz w:val="20"/>
          <w:szCs w:val="20"/>
          <w:bdr w:val="none" w:sz="0" w:space="0" w:color="auto" w:frame="1"/>
          <w:shd w:val="clear" w:color="auto" w:fill="FFFFFF"/>
          <w:lang w:eastAsia="en-GB"/>
        </w:rPr>
      </w:pPr>
    </w:p>
    <w:p w:rsidR="00AE3F9E" w:rsidRPr="0081770F" w:rsidRDefault="00AE3F9E" w:rsidP="00AE3F9E">
      <w:pPr>
        <w:rPr>
          <w:rFonts w:ascii="Arial" w:eastAsia="Times New Roman" w:hAnsi="Arial" w:cs="Arial"/>
          <w:b/>
          <w:color w:val="212529"/>
          <w:sz w:val="20"/>
          <w:szCs w:val="20"/>
          <w:bdr w:val="none" w:sz="0" w:space="0" w:color="auto" w:frame="1"/>
          <w:shd w:val="clear" w:color="auto" w:fill="FFFFFF"/>
          <w:lang w:eastAsia="en-GB"/>
        </w:rPr>
      </w:pPr>
    </w:p>
    <w:p w:rsidR="00AE3F9E" w:rsidRPr="0081770F" w:rsidRDefault="00AE3F9E" w:rsidP="00AE3F9E">
      <w:pPr>
        <w:overflowPunct w:val="0"/>
        <w:autoSpaceDE w:val="0"/>
        <w:autoSpaceDN w:val="0"/>
        <w:adjustRightInd w:val="0"/>
        <w:spacing w:before="240" w:after="0" w:line="240" w:lineRule="auto"/>
        <w:ind w:left="360"/>
        <w:jc w:val="both"/>
        <w:textAlignment w:val="baseline"/>
        <w:rPr>
          <w:rFonts w:ascii="Arial" w:eastAsia="Times New Roman" w:hAnsi="Arial" w:cs="Arial"/>
          <w:b/>
          <w:lang w:eastAsia="en-GB"/>
        </w:rPr>
      </w:pPr>
      <w:r w:rsidRPr="0081770F">
        <w:rPr>
          <w:rFonts w:ascii="Arial" w:eastAsia="Times New Roman" w:hAnsi="Arial" w:cs="Arial"/>
          <w:b/>
          <w:lang w:eastAsia="en-GB"/>
        </w:rPr>
        <w:t>Title 4: Critically evaluate the impact upon policing of differing values, ethics and norms within diverse communities and the importance of effective communication when working within these communities.</w:t>
      </w:r>
    </w:p>
    <w:p w:rsidR="00AE3F9E" w:rsidRPr="00985194" w:rsidRDefault="00AE3F9E" w:rsidP="00AE3F9E">
      <w:pPr>
        <w:spacing w:after="0" w:line="240" w:lineRule="auto"/>
        <w:rPr>
          <w:rFonts w:cstheme="minorHAnsi"/>
          <w:b/>
          <w:sz w:val="20"/>
          <w:szCs w:val="20"/>
          <w:u w:val="single"/>
        </w:rPr>
      </w:pPr>
    </w:p>
    <w:p w:rsidR="00AE3F9E" w:rsidRPr="00985194" w:rsidRDefault="00AE3F9E" w:rsidP="00AE3F9E">
      <w:pPr>
        <w:spacing w:after="0" w:line="240" w:lineRule="auto"/>
        <w:rPr>
          <w:rFonts w:cstheme="minorHAnsi"/>
          <w:b/>
          <w:sz w:val="20"/>
          <w:szCs w:val="20"/>
          <w:u w:val="single"/>
        </w:rPr>
      </w:pPr>
      <w:r w:rsidRPr="00985194">
        <w:rPr>
          <w:rFonts w:cstheme="minorHAnsi"/>
          <w:b/>
          <w:sz w:val="20"/>
          <w:szCs w:val="20"/>
          <w:u w:val="single"/>
        </w:rPr>
        <w:t>Introduction</w:t>
      </w:r>
    </w:p>
    <w:p w:rsidR="00AE3F9E" w:rsidRDefault="00AE3F9E" w:rsidP="00AE3F9E">
      <w:pPr>
        <w:spacing w:after="0" w:line="240" w:lineRule="auto"/>
        <w:rPr>
          <w:rFonts w:cstheme="minorHAnsi"/>
          <w:sz w:val="20"/>
          <w:szCs w:val="20"/>
        </w:rPr>
      </w:pPr>
      <w:r w:rsidRPr="00985194">
        <w:rPr>
          <w:rFonts w:cstheme="minorHAnsi"/>
          <w:sz w:val="20"/>
          <w:szCs w:val="20"/>
        </w:rPr>
        <w:t>Ethics are seen to be the foundation of British</w:t>
      </w:r>
      <w:r>
        <w:rPr>
          <w:rFonts w:cstheme="minorHAnsi"/>
          <w:sz w:val="20"/>
          <w:szCs w:val="20"/>
        </w:rPr>
        <w:t xml:space="preserve"> Policing</w:t>
      </w:r>
      <w:r w:rsidRPr="00985194">
        <w:rPr>
          <w:rFonts w:cstheme="minorHAnsi"/>
          <w:sz w:val="20"/>
          <w:szCs w:val="20"/>
        </w:rPr>
        <w:t xml:space="preserve"> in order to provide a fair and impartial police service. If the police do not follow these ethics and standards it can result in policy and procedures not being conducted properly and therefore falling below the expectations of the community which ultimately loses public confidence. (College of Policing, 2021). </w:t>
      </w:r>
      <w:bookmarkStart w:id="0" w:name="_GoBack"/>
      <w:bookmarkEnd w:id="0"/>
    </w:p>
    <w:p w:rsidR="00AE3F9E" w:rsidRPr="00985194" w:rsidRDefault="00AE3F9E" w:rsidP="00AE3F9E">
      <w:pPr>
        <w:spacing w:after="0" w:line="240" w:lineRule="auto"/>
        <w:rPr>
          <w:rFonts w:cstheme="minorHAnsi"/>
          <w:sz w:val="20"/>
          <w:szCs w:val="20"/>
        </w:rPr>
      </w:pPr>
    </w:p>
    <w:p w:rsidR="00AE3F9E" w:rsidRPr="00985194" w:rsidRDefault="00AE3F9E" w:rsidP="00AE3F9E">
      <w:pPr>
        <w:spacing w:after="0" w:line="240" w:lineRule="auto"/>
        <w:rPr>
          <w:rStyle w:val="xbumpedfont15"/>
          <w:rFonts w:cstheme="minorHAnsi"/>
          <w:sz w:val="20"/>
          <w:szCs w:val="20"/>
        </w:rPr>
      </w:pPr>
      <w:r w:rsidRPr="00985194">
        <w:rPr>
          <w:rFonts w:cstheme="minorHAnsi"/>
          <w:sz w:val="20"/>
          <w:szCs w:val="20"/>
        </w:rPr>
        <w:t xml:space="preserve">The College of Policing has formed something called the Code of Ethics which sets out the professional standards for ethical and professional policing in the UK. (College of Policing, 2014). Regardless of these standards being set there are incidents relating to misconduct by the police that include malpractice and corruption, which portrays the image that Policing in the UK is not always ethical. In this assignment I </w:t>
      </w:r>
      <w:r w:rsidRPr="00985194">
        <w:rPr>
          <w:rStyle w:val="xbumpedfont15"/>
          <w:rFonts w:cstheme="minorHAnsi"/>
          <w:sz w:val="20"/>
          <w:szCs w:val="20"/>
        </w:rPr>
        <w:t>will critically evaluate the impact upon policing of differing values, ethics and norms within diverse communities, and the importance of effective communication when working within these communities.</w:t>
      </w:r>
    </w:p>
    <w:p w:rsidR="00AE3F9E" w:rsidRPr="00985194" w:rsidRDefault="00AE3F9E" w:rsidP="00AE3F9E">
      <w:pPr>
        <w:spacing w:after="0" w:line="240" w:lineRule="auto"/>
        <w:rPr>
          <w:rFonts w:cstheme="minorHAnsi"/>
          <w:sz w:val="20"/>
          <w:szCs w:val="20"/>
        </w:rPr>
      </w:pPr>
    </w:p>
    <w:p w:rsidR="00AE3F9E" w:rsidRPr="00985194" w:rsidRDefault="00AE3F9E" w:rsidP="00AE3F9E">
      <w:pPr>
        <w:pStyle w:val="xs3"/>
        <w:spacing w:before="0" w:beforeAutospacing="0" w:after="0" w:afterAutospacing="0"/>
        <w:rPr>
          <w:rStyle w:val="xbumpedfont15"/>
          <w:rFonts w:asciiTheme="minorHAnsi" w:eastAsiaTheme="minorEastAsia" w:hAnsiTheme="minorHAnsi" w:cstheme="minorHAnsi"/>
          <w:b/>
          <w:bCs/>
          <w:sz w:val="20"/>
          <w:szCs w:val="20"/>
          <w:u w:val="single"/>
        </w:rPr>
      </w:pPr>
      <w:r w:rsidRPr="00985194">
        <w:rPr>
          <w:rStyle w:val="xbumpedfont15"/>
          <w:rFonts w:asciiTheme="minorHAnsi" w:eastAsiaTheme="minorEastAsia" w:hAnsiTheme="minorHAnsi" w:cstheme="minorHAnsi"/>
          <w:b/>
          <w:bCs/>
          <w:sz w:val="20"/>
          <w:szCs w:val="20"/>
          <w:u w:val="single"/>
        </w:rPr>
        <w:t>The impact upon policing of differing values, ethics and norms within diverse communities</w:t>
      </w:r>
    </w:p>
    <w:p w:rsidR="00AE3F9E" w:rsidRPr="00985194" w:rsidRDefault="00AE3F9E" w:rsidP="00AE3F9E">
      <w:pPr>
        <w:pStyle w:val="xs3"/>
        <w:spacing w:before="0" w:beforeAutospacing="0" w:after="0" w:afterAutospacing="0"/>
        <w:rPr>
          <w:rStyle w:val="xbumpedfont15"/>
          <w:rFonts w:asciiTheme="minorHAnsi" w:eastAsiaTheme="minorEastAsia" w:hAnsiTheme="minorHAnsi" w:cstheme="minorHAnsi"/>
          <w:bCs/>
          <w:sz w:val="20"/>
          <w:szCs w:val="20"/>
        </w:rPr>
      </w:pPr>
      <w:r w:rsidRPr="00985194">
        <w:rPr>
          <w:rStyle w:val="xbumpedfont15"/>
          <w:rFonts w:asciiTheme="minorHAnsi" w:eastAsiaTheme="minorEastAsia" w:hAnsiTheme="minorHAnsi" w:cstheme="minorHAnsi"/>
          <w:bCs/>
          <w:sz w:val="20"/>
          <w:szCs w:val="20"/>
        </w:rPr>
        <w:t>When policing within diverse communities there tends to be certain ethics, values and norms, as there are with the police force which is presented by officers.  When these ethics and values differ sometimes they can have serious impacts on the community and ho</w:t>
      </w:r>
      <w:r>
        <w:rPr>
          <w:rStyle w:val="xbumpedfont15"/>
          <w:rFonts w:asciiTheme="minorHAnsi" w:eastAsiaTheme="minorEastAsia" w:hAnsiTheme="minorHAnsi" w:cstheme="minorHAnsi"/>
          <w:bCs/>
          <w:sz w:val="20"/>
          <w:szCs w:val="20"/>
        </w:rPr>
        <w:t>w they engage with police (Innes, 2005</w:t>
      </w:r>
      <w:r w:rsidRPr="00985194">
        <w:rPr>
          <w:rStyle w:val="xbumpedfont15"/>
          <w:rFonts w:asciiTheme="minorHAnsi" w:eastAsiaTheme="minorEastAsia" w:hAnsiTheme="minorHAnsi" w:cstheme="minorHAnsi"/>
          <w:bCs/>
          <w:sz w:val="20"/>
          <w:szCs w:val="20"/>
        </w:rPr>
        <w:t>)</w:t>
      </w:r>
      <w:r>
        <w:rPr>
          <w:rStyle w:val="xbumpedfont15"/>
          <w:rFonts w:asciiTheme="minorHAnsi" w:eastAsiaTheme="minorEastAsia" w:hAnsiTheme="minorHAnsi" w:cstheme="minorHAnsi"/>
          <w:bCs/>
          <w:sz w:val="20"/>
          <w:szCs w:val="20"/>
        </w:rPr>
        <w:t xml:space="preserve">. </w:t>
      </w:r>
      <w:r w:rsidRPr="0083095A">
        <w:rPr>
          <w:rStyle w:val="xbumpedfont15"/>
          <w:rFonts w:asciiTheme="minorHAnsi" w:eastAsiaTheme="minorEastAsia" w:hAnsiTheme="minorHAnsi" w:cstheme="minorHAnsi"/>
          <w:bCs/>
          <w:sz w:val="20"/>
          <w:szCs w:val="20"/>
        </w:rPr>
        <w:t xml:space="preserve"> </w:t>
      </w:r>
      <w:r w:rsidRPr="00985194">
        <w:rPr>
          <w:rStyle w:val="xbumpedfont15"/>
          <w:rFonts w:asciiTheme="minorHAnsi" w:eastAsiaTheme="minorEastAsia" w:hAnsiTheme="minorHAnsi" w:cstheme="minorHAnsi"/>
          <w:bCs/>
          <w:sz w:val="20"/>
          <w:szCs w:val="20"/>
        </w:rPr>
        <w:t xml:space="preserve">An example of this is the masculine hegemonic police culture in Britain in previous years. Due to this approach and culture within the police it resulted in pre judgemental thinking and specific demographics and communities being discriminated </w:t>
      </w:r>
      <w:r>
        <w:rPr>
          <w:rStyle w:val="xbumpedfont15"/>
          <w:rFonts w:asciiTheme="minorHAnsi" w:eastAsiaTheme="minorEastAsia" w:hAnsiTheme="minorHAnsi" w:cstheme="minorHAnsi"/>
          <w:bCs/>
          <w:sz w:val="20"/>
          <w:szCs w:val="20"/>
        </w:rPr>
        <w:t xml:space="preserve">against by Police Officers. This resulted in </w:t>
      </w:r>
      <w:r w:rsidRPr="00985194">
        <w:rPr>
          <w:rStyle w:val="xbumpedfont15"/>
          <w:rFonts w:asciiTheme="minorHAnsi" w:eastAsiaTheme="minorEastAsia" w:hAnsiTheme="minorHAnsi" w:cstheme="minorHAnsi"/>
          <w:bCs/>
          <w:sz w:val="20"/>
          <w:szCs w:val="20"/>
        </w:rPr>
        <w:t>failing to support the wider community within British Society such as ethnic minorities and alternate sexuality communities such as the LGBTQ+ (</w:t>
      </w:r>
      <w:r>
        <w:rPr>
          <w:rStyle w:val="xbumpedfont15"/>
          <w:rFonts w:asciiTheme="minorHAnsi" w:eastAsiaTheme="minorEastAsia" w:hAnsiTheme="minorHAnsi" w:cstheme="minorHAnsi"/>
          <w:bCs/>
          <w:sz w:val="20"/>
          <w:szCs w:val="20"/>
        </w:rPr>
        <w:t>Clark, 2014</w:t>
      </w:r>
      <w:r w:rsidRPr="00985194">
        <w:rPr>
          <w:rStyle w:val="xbumpedfont15"/>
          <w:rFonts w:asciiTheme="minorHAnsi" w:eastAsiaTheme="minorEastAsia" w:hAnsiTheme="minorHAnsi" w:cstheme="minorHAnsi"/>
          <w:bCs/>
          <w:sz w:val="20"/>
          <w:szCs w:val="20"/>
        </w:rPr>
        <w:t xml:space="preserve">) </w:t>
      </w:r>
    </w:p>
    <w:p w:rsidR="00954C86" w:rsidRDefault="00954C86" w:rsidP="00AE3F9E">
      <w:pPr>
        <w:pStyle w:val="xs3"/>
        <w:spacing w:before="0" w:beforeAutospacing="0" w:after="0" w:afterAutospacing="0"/>
        <w:rPr>
          <w:rStyle w:val="xbumpedfont15"/>
          <w:rFonts w:asciiTheme="minorHAnsi" w:eastAsiaTheme="minorEastAsia" w:hAnsiTheme="minorHAnsi" w:cstheme="minorHAnsi"/>
          <w:bCs/>
          <w:sz w:val="20"/>
          <w:szCs w:val="20"/>
        </w:rPr>
      </w:pPr>
    </w:p>
    <w:p w:rsidR="00AE3F9E" w:rsidRPr="00985194" w:rsidRDefault="00AE3F9E" w:rsidP="00AE3F9E">
      <w:pPr>
        <w:pStyle w:val="xs3"/>
        <w:spacing w:before="0" w:beforeAutospacing="0" w:after="0" w:afterAutospacing="0"/>
        <w:rPr>
          <w:rStyle w:val="xbumpedfont15"/>
          <w:rFonts w:asciiTheme="minorHAnsi" w:eastAsiaTheme="minorEastAsia" w:hAnsiTheme="minorHAnsi" w:cstheme="minorHAnsi"/>
          <w:bCs/>
          <w:sz w:val="20"/>
          <w:szCs w:val="20"/>
        </w:rPr>
      </w:pPr>
      <w:r w:rsidRPr="00985194">
        <w:rPr>
          <w:rStyle w:val="xbumpedfont15"/>
          <w:rFonts w:asciiTheme="minorHAnsi" w:eastAsiaTheme="minorEastAsia" w:hAnsiTheme="minorHAnsi" w:cstheme="minorHAnsi"/>
          <w:bCs/>
          <w:sz w:val="20"/>
          <w:szCs w:val="20"/>
        </w:rPr>
        <w:t>When these ethics and values are in line with the ones that the police have, then this can positively help the police as the community will be more likely to be involved with the police which ultimately facilitates a more effective and e</w:t>
      </w:r>
      <w:r>
        <w:rPr>
          <w:rStyle w:val="xbumpedfont15"/>
          <w:rFonts w:asciiTheme="minorHAnsi" w:eastAsiaTheme="minorEastAsia" w:hAnsiTheme="minorHAnsi" w:cstheme="minorHAnsi"/>
          <w:bCs/>
          <w:sz w:val="20"/>
          <w:szCs w:val="20"/>
        </w:rPr>
        <w:t>fficient policing service. (Jackson, 2009</w:t>
      </w:r>
      <w:r w:rsidRPr="00985194">
        <w:rPr>
          <w:rStyle w:val="xbumpedfont15"/>
          <w:rFonts w:asciiTheme="minorHAnsi" w:eastAsiaTheme="minorEastAsia" w:hAnsiTheme="minorHAnsi" w:cstheme="minorHAnsi"/>
          <w:bCs/>
          <w:sz w:val="20"/>
          <w:szCs w:val="20"/>
        </w:rPr>
        <w:t xml:space="preserve">)  </w:t>
      </w:r>
    </w:p>
    <w:p w:rsidR="00954C86" w:rsidRDefault="00954C86" w:rsidP="00AE3F9E">
      <w:pPr>
        <w:pStyle w:val="xs3"/>
        <w:spacing w:before="0" w:beforeAutospacing="0" w:after="0" w:afterAutospacing="0"/>
        <w:jc w:val="both"/>
        <w:rPr>
          <w:rStyle w:val="xbumpedfont15"/>
          <w:rFonts w:asciiTheme="minorHAnsi" w:eastAsiaTheme="minorEastAsia" w:hAnsiTheme="minorHAnsi" w:cstheme="minorHAnsi"/>
          <w:bCs/>
          <w:sz w:val="20"/>
          <w:szCs w:val="20"/>
        </w:rPr>
      </w:pPr>
    </w:p>
    <w:p w:rsidR="00AE3F9E" w:rsidRDefault="00AE3F9E" w:rsidP="00AE3F9E">
      <w:pPr>
        <w:pStyle w:val="xs3"/>
        <w:spacing w:before="0" w:beforeAutospacing="0" w:after="0" w:afterAutospacing="0"/>
        <w:jc w:val="both"/>
        <w:rPr>
          <w:rStyle w:val="xbumpedfont15"/>
          <w:rFonts w:asciiTheme="minorHAnsi" w:eastAsiaTheme="minorEastAsia" w:hAnsiTheme="minorHAnsi" w:cstheme="minorHAnsi"/>
          <w:sz w:val="20"/>
          <w:szCs w:val="20"/>
        </w:rPr>
      </w:pPr>
      <w:r w:rsidRPr="00985194">
        <w:rPr>
          <w:rStyle w:val="xbumpedfont15"/>
          <w:rFonts w:asciiTheme="minorHAnsi" w:eastAsiaTheme="minorEastAsia" w:hAnsiTheme="minorHAnsi" w:cstheme="minorHAnsi"/>
          <w:sz w:val="20"/>
          <w:szCs w:val="20"/>
        </w:rPr>
        <w:t xml:space="preserve">Due to this type of unethical behaviours led to the police service to ignore those mentioned communities which had a knock on effect by the means of discouraging victims of certain communities to report </w:t>
      </w:r>
      <w:proofErr w:type="gramStart"/>
      <w:r>
        <w:rPr>
          <w:rStyle w:val="xbumpedfont15"/>
          <w:rFonts w:asciiTheme="minorHAnsi" w:eastAsiaTheme="minorEastAsia" w:hAnsiTheme="minorHAnsi" w:cstheme="minorHAnsi"/>
          <w:sz w:val="20"/>
          <w:szCs w:val="20"/>
        </w:rPr>
        <w:t>crime.</w:t>
      </w:r>
      <w:proofErr w:type="gramEnd"/>
      <w:r>
        <w:rPr>
          <w:rStyle w:val="xbumpedfont15"/>
          <w:rFonts w:asciiTheme="minorHAnsi" w:eastAsiaTheme="minorEastAsia" w:hAnsiTheme="minorHAnsi" w:cstheme="minorHAnsi"/>
          <w:sz w:val="20"/>
          <w:szCs w:val="20"/>
        </w:rPr>
        <w:t xml:space="preserve"> </w:t>
      </w:r>
      <w:r w:rsidRPr="00985194">
        <w:rPr>
          <w:rStyle w:val="xbumpedfont15"/>
          <w:rFonts w:asciiTheme="minorHAnsi" w:eastAsiaTheme="minorEastAsia" w:hAnsiTheme="minorHAnsi" w:cstheme="minorHAnsi"/>
          <w:sz w:val="20"/>
          <w:szCs w:val="20"/>
        </w:rPr>
        <w:t xml:space="preserve"> It also gave these communities a sense of degrading as they felt that crimes towards their community were dow</w:t>
      </w:r>
      <w:r>
        <w:rPr>
          <w:rStyle w:val="xbumpedfont15"/>
          <w:rFonts w:asciiTheme="minorHAnsi" w:eastAsiaTheme="minorEastAsia" w:hAnsiTheme="minorHAnsi" w:cstheme="minorHAnsi"/>
          <w:sz w:val="20"/>
          <w:szCs w:val="20"/>
        </w:rPr>
        <w:t>nplayed such as hate crime (</w:t>
      </w:r>
      <w:r w:rsidR="00954C86">
        <w:rPr>
          <w:rStyle w:val="xbumpedfont15"/>
          <w:rFonts w:asciiTheme="minorHAnsi" w:eastAsiaTheme="minorEastAsia" w:hAnsiTheme="minorHAnsi" w:cstheme="minorHAnsi"/>
          <w:sz w:val="20"/>
          <w:szCs w:val="20"/>
        </w:rPr>
        <w:t>Elizabeth</w:t>
      </w:r>
      <w:r>
        <w:rPr>
          <w:rStyle w:val="xbumpedfont15"/>
          <w:rFonts w:asciiTheme="minorHAnsi" w:eastAsiaTheme="minorEastAsia" w:hAnsiTheme="minorHAnsi" w:cstheme="minorHAnsi"/>
          <w:sz w:val="20"/>
          <w:szCs w:val="20"/>
        </w:rPr>
        <w:t>, 2007).</w:t>
      </w:r>
      <w:r w:rsidRPr="00985194">
        <w:rPr>
          <w:rStyle w:val="xbumpedfont15"/>
          <w:rFonts w:asciiTheme="minorHAnsi" w:eastAsiaTheme="minorEastAsia" w:hAnsiTheme="minorHAnsi" w:cstheme="minorHAnsi"/>
          <w:sz w:val="20"/>
          <w:szCs w:val="20"/>
        </w:rPr>
        <w:t xml:space="preserve"> This makes it reasonable to believe that </w:t>
      </w:r>
      <w:r>
        <w:rPr>
          <w:rStyle w:val="xbumpedfont15"/>
          <w:rFonts w:asciiTheme="minorHAnsi" w:eastAsiaTheme="minorEastAsia" w:hAnsiTheme="minorHAnsi" w:cstheme="minorHAnsi"/>
          <w:sz w:val="20"/>
          <w:szCs w:val="20"/>
        </w:rPr>
        <w:t>certain</w:t>
      </w:r>
      <w:r w:rsidRPr="00985194">
        <w:rPr>
          <w:rStyle w:val="xbumpedfont15"/>
          <w:rFonts w:asciiTheme="minorHAnsi" w:eastAsiaTheme="minorEastAsia" w:hAnsiTheme="minorHAnsi" w:cstheme="minorHAnsi"/>
          <w:sz w:val="20"/>
          <w:szCs w:val="20"/>
        </w:rPr>
        <w:t xml:space="preserve"> of members of the public did not receive a fair treatment by police which is now governed by the code of ethics and overseen by independent bodies such as the IOPC and HMICFRS. </w:t>
      </w:r>
    </w:p>
    <w:p w:rsidR="00AE3F9E" w:rsidRPr="00985194" w:rsidRDefault="00AE3F9E" w:rsidP="00AE3F9E">
      <w:pPr>
        <w:pStyle w:val="xs3"/>
        <w:spacing w:before="0" w:beforeAutospacing="0" w:after="0" w:afterAutospacing="0"/>
        <w:jc w:val="both"/>
        <w:rPr>
          <w:rStyle w:val="xbumpedfont15"/>
          <w:rFonts w:asciiTheme="minorHAnsi" w:eastAsiaTheme="minorEastAsia" w:hAnsiTheme="minorHAnsi" w:cstheme="minorHAnsi"/>
          <w:sz w:val="20"/>
          <w:szCs w:val="20"/>
        </w:rPr>
      </w:pPr>
    </w:p>
    <w:p w:rsidR="00AE3F9E" w:rsidRDefault="00AE3F9E" w:rsidP="00AE3F9E">
      <w:pPr>
        <w:pStyle w:val="xs3"/>
        <w:spacing w:before="0" w:beforeAutospacing="0" w:after="0" w:afterAutospacing="0"/>
        <w:jc w:val="both"/>
        <w:rPr>
          <w:rStyle w:val="xbumpedfont15"/>
          <w:rFonts w:asciiTheme="minorHAnsi" w:eastAsiaTheme="minorEastAsia" w:hAnsiTheme="minorHAnsi" w:cstheme="minorHAnsi"/>
          <w:sz w:val="20"/>
          <w:szCs w:val="20"/>
        </w:rPr>
      </w:pPr>
      <w:r w:rsidRPr="00985194">
        <w:rPr>
          <w:rStyle w:val="xbumpedfont15"/>
          <w:rFonts w:asciiTheme="minorHAnsi" w:eastAsiaTheme="minorEastAsia" w:hAnsiTheme="minorHAnsi" w:cstheme="minorHAnsi"/>
          <w:sz w:val="20"/>
          <w:szCs w:val="20"/>
        </w:rPr>
        <w:t>Many years later on down the line this has resulted in a resentment from these communities towards the police service which ultimately has caused tensions between both parties. This therefore makes the relationship very weak and reduces the likelihood of community members working with police minimal. Furthermore it causes a reduction of crimes being reported with the view that they will not be supported as they may h</w:t>
      </w:r>
      <w:r>
        <w:rPr>
          <w:rStyle w:val="xbumpedfont15"/>
          <w:rFonts w:asciiTheme="minorHAnsi" w:eastAsiaTheme="minorEastAsia" w:hAnsiTheme="minorHAnsi" w:cstheme="minorHAnsi"/>
          <w:sz w:val="20"/>
          <w:szCs w:val="20"/>
        </w:rPr>
        <w:t>ave witnessed in the past. (Miller et al, 2020</w:t>
      </w:r>
      <w:r w:rsidRPr="00985194">
        <w:rPr>
          <w:rStyle w:val="xbumpedfont15"/>
          <w:rFonts w:asciiTheme="minorHAnsi" w:eastAsiaTheme="minorEastAsia" w:hAnsiTheme="minorHAnsi" w:cstheme="minorHAnsi"/>
          <w:sz w:val="20"/>
          <w:szCs w:val="20"/>
        </w:rPr>
        <w:t xml:space="preserve">) </w:t>
      </w:r>
    </w:p>
    <w:p w:rsidR="00AE3F9E" w:rsidRPr="00985194" w:rsidRDefault="00AE3F9E" w:rsidP="00AE3F9E">
      <w:pPr>
        <w:pStyle w:val="xs3"/>
        <w:spacing w:before="0" w:beforeAutospacing="0" w:after="0" w:afterAutospacing="0"/>
        <w:jc w:val="both"/>
        <w:rPr>
          <w:rStyle w:val="xbumpedfont15"/>
          <w:rFonts w:asciiTheme="minorHAnsi" w:eastAsiaTheme="minorEastAsia" w:hAnsiTheme="minorHAnsi" w:cstheme="minorHAnsi"/>
          <w:sz w:val="20"/>
          <w:szCs w:val="20"/>
        </w:rPr>
      </w:pPr>
    </w:p>
    <w:p w:rsidR="00AE3F9E" w:rsidRPr="00985194" w:rsidRDefault="00AE3F9E" w:rsidP="00AE3F9E">
      <w:pPr>
        <w:pStyle w:val="xs3"/>
        <w:spacing w:before="0" w:beforeAutospacing="0" w:after="0" w:afterAutospacing="0"/>
        <w:jc w:val="both"/>
        <w:rPr>
          <w:rStyle w:val="xbumpedfont15"/>
          <w:rFonts w:asciiTheme="minorHAnsi" w:eastAsiaTheme="minorEastAsia" w:hAnsiTheme="minorHAnsi" w:cstheme="minorHAnsi"/>
          <w:sz w:val="20"/>
          <w:szCs w:val="20"/>
        </w:rPr>
      </w:pPr>
      <w:r w:rsidRPr="00985194">
        <w:rPr>
          <w:rStyle w:val="xbumpedfont15"/>
          <w:rFonts w:asciiTheme="minorHAnsi" w:eastAsiaTheme="minorEastAsia" w:hAnsiTheme="minorHAnsi" w:cstheme="minorHAnsi"/>
          <w:sz w:val="20"/>
          <w:szCs w:val="20"/>
        </w:rPr>
        <w:t>As a sign of organisational change and adaptation, it is important for Police Officers to withhold the ethical behaviours within the Code of Ethics when conducting duties within any capacity but particularly when engaging with certain demographic communities. This would mean that officers should be aware the potential various in ethics and norms whilst acting in a respectful and appropriate way to reinforce the rights of every citizen. (College of Policing, 2014).</w:t>
      </w:r>
    </w:p>
    <w:p w:rsidR="00AE3F9E" w:rsidRPr="00985194" w:rsidRDefault="00AE3F9E" w:rsidP="00AE3F9E">
      <w:pPr>
        <w:pStyle w:val="xs3"/>
        <w:spacing w:before="0" w:beforeAutospacing="0" w:after="0" w:afterAutospacing="0"/>
        <w:jc w:val="both"/>
        <w:rPr>
          <w:rFonts w:asciiTheme="minorHAnsi" w:eastAsiaTheme="minorHAnsi" w:hAnsiTheme="minorHAnsi" w:cstheme="minorHAnsi"/>
          <w:sz w:val="20"/>
          <w:szCs w:val="20"/>
          <w:lang w:eastAsia="en-US"/>
        </w:rPr>
      </w:pPr>
    </w:p>
    <w:p w:rsidR="00AE3F9E" w:rsidRPr="00954C86" w:rsidRDefault="00AE3F9E" w:rsidP="00AE3F9E">
      <w:pPr>
        <w:pStyle w:val="xs3"/>
        <w:spacing w:before="0" w:beforeAutospacing="0" w:after="0" w:afterAutospacing="0"/>
        <w:jc w:val="both"/>
        <w:rPr>
          <w:rStyle w:val="xbumpedfont15"/>
          <w:rFonts w:asciiTheme="minorHAnsi" w:eastAsiaTheme="minorEastAsia" w:hAnsiTheme="minorHAnsi" w:cstheme="minorHAnsi"/>
          <w:b/>
          <w:bCs/>
          <w:sz w:val="20"/>
          <w:szCs w:val="20"/>
          <w:u w:val="single"/>
        </w:rPr>
      </w:pPr>
      <w:r w:rsidRPr="00954C86">
        <w:rPr>
          <w:rStyle w:val="xbumpedfont15"/>
          <w:rFonts w:asciiTheme="minorHAnsi" w:eastAsiaTheme="minorEastAsia" w:hAnsiTheme="minorHAnsi" w:cstheme="minorHAnsi"/>
          <w:b/>
          <w:bCs/>
          <w:sz w:val="20"/>
          <w:szCs w:val="20"/>
          <w:u w:val="single"/>
        </w:rPr>
        <w:t>The import</w:t>
      </w:r>
      <w:r w:rsidR="00954C86" w:rsidRPr="00954C86">
        <w:rPr>
          <w:rStyle w:val="xbumpedfont15"/>
          <w:rFonts w:asciiTheme="minorHAnsi" w:eastAsiaTheme="minorEastAsia" w:hAnsiTheme="minorHAnsi" w:cstheme="minorHAnsi"/>
          <w:b/>
          <w:bCs/>
          <w:sz w:val="20"/>
          <w:szCs w:val="20"/>
          <w:u w:val="single"/>
        </w:rPr>
        <w:t>ance of effective communication</w:t>
      </w:r>
    </w:p>
    <w:p w:rsidR="00AE3F9E" w:rsidRDefault="00AE3F9E" w:rsidP="00AE3F9E">
      <w:pPr>
        <w:pStyle w:val="xs3"/>
        <w:spacing w:before="0" w:beforeAutospacing="0" w:after="0" w:afterAutospacing="0"/>
        <w:jc w:val="both"/>
        <w:rPr>
          <w:rStyle w:val="xbumpedfont15"/>
          <w:rFonts w:asciiTheme="minorHAnsi" w:eastAsiaTheme="minorEastAsia" w:hAnsiTheme="minorHAnsi" w:cstheme="minorHAnsi"/>
          <w:bCs/>
          <w:sz w:val="20"/>
          <w:szCs w:val="20"/>
        </w:rPr>
      </w:pPr>
      <w:r w:rsidRPr="00985194">
        <w:rPr>
          <w:rStyle w:val="xbumpedfont15"/>
          <w:rFonts w:asciiTheme="minorHAnsi" w:eastAsiaTheme="minorEastAsia" w:hAnsiTheme="minorHAnsi" w:cstheme="minorHAnsi"/>
          <w:bCs/>
          <w:sz w:val="20"/>
          <w:szCs w:val="20"/>
        </w:rPr>
        <w:t>More than ever effective communication between the police and communities they serve is vital. The use of effective communication can be seen as simple tasks such as providing the community with information and details of the work they are completing, strategies, progress and other information that the community may have an interest in or find useful. (</w:t>
      </w:r>
      <w:r>
        <w:rPr>
          <w:rStyle w:val="xbumpedfont15"/>
          <w:rFonts w:asciiTheme="minorHAnsi" w:eastAsiaTheme="minorEastAsia" w:hAnsiTheme="minorHAnsi" w:cstheme="minorHAnsi"/>
          <w:bCs/>
          <w:sz w:val="20"/>
          <w:szCs w:val="20"/>
        </w:rPr>
        <w:t>Hobson et al, 2018</w:t>
      </w:r>
      <w:r w:rsidRPr="00985194">
        <w:rPr>
          <w:rStyle w:val="xbumpedfont15"/>
          <w:rFonts w:asciiTheme="minorHAnsi" w:eastAsiaTheme="minorEastAsia" w:hAnsiTheme="minorHAnsi" w:cstheme="minorHAnsi"/>
          <w:bCs/>
          <w:sz w:val="20"/>
          <w:szCs w:val="20"/>
        </w:rPr>
        <w:t>).</w:t>
      </w:r>
    </w:p>
    <w:p w:rsidR="00AE3F9E" w:rsidRPr="00985194" w:rsidRDefault="00AE3F9E" w:rsidP="00AE3F9E">
      <w:pPr>
        <w:pStyle w:val="xs3"/>
        <w:spacing w:before="0" w:beforeAutospacing="0" w:after="0" w:afterAutospacing="0"/>
        <w:jc w:val="both"/>
        <w:rPr>
          <w:rStyle w:val="xbumpedfont15"/>
          <w:rFonts w:asciiTheme="minorHAnsi" w:eastAsiaTheme="minorEastAsia" w:hAnsiTheme="minorHAnsi" w:cstheme="minorHAnsi"/>
          <w:bCs/>
          <w:sz w:val="20"/>
          <w:szCs w:val="20"/>
        </w:rPr>
      </w:pPr>
    </w:p>
    <w:p w:rsidR="00AE3F9E" w:rsidRDefault="00AE3F9E" w:rsidP="00AE3F9E">
      <w:pPr>
        <w:pStyle w:val="xs3"/>
        <w:spacing w:before="0" w:beforeAutospacing="0" w:after="0" w:afterAutospacing="0"/>
        <w:jc w:val="both"/>
        <w:rPr>
          <w:rStyle w:val="xbumpedfont15"/>
          <w:rFonts w:asciiTheme="minorHAnsi" w:eastAsiaTheme="minorEastAsia" w:hAnsiTheme="minorHAnsi" w:cstheme="minorHAnsi"/>
          <w:sz w:val="20"/>
          <w:szCs w:val="20"/>
        </w:rPr>
      </w:pPr>
      <w:r>
        <w:rPr>
          <w:rStyle w:val="xbumpedfont15"/>
          <w:rFonts w:asciiTheme="minorHAnsi" w:eastAsiaTheme="minorEastAsia" w:hAnsiTheme="minorHAnsi" w:cstheme="minorHAnsi"/>
          <w:bCs/>
          <w:sz w:val="20"/>
          <w:szCs w:val="20"/>
        </w:rPr>
        <w:t>(</w:t>
      </w:r>
      <w:proofErr w:type="spellStart"/>
      <w:r>
        <w:rPr>
          <w:rStyle w:val="xbumpedfont15"/>
          <w:rFonts w:asciiTheme="minorHAnsi" w:eastAsiaTheme="minorEastAsia" w:hAnsiTheme="minorHAnsi" w:cstheme="minorHAnsi"/>
          <w:bCs/>
          <w:sz w:val="20"/>
          <w:szCs w:val="20"/>
        </w:rPr>
        <w:t>Frevel</w:t>
      </w:r>
      <w:proofErr w:type="spellEnd"/>
      <w:r>
        <w:rPr>
          <w:rStyle w:val="xbumpedfont15"/>
          <w:rFonts w:asciiTheme="minorHAnsi" w:eastAsiaTheme="minorEastAsia" w:hAnsiTheme="minorHAnsi" w:cstheme="minorHAnsi"/>
          <w:bCs/>
          <w:sz w:val="20"/>
          <w:szCs w:val="20"/>
        </w:rPr>
        <w:t>, 2014</w:t>
      </w:r>
      <w:r w:rsidRPr="00985194">
        <w:rPr>
          <w:rStyle w:val="xbumpedfont15"/>
          <w:rFonts w:asciiTheme="minorHAnsi" w:eastAsiaTheme="minorEastAsia" w:hAnsiTheme="minorHAnsi" w:cstheme="minorHAnsi"/>
          <w:bCs/>
          <w:sz w:val="20"/>
          <w:szCs w:val="20"/>
        </w:rPr>
        <w:t xml:space="preserve">) says that this shows the community that the police force is transparent and which would assit in presenting a trustworthy and ethical organisation. </w:t>
      </w:r>
      <w:r w:rsidRPr="00985194">
        <w:rPr>
          <w:rStyle w:val="xbumpedfont15"/>
          <w:rFonts w:asciiTheme="minorHAnsi" w:eastAsiaTheme="minorEastAsia" w:hAnsiTheme="minorHAnsi" w:cstheme="minorHAnsi"/>
          <w:sz w:val="20"/>
          <w:szCs w:val="20"/>
        </w:rPr>
        <w:t xml:space="preserve">(Home Office, 2004). In addition to this effective communication between the officers and communities that they serve in terms of a community as a whole and individual with in it is seen to be the foundation to developing a collaboration of partnership working which is seen to be an important part of modern day policing. This can assit by helping to prevent crime and detect crime by the means of acquiring intelligence. </w:t>
      </w:r>
    </w:p>
    <w:p w:rsidR="00AE3F9E" w:rsidRPr="00985194" w:rsidRDefault="00AE3F9E" w:rsidP="00AE3F9E">
      <w:pPr>
        <w:pStyle w:val="xs3"/>
        <w:spacing w:before="0" w:beforeAutospacing="0" w:after="0" w:afterAutospacing="0"/>
        <w:jc w:val="both"/>
        <w:rPr>
          <w:rStyle w:val="xbumpedfont15"/>
          <w:rFonts w:asciiTheme="minorHAnsi" w:eastAsiaTheme="minorEastAsia" w:hAnsiTheme="minorHAnsi" w:cstheme="minorHAnsi"/>
          <w:sz w:val="20"/>
          <w:szCs w:val="20"/>
        </w:rPr>
      </w:pPr>
    </w:p>
    <w:p w:rsidR="00AE3F9E" w:rsidRDefault="00AE3F9E" w:rsidP="00AE3F9E">
      <w:pPr>
        <w:pStyle w:val="xs3"/>
        <w:spacing w:before="0" w:beforeAutospacing="0" w:after="0" w:afterAutospacing="0"/>
        <w:jc w:val="both"/>
        <w:rPr>
          <w:rStyle w:val="xbumpedfont15"/>
          <w:rFonts w:asciiTheme="minorHAnsi" w:eastAsiaTheme="minorEastAsia" w:hAnsiTheme="minorHAnsi" w:cstheme="minorHAnsi"/>
          <w:sz w:val="20"/>
          <w:szCs w:val="20"/>
        </w:rPr>
      </w:pPr>
      <w:r w:rsidRPr="00985194">
        <w:rPr>
          <w:rStyle w:val="xbumpedfont15"/>
          <w:rFonts w:asciiTheme="minorHAnsi" w:eastAsiaTheme="minorEastAsia" w:hAnsiTheme="minorHAnsi" w:cstheme="minorHAnsi"/>
          <w:sz w:val="20"/>
          <w:szCs w:val="20"/>
        </w:rPr>
        <w:t>As discussed it is essential for professional and ethical policing that supports the community regardless of differences in values and norms, making the police service very approachable by the public. This would allow the police to become aware of crimes and deal with them as necessary and empower the rights of the community whilst se</w:t>
      </w:r>
      <w:r>
        <w:rPr>
          <w:rStyle w:val="xbumpedfont15"/>
          <w:rFonts w:asciiTheme="minorHAnsi" w:eastAsiaTheme="minorEastAsia" w:hAnsiTheme="minorHAnsi" w:cstheme="minorHAnsi"/>
          <w:sz w:val="20"/>
          <w:szCs w:val="20"/>
        </w:rPr>
        <w:t>rving and protecting them. (Boulton, 2017</w:t>
      </w:r>
      <w:r w:rsidRPr="00985194">
        <w:rPr>
          <w:rStyle w:val="xbumpedfont15"/>
          <w:rFonts w:asciiTheme="minorHAnsi" w:eastAsiaTheme="minorEastAsia" w:hAnsiTheme="minorHAnsi" w:cstheme="minorHAnsi"/>
          <w:sz w:val="20"/>
          <w:szCs w:val="20"/>
        </w:rPr>
        <w:t xml:space="preserve">) </w:t>
      </w:r>
    </w:p>
    <w:p w:rsidR="00AE3F9E" w:rsidRPr="00985194" w:rsidRDefault="00AE3F9E" w:rsidP="00AE3F9E">
      <w:pPr>
        <w:pStyle w:val="xs3"/>
        <w:spacing w:before="0" w:beforeAutospacing="0" w:after="0" w:afterAutospacing="0"/>
        <w:jc w:val="both"/>
        <w:rPr>
          <w:rStyle w:val="xbumpedfont15"/>
          <w:rFonts w:asciiTheme="minorHAnsi" w:eastAsiaTheme="minorEastAsia" w:hAnsiTheme="minorHAnsi" w:cstheme="minorHAnsi"/>
          <w:b/>
          <w:bCs/>
          <w:sz w:val="20"/>
          <w:szCs w:val="20"/>
        </w:rPr>
      </w:pPr>
    </w:p>
    <w:p w:rsidR="00AE3F9E" w:rsidRPr="00985194" w:rsidRDefault="00AE3F9E" w:rsidP="00AE3F9E">
      <w:pPr>
        <w:pStyle w:val="xs3"/>
        <w:spacing w:before="0" w:beforeAutospacing="0" w:after="0" w:afterAutospacing="0"/>
        <w:jc w:val="both"/>
        <w:rPr>
          <w:rStyle w:val="xbumpedfont15"/>
          <w:rFonts w:asciiTheme="minorHAnsi" w:eastAsiaTheme="minorEastAsia" w:hAnsiTheme="minorHAnsi" w:cstheme="minorHAnsi"/>
          <w:sz w:val="20"/>
          <w:szCs w:val="20"/>
        </w:rPr>
      </w:pPr>
      <w:r w:rsidRPr="00985194">
        <w:rPr>
          <w:rFonts w:asciiTheme="minorHAnsi" w:hAnsiTheme="minorHAnsi" w:cstheme="minorHAnsi"/>
          <w:sz w:val="20"/>
          <w:szCs w:val="20"/>
        </w:rPr>
        <w:t xml:space="preserve">It is arguable that effective communication is not only for police to present that they endorse ethical policing but reinforces the Code of Ethics by the means of </w:t>
      </w:r>
      <w:r w:rsidRPr="00985194">
        <w:rPr>
          <w:rStyle w:val="xbumpedfont15"/>
          <w:rFonts w:asciiTheme="minorHAnsi" w:eastAsiaTheme="minorEastAsia" w:hAnsiTheme="minorHAnsi" w:cstheme="minorHAnsi"/>
          <w:sz w:val="20"/>
          <w:szCs w:val="20"/>
        </w:rPr>
        <w:t xml:space="preserve">openness and honesty that respects the public and their rights (College of Policing, 2014). </w:t>
      </w:r>
    </w:p>
    <w:p w:rsidR="00AE3F9E" w:rsidRPr="00985194" w:rsidRDefault="00AE3F9E" w:rsidP="00AE3F9E">
      <w:pPr>
        <w:pStyle w:val="xs3"/>
        <w:spacing w:before="0" w:beforeAutospacing="0" w:after="0" w:afterAutospacing="0"/>
        <w:jc w:val="both"/>
        <w:rPr>
          <w:rStyle w:val="xbumpedfont15"/>
          <w:rFonts w:asciiTheme="minorHAnsi" w:eastAsiaTheme="minorEastAsia" w:hAnsiTheme="minorHAnsi" w:cstheme="minorHAnsi"/>
          <w:sz w:val="20"/>
          <w:szCs w:val="20"/>
        </w:rPr>
      </w:pPr>
    </w:p>
    <w:p w:rsidR="00AE3F9E" w:rsidRPr="00985194" w:rsidRDefault="00AE3F9E" w:rsidP="00AE3F9E">
      <w:pPr>
        <w:pStyle w:val="xs3"/>
        <w:spacing w:before="0" w:beforeAutospacing="0" w:after="0" w:afterAutospacing="0"/>
        <w:jc w:val="both"/>
        <w:rPr>
          <w:rStyle w:val="xbumpedfont15"/>
          <w:rFonts w:asciiTheme="minorHAnsi" w:eastAsiaTheme="minorEastAsia" w:hAnsiTheme="minorHAnsi" w:cstheme="minorHAnsi"/>
          <w:sz w:val="20"/>
          <w:szCs w:val="20"/>
        </w:rPr>
      </w:pPr>
      <w:r w:rsidRPr="00985194">
        <w:rPr>
          <w:rFonts w:asciiTheme="minorHAnsi" w:hAnsiTheme="minorHAnsi" w:cstheme="minorHAnsi"/>
          <w:sz w:val="20"/>
          <w:szCs w:val="20"/>
        </w:rPr>
        <w:t xml:space="preserve">In summary this assignment has evaluated the </w:t>
      </w:r>
      <w:r w:rsidRPr="00985194">
        <w:rPr>
          <w:rStyle w:val="xbumpedfont15"/>
          <w:rFonts w:asciiTheme="minorHAnsi" w:eastAsiaTheme="minorEastAsia" w:hAnsiTheme="minorHAnsi" w:cstheme="minorHAnsi"/>
          <w:sz w:val="20"/>
          <w:szCs w:val="20"/>
        </w:rPr>
        <w:t>impact upon policing of differing values, ethics and norms within diverse communities, and discussed the importance of effective communication when working within these communities. </w:t>
      </w:r>
    </w:p>
    <w:p w:rsidR="00AE3F9E" w:rsidRPr="00985194" w:rsidRDefault="00AE3F9E" w:rsidP="00AE3F9E">
      <w:pPr>
        <w:pStyle w:val="xs3"/>
        <w:spacing w:before="0" w:beforeAutospacing="0" w:after="0" w:afterAutospacing="0"/>
        <w:jc w:val="both"/>
        <w:rPr>
          <w:rStyle w:val="xbumpedfont15"/>
          <w:rFonts w:asciiTheme="minorHAnsi" w:eastAsiaTheme="minorEastAsia" w:hAnsiTheme="minorHAnsi" w:cstheme="minorHAnsi"/>
          <w:sz w:val="20"/>
          <w:szCs w:val="20"/>
        </w:rPr>
      </w:pPr>
    </w:p>
    <w:p w:rsidR="00AE3F9E" w:rsidRPr="00985194" w:rsidRDefault="00AE3F9E" w:rsidP="00AE3F9E">
      <w:pPr>
        <w:pStyle w:val="xs3"/>
        <w:spacing w:before="0" w:beforeAutospacing="0" w:after="0" w:afterAutospacing="0"/>
        <w:jc w:val="both"/>
        <w:rPr>
          <w:rStyle w:val="xbumpedfont15"/>
          <w:rFonts w:asciiTheme="minorHAnsi" w:eastAsiaTheme="minorEastAsia" w:hAnsiTheme="minorHAnsi" w:cstheme="minorHAnsi"/>
          <w:sz w:val="20"/>
          <w:szCs w:val="20"/>
        </w:rPr>
      </w:pPr>
      <w:r w:rsidRPr="00985194">
        <w:rPr>
          <w:rStyle w:val="xbumpedfont15"/>
          <w:rFonts w:asciiTheme="minorHAnsi" w:eastAsiaTheme="minorEastAsia" w:hAnsiTheme="minorHAnsi" w:cstheme="minorHAnsi"/>
          <w:sz w:val="20"/>
          <w:szCs w:val="20"/>
        </w:rPr>
        <w:t xml:space="preserve">In regards to this evaluation an argumenta can be presented that differing values and ethics across British society can positively or negatively affect policing, increasing the efficiency and effectiveness of policing when these are in line with those of the community. </w:t>
      </w:r>
    </w:p>
    <w:p w:rsidR="00AE3F9E" w:rsidRPr="00985194" w:rsidRDefault="00AE3F9E" w:rsidP="00AE3F9E">
      <w:pPr>
        <w:pStyle w:val="xs3"/>
        <w:spacing w:before="0" w:beforeAutospacing="0" w:after="0" w:afterAutospacing="0"/>
        <w:jc w:val="both"/>
        <w:rPr>
          <w:rStyle w:val="xbumpedfont15"/>
          <w:rFonts w:asciiTheme="minorHAnsi" w:eastAsiaTheme="minorEastAsia" w:hAnsiTheme="minorHAnsi" w:cstheme="minorHAnsi"/>
          <w:sz w:val="20"/>
          <w:szCs w:val="20"/>
        </w:rPr>
      </w:pPr>
    </w:p>
    <w:p w:rsidR="00AE3F9E" w:rsidRPr="00985194" w:rsidRDefault="00AE3F9E" w:rsidP="00AE3F9E">
      <w:pPr>
        <w:pStyle w:val="xs3"/>
        <w:spacing w:before="0" w:beforeAutospacing="0" w:after="0" w:afterAutospacing="0"/>
        <w:jc w:val="both"/>
        <w:rPr>
          <w:rStyle w:val="xbumpedfont15"/>
          <w:rFonts w:asciiTheme="minorHAnsi" w:eastAsiaTheme="minorEastAsia" w:hAnsiTheme="minorHAnsi" w:cstheme="minorHAnsi"/>
          <w:sz w:val="20"/>
          <w:szCs w:val="20"/>
        </w:rPr>
      </w:pPr>
      <w:r w:rsidRPr="00985194">
        <w:rPr>
          <w:rStyle w:val="xbumpedfont15"/>
          <w:rFonts w:asciiTheme="minorHAnsi" w:eastAsiaTheme="minorEastAsia" w:hAnsiTheme="minorHAnsi" w:cstheme="minorHAnsi"/>
          <w:sz w:val="20"/>
          <w:szCs w:val="20"/>
        </w:rPr>
        <w:t>Due to this, effective communication between the police and the is important and valuable by which to support ethical, professional policing that also promotes and maintains public support and community partnership working. </w:t>
      </w:r>
    </w:p>
    <w:p w:rsidR="00AE3F9E" w:rsidRPr="00985194" w:rsidRDefault="00AE3F9E" w:rsidP="00AE3F9E">
      <w:pPr>
        <w:pStyle w:val="xs3"/>
        <w:spacing w:before="0" w:beforeAutospacing="0" w:after="0" w:afterAutospacing="0"/>
        <w:jc w:val="both"/>
        <w:rPr>
          <w:rStyle w:val="xbumpedfont15"/>
          <w:rFonts w:asciiTheme="minorHAnsi" w:eastAsiaTheme="minorEastAsia" w:hAnsiTheme="minorHAnsi" w:cstheme="minorHAnsi"/>
          <w:sz w:val="20"/>
          <w:szCs w:val="20"/>
        </w:rPr>
      </w:pPr>
    </w:p>
    <w:p w:rsidR="00AE3F9E" w:rsidRPr="00985194" w:rsidRDefault="00AE3F9E" w:rsidP="00AE3F9E">
      <w:pPr>
        <w:pStyle w:val="xs3"/>
        <w:spacing w:before="0" w:beforeAutospacing="0" w:after="0" w:afterAutospacing="0"/>
        <w:jc w:val="both"/>
        <w:rPr>
          <w:rFonts w:asciiTheme="minorHAnsi" w:hAnsiTheme="minorHAnsi" w:cstheme="minorHAnsi"/>
          <w:sz w:val="20"/>
          <w:szCs w:val="20"/>
        </w:rPr>
      </w:pPr>
      <w:r w:rsidRPr="00985194">
        <w:rPr>
          <w:rStyle w:val="xbumpedfont15"/>
          <w:rFonts w:asciiTheme="minorHAnsi" w:eastAsiaTheme="minorEastAsia" w:hAnsiTheme="minorHAnsi" w:cstheme="minorHAnsi"/>
          <w:sz w:val="20"/>
          <w:szCs w:val="20"/>
        </w:rPr>
        <w:t xml:space="preserve">Therefore, the closing argument of this essay is that effective communication is a vital tool the police can use to avoid issues and poor practice when working within diverse communities. </w:t>
      </w:r>
    </w:p>
    <w:p w:rsidR="00AE3F9E" w:rsidRPr="00954C86" w:rsidRDefault="00AE3F9E" w:rsidP="00AE3F9E">
      <w:pPr>
        <w:pStyle w:val="xs3"/>
        <w:spacing w:before="0" w:beforeAutospacing="0" w:after="0" w:afterAutospacing="0" w:line="480" w:lineRule="auto"/>
        <w:jc w:val="both"/>
        <w:rPr>
          <w:rFonts w:asciiTheme="minorHAnsi" w:hAnsiTheme="minorHAnsi" w:cstheme="minorHAnsi"/>
          <w:b/>
          <w:sz w:val="27"/>
          <w:szCs w:val="27"/>
          <w:u w:val="single"/>
        </w:rPr>
      </w:pPr>
    </w:p>
    <w:p w:rsidR="00954C86" w:rsidRDefault="00954C86" w:rsidP="00954C86">
      <w:pPr>
        <w:pStyle w:val="xs3"/>
        <w:spacing w:before="0" w:beforeAutospacing="0" w:after="0" w:afterAutospacing="0"/>
        <w:jc w:val="both"/>
        <w:rPr>
          <w:rFonts w:asciiTheme="minorHAnsi" w:hAnsiTheme="minorHAnsi" w:cstheme="minorHAnsi"/>
          <w:b/>
          <w:sz w:val="20"/>
          <w:szCs w:val="20"/>
          <w:u w:val="single"/>
        </w:rPr>
      </w:pPr>
      <w:r w:rsidRPr="00954C86">
        <w:rPr>
          <w:rFonts w:asciiTheme="minorHAnsi" w:hAnsiTheme="minorHAnsi" w:cstheme="minorHAnsi"/>
          <w:b/>
          <w:sz w:val="20"/>
          <w:szCs w:val="20"/>
          <w:u w:val="single"/>
        </w:rPr>
        <w:t>References</w:t>
      </w:r>
    </w:p>
    <w:p w:rsidR="00954C86" w:rsidRDefault="00954C86" w:rsidP="00954C86">
      <w:pPr>
        <w:pStyle w:val="xs3"/>
        <w:spacing w:before="0" w:beforeAutospacing="0" w:after="0" w:afterAutospacing="0"/>
        <w:jc w:val="both"/>
        <w:rPr>
          <w:rFonts w:asciiTheme="minorHAnsi" w:hAnsiTheme="minorHAnsi" w:cstheme="minorHAnsi"/>
          <w:b/>
          <w:sz w:val="20"/>
          <w:szCs w:val="20"/>
          <w:u w:val="single"/>
        </w:rPr>
      </w:pPr>
    </w:p>
    <w:p w:rsidR="00AE3F9E" w:rsidRPr="00954C86" w:rsidRDefault="00AE3F9E" w:rsidP="00954C86">
      <w:pPr>
        <w:pStyle w:val="xs3"/>
        <w:spacing w:before="0" w:beforeAutospacing="0" w:after="0" w:afterAutospacing="0"/>
        <w:jc w:val="both"/>
        <w:rPr>
          <w:rFonts w:asciiTheme="minorHAnsi" w:hAnsiTheme="minorHAnsi" w:cstheme="minorHAnsi"/>
          <w:b/>
          <w:sz w:val="20"/>
          <w:szCs w:val="20"/>
          <w:u w:val="single"/>
        </w:rPr>
      </w:pPr>
      <w:r w:rsidRPr="00954C86">
        <w:rPr>
          <w:rFonts w:asciiTheme="minorHAnsi" w:hAnsiTheme="minorHAnsi" w:cstheme="minorHAnsi"/>
          <w:color w:val="3A3A3A"/>
          <w:sz w:val="20"/>
          <w:szCs w:val="20"/>
        </w:rPr>
        <w:t>AM Bagnall et al (2017)</w:t>
      </w:r>
      <w:proofErr w:type="gramStart"/>
      <w:r w:rsidRPr="00954C86">
        <w:rPr>
          <w:rFonts w:asciiTheme="minorHAnsi" w:hAnsiTheme="minorHAnsi" w:cstheme="minorHAnsi"/>
          <w:color w:val="3A3A3A"/>
          <w:sz w:val="20"/>
          <w:szCs w:val="20"/>
        </w:rPr>
        <w:t>.</w:t>
      </w:r>
      <w:proofErr w:type="gramEnd"/>
      <w:r w:rsidRPr="00954C86">
        <w:rPr>
          <w:rFonts w:asciiTheme="minorHAnsi" w:hAnsiTheme="minorHAnsi" w:cstheme="minorHAnsi"/>
          <w:color w:val="3A3A3A"/>
          <w:sz w:val="20"/>
          <w:szCs w:val="20"/>
        </w:rPr>
        <w:t xml:space="preserve"> EXCLUSION OF COMMUNITY-LED INITIATIVES BY PUBLICATION BIAS. </w:t>
      </w:r>
      <w:r w:rsidRPr="00954C86">
        <w:rPr>
          <w:rFonts w:asciiTheme="minorHAnsi" w:hAnsiTheme="minorHAnsi" w:cstheme="minorHAnsi"/>
          <w:i/>
          <w:iCs/>
          <w:color w:val="3A3A3A"/>
          <w:sz w:val="20"/>
          <w:szCs w:val="20"/>
        </w:rPr>
        <w:t>Journal of epidemiology and community health (1979)</w:t>
      </w:r>
      <w:r w:rsidRPr="00954C86">
        <w:rPr>
          <w:rFonts w:asciiTheme="minorHAnsi" w:hAnsiTheme="minorHAnsi" w:cstheme="minorHAnsi"/>
          <w:color w:val="3A3A3A"/>
          <w:sz w:val="20"/>
          <w:szCs w:val="20"/>
        </w:rPr>
        <w:t>, 71, p.A90.</w:t>
      </w:r>
    </w:p>
    <w:p w:rsidR="00AE3F9E" w:rsidRPr="00954C86" w:rsidRDefault="00AE3F9E" w:rsidP="00954C86">
      <w:pPr>
        <w:spacing w:after="0" w:line="240" w:lineRule="auto"/>
        <w:rPr>
          <w:rFonts w:cstheme="minorHAnsi"/>
          <w:color w:val="3A3A3A"/>
          <w:sz w:val="20"/>
          <w:szCs w:val="20"/>
        </w:rPr>
      </w:pPr>
    </w:p>
    <w:p w:rsidR="00AE3F9E" w:rsidRPr="00954C86" w:rsidRDefault="00AE3F9E" w:rsidP="00954C86">
      <w:pPr>
        <w:spacing w:after="0" w:line="240" w:lineRule="auto"/>
        <w:rPr>
          <w:rFonts w:cstheme="minorHAnsi"/>
          <w:color w:val="3A3A3A"/>
          <w:sz w:val="20"/>
          <w:szCs w:val="20"/>
        </w:rPr>
      </w:pPr>
      <w:r w:rsidRPr="00954C86">
        <w:rPr>
          <w:rFonts w:cstheme="minorHAnsi"/>
          <w:color w:val="3A3A3A"/>
          <w:sz w:val="20"/>
          <w:szCs w:val="20"/>
        </w:rPr>
        <w:t>Bond, Chelsea J et al (2020). Now we say Black Lives Matter but … the fact of the matter is, we just Black matter to them, 213(6), pp.248–250.e1.</w:t>
      </w:r>
    </w:p>
    <w:p w:rsidR="00AE3F9E" w:rsidRPr="00954C86" w:rsidRDefault="00AE3F9E" w:rsidP="00954C86">
      <w:pPr>
        <w:spacing w:after="0" w:line="240" w:lineRule="auto"/>
        <w:ind w:left="-450"/>
        <w:rPr>
          <w:rFonts w:cstheme="minorHAnsi"/>
          <w:color w:val="3A3A3A"/>
          <w:sz w:val="20"/>
          <w:szCs w:val="20"/>
        </w:rPr>
      </w:pPr>
    </w:p>
    <w:p w:rsidR="00AE3F9E" w:rsidRDefault="00AE3F9E" w:rsidP="00954C86">
      <w:pPr>
        <w:spacing w:after="0" w:line="240" w:lineRule="auto"/>
        <w:rPr>
          <w:rFonts w:cstheme="minorHAnsi"/>
          <w:color w:val="3A3A3A"/>
          <w:sz w:val="20"/>
          <w:szCs w:val="20"/>
        </w:rPr>
      </w:pPr>
      <w:r w:rsidRPr="00954C86">
        <w:rPr>
          <w:rFonts w:cstheme="minorHAnsi"/>
          <w:color w:val="3A3A3A"/>
          <w:sz w:val="20"/>
          <w:szCs w:val="20"/>
        </w:rPr>
        <w:t xml:space="preserve">Boulton, Laura et al (2017). Calls for police service. </w:t>
      </w:r>
      <w:r w:rsidRPr="00954C86">
        <w:rPr>
          <w:rFonts w:cstheme="minorHAnsi"/>
          <w:i/>
          <w:iCs/>
          <w:color w:val="3A3A3A"/>
          <w:sz w:val="20"/>
          <w:szCs w:val="20"/>
        </w:rPr>
        <w:t>Police journal (Chichester)</w:t>
      </w:r>
      <w:r w:rsidRPr="00954C86">
        <w:rPr>
          <w:rFonts w:cstheme="minorHAnsi"/>
          <w:color w:val="3A3A3A"/>
          <w:sz w:val="20"/>
          <w:szCs w:val="20"/>
        </w:rPr>
        <w:t>, 90(1), pp.70–85.</w:t>
      </w:r>
    </w:p>
    <w:p w:rsidR="00954C86" w:rsidRPr="00954C86" w:rsidRDefault="00954C86" w:rsidP="00954C86">
      <w:pPr>
        <w:spacing w:after="0" w:line="240" w:lineRule="auto"/>
        <w:ind w:left="-450"/>
        <w:rPr>
          <w:rFonts w:cstheme="minorHAnsi"/>
          <w:color w:val="3A3A3A"/>
          <w:sz w:val="20"/>
          <w:szCs w:val="20"/>
        </w:rPr>
      </w:pPr>
    </w:p>
    <w:p w:rsidR="00AE3F9E" w:rsidRDefault="00AE3F9E" w:rsidP="00954C86">
      <w:pPr>
        <w:spacing w:after="0" w:line="240" w:lineRule="auto"/>
        <w:rPr>
          <w:rFonts w:cstheme="minorHAnsi"/>
          <w:sz w:val="20"/>
          <w:szCs w:val="20"/>
        </w:rPr>
      </w:pPr>
      <w:r w:rsidRPr="00954C86">
        <w:rPr>
          <w:rFonts w:cstheme="minorHAnsi"/>
          <w:sz w:val="20"/>
          <w:szCs w:val="20"/>
        </w:rPr>
        <w:t xml:space="preserve">Bourdieu, P. (2010) </w:t>
      </w:r>
      <w:r w:rsidRPr="00954C86">
        <w:rPr>
          <w:rFonts w:cstheme="minorHAnsi"/>
          <w:i/>
          <w:sz w:val="20"/>
          <w:szCs w:val="20"/>
        </w:rPr>
        <w:t>Distinction: A Social Critique of the Judgement of Taste.</w:t>
      </w:r>
      <w:r w:rsidRPr="00954C86">
        <w:rPr>
          <w:rFonts w:cstheme="minorHAnsi"/>
          <w:sz w:val="20"/>
          <w:szCs w:val="20"/>
        </w:rPr>
        <w:t xml:space="preserve"> Oxon: Routledge.</w:t>
      </w:r>
    </w:p>
    <w:p w:rsidR="00954C86" w:rsidRPr="00954C86" w:rsidRDefault="00954C86" w:rsidP="00954C86">
      <w:pPr>
        <w:spacing w:after="0" w:line="240" w:lineRule="auto"/>
        <w:ind w:left="-450"/>
        <w:rPr>
          <w:rFonts w:cstheme="minorHAnsi"/>
          <w:sz w:val="20"/>
          <w:szCs w:val="20"/>
        </w:rPr>
      </w:pPr>
    </w:p>
    <w:p w:rsidR="00AE3F9E" w:rsidRDefault="00AE3F9E" w:rsidP="00954C86">
      <w:pPr>
        <w:spacing w:after="0" w:line="240" w:lineRule="auto"/>
        <w:rPr>
          <w:rFonts w:cstheme="minorHAnsi"/>
          <w:color w:val="3A3A3A"/>
          <w:sz w:val="20"/>
          <w:szCs w:val="20"/>
        </w:rPr>
      </w:pPr>
      <w:r w:rsidRPr="00954C86">
        <w:rPr>
          <w:rFonts w:cstheme="minorHAnsi"/>
          <w:color w:val="3A3A3A"/>
          <w:sz w:val="20"/>
          <w:szCs w:val="20"/>
        </w:rPr>
        <w:t xml:space="preserve">Burcher, Morgan &amp; Whelan, Chad, (2019) Intelligence-Led Policing in Practice: Reflections From Intelligence Analysts. </w:t>
      </w:r>
      <w:r w:rsidRPr="00954C86">
        <w:rPr>
          <w:rFonts w:cstheme="minorHAnsi"/>
          <w:i/>
          <w:iCs/>
          <w:color w:val="3A3A3A"/>
          <w:sz w:val="20"/>
          <w:szCs w:val="20"/>
        </w:rPr>
        <w:t>Police quarterly</w:t>
      </w:r>
      <w:r w:rsidRPr="00954C86">
        <w:rPr>
          <w:rFonts w:cstheme="minorHAnsi"/>
          <w:color w:val="3A3A3A"/>
          <w:sz w:val="20"/>
          <w:szCs w:val="20"/>
        </w:rPr>
        <w:t>, 22(2), pp.139–160.</w:t>
      </w:r>
    </w:p>
    <w:p w:rsidR="00AE3F9E" w:rsidRPr="00954C86" w:rsidRDefault="00AE3F9E" w:rsidP="00954C86">
      <w:pPr>
        <w:spacing w:after="0" w:line="240" w:lineRule="auto"/>
        <w:rPr>
          <w:rFonts w:cstheme="minorHAnsi"/>
          <w:color w:val="3A3A3A"/>
          <w:sz w:val="20"/>
          <w:szCs w:val="20"/>
        </w:rPr>
      </w:pPr>
      <w:r w:rsidRPr="00954C86">
        <w:rPr>
          <w:rFonts w:cstheme="minorHAnsi"/>
          <w:color w:val="3A3A3A"/>
          <w:sz w:val="20"/>
          <w:szCs w:val="20"/>
        </w:rPr>
        <w:t xml:space="preserve">Clark, Fiona, (2014). Discrimination against LGBT people </w:t>
      </w:r>
      <w:proofErr w:type="spellStart"/>
      <w:r w:rsidRPr="00954C86">
        <w:rPr>
          <w:rFonts w:cstheme="minorHAnsi"/>
          <w:color w:val="3A3A3A"/>
          <w:sz w:val="20"/>
          <w:szCs w:val="20"/>
        </w:rPr>
        <w:t>triggersconcerns</w:t>
      </w:r>
      <w:proofErr w:type="spellEnd"/>
      <w:r w:rsidRPr="00954C86">
        <w:rPr>
          <w:rFonts w:cstheme="minorHAnsi"/>
          <w:color w:val="3A3A3A"/>
          <w:sz w:val="20"/>
          <w:szCs w:val="20"/>
        </w:rPr>
        <w:t xml:space="preserve">. </w:t>
      </w:r>
      <w:r w:rsidRPr="00954C86">
        <w:rPr>
          <w:rFonts w:cstheme="minorHAnsi"/>
          <w:i/>
          <w:iCs/>
          <w:color w:val="3A3A3A"/>
          <w:sz w:val="20"/>
          <w:szCs w:val="20"/>
        </w:rPr>
        <w:t>The Lancet (British edition)</w:t>
      </w:r>
      <w:r w:rsidRPr="00954C86">
        <w:rPr>
          <w:rFonts w:cstheme="minorHAnsi"/>
          <w:color w:val="3A3A3A"/>
          <w:sz w:val="20"/>
          <w:szCs w:val="20"/>
        </w:rPr>
        <w:t>, 383(9916), pp.500–502.</w:t>
      </w:r>
    </w:p>
    <w:p w:rsidR="00AE3F9E" w:rsidRPr="00954C86" w:rsidRDefault="00AE3F9E" w:rsidP="00954C86">
      <w:pPr>
        <w:spacing w:after="0" w:line="240" w:lineRule="auto"/>
        <w:ind w:left="-450"/>
        <w:rPr>
          <w:rFonts w:cstheme="minorHAnsi"/>
          <w:sz w:val="20"/>
          <w:szCs w:val="20"/>
        </w:rPr>
      </w:pPr>
    </w:p>
    <w:p w:rsidR="00AE3F9E" w:rsidRDefault="00AE3F9E" w:rsidP="00954C86">
      <w:pPr>
        <w:spacing w:after="0" w:line="240" w:lineRule="auto"/>
        <w:rPr>
          <w:rStyle w:val="bumpedfont15"/>
          <w:rFonts w:eastAsia="Times New Roman" w:cstheme="minorHAnsi"/>
          <w:sz w:val="20"/>
          <w:szCs w:val="20"/>
        </w:rPr>
      </w:pPr>
      <w:r w:rsidRPr="00954C86">
        <w:rPr>
          <w:rStyle w:val="bumpedfont15"/>
          <w:rFonts w:eastAsia="Times New Roman" w:cstheme="minorHAnsi"/>
          <w:sz w:val="20"/>
          <w:szCs w:val="20"/>
        </w:rPr>
        <w:t>College of Policing. (2014). </w:t>
      </w:r>
      <w:r w:rsidRPr="00954C86">
        <w:rPr>
          <w:rStyle w:val="bumpedfont15"/>
          <w:rFonts w:eastAsia="Times New Roman" w:cstheme="minorHAnsi"/>
          <w:i/>
          <w:iCs/>
          <w:sz w:val="20"/>
          <w:szCs w:val="20"/>
        </w:rPr>
        <w:t>Code of Ethics: A Code of Practice for the Principles and Standards of Professional Behaviour for the Policing Profession of England and Wales</w:t>
      </w:r>
      <w:r w:rsidRPr="00954C86">
        <w:rPr>
          <w:rStyle w:val="bumpedfont15"/>
          <w:rFonts w:eastAsia="Times New Roman" w:cstheme="minorHAnsi"/>
          <w:sz w:val="20"/>
          <w:szCs w:val="20"/>
        </w:rPr>
        <w:t>. Coventry: College of Policing Limited.</w:t>
      </w:r>
    </w:p>
    <w:p w:rsidR="00954C86" w:rsidRDefault="00954C86" w:rsidP="00954C86">
      <w:pPr>
        <w:spacing w:after="0" w:line="240" w:lineRule="auto"/>
        <w:rPr>
          <w:rFonts w:eastAsia="Times New Roman" w:cstheme="minorHAnsi"/>
          <w:sz w:val="20"/>
          <w:szCs w:val="20"/>
        </w:rPr>
      </w:pPr>
    </w:p>
    <w:p w:rsidR="00AE3F9E" w:rsidRPr="00954C86" w:rsidRDefault="00AE3F9E" w:rsidP="00954C86">
      <w:pPr>
        <w:spacing w:after="0" w:line="240" w:lineRule="auto"/>
        <w:rPr>
          <w:rFonts w:eastAsia="Times New Roman" w:cstheme="minorHAnsi"/>
          <w:sz w:val="20"/>
          <w:szCs w:val="20"/>
        </w:rPr>
      </w:pPr>
      <w:r w:rsidRPr="00954C86">
        <w:rPr>
          <w:rFonts w:cstheme="minorHAnsi"/>
          <w:color w:val="000000"/>
          <w:sz w:val="20"/>
          <w:szCs w:val="20"/>
        </w:rPr>
        <w:t xml:space="preserve">College of Policing. (2021). </w:t>
      </w:r>
      <w:r w:rsidRPr="00954C86">
        <w:rPr>
          <w:rFonts w:cstheme="minorHAnsi"/>
          <w:i/>
          <w:iCs/>
          <w:color w:val="000000"/>
          <w:sz w:val="20"/>
          <w:szCs w:val="20"/>
        </w:rPr>
        <w:t>Competency and Values - College of Policing</w:t>
      </w:r>
      <w:r w:rsidRPr="00954C86">
        <w:rPr>
          <w:rFonts w:cstheme="minorHAnsi"/>
          <w:color w:val="000000"/>
          <w:sz w:val="20"/>
          <w:szCs w:val="20"/>
        </w:rPr>
        <w:t>. [</w:t>
      </w:r>
      <w:proofErr w:type="gramStart"/>
      <w:r w:rsidRPr="00954C86">
        <w:rPr>
          <w:rFonts w:cstheme="minorHAnsi"/>
          <w:color w:val="000000"/>
          <w:sz w:val="20"/>
          <w:szCs w:val="20"/>
        </w:rPr>
        <w:t>online</w:t>
      </w:r>
      <w:proofErr w:type="gramEnd"/>
      <w:r w:rsidRPr="00954C86">
        <w:rPr>
          <w:rFonts w:cstheme="minorHAnsi"/>
          <w:color w:val="000000"/>
          <w:sz w:val="20"/>
          <w:szCs w:val="20"/>
        </w:rPr>
        <w:t>] Available at: &lt;https://profdev.college.police.uk/competency-values/&gt; [Accessed 3 February 2021].</w:t>
      </w:r>
    </w:p>
    <w:p w:rsidR="00AE3F9E" w:rsidRPr="00954C86" w:rsidRDefault="00AE3F9E" w:rsidP="00954C86">
      <w:pPr>
        <w:spacing w:after="0" w:line="240" w:lineRule="auto"/>
        <w:ind w:left="-450"/>
        <w:rPr>
          <w:rFonts w:eastAsia="Times New Roman" w:cstheme="minorHAnsi"/>
          <w:sz w:val="20"/>
          <w:szCs w:val="20"/>
        </w:rPr>
      </w:pPr>
    </w:p>
    <w:p w:rsidR="00AE3F9E" w:rsidRPr="00954C86" w:rsidRDefault="00AE3F9E" w:rsidP="00954C86">
      <w:pPr>
        <w:spacing w:after="0" w:line="240" w:lineRule="auto"/>
        <w:rPr>
          <w:rFonts w:eastAsia="Times New Roman" w:cstheme="minorHAnsi"/>
          <w:sz w:val="20"/>
          <w:szCs w:val="20"/>
        </w:rPr>
      </w:pPr>
      <w:r w:rsidRPr="00954C86">
        <w:rPr>
          <w:rFonts w:cstheme="minorHAnsi"/>
          <w:color w:val="3A3A3A"/>
          <w:sz w:val="20"/>
          <w:szCs w:val="20"/>
        </w:rPr>
        <w:t xml:space="preserve">Cooper, Christine &amp; </w:t>
      </w:r>
      <w:proofErr w:type="spellStart"/>
      <w:r w:rsidRPr="00954C86">
        <w:rPr>
          <w:rFonts w:cstheme="minorHAnsi"/>
          <w:color w:val="3A3A3A"/>
          <w:sz w:val="20"/>
          <w:szCs w:val="20"/>
        </w:rPr>
        <w:t>Lapsley</w:t>
      </w:r>
      <w:proofErr w:type="spellEnd"/>
      <w:r w:rsidRPr="00954C86">
        <w:rPr>
          <w:rFonts w:cstheme="minorHAnsi"/>
          <w:color w:val="3A3A3A"/>
          <w:sz w:val="20"/>
          <w:szCs w:val="20"/>
        </w:rPr>
        <w:t xml:space="preserve">, Irvine, (2019). Hillsborough: The fight for accountability. </w:t>
      </w:r>
      <w:r w:rsidRPr="00954C86">
        <w:rPr>
          <w:rFonts w:cstheme="minorHAnsi"/>
          <w:i/>
          <w:iCs/>
          <w:color w:val="3A3A3A"/>
          <w:sz w:val="20"/>
          <w:szCs w:val="20"/>
        </w:rPr>
        <w:t>Critical perspectives on accounting</w:t>
      </w:r>
      <w:r w:rsidRPr="00954C86">
        <w:rPr>
          <w:rFonts w:cstheme="minorHAnsi"/>
          <w:color w:val="3A3A3A"/>
          <w:sz w:val="20"/>
          <w:szCs w:val="20"/>
        </w:rPr>
        <w:t>, p.107.</w:t>
      </w:r>
    </w:p>
    <w:p w:rsidR="00AE3F9E" w:rsidRPr="00954C86" w:rsidRDefault="00AE3F9E" w:rsidP="00954C86">
      <w:pPr>
        <w:spacing w:after="0" w:line="240" w:lineRule="auto"/>
        <w:ind w:left="-450"/>
        <w:rPr>
          <w:rFonts w:eastAsia="Times New Roman" w:cstheme="minorHAnsi"/>
          <w:sz w:val="20"/>
          <w:szCs w:val="20"/>
        </w:rPr>
      </w:pPr>
    </w:p>
    <w:p w:rsidR="00AE3F9E" w:rsidRPr="00954C86" w:rsidRDefault="00AE3F9E" w:rsidP="00954C86">
      <w:pPr>
        <w:spacing w:after="0" w:line="240" w:lineRule="auto"/>
        <w:rPr>
          <w:rFonts w:cstheme="minorHAnsi"/>
          <w:color w:val="3A3A3A"/>
          <w:sz w:val="20"/>
          <w:szCs w:val="20"/>
        </w:rPr>
      </w:pPr>
      <w:r w:rsidRPr="00954C86">
        <w:rPr>
          <w:rFonts w:cstheme="minorHAnsi"/>
          <w:color w:val="3A3A3A"/>
          <w:sz w:val="20"/>
          <w:szCs w:val="20"/>
        </w:rPr>
        <w:t xml:space="preserve">Carter, Jeremy G &amp; Fox, Bryanna, (2019). Community policing and intelligence-led policing. </w:t>
      </w:r>
      <w:proofErr w:type="gramStart"/>
      <w:r w:rsidRPr="00954C86">
        <w:rPr>
          <w:rFonts w:cstheme="minorHAnsi"/>
          <w:i/>
          <w:iCs/>
          <w:color w:val="3A3A3A"/>
          <w:sz w:val="20"/>
          <w:szCs w:val="20"/>
        </w:rPr>
        <w:t>Policing :</w:t>
      </w:r>
      <w:proofErr w:type="gramEnd"/>
      <w:r w:rsidRPr="00954C86">
        <w:rPr>
          <w:rFonts w:cstheme="minorHAnsi"/>
          <w:i/>
          <w:iCs/>
          <w:color w:val="3A3A3A"/>
          <w:sz w:val="20"/>
          <w:szCs w:val="20"/>
        </w:rPr>
        <w:t xml:space="preserve"> an international journal of police strategies &amp; management</w:t>
      </w:r>
      <w:r w:rsidRPr="00954C86">
        <w:rPr>
          <w:rFonts w:cstheme="minorHAnsi"/>
          <w:color w:val="3A3A3A"/>
          <w:sz w:val="20"/>
          <w:szCs w:val="20"/>
        </w:rPr>
        <w:t>, 42(1), pp.43–58.</w:t>
      </w:r>
    </w:p>
    <w:p w:rsidR="00AE3F9E" w:rsidRPr="00954C86" w:rsidRDefault="00AE3F9E" w:rsidP="00954C86">
      <w:pPr>
        <w:spacing w:after="0" w:line="240" w:lineRule="auto"/>
        <w:ind w:left="-450"/>
        <w:rPr>
          <w:rFonts w:cstheme="minorHAnsi"/>
          <w:color w:val="3A3A3A"/>
          <w:sz w:val="20"/>
          <w:szCs w:val="20"/>
        </w:rPr>
      </w:pPr>
    </w:p>
    <w:p w:rsidR="00AE3F9E" w:rsidRPr="00954C86" w:rsidRDefault="00AE3F9E" w:rsidP="00954C86">
      <w:pPr>
        <w:spacing w:after="0" w:line="240" w:lineRule="auto"/>
        <w:rPr>
          <w:rFonts w:eastAsia="Times New Roman" w:cstheme="minorHAnsi"/>
          <w:color w:val="3A3A3A"/>
          <w:sz w:val="20"/>
          <w:szCs w:val="20"/>
          <w:lang w:eastAsia="en-GB"/>
        </w:rPr>
      </w:pPr>
      <w:r w:rsidRPr="00954C86">
        <w:rPr>
          <w:rFonts w:eastAsia="Times New Roman" w:cstheme="minorHAnsi"/>
          <w:color w:val="3A3A3A"/>
          <w:sz w:val="20"/>
          <w:szCs w:val="20"/>
          <w:lang w:eastAsia="en-GB"/>
        </w:rPr>
        <w:t>Densley, James, Deuchar, Ross &amp; Harding, Simon</w:t>
      </w:r>
      <w:proofErr w:type="gramStart"/>
      <w:r w:rsidRPr="00954C86">
        <w:rPr>
          <w:rFonts w:eastAsia="Times New Roman" w:cstheme="minorHAnsi"/>
          <w:color w:val="3A3A3A"/>
          <w:sz w:val="20"/>
          <w:szCs w:val="20"/>
          <w:lang w:eastAsia="en-GB"/>
        </w:rPr>
        <w:t>,</w:t>
      </w:r>
      <w:r w:rsidRPr="00954C86">
        <w:rPr>
          <w:rFonts w:eastAsia="Times New Roman" w:cstheme="minorHAnsi"/>
          <w:color w:val="3A3A3A"/>
          <w:sz w:val="20"/>
          <w:szCs w:val="20"/>
        </w:rPr>
        <w:t>(</w:t>
      </w:r>
      <w:proofErr w:type="gramEnd"/>
      <w:r w:rsidRPr="00954C86">
        <w:rPr>
          <w:rFonts w:eastAsia="Times New Roman" w:cstheme="minorHAnsi"/>
          <w:color w:val="3A3A3A"/>
          <w:sz w:val="20"/>
          <w:szCs w:val="20"/>
          <w:lang w:eastAsia="en-GB"/>
        </w:rPr>
        <w:t>2020</w:t>
      </w:r>
      <w:r w:rsidRPr="00954C86">
        <w:rPr>
          <w:rFonts w:eastAsia="Times New Roman" w:cstheme="minorHAnsi"/>
          <w:color w:val="3A3A3A"/>
          <w:sz w:val="20"/>
          <w:szCs w:val="20"/>
        </w:rPr>
        <w:t>)</w:t>
      </w:r>
      <w:r w:rsidRPr="00954C86">
        <w:rPr>
          <w:rFonts w:eastAsia="Times New Roman" w:cstheme="minorHAnsi"/>
          <w:color w:val="3A3A3A"/>
          <w:sz w:val="20"/>
          <w:szCs w:val="20"/>
          <w:lang w:eastAsia="en-GB"/>
        </w:rPr>
        <w:t xml:space="preserve">. An Introduction to Gangs and Serious Youth Violence in the United Kingdom. </w:t>
      </w:r>
      <w:r w:rsidRPr="00954C86">
        <w:rPr>
          <w:rFonts w:eastAsia="Times New Roman" w:cstheme="minorHAnsi"/>
          <w:i/>
          <w:iCs/>
          <w:color w:val="3A3A3A"/>
          <w:sz w:val="20"/>
          <w:szCs w:val="20"/>
          <w:lang w:eastAsia="en-GB"/>
        </w:rPr>
        <w:t>Youth justice</w:t>
      </w:r>
      <w:r w:rsidRPr="00954C86">
        <w:rPr>
          <w:rFonts w:eastAsia="Times New Roman" w:cstheme="minorHAnsi"/>
          <w:color w:val="3A3A3A"/>
          <w:sz w:val="20"/>
          <w:szCs w:val="20"/>
          <w:lang w:eastAsia="en-GB"/>
        </w:rPr>
        <w:t>, 20(1-2), pp.3–10.</w:t>
      </w:r>
    </w:p>
    <w:p w:rsidR="00AE3F9E" w:rsidRPr="00954C86" w:rsidRDefault="00AE3F9E" w:rsidP="00954C86">
      <w:pPr>
        <w:spacing w:after="0" w:line="240" w:lineRule="auto"/>
        <w:ind w:left="-450"/>
        <w:rPr>
          <w:rFonts w:cstheme="minorHAnsi"/>
          <w:color w:val="3A3A3A"/>
          <w:sz w:val="20"/>
          <w:szCs w:val="20"/>
        </w:rPr>
      </w:pPr>
    </w:p>
    <w:p w:rsidR="00AE3F9E" w:rsidRPr="00954C86" w:rsidRDefault="00AE3F9E" w:rsidP="00954C86">
      <w:pPr>
        <w:spacing w:after="0" w:line="240" w:lineRule="auto"/>
        <w:ind w:left="-450"/>
        <w:rPr>
          <w:rFonts w:cstheme="minorHAnsi"/>
          <w:color w:val="3A3A3A"/>
          <w:sz w:val="20"/>
          <w:szCs w:val="20"/>
        </w:rPr>
      </w:pPr>
    </w:p>
    <w:p w:rsidR="00AE3F9E" w:rsidRPr="00954C86" w:rsidRDefault="00AE3F9E" w:rsidP="00954C86">
      <w:pPr>
        <w:spacing w:after="0" w:line="240" w:lineRule="auto"/>
        <w:rPr>
          <w:rFonts w:cstheme="minorHAnsi"/>
          <w:color w:val="3A3A3A"/>
          <w:sz w:val="20"/>
          <w:szCs w:val="20"/>
        </w:rPr>
      </w:pPr>
      <w:r w:rsidRPr="00954C86">
        <w:rPr>
          <w:rFonts w:cstheme="minorHAnsi"/>
          <w:color w:val="3A3A3A"/>
          <w:sz w:val="20"/>
          <w:szCs w:val="20"/>
        </w:rPr>
        <w:t xml:space="preserve">Elizabeth </w:t>
      </w:r>
      <w:proofErr w:type="spellStart"/>
      <w:r w:rsidRPr="00954C86">
        <w:rPr>
          <w:rFonts w:cstheme="minorHAnsi"/>
          <w:color w:val="3A3A3A"/>
          <w:sz w:val="20"/>
          <w:szCs w:val="20"/>
        </w:rPr>
        <w:t>Stokoe</w:t>
      </w:r>
      <w:proofErr w:type="spellEnd"/>
      <w:r w:rsidRPr="00954C86">
        <w:rPr>
          <w:rFonts w:cstheme="minorHAnsi"/>
          <w:color w:val="3A3A3A"/>
          <w:sz w:val="20"/>
          <w:szCs w:val="20"/>
        </w:rPr>
        <w:t xml:space="preserve"> &amp; Derek Edwards, 2007. 'Black this, black that': racial insults and reported speech in neighbour complaints and police interrogations. </w:t>
      </w:r>
      <w:r w:rsidRPr="00954C86">
        <w:rPr>
          <w:rFonts w:cstheme="minorHAnsi"/>
          <w:i/>
          <w:iCs/>
          <w:color w:val="3A3A3A"/>
          <w:sz w:val="20"/>
          <w:szCs w:val="20"/>
        </w:rPr>
        <w:t>Discourse &amp; society</w:t>
      </w:r>
      <w:r w:rsidRPr="00954C86">
        <w:rPr>
          <w:rFonts w:cstheme="minorHAnsi"/>
          <w:color w:val="3A3A3A"/>
          <w:sz w:val="20"/>
          <w:szCs w:val="20"/>
        </w:rPr>
        <w:t>, 18(3), pp.337–372.</w:t>
      </w:r>
    </w:p>
    <w:p w:rsidR="00AE3F9E" w:rsidRPr="00954C86" w:rsidRDefault="00AE3F9E" w:rsidP="00954C86">
      <w:pPr>
        <w:spacing w:after="0" w:line="240" w:lineRule="auto"/>
        <w:rPr>
          <w:rFonts w:cstheme="minorHAnsi"/>
          <w:color w:val="3A3A3A"/>
          <w:sz w:val="20"/>
          <w:szCs w:val="20"/>
        </w:rPr>
      </w:pPr>
    </w:p>
    <w:p w:rsidR="00AE3F9E" w:rsidRPr="00954C86" w:rsidRDefault="00AE3F9E" w:rsidP="00954C86">
      <w:pPr>
        <w:spacing w:after="0" w:line="240" w:lineRule="auto"/>
        <w:rPr>
          <w:rFonts w:cstheme="minorHAnsi"/>
          <w:color w:val="3A3A3A"/>
          <w:sz w:val="20"/>
          <w:szCs w:val="20"/>
        </w:rPr>
      </w:pPr>
      <w:r w:rsidRPr="00954C86">
        <w:rPr>
          <w:rFonts w:cstheme="minorHAnsi"/>
          <w:i/>
          <w:iCs/>
          <w:color w:val="3A3A3A"/>
          <w:sz w:val="20"/>
          <w:szCs w:val="20"/>
        </w:rPr>
        <w:t>Emergency Nurse</w:t>
      </w:r>
      <w:r w:rsidRPr="00954C86">
        <w:rPr>
          <w:rFonts w:cstheme="minorHAnsi"/>
          <w:color w:val="3A3A3A"/>
          <w:sz w:val="20"/>
          <w:szCs w:val="20"/>
        </w:rPr>
        <w:t>, 19.5 (2011), Youth Project Launched to Reduce Gang-Related Violence in London’5–5</w:t>
      </w:r>
    </w:p>
    <w:p w:rsidR="00AE3F9E" w:rsidRPr="00954C86" w:rsidRDefault="00AE3F9E" w:rsidP="00954C86">
      <w:pPr>
        <w:spacing w:after="0" w:line="240" w:lineRule="auto"/>
        <w:rPr>
          <w:rFonts w:cstheme="minorHAnsi"/>
          <w:color w:val="3A3A3A"/>
          <w:sz w:val="20"/>
          <w:szCs w:val="20"/>
        </w:rPr>
      </w:pPr>
    </w:p>
    <w:p w:rsidR="00AE3F9E" w:rsidRPr="00954C86" w:rsidRDefault="00AE3F9E" w:rsidP="00954C86">
      <w:pPr>
        <w:spacing w:after="0" w:line="240" w:lineRule="auto"/>
        <w:rPr>
          <w:rFonts w:cstheme="minorHAnsi"/>
          <w:color w:val="3A3A3A"/>
          <w:sz w:val="20"/>
          <w:szCs w:val="20"/>
        </w:rPr>
      </w:pPr>
      <w:r w:rsidRPr="00954C86">
        <w:rPr>
          <w:rFonts w:cstheme="minorHAnsi"/>
          <w:color w:val="3A3A3A"/>
          <w:sz w:val="20"/>
          <w:szCs w:val="20"/>
        </w:rPr>
        <w:t xml:space="preserve">Ferguson, Mary Ann, 2018. Building theory in public relations: </w:t>
      </w:r>
      <w:proofErr w:type="spellStart"/>
      <w:r w:rsidRPr="00954C86">
        <w:rPr>
          <w:rFonts w:cstheme="minorHAnsi"/>
          <w:color w:val="3A3A3A"/>
          <w:sz w:val="20"/>
          <w:szCs w:val="20"/>
        </w:rPr>
        <w:t>Interorganizational</w:t>
      </w:r>
      <w:proofErr w:type="spellEnd"/>
      <w:r w:rsidRPr="00954C86">
        <w:rPr>
          <w:rFonts w:cstheme="minorHAnsi"/>
          <w:color w:val="3A3A3A"/>
          <w:sz w:val="20"/>
          <w:szCs w:val="20"/>
        </w:rPr>
        <w:t xml:space="preserve"> relationships as a public relations paradigm. </w:t>
      </w:r>
      <w:r w:rsidRPr="00954C86">
        <w:rPr>
          <w:rFonts w:cstheme="minorHAnsi"/>
          <w:i/>
          <w:iCs/>
          <w:color w:val="3A3A3A"/>
          <w:sz w:val="20"/>
          <w:szCs w:val="20"/>
        </w:rPr>
        <w:t>Journal of public relations research</w:t>
      </w:r>
      <w:r w:rsidRPr="00954C86">
        <w:rPr>
          <w:rFonts w:cstheme="minorHAnsi"/>
          <w:color w:val="3A3A3A"/>
          <w:sz w:val="20"/>
          <w:szCs w:val="20"/>
        </w:rPr>
        <w:t>, 30(4), pp.164–178.</w:t>
      </w:r>
    </w:p>
    <w:p w:rsidR="00AE3F9E" w:rsidRPr="00954C86" w:rsidRDefault="00AE3F9E" w:rsidP="00954C86">
      <w:pPr>
        <w:spacing w:after="0" w:line="240" w:lineRule="auto"/>
        <w:ind w:left="-450"/>
        <w:rPr>
          <w:rFonts w:cstheme="minorHAnsi"/>
          <w:color w:val="3A3A3A"/>
          <w:sz w:val="20"/>
          <w:szCs w:val="20"/>
        </w:rPr>
      </w:pPr>
    </w:p>
    <w:p w:rsidR="00AE3F9E" w:rsidRPr="00954C86" w:rsidRDefault="00AE3F9E" w:rsidP="00954C86">
      <w:pPr>
        <w:spacing w:after="0" w:line="240" w:lineRule="auto"/>
        <w:rPr>
          <w:rFonts w:cstheme="minorHAnsi"/>
          <w:color w:val="3A3A3A"/>
          <w:sz w:val="20"/>
          <w:szCs w:val="20"/>
        </w:rPr>
      </w:pPr>
    </w:p>
    <w:p w:rsidR="00AE3F9E" w:rsidRPr="00954C86" w:rsidRDefault="00AE3F9E" w:rsidP="00954C86">
      <w:pPr>
        <w:spacing w:after="0" w:line="240" w:lineRule="auto"/>
        <w:rPr>
          <w:rFonts w:eastAsia="Times New Roman" w:cstheme="minorHAnsi"/>
          <w:color w:val="3A3A3A"/>
          <w:sz w:val="20"/>
          <w:szCs w:val="20"/>
          <w:lang w:eastAsia="en-GB"/>
        </w:rPr>
      </w:pPr>
      <w:proofErr w:type="spellStart"/>
      <w:r w:rsidRPr="00311C4F">
        <w:rPr>
          <w:rFonts w:eastAsia="Times New Roman" w:cstheme="minorHAnsi"/>
          <w:color w:val="3A3A3A"/>
          <w:sz w:val="20"/>
          <w:szCs w:val="20"/>
          <w:lang w:eastAsia="en-GB"/>
        </w:rPr>
        <w:t>Frevel</w:t>
      </w:r>
      <w:proofErr w:type="spellEnd"/>
      <w:r w:rsidRPr="00311C4F">
        <w:rPr>
          <w:rFonts w:eastAsia="Times New Roman" w:cstheme="minorHAnsi"/>
          <w:color w:val="3A3A3A"/>
          <w:sz w:val="20"/>
          <w:szCs w:val="20"/>
          <w:lang w:eastAsia="en-GB"/>
        </w:rPr>
        <w:t xml:space="preserve">, Bernhard &amp; Rogers, Colin, 2016. Community partnerships (UK) vs Crime Prevention Councils (GER). </w:t>
      </w:r>
      <w:r w:rsidRPr="00311C4F">
        <w:rPr>
          <w:rFonts w:eastAsia="Times New Roman" w:cstheme="minorHAnsi"/>
          <w:i/>
          <w:iCs/>
          <w:color w:val="3A3A3A"/>
          <w:sz w:val="20"/>
          <w:szCs w:val="20"/>
          <w:lang w:eastAsia="en-GB"/>
        </w:rPr>
        <w:t>Police journal (Chichester)</w:t>
      </w:r>
      <w:r w:rsidRPr="00311C4F">
        <w:rPr>
          <w:rFonts w:eastAsia="Times New Roman" w:cstheme="minorHAnsi"/>
          <w:color w:val="3A3A3A"/>
          <w:sz w:val="20"/>
          <w:szCs w:val="20"/>
          <w:lang w:eastAsia="en-GB"/>
        </w:rPr>
        <w:t>, 89(2), pp.133–150</w:t>
      </w:r>
    </w:p>
    <w:p w:rsidR="00AE3F9E" w:rsidRPr="00954C86" w:rsidRDefault="00AE3F9E" w:rsidP="00954C86">
      <w:pPr>
        <w:spacing w:after="0" w:line="240" w:lineRule="auto"/>
        <w:rPr>
          <w:rFonts w:cstheme="minorHAnsi"/>
          <w:color w:val="3A3A3A"/>
          <w:sz w:val="20"/>
          <w:szCs w:val="20"/>
        </w:rPr>
      </w:pPr>
    </w:p>
    <w:p w:rsidR="00AE3F9E" w:rsidRPr="00954C86" w:rsidRDefault="00AE3F9E" w:rsidP="00954C86">
      <w:pPr>
        <w:spacing w:after="0" w:line="240" w:lineRule="auto"/>
        <w:rPr>
          <w:rFonts w:cstheme="minorHAnsi"/>
          <w:color w:val="3A3A3A"/>
          <w:sz w:val="20"/>
          <w:szCs w:val="20"/>
        </w:rPr>
      </w:pPr>
    </w:p>
    <w:p w:rsidR="00AE3F9E" w:rsidRPr="00954C86" w:rsidRDefault="00AE3F9E" w:rsidP="00954C86">
      <w:pPr>
        <w:spacing w:after="0" w:line="240" w:lineRule="auto"/>
        <w:rPr>
          <w:rFonts w:cstheme="minorHAnsi"/>
          <w:color w:val="3A3A3A"/>
          <w:sz w:val="20"/>
          <w:szCs w:val="20"/>
        </w:rPr>
      </w:pPr>
      <w:proofErr w:type="spellStart"/>
      <w:r w:rsidRPr="00954C86">
        <w:rPr>
          <w:rFonts w:cstheme="minorHAnsi"/>
          <w:color w:val="3A3A3A"/>
          <w:sz w:val="20"/>
          <w:szCs w:val="20"/>
        </w:rPr>
        <w:t>Frisby</w:t>
      </w:r>
      <w:proofErr w:type="spellEnd"/>
      <w:r w:rsidRPr="00954C86">
        <w:rPr>
          <w:rFonts w:cstheme="minorHAnsi"/>
          <w:color w:val="3A3A3A"/>
          <w:sz w:val="20"/>
          <w:szCs w:val="20"/>
        </w:rPr>
        <w:t xml:space="preserve">-Osman, S &amp; Wood, Jane L, 2020. Rethinking How We View Gang Members: An Examination into Affective, </w:t>
      </w:r>
      <w:proofErr w:type="spellStart"/>
      <w:r w:rsidRPr="00954C86">
        <w:rPr>
          <w:rFonts w:cstheme="minorHAnsi"/>
          <w:color w:val="3A3A3A"/>
          <w:sz w:val="20"/>
          <w:szCs w:val="20"/>
        </w:rPr>
        <w:t>Behavioral</w:t>
      </w:r>
      <w:proofErr w:type="spellEnd"/>
      <w:r w:rsidRPr="00954C86">
        <w:rPr>
          <w:rFonts w:cstheme="minorHAnsi"/>
          <w:color w:val="3A3A3A"/>
          <w:sz w:val="20"/>
          <w:szCs w:val="20"/>
        </w:rPr>
        <w:t>, and Mental Health Predictors of UK Gang-Involved Youth’</w:t>
      </w:r>
    </w:p>
    <w:p w:rsidR="00AE3F9E" w:rsidRPr="00954C86" w:rsidRDefault="00AE3F9E" w:rsidP="00954C86">
      <w:pPr>
        <w:spacing w:after="0" w:line="240" w:lineRule="auto"/>
        <w:rPr>
          <w:rFonts w:cstheme="minorHAnsi"/>
          <w:color w:val="3A3A3A"/>
          <w:sz w:val="20"/>
          <w:szCs w:val="20"/>
        </w:rPr>
      </w:pPr>
    </w:p>
    <w:p w:rsidR="00AE3F9E" w:rsidRPr="00954C86" w:rsidRDefault="00AE3F9E" w:rsidP="00954C86">
      <w:pPr>
        <w:spacing w:after="0" w:line="240" w:lineRule="auto"/>
        <w:rPr>
          <w:rFonts w:cstheme="minorHAnsi"/>
          <w:color w:val="3A3A3A"/>
          <w:sz w:val="20"/>
          <w:szCs w:val="20"/>
        </w:rPr>
      </w:pPr>
    </w:p>
    <w:p w:rsidR="00AE3F9E" w:rsidRPr="00954C86" w:rsidRDefault="00AE3F9E" w:rsidP="00954C86">
      <w:pPr>
        <w:pStyle w:val="NormalWeb"/>
        <w:spacing w:before="0" w:beforeAutospacing="0" w:after="0" w:afterAutospacing="0"/>
        <w:rPr>
          <w:rFonts w:asciiTheme="minorHAnsi" w:hAnsiTheme="minorHAnsi" w:cstheme="minorHAnsi"/>
          <w:color w:val="3A3A3A"/>
          <w:sz w:val="20"/>
          <w:szCs w:val="20"/>
        </w:rPr>
      </w:pPr>
    </w:p>
    <w:p w:rsidR="00AE3F9E" w:rsidRPr="00954C86" w:rsidRDefault="00AE3F9E" w:rsidP="00954C86">
      <w:pPr>
        <w:pStyle w:val="NormalWeb"/>
        <w:spacing w:before="0" w:beforeAutospacing="0" w:after="0" w:afterAutospacing="0"/>
        <w:rPr>
          <w:rFonts w:asciiTheme="minorHAnsi" w:hAnsiTheme="minorHAnsi" w:cstheme="minorHAnsi"/>
          <w:sz w:val="20"/>
          <w:szCs w:val="20"/>
        </w:rPr>
      </w:pPr>
      <w:proofErr w:type="spellStart"/>
      <w:r w:rsidRPr="00954C86">
        <w:rPr>
          <w:rFonts w:asciiTheme="minorHAnsi" w:hAnsiTheme="minorHAnsi" w:cstheme="minorHAnsi"/>
          <w:sz w:val="20"/>
          <w:szCs w:val="20"/>
        </w:rPr>
        <w:t>Glassner</w:t>
      </w:r>
      <w:proofErr w:type="spellEnd"/>
      <w:r w:rsidRPr="00954C86">
        <w:rPr>
          <w:rFonts w:asciiTheme="minorHAnsi" w:hAnsiTheme="minorHAnsi" w:cstheme="minorHAnsi"/>
          <w:sz w:val="20"/>
          <w:szCs w:val="20"/>
        </w:rPr>
        <w:t xml:space="preserve">, B (2009) </w:t>
      </w:r>
      <w:proofErr w:type="gramStart"/>
      <w:r w:rsidRPr="00954C86">
        <w:rPr>
          <w:rFonts w:asciiTheme="minorHAnsi" w:hAnsiTheme="minorHAnsi" w:cstheme="minorHAnsi"/>
          <w:i/>
          <w:sz w:val="20"/>
          <w:szCs w:val="20"/>
        </w:rPr>
        <w:t>The</w:t>
      </w:r>
      <w:proofErr w:type="gramEnd"/>
      <w:r w:rsidRPr="00954C86">
        <w:rPr>
          <w:rFonts w:asciiTheme="minorHAnsi" w:hAnsiTheme="minorHAnsi" w:cstheme="minorHAnsi"/>
          <w:i/>
          <w:sz w:val="20"/>
          <w:szCs w:val="20"/>
        </w:rPr>
        <w:t xml:space="preserve"> Culture of Fear: Why Americans Are Afraid of the Wrong Things: Crime, Drugs, Minorities, Teen Moms, Killer Kids, Mutant Microbes, Plane Crashes, Road Rage, &amp; So Much </w:t>
      </w:r>
      <w:proofErr w:type="spellStart"/>
      <w:r w:rsidRPr="00954C86">
        <w:rPr>
          <w:rFonts w:asciiTheme="minorHAnsi" w:hAnsiTheme="minorHAnsi" w:cstheme="minorHAnsi"/>
          <w:i/>
          <w:sz w:val="20"/>
          <w:szCs w:val="20"/>
        </w:rPr>
        <w:t>More</w:t>
      </w:r>
      <w:r w:rsidRPr="00954C86">
        <w:rPr>
          <w:rFonts w:asciiTheme="minorHAnsi" w:hAnsiTheme="minorHAnsi" w:cstheme="minorHAnsi"/>
          <w:sz w:val="20"/>
          <w:szCs w:val="20"/>
        </w:rPr>
        <w:t>.New</w:t>
      </w:r>
      <w:proofErr w:type="spellEnd"/>
      <w:r w:rsidRPr="00954C86">
        <w:rPr>
          <w:rFonts w:asciiTheme="minorHAnsi" w:hAnsiTheme="minorHAnsi" w:cstheme="minorHAnsi"/>
          <w:sz w:val="20"/>
          <w:szCs w:val="20"/>
        </w:rPr>
        <w:t xml:space="preserve"> York: Basic Books.</w:t>
      </w:r>
    </w:p>
    <w:p w:rsidR="00AE3F9E" w:rsidRPr="00954C86" w:rsidRDefault="00AE3F9E" w:rsidP="00954C86">
      <w:pPr>
        <w:pStyle w:val="NormalWeb"/>
        <w:spacing w:before="0" w:beforeAutospacing="0" w:after="0" w:afterAutospacing="0"/>
        <w:rPr>
          <w:rFonts w:asciiTheme="minorHAnsi" w:hAnsiTheme="minorHAnsi" w:cstheme="minorHAnsi"/>
          <w:sz w:val="20"/>
          <w:szCs w:val="20"/>
        </w:rPr>
      </w:pPr>
    </w:p>
    <w:p w:rsidR="00AE3F9E" w:rsidRPr="00954C86" w:rsidRDefault="00AE3F9E" w:rsidP="00954C86">
      <w:pPr>
        <w:pStyle w:val="NormalWeb"/>
        <w:spacing w:before="0" w:beforeAutospacing="0" w:after="0" w:afterAutospacing="0"/>
        <w:rPr>
          <w:rFonts w:asciiTheme="minorHAnsi" w:hAnsiTheme="minorHAnsi" w:cstheme="minorHAnsi"/>
          <w:sz w:val="20"/>
          <w:szCs w:val="20"/>
        </w:rPr>
      </w:pPr>
      <w:r w:rsidRPr="00954C86">
        <w:rPr>
          <w:rFonts w:asciiTheme="minorHAnsi" w:hAnsiTheme="minorHAnsi" w:cstheme="minorHAnsi"/>
          <w:sz w:val="20"/>
          <w:szCs w:val="20"/>
        </w:rPr>
        <w:t>Griffin, T, and Miller, M. K (2008</w:t>
      </w:r>
      <w:r w:rsidRPr="00954C86">
        <w:rPr>
          <w:rFonts w:asciiTheme="minorHAnsi" w:hAnsiTheme="minorHAnsi" w:cstheme="minorHAnsi"/>
          <w:i/>
          <w:sz w:val="20"/>
          <w:szCs w:val="20"/>
        </w:rPr>
        <w:t xml:space="preserve">) Child Abduction, AMBER Alerts, and Crime Control </w:t>
      </w:r>
      <w:proofErr w:type="spellStart"/>
      <w:r w:rsidRPr="00954C86">
        <w:rPr>
          <w:rFonts w:asciiTheme="minorHAnsi" w:hAnsiTheme="minorHAnsi" w:cstheme="minorHAnsi"/>
          <w:i/>
          <w:sz w:val="20"/>
          <w:szCs w:val="20"/>
        </w:rPr>
        <w:t>Theater</w:t>
      </w:r>
      <w:proofErr w:type="spellEnd"/>
      <w:r w:rsidRPr="00954C86">
        <w:rPr>
          <w:rFonts w:asciiTheme="minorHAnsi" w:hAnsiTheme="minorHAnsi" w:cstheme="minorHAnsi"/>
          <w:i/>
          <w:sz w:val="20"/>
          <w:szCs w:val="20"/>
        </w:rPr>
        <w:t>. Criminal Justice Review,</w:t>
      </w:r>
      <w:r w:rsidRPr="00954C86">
        <w:rPr>
          <w:rFonts w:asciiTheme="minorHAnsi" w:hAnsiTheme="minorHAnsi" w:cstheme="minorHAnsi"/>
          <w:sz w:val="20"/>
          <w:szCs w:val="20"/>
        </w:rPr>
        <w:t xml:space="preserve"> 33 2, pp. 159-176.</w:t>
      </w:r>
    </w:p>
    <w:p w:rsidR="00AE3F9E" w:rsidRPr="00954C86" w:rsidRDefault="00AE3F9E" w:rsidP="00954C86">
      <w:pPr>
        <w:spacing w:after="0" w:line="240" w:lineRule="auto"/>
        <w:rPr>
          <w:rFonts w:eastAsia="Times New Roman" w:cstheme="minorHAnsi"/>
          <w:color w:val="3A3A3A"/>
          <w:sz w:val="20"/>
          <w:szCs w:val="20"/>
          <w:lang w:eastAsia="en-GB"/>
        </w:rPr>
      </w:pPr>
    </w:p>
    <w:p w:rsidR="00AE3F9E" w:rsidRPr="00954C86" w:rsidRDefault="00AE3F9E" w:rsidP="00954C86">
      <w:pPr>
        <w:spacing w:after="0" w:line="240" w:lineRule="auto"/>
        <w:rPr>
          <w:rFonts w:cstheme="minorHAnsi"/>
          <w:color w:val="3A3A3A"/>
          <w:sz w:val="20"/>
          <w:szCs w:val="20"/>
        </w:rPr>
      </w:pPr>
      <w:r w:rsidRPr="00954C86">
        <w:rPr>
          <w:rFonts w:cstheme="minorHAnsi"/>
          <w:color w:val="3A3A3A"/>
          <w:sz w:val="20"/>
          <w:szCs w:val="20"/>
        </w:rPr>
        <w:t xml:space="preserve">Hallett, Sophie, 2016. ‘An Uncomfortable Comfortableness’: ‘Care’, Child Protection and Child Sexual Exploitation. </w:t>
      </w:r>
      <w:r w:rsidRPr="00954C86">
        <w:rPr>
          <w:rFonts w:cstheme="minorHAnsi"/>
          <w:i/>
          <w:iCs/>
          <w:color w:val="3A3A3A"/>
          <w:sz w:val="20"/>
          <w:szCs w:val="20"/>
        </w:rPr>
        <w:t>The British journal of social work</w:t>
      </w:r>
      <w:r w:rsidRPr="00954C86">
        <w:rPr>
          <w:rFonts w:cstheme="minorHAnsi"/>
          <w:color w:val="3A3A3A"/>
          <w:sz w:val="20"/>
          <w:szCs w:val="20"/>
        </w:rPr>
        <w:t>, 46(7), pp.2137–2152.</w:t>
      </w:r>
    </w:p>
    <w:p w:rsidR="00AE3F9E" w:rsidRPr="00954C86" w:rsidRDefault="00AE3F9E" w:rsidP="00954C86">
      <w:pPr>
        <w:pStyle w:val="NormalWeb"/>
        <w:spacing w:before="0" w:beforeAutospacing="0" w:after="0" w:afterAutospacing="0"/>
        <w:rPr>
          <w:rFonts w:asciiTheme="minorHAnsi" w:hAnsiTheme="minorHAnsi" w:cstheme="minorHAnsi"/>
          <w:sz w:val="20"/>
          <w:szCs w:val="20"/>
        </w:rPr>
      </w:pPr>
    </w:p>
    <w:p w:rsidR="00AE3F9E" w:rsidRPr="00954C86" w:rsidRDefault="00AE3F9E" w:rsidP="00954C86">
      <w:pPr>
        <w:spacing w:after="0" w:line="240" w:lineRule="auto"/>
        <w:rPr>
          <w:rFonts w:eastAsia="Times New Roman" w:cstheme="minorHAnsi"/>
          <w:i/>
          <w:iCs/>
          <w:color w:val="3A3A3A"/>
          <w:sz w:val="20"/>
          <w:szCs w:val="20"/>
        </w:rPr>
      </w:pPr>
      <w:r w:rsidRPr="00954C86">
        <w:rPr>
          <w:rFonts w:eastAsia="Times New Roman" w:cstheme="minorHAnsi"/>
          <w:color w:val="3A3A3A"/>
          <w:sz w:val="20"/>
          <w:szCs w:val="20"/>
          <w:lang w:eastAsia="en-GB"/>
        </w:rPr>
        <w:t xml:space="preserve">Hamilton, Ian S &amp; Pearson, Dominic A.S, 2021. A systematic review examining the use of media as an offence-related behaviour in recidivism of offenders. </w:t>
      </w:r>
      <w:r w:rsidRPr="00954C86">
        <w:rPr>
          <w:rFonts w:eastAsia="Times New Roman" w:cstheme="minorHAnsi"/>
          <w:i/>
          <w:iCs/>
          <w:color w:val="3A3A3A"/>
          <w:sz w:val="20"/>
          <w:szCs w:val="20"/>
          <w:lang w:eastAsia="en-GB"/>
        </w:rPr>
        <w:t xml:space="preserve">Aggression and violent </w:t>
      </w:r>
      <w:r w:rsidRPr="00954C86">
        <w:rPr>
          <w:rFonts w:eastAsia="Times New Roman" w:cstheme="minorHAnsi"/>
          <w:i/>
          <w:iCs/>
          <w:color w:val="3A3A3A"/>
          <w:sz w:val="20"/>
          <w:szCs w:val="20"/>
        </w:rPr>
        <w:t>behaviour</w:t>
      </w:r>
    </w:p>
    <w:p w:rsidR="00AE3F9E" w:rsidRPr="00954C86" w:rsidRDefault="00AE3F9E" w:rsidP="00954C86">
      <w:pPr>
        <w:spacing w:after="0" w:line="240" w:lineRule="auto"/>
        <w:rPr>
          <w:rFonts w:eastAsia="Times New Roman" w:cstheme="minorHAnsi"/>
          <w:i/>
          <w:iCs/>
          <w:color w:val="3A3A3A"/>
          <w:sz w:val="20"/>
          <w:szCs w:val="20"/>
        </w:rPr>
      </w:pPr>
    </w:p>
    <w:p w:rsidR="00AE3F9E" w:rsidRPr="00954C86" w:rsidRDefault="00AE3F9E" w:rsidP="00954C86">
      <w:pPr>
        <w:spacing w:after="0" w:line="240" w:lineRule="auto"/>
        <w:rPr>
          <w:rFonts w:eastAsia="Times New Roman" w:cstheme="minorHAnsi"/>
          <w:color w:val="3A3A3A"/>
          <w:sz w:val="20"/>
          <w:szCs w:val="20"/>
          <w:lang w:eastAsia="en-GB"/>
        </w:rPr>
      </w:pPr>
      <w:r w:rsidRPr="00311C4F">
        <w:rPr>
          <w:rFonts w:eastAsia="Times New Roman" w:cstheme="minorHAnsi"/>
          <w:color w:val="3A3A3A"/>
          <w:sz w:val="20"/>
          <w:szCs w:val="20"/>
          <w:lang w:eastAsia="en-GB"/>
        </w:rPr>
        <w:t>Hobson, Jonathan et al., 2018. Are Police-Led Social Crime Prevention Initiatives Effective</w:t>
      </w:r>
      <w:proofErr w:type="gramStart"/>
      <w:r w:rsidRPr="00311C4F">
        <w:rPr>
          <w:rFonts w:eastAsia="Times New Roman" w:cstheme="minorHAnsi"/>
          <w:color w:val="3A3A3A"/>
          <w:sz w:val="20"/>
          <w:szCs w:val="20"/>
          <w:lang w:eastAsia="en-GB"/>
        </w:rPr>
        <w:t>?:</w:t>
      </w:r>
      <w:proofErr w:type="gramEnd"/>
      <w:r w:rsidRPr="00311C4F">
        <w:rPr>
          <w:rFonts w:eastAsia="Times New Roman" w:cstheme="minorHAnsi"/>
          <w:color w:val="3A3A3A"/>
          <w:sz w:val="20"/>
          <w:szCs w:val="20"/>
          <w:lang w:eastAsia="en-GB"/>
        </w:rPr>
        <w:t xml:space="preserve"> A Process and Outcome Evaluation of a UK Youth Intervention. </w:t>
      </w:r>
      <w:r w:rsidRPr="00311C4F">
        <w:rPr>
          <w:rFonts w:eastAsia="Times New Roman" w:cstheme="minorHAnsi"/>
          <w:i/>
          <w:iCs/>
          <w:color w:val="3A3A3A"/>
          <w:sz w:val="20"/>
          <w:szCs w:val="20"/>
          <w:lang w:eastAsia="en-GB"/>
        </w:rPr>
        <w:t>International criminal justice review</w:t>
      </w:r>
      <w:r w:rsidRPr="00311C4F">
        <w:rPr>
          <w:rFonts w:eastAsia="Times New Roman" w:cstheme="minorHAnsi"/>
          <w:color w:val="3A3A3A"/>
          <w:sz w:val="20"/>
          <w:szCs w:val="20"/>
          <w:lang w:eastAsia="en-GB"/>
        </w:rPr>
        <w:t>,</w:t>
      </w:r>
    </w:p>
    <w:p w:rsidR="00AE3F9E" w:rsidRPr="00954C86" w:rsidRDefault="00AE3F9E" w:rsidP="00954C86">
      <w:pPr>
        <w:spacing w:after="0" w:line="240" w:lineRule="auto"/>
        <w:rPr>
          <w:rFonts w:eastAsia="Times New Roman" w:cstheme="minorHAnsi"/>
          <w:i/>
          <w:iCs/>
          <w:color w:val="3A3A3A"/>
          <w:sz w:val="20"/>
          <w:szCs w:val="20"/>
        </w:rPr>
      </w:pPr>
    </w:p>
    <w:p w:rsidR="00AE3F9E" w:rsidRPr="00954C86" w:rsidRDefault="00AE3F9E" w:rsidP="00954C86">
      <w:pPr>
        <w:pStyle w:val="NormalWeb"/>
        <w:spacing w:before="0" w:beforeAutospacing="0" w:after="0" w:afterAutospacing="0"/>
        <w:rPr>
          <w:rFonts w:asciiTheme="minorHAnsi" w:hAnsiTheme="minorHAnsi" w:cstheme="minorHAnsi"/>
          <w:sz w:val="20"/>
          <w:szCs w:val="20"/>
        </w:rPr>
      </w:pPr>
      <w:r w:rsidRPr="00954C86">
        <w:rPr>
          <w:rFonts w:asciiTheme="minorHAnsi" w:hAnsiTheme="minorHAnsi" w:cstheme="minorHAnsi"/>
          <w:sz w:val="20"/>
          <w:szCs w:val="20"/>
        </w:rPr>
        <w:t xml:space="preserve">HM Inspectorate of Probation and HM Inspectorate of Prisons (2006). </w:t>
      </w:r>
      <w:r w:rsidRPr="00954C86">
        <w:rPr>
          <w:rFonts w:asciiTheme="minorHAnsi" w:hAnsiTheme="minorHAnsi" w:cstheme="minorHAnsi"/>
          <w:i/>
          <w:sz w:val="20"/>
          <w:szCs w:val="20"/>
        </w:rPr>
        <w:t>An Independent Review of a Serious Further Offence case: Damien Hanson &amp; Elliot White</w:t>
      </w:r>
      <w:r w:rsidRPr="00954C86">
        <w:rPr>
          <w:rFonts w:asciiTheme="minorHAnsi" w:hAnsiTheme="minorHAnsi" w:cstheme="minorHAnsi"/>
          <w:sz w:val="20"/>
          <w:szCs w:val="20"/>
        </w:rPr>
        <w:t>. Manchester: Her Majesty's Inspectorate of Probation.</w:t>
      </w:r>
    </w:p>
    <w:p w:rsidR="00AE3F9E" w:rsidRPr="00954C86" w:rsidRDefault="00AE3F9E" w:rsidP="00954C86">
      <w:pPr>
        <w:pStyle w:val="NormalWeb"/>
        <w:spacing w:before="0" w:beforeAutospacing="0" w:after="0" w:afterAutospacing="0"/>
        <w:rPr>
          <w:rFonts w:asciiTheme="minorHAnsi" w:hAnsiTheme="minorHAnsi" w:cstheme="minorHAnsi"/>
          <w:sz w:val="20"/>
          <w:szCs w:val="20"/>
        </w:rPr>
      </w:pPr>
    </w:p>
    <w:p w:rsidR="00AE3F9E" w:rsidRPr="00954C86" w:rsidRDefault="00AE3F9E" w:rsidP="00954C86">
      <w:pPr>
        <w:spacing w:after="0" w:line="240" w:lineRule="auto"/>
        <w:rPr>
          <w:rFonts w:eastAsia="Times New Roman" w:cstheme="minorHAnsi"/>
          <w:color w:val="3A3A3A"/>
          <w:sz w:val="20"/>
          <w:szCs w:val="20"/>
          <w:lang w:eastAsia="en-GB"/>
        </w:rPr>
      </w:pPr>
      <w:r w:rsidRPr="00F50B58">
        <w:rPr>
          <w:rFonts w:eastAsia="Times New Roman" w:cstheme="minorHAnsi"/>
          <w:color w:val="3A3A3A"/>
          <w:sz w:val="20"/>
          <w:szCs w:val="20"/>
          <w:lang w:eastAsia="en-GB"/>
        </w:rPr>
        <w:t xml:space="preserve">Innes, Martin, ‘Why ‘soft’ Policing Is Hard: On the Curious Development of Reassurance Policing, How It Became Neighbourhood Policing and What This Signifies </w:t>
      </w:r>
      <w:proofErr w:type="gramStart"/>
      <w:r w:rsidRPr="00F50B58">
        <w:rPr>
          <w:rFonts w:eastAsia="Times New Roman" w:cstheme="minorHAnsi"/>
          <w:color w:val="3A3A3A"/>
          <w:sz w:val="20"/>
          <w:szCs w:val="20"/>
          <w:lang w:eastAsia="en-GB"/>
        </w:rPr>
        <w:t>About</w:t>
      </w:r>
      <w:proofErr w:type="gramEnd"/>
      <w:r w:rsidRPr="00F50B58">
        <w:rPr>
          <w:rFonts w:eastAsia="Times New Roman" w:cstheme="minorHAnsi"/>
          <w:color w:val="3A3A3A"/>
          <w:sz w:val="20"/>
          <w:szCs w:val="20"/>
          <w:lang w:eastAsia="en-GB"/>
        </w:rPr>
        <w:t xml:space="preserve"> the Politics of Police Reform’, </w:t>
      </w:r>
      <w:r w:rsidRPr="00F50B58">
        <w:rPr>
          <w:rFonts w:eastAsia="Times New Roman" w:cstheme="minorHAnsi"/>
          <w:i/>
          <w:iCs/>
          <w:color w:val="3A3A3A"/>
          <w:sz w:val="20"/>
          <w:szCs w:val="20"/>
          <w:lang w:eastAsia="en-GB"/>
        </w:rPr>
        <w:t>Journal of Community &amp; Applied Social Psychology</w:t>
      </w:r>
      <w:r w:rsidRPr="00F50B58">
        <w:rPr>
          <w:rFonts w:eastAsia="Times New Roman" w:cstheme="minorHAnsi"/>
          <w:color w:val="3A3A3A"/>
          <w:sz w:val="20"/>
          <w:szCs w:val="20"/>
          <w:lang w:eastAsia="en-GB"/>
        </w:rPr>
        <w:t>, 15.3 (2005)</w:t>
      </w:r>
    </w:p>
    <w:p w:rsidR="00AE3F9E" w:rsidRPr="00954C86" w:rsidRDefault="00AE3F9E" w:rsidP="00954C86">
      <w:pPr>
        <w:pStyle w:val="NormalWeb"/>
        <w:spacing w:before="0" w:beforeAutospacing="0" w:after="0" w:afterAutospacing="0"/>
        <w:rPr>
          <w:rFonts w:asciiTheme="minorHAnsi" w:hAnsiTheme="minorHAnsi" w:cstheme="minorHAnsi"/>
          <w:sz w:val="20"/>
          <w:szCs w:val="20"/>
        </w:rPr>
      </w:pPr>
    </w:p>
    <w:p w:rsidR="00AE3F9E" w:rsidRPr="00954C86" w:rsidRDefault="00AE3F9E" w:rsidP="00954C86">
      <w:pPr>
        <w:spacing w:after="0" w:line="240" w:lineRule="auto"/>
        <w:rPr>
          <w:rFonts w:cstheme="minorHAnsi"/>
          <w:color w:val="3A3A3A"/>
          <w:sz w:val="20"/>
          <w:szCs w:val="20"/>
        </w:rPr>
      </w:pPr>
      <w:r w:rsidRPr="00954C86">
        <w:rPr>
          <w:rFonts w:cstheme="minorHAnsi"/>
          <w:color w:val="3A3A3A"/>
          <w:sz w:val="20"/>
          <w:szCs w:val="20"/>
        </w:rPr>
        <w:t xml:space="preserve">Jackson, Jonathan &amp; Bradford, Ben, 2009. Crime, policing and social order: on the expressive nature of public confidence in policing. </w:t>
      </w:r>
      <w:r w:rsidRPr="00954C86">
        <w:rPr>
          <w:rFonts w:cstheme="minorHAnsi"/>
          <w:i/>
          <w:iCs/>
          <w:color w:val="3A3A3A"/>
          <w:sz w:val="20"/>
          <w:szCs w:val="20"/>
        </w:rPr>
        <w:t>The British journal of sociology</w:t>
      </w:r>
      <w:r w:rsidRPr="00954C86">
        <w:rPr>
          <w:rFonts w:cstheme="minorHAnsi"/>
          <w:color w:val="3A3A3A"/>
          <w:sz w:val="20"/>
          <w:szCs w:val="20"/>
        </w:rPr>
        <w:t>, 60(3), pp.493–521.</w:t>
      </w:r>
    </w:p>
    <w:p w:rsidR="00AE3F9E" w:rsidRPr="00954C86" w:rsidRDefault="00AE3F9E" w:rsidP="00954C86">
      <w:pPr>
        <w:pStyle w:val="NormalWeb"/>
        <w:spacing w:before="0" w:beforeAutospacing="0" w:after="0" w:afterAutospacing="0"/>
        <w:rPr>
          <w:rFonts w:asciiTheme="minorHAnsi" w:hAnsiTheme="minorHAnsi" w:cstheme="minorHAnsi"/>
          <w:sz w:val="20"/>
          <w:szCs w:val="20"/>
        </w:rPr>
      </w:pPr>
    </w:p>
    <w:p w:rsidR="00AE3F9E" w:rsidRPr="00954C86" w:rsidRDefault="00AE3F9E" w:rsidP="00954C86">
      <w:pPr>
        <w:spacing w:after="0" w:line="240" w:lineRule="auto"/>
        <w:rPr>
          <w:rFonts w:cstheme="minorHAnsi"/>
          <w:color w:val="3A3A3A"/>
          <w:sz w:val="20"/>
          <w:szCs w:val="20"/>
        </w:rPr>
      </w:pPr>
      <w:r w:rsidRPr="00954C86">
        <w:rPr>
          <w:rFonts w:cstheme="minorHAnsi"/>
          <w:color w:val="3A3A3A"/>
          <w:sz w:val="20"/>
          <w:szCs w:val="20"/>
        </w:rPr>
        <w:t xml:space="preserve">Jespersen, Ashley F, </w:t>
      </w:r>
      <w:proofErr w:type="spellStart"/>
      <w:r w:rsidRPr="00954C86">
        <w:rPr>
          <w:rFonts w:cstheme="minorHAnsi"/>
          <w:color w:val="3A3A3A"/>
          <w:sz w:val="20"/>
          <w:szCs w:val="20"/>
        </w:rPr>
        <w:t>Lalumière</w:t>
      </w:r>
      <w:proofErr w:type="spellEnd"/>
      <w:r w:rsidRPr="00954C86">
        <w:rPr>
          <w:rFonts w:cstheme="minorHAnsi"/>
          <w:color w:val="3A3A3A"/>
          <w:sz w:val="20"/>
          <w:szCs w:val="20"/>
        </w:rPr>
        <w:t xml:space="preserve">, Martin L &amp; </w:t>
      </w:r>
      <w:proofErr w:type="spellStart"/>
      <w:r w:rsidRPr="00954C86">
        <w:rPr>
          <w:rFonts w:cstheme="minorHAnsi"/>
          <w:color w:val="3A3A3A"/>
          <w:sz w:val="20"/>
          <w:szCs w:val="20"/>
        </w:rPr>
        <w:t>Seto</w:t>
      </w:r>
      <w:proofErr w:type="spellEnd"/>
      <w:r w:rsidRPr="00954C86">
        <w:rPr>
          <w:rFonts w:cstheme="minorHAnsi"/>
          <w:color w:val="3A3A3A"/>
          <w:sz w:val="20"/>
          <w:szCs w:val="20"/>
        </w:rPr>
        <w:t xml:space="preserve">, Michael C, 2009. Sexual abuse history among adult sex offenders and non-sex offenders: A meta-analysis. </w:t>
      </w:r>
      <w:r w:rsidRPr="00954C86">
        <w:rPr>
          <w:rFonts w:cstheme="minorHAnsi"/>
          <w:i/>
          <w:iCs/>
          <w:color w:val="3A3A3A"/>
          <w:sz w:val="20"/>
          <w:szCs w:val="20"/>
        </w:rPr>
        <w:t>Child abuse &amp; neglect</w:t>
      </w:r>
      <w:r w:rsidRPr="00954C86">
        <w:rPr>
          <w:rFonts w:cstheme="minorHAnsi"/>
          <w:color w:val="3A3A3A"/>
          <w:sz w:val="20"/>
          <w:szCs w:val="20"/>
        </w:rPr>
        <w:t>, 33(3), pp.179–192.</w:t>
      </w:r>
    </w:p>
    <w:p w:rsidR="00AE3F9E" w:rsidRPr="00954C86" w:rsidRDefault="00AE3F9E" w:rsidP="00954C86">
      <w:pPr>
        <w:pStyle w:val="NormalWeb"/>
        <w:spacing w:before="0" w:beforeAutospacing="0" w:after="0" w:afterAutospacing="0"/>
        <w:rPr>
          <w:rFonts w:asciiTheme="minorHAnsi" w:hAnsiTheme="minorHAnsi" w:cstheme="minorHAnsi"/>
          <w:sz w:val="20"/>
          <w:szCs w:val="20"/>
        </w:rPr>
      </w:pPr>
    </w:p>
    <w:p w:rsidR="00AE3F9E" w:rsidRPr="00954C86" w:rsidRDefault="00AE3F9E" w:rsidP="00954C86">
      <w:pPr>
        <w:spacing w:after="0" w:line="240" w:lineRule="auto"/>
        <w:rPr>
          <w:rFonts w:cstheme="minorHAnsi"/>
          <w:color w:val="3A3A3A"/>
          <w:sz w:val="20"/>
          <w:szCs w:val="20"/>
        </w:rPr>
      </w:pPr>
      <w:r w:rsidRPr="00954C86">
        <w:rPr>
          <w:rFonts w:cstheme="minorHAnsi"/>
          <w:color w:val="3A3A3A"/>
          <w:sz w:val="20"/>
          <w:szCs w:val="20"/>
        </w:rPr>
        <w:t xml:space="preserve">Maguire, Mike &amp; </w:t>
      </w:r>
      <w:proofErr w:type="spellStart"/>
      <w:r w:rsidRPr="00954C86">
        <w:rPr>
          <w:rFonts w:cstheme="minorHAnsi"/>
          <w:color w:val="3A3A3A"/>
          <w:sz w:val="20"/>
          <w:szCs w:val="20"/>
        </w:rPr>
        <w:t>Raynor</w:t>
      </w:r>
      <w:proofErr w:type="spellEnd"/>
      <w:r w:rsidRPr="00954C86">
        <w:rPr>
          <w:rFonts w:cstheme="minorHAnsi"/>
          <w:color w:val="3A3A3A"/>
          <w:sz w:val="20"/>
          <w:szCs w:val="20"/>
        </w:rPr>
        <w:t xml:space="preserve">, Peter, 2017. Offender management in and after prison: The end of ‘end to end’? </w:t>
      </w:r>
      <w:r w:rsidRPr="00954C86">
        <w:rPr>
          <w:rFonts w:cstheme="minorHAnsi"/>
          <w:i/>
          <w:iCs/>
          <w:color w:val="3A3A3A"/>
          <w:sz w:val="20"/>
          <w:szCs w:val="20"/>
        </w:rPr>
        <w:t>Criminology &amp; criminal justice</w:t>
      </w:r>
      <w:r w:rsidRPr="00954C86">
        <w:rPr>
          <w:rFonts w:cstheme="minorHAnsi"/>
          <w:color w:val="3A3A3A"/>
          <w:sz w:val="20"/>
          <w:szCs w:val="20"/>
        </w:rPr>
        <w:t>, 17(2), pp.138–157.</w:t>
      </w:r>
    </w:p>
    <w:p w:rsidR="00AE3F9E" w:rsidRPr="00954C86" w:rsidRDefault="00AE3F9E" w:rsidP="00954C86">
      <w:pPr>
        <w:pStyle w:val="NormalWeb"/>
        <w:spacing w:before="0" w:beforeAutospacing="0" w:after="0" w:afterAutospacing="0"/>
        <w:rPr>
          <w:rFonts w:asciiTheme="minorHAnsi" w:hAnsiTheme="minorHAnsi" w:cstheme="minorHAnsi"/>
          <w:sz w:val="20"/>
          <w:szCs w:val="20"/>
        </w:rPr>
      </w:pPr>
    </w:p>
    <w:p w:rsidR="00AE3F9E" w:rsidRPr="00954C86" w:rsidRDefault="00AE3F9E" w:rsidP="00954C86">
      <w:pPr>
        <w:spacing w:after="0" w:line="240" w:lineRule="auto"/>
        <w:rPr>
          <w:rFonts w:cstheme="minorHAnsi"/>
          <w:color w:val="3A3A3A"/>
          <w:sz w:val="20"/>
          <w:szCs w:val="20"/>
        </w:rPr>
      </w:pPr>
      <w:r w:rsidRPr="00954C86">
        <w:rPr>
          <w:rFonts w:cstheme="minorHAnsi"/>
          <w:color w:val="3A3A3A"/>
          <w:sz w:val="20"/>
          <w:szCs w:val="20"/>
        </w:rPr>
        <w:t xml:space="preserve">Michael </w:t>
      </w:r>
      <w:proofErr w:type="gramStart"/>
      <w:r w:rsidRPr="00954C86">
        <w:rPr>
          <w:rFonts w:cstheme="minorHAnsi"/>
          <w:color w:val="3A3A3A"/>
          <w:sz w:val="20"/>
          <w:szCs w:val="20"/>
        </w:rPr>
        <w:t>Williams ;</w:t>
      </w:r>
      <w:proofErr w:type="gramEnd"/>
      <w:r w:rsidRPr="00954C86">
        <w:rPr>
          <w:rFonts w:cstheme="minorHAnsi"/>
          <w:color w:val="3A3A3A"/>
          <w:sz w:val="20"/>
          <w:szCs w:val="20"/>
        </w:rPr>
        <w:t xml:space="preserve"> Graham Gooch, 2015. National Offender Management Service. </w:t>
      </w:r>
      <w:r w:rsidRPr="00954C86">
        <w:rPr>
          <w:rFonts w:cstheme="minorHAnsi"/>
          <w:i/>
          <w:iCs/>
          <w:color w:val="3A3A3A"/>
          <w:sz w:val="20"/>
          <w:szCs w:val="20"/>
        </w:rPr>
        <w:t>A Dictionary of Law Enforcement</w:t>
      </w:r>
      <w:r w:rsidRPr="00954C86">
        <w:rPr>
          <w:rFonts w:cstheme="minorHAnsi"/>
          <w:color w:val="3A3A3A"/>
          <w:sz w:val="20"/>
          <w:szCs w:val="20"/>
        </w:rPr>
        <w:t>.</w:t>
      </w:r>
    </w:p>
    <w:p w:rsidR="00AE3F9E" w:rsidRPr="00954C86" w:rsidRDefault="00AE3F9E" w:rsidP="00954C86">
      <w:pPr>
        <w:spacing w:after="0" w:line="240" w:lineRule="auto"/>
        <w:rPr>
          <w:rFonts w:cstheme="minorHAnsi"/>
          <w:color w:val="3A3A3A"/>
          <w:sz w:val="20"/>
          <w:szCs w:val="20"/>
        </w:rPr>
      </w:pPr>
    </w:p>
    <w:p w:rsidR="00AE3F9E" w:rsidRPr="00954C86" w:rsidRDefault="00AE3F9E" w:rsidP="00954C86">
      <w:pPr>
        <w:spacing w:after="0" w:line="240" w:lineRule="auto"/>
        <w:rPr>
          <w:rFonts w:cstheme="minorHAnsi"/>
          <w:color w:val="3A3A3A"/>
          <w:sz w:val="20"/>
          <w:szCs w:val="20"/>
        </w:rPr>
      </w:pPr>
      <w:r w:rsidRPr="00954C86">
        <w:rPr>
          <w:rFonts w:cstheme="minorHAnsi"/>
          <w:color w:val="3A3A3A"/>
          <w:sz w:val="20"/>
          <w:szCs w:val="20"/>
        </w:rPr>
        <w:t xml:space="preserve">Miller, Joel et al., 2020. Can police training reduce ethnic/racial disparities in stop and search? Evidence from a multisite UK trial. </w:t>
      </w:r>
      <w:r w:rsidRPr="00954C86">
        <w:rPr>
          <w:rFonts w:cstheme="minorHAnsi"/>
          <w:i/>
          <w:iCs/>
          <w:color w:val="3A3A3A"/>
          <w:sz w:val="20"/>
          <w:szCs w:val="20"/>
        </w:rPr>
        <w:t>Criminology &amp; public policy</w:t>
      </w:r>
      <w:r w:rsidRPr="00954C86">
        <w:rPr>
          <w:rFonts w:cstheme="minorHAnsi"/>
          <w:color w:val="3A3A3A"/>
          <w:sz w:val="20"/>
          <w:szCs w:val="20"/>
        </w:rPr>
        <w:t>, 19(4), pp.1259–1287.</w:t>
      </w:r>
    </w:p>
    <w:p w:rsidR="00AE3F9E" w:rsidRPr="00954C86" w:rsidRDefault="00AE3F9E" w:rsidP="00954C86">
      <w:pPr>
        <w:spacing w:after="0" w:line="240" w:lineRule="auto"/>
        <w:rPr>
          <w:rFonts w:cstheme="minorHAnsi"/>
          <w:color w:val="3A3A3A"/>
          <w:sz w:val="20"/>
          <w:szCs w:val="20"/>
        </w:rPr>
      </w:pPr>
    </w:p>
    <w:p w:rsidR="00AE3F9E" w:rsidRPr="00954C86" w:rsidRDefault="00AE3F9E" w:rsidP="00954C86">
      <w:pPr>
        <w:spacing w:after="0" w:line="240" w:lineRule="auto"/>
        <w:rPr>
          <w:rFonts w:cstheme="minorHAnsi"/>
          <w:color w:val="3A3A3A"/>
          <w:sz w:val="20"/>
          <w:szCs w:val="20"/>
        </w:rPr>
      </w:pPr>
      <w:r w:rsidRPr="00954C86">
        <w:rPr>
          <w:rFonts w:cstheme="minorHAnsi"/>
          <w:color w:val="3A3A3A"/>
          <w:sz w:val="20"/>
          <w:szCs w:val="20"/>
        </w:rPr>
        <w:t xml:space="preserve">Millie, Andrew, 2013. The policing task and the expansion (and contraction) of British policing. </w:t>
      </w:r>
      <w:r w:rsidRPr="00954C86">
        <w:rPr>
          <w:rFonts w:cstheme="minorHAnsi"/>
          <w:i/>
          <w:iCs/>
          <w:color w:val="3A3A3A"/>
          <w:sz w:val="20"/>
          <w:szCs w:val="20"/>
        </w:rPr>
        <w:t>Criminology &amp; criminal justice</w:t>
      </w:r>
      <w:r w:rsidRPr="00954C86">
        <w:rPr>
          <w:rFonts w:cstheme="minorHAnsi"/>
          <w:color w:val="3A3A3A"/>
          <w:sz w:val="20"/>
          <w:szCs w:val="20"/>
        </w:rPr>
        <w:t>, 13(2), pp.143–160.</w:t>
      </w:r>
    </w:p>
    <w:p w:rsidR="00AE3F9E" w:rsidRPr="00954C86" w:rsidRDefault="00AE3F9E" w:rsidP="00954C86">
      <w:pPr>
        <w:spacing w:after="0" w:line="240" w:lineRule="auto"/>
        <w:rPr>
          <w:rFonts w:cstheme="minorHAnsi"/>
          <w:color w:val="3A3A3A"/>
          <w:sz w:val="20"/>
          <w:szCs w:val="20"/>
        </w:rPr>
      </w:pPr>
    </w:p>
    <w:p w:rsidR="00AE3F9E" w:rsidRPr="00954C86" w:rsidRDefault="00AE3F9E" w:rsidP="00954C86">
      <w:pPr>
        <w:spacing w:after="0" w:line="240" w:lineRule="auto"/>
        <w:rPr>
          <w:rFonts w:cstheme="minorHAnsi"/>
          <w:color w:val="3A3A3A"/>
          <w:sz w:val="20"/>
          <w:szCs w:val="20"/>
        </w:rPr>
      </w:pPr>
      <w:r w:rsidRPr="00954C86">
        <w:rPr>
          <w:rFonts w:cstheme="minorHAnsi"/>
          <w:color w:val="3A3A3A"/>
          <w:sz w:val="20"/>
          <w:szCs w:val="20"/>
        </w:rPr>
        <w:t xml:space="preserve">Pitts, John, ‘Black Young People and Gang Involvement in London’, </w:t>
      </w:r>
      <w:r w:rsidRPr="00954C86">
        <w:rPr>
          <w:rFonts w:cstheme="minorHAnsi"/>
          <w:i/>
          <w:iCs/>
          <w:color w:val="3A3A3A"/>
          <w:sz w:val="20"/>
          <w:szCs w:val="20"/>
        </w:rPr>
        <w:t>Youth Justice</w:t>
      </w:r>
      <w:r w:rsidRPr="00954C86">
        <w:rPr>
          <w:rFonts w:cstheme="minorHAnsi"/>
          <w:color w:val="3A3A3A"/>
          <w:sz w:val="20"/>
          <w:szCs w:val="20"/>
        </w:rPr>
        <w:t>, 20.1-2 (2020)</w:t>
      </w:r>
    </w:p>
    <w:p w:rsidR="00AE3F9E" w:rsidRPr="00954C86" w:rsidRDefault="00AE3F9E" w:rsidP="00954C86">
      <w:pPr>
        <w:spacing w:after="0" w:line="240" w:lineRule="auto"/>
        <w:rPr>
          <w:rFonts w:cstheme="minorHAnsi"/>
          <w:color w:val="3A3A3A"/>
          <w:sz w:val="20"/>
          <w:szCs w:val="20"/>
        </w:rPr>
      </w:pPr>
    </w:p>
    <w:p w:rsidR="00AE3F9E" w:rsidRPr="00954C86" w:rsidRDefault="00AE3F9E" w:rsidP="00954C86">
      <w:pPr>
        <w:spacing w:after="0" w:line="240" w:lineRule="auto"/>
        <w:rPr>
          <w:rFonts w:eastAsia="Times New Roman" w:cstheme="minorHAnsi"/>
          <w:color w:val="3A3A3A"/>
          <w:sz w:val="20"/>
          <w:szCs w:val="20"/>
          <w:lang w:eastAsia="en-GB"/>
        </w:rPr>
      </w:pPr>
      <w:r w:rsidRPr="00954C86">
        <w:rPr>
          <w:rFonts w:eastAsia="Times New Roman" w:cstheme="minorHAnsi"/>
          <w:color w:val="3A3A3A"/>
          <w:sz w:val="20"/>
          <w:szCs w:val="20"/>
          <w:lang w:eastAsia="en-GB"/>
        </w:rPr>
        <w:t xml:space="preserve">Porter, Louise E &amp; </w:t>
      </w:r>
      <w:proofErr w:type="spellStart"/>
      <w:r w:rsidRPr="00954C86">
        <w:rPr>
          <w:rFonts w:eastAsia="Times New Roman" w:cstheme="minorHAnsi"/>
          <w:color w:val="3A3A3A"/>
          <w:sz w:val="20"/>
          <w:szCs w:val="20"/>
          <w:lang w:eastAsia="en-GB"/>
        </w:rPr>
        <w:t>Graycar</w:t>
      </w:r>
      <w:proofErr w:type="spellEnd"/>
      <w:r w:rsidRPr="00954C86">
        <w:rPr>
          <w:rFonts w:eastAsia="Times New Roman" w:cstheme="minorHAnsi"/>
          <w:color w:val="3A3A3A"/>
          <w:sz w:val="20"/>
          <w:szCs w:val="20"/>
          <w:lang w:eastAsia="en-GB"/>
        </w:rPr>
        <w:t xml:space="preserve">, Adam, 2016. Hotspots of corruption: Applying a problem-oriented policing approach to preventing corruption in the public sector. </w:t>
      </w:r>
      <w:r w:rsidRPr="00954C86">
        <w:rPr>
          <w:rFonts w:eastAsia="Times New Roman" w:cstheme="minorHAnsi"/>
          <w:i/>
          <w:iCs/>
          <w:color w:val="3A3A3A"/>
          <w:sz w:val="20"/>
          <w:szCs w:val="20"/>
          <w:lang w:eastAsia="en-GB"/>
        </w:rPr>
        <w:t>Security journal</w:t>
      </w:r>
      <w:r w:rsidRPr="00954C86">
        <w:rPr>
          <w:rFonts w:eastAsia="Times New Roman" w:cstheme="minorHAnsi"/>
          <w:color w:val="3A3A3A"/>
          <w:sz w:val="20"/>
          <w:szCs w:val="20"/>
          <w:lang w:eastAsia="en-GB"/>
        </w:rPr>
        <w:t>, 29(3), pp.423–441.</w:t>
      </w:r>
    </w:p>
    <w:p w:rsidR="00AE3F9E" w:rsidRPr="00954C86" w:rsidRDefault="00AE3F9E" w:rsidP="00954C86">
      <w:pPr>
        <w:spacing w:after="0" w:line="240" w:lineRule="auto"/>
        <w:rPr>
          <w:rFonts w:cstheme="minorHAnsi"/>
          <w:color w:val="3A3A3A"/>
          <w:sz w:val="20"/>
          <w:szCs w:val="20"/>
        </w:rPr>
      </w:pPr>
    </w:p>
    <w:p w:rsidR="00AE3F9E" w:rsidRPr="00954C86" w:rsidRDefault="00AE3F9E" w:rsidP="00954C86">
      <w:pPr>
        <w:spacing w:after="0" w:line="240" w:lineRule="auto"/>
        <w:rPr>
          <w:rFonts w:cstheme="minorHAnsi"/>
          <w:color w:val="3A3A3A"/>
          <w:sz w:val="20"/>
          <w:szCs w:val="20"/>
        </w:rPr>
      </w:pPr>
      <w:r w:rsidRPr="00954C86">
        <w:rPr>
          <w:rFonts w:cstheme="minorHAnsi"/>
          <w:color w:val="3A3A3A"/>
          <w:sz w:val="20"/>
          <w:szCs w:val="20"/>
        </w:rPr>
        <w:t xml:space="preserve">Serious Organised Crime Agency, 2006. The United Kingdom threat assessment of serious organised crime. </w:t>
      </w:r>
      <w:r w:rsidRPr="00954C86">
        <w:rPr>
          <w:rFonts w:cstheme="minorHAnsi"/>
          <w:i/>
          <w:iCs/>
          <w:color w:val="3A3A3A"/>
          <w:sz w:val="20"/>
          <w:szCs w:val="20"/>
        </w:rPr>
        <w:t>Trends in organized crime</w:t>
      </w:r>
      <w:r w:rsidRPr="00954C86">
        <w:rPr>
          <w:rFonts w:cstheme="minorHAnsi"/>
          <w:color w:val="3A3A3A"/>
          <w:sz w:val="20"/>
          <w:szCs w:val="20"/>
        </w:rPr>
        <w:t>, 10(1), pp.52–57</w:t>
      </w:r>
    </w:p>
    <w:p w:rsidR="00AE3F9E" w:rsidRPr="00954C86" w:rsidRDefault="00AE3F9E" w:rsidP="00954C86">
      <w:pPr>
        <w:spacing w:after="0" w:line="240" w:lineRule="auto"/>
        <w:rPr>
          <w:rFonts w:cstheme="minorHAnsi"/>
          <w:color w:val="3A3A3A"/>
          <w:sz w:val="20"/>
          <w:szCs w:val="20"/>
        </w:rPr>
      </w:pPr>
    </w:p>
    <w:p w:rsidR="00AE3F9E" w:rsidRPr="00954C86" w:rsidRDefault="00AE3F9E" w:rsidP="00954C86">
      <w:pPr>
        <w:spacing w:after="0" w:line="240" w:lineRule="auto"/>
        <w:rPr>
          <w:rFonts w:eastAsia="Times New Roman" w:cstheme="minorHAnsi"/>
          <w:color w:val="3A3A3A"/>
          <w:sz w:val="20"/>
          <w:szCs w:val="20"/>
        </w:rPr>
      </w:pPr>
      <w:r w:rsidRPr="00954C86">
        <w:rPr>
          <w:rFonts w:eastAsia="Times New Roman" w:cstheme="minorHAnsi"/>
          <w:color w:val="3A3A3A"/>
          <w:sz w:val="20"/>
          <w:szCs w:val="20"/>
          <w:lang w:eastAsia="en-GB"/>
        </w:rPr>
        <w:t xml:space="preserve">Smithson, Hannah, and Ralphs, Rob, ‘Youth in the UK: 99 Problems but the Gang </w:t>
      </w:r>
      <w:proofErr w:type="gramStart"/>
      <w:r w:rsidRPr="00954C86">
        <w:rPr>
          <w:rFonts w:eastAsia="Times New Roman" w:cstheme="minorHAnsi"/>
          <w:color w:val="3A3A3A"/>
          <w:sz w:val="20"/>
          <w:szCs w:val="20"/>
          <w:lang w:eastAsia="en-GB"/>
        </w:rPr>
        <w:t>Ain '</w:t>
      </w:r>
      <w:proofErr w:type="gramEnd"/>
      <w:r w:rsidRPr="00954C86">
        <w:rPr>
          <w:rFonts w:eastAsia="Times New Roman" w:cstheme="minorHAnsi"/>
          <w:color w:val="3A3A3A"/>
          <w:sz w:val="20"/>
          <w:szCs w:val="20"/>
          <w:lang w:eastAsia="en-GB"/>
        </w:rPr>
        <w:t xml:space="preserve"> t One?’, </w:t>
      </w:r>
      <w:r w:rsidRPr="00954C86">
        <w:rPr>
          <w:rFonts w:eastAsia="Times New Roman" w:cstheme="minorHAnsi"/>
          <w:i/>
          <w:iCs/>
          <w:color w:val="3A3A3A"/>
          <w:sz w:val="20"/>
          <w:szCs w:val="20"/>
          <w:lang w:eastAsia="en-GB"/>
        </w:rPr>
        <w:t>Safer Communities</w:t>
      </w:r>
      <w:r w:rsidRPr="00954C86">
        <w:rPr>
          <w:rFonts w:eastAsia="Times New Roman" w:cstheme="minorHAnsi"/>
          <w:color w:val="3A3A3A"/>
          <w:sz w:val="20"/>
          <w:szCs w:val="20"/>
          <w:lang w:eastAsia="en-GB"/>
        </w:rPr>
        <w:t>, 15.1 (2016), 11–23</w:t>
      </w:r>
    </w:p>
    <w:p w:rsidR="00AE3F9E" w:rsidRPr="00954C86" w:rsidRDefault="00AE3F9E" w:rsidP="00954C86">
      <w:pPr>
        <w:spacing w:after="0" w:line="240" w:lineRule="auto"/>
        <w:rPr>
          <w:rFonts w:eastAsia="Times New Roman" w:cstheme="minorHAnsi"/>
          <w:color w:val="3A3A3A"/>
          <w:sz w:val="20"/>
          <w:szCs w:val="20"/>
        </w:rPr>
      </w:pPr>
    </w:p>
    <w:p w:rsidR="00AE3F9E" w:rsidRPr="00954C86" w:rsidRDefault="00AE3F9E" w:rsidP="00954C86">
      <w:pPr>
        <w:spacing w:after="0" w:line="240" w:lineRule="auto"/>
        <w:rPr>
          <w:rFonts w:cstheme="minorHAnsi"/>
          <w:color w:val="000000"/>
          <w:sz w:val="20"/>
          <w:szCs w:val="20"/>
        </w:rPr>
      </w:pPr>
      <w:r w:rsidRPr="00954C86">
        <w:rPr>
          <w:rFonts w:cstheme="minorHAnsi"/>
          <w:color w:val="000000"/>
          <w:sz w:val="20"/>
          <w:szCs w:val="20"/>
        </w:rPr>
        <w:t xml:space="preserve">Support, V., 2017. </w:t>
      </w:r>
      <w:r w:rsidRPr="00954C86">
        <w:rPr>
          <w:rFonts w:cstheme="minorHAnsi"/>
          <w:i/>
          <w:iCs/>
          <w:color w:val="000000"/>
          <w:sz w:val="20"/>
          <w:szCs w:val="20"/>
        </w:rPr>
        <w:t>Gang Violence - Victim Support Services</w:t>
      </w:r>
      <w:r w:rsidRPr="00954C86">
        <w:rPr>
          <w:rFonts w:cstheme="minorHAnsi"/>
          <w:color w:val="000000"/>
          <w:sz w:val="20"/>
          <w:szCs w:val="20"/>
        </w:rPr>
        <w:t>. [</w:t>
      </w:r>
      <w:proofErr w:type="gramStart"/>
      <w:r w:rsidRPr="00954C86">
        <w:rPr>
          <w:rFonts w:cstheme="minorHAnsi"/>
          <w:color w:val="000000"/>
          <w:sz w:val="20"/>
          <w:szCs w:val="20"/>
        </w:rPr>
        <w:t>online</w:t>
      </w:r>
      <w:proofErr w:type="gramEnd"/>
      <w:r w:rsidRPr="00954C86">
        <w:rPr>
          <w:rFonts w:cstheme="minorHAnsi"/>
          <w:color w:val="000000"/>
          <w:sz w:val="20"/>
          <w:szCs w:val="20"/>
        </w:rPr>
        <w:t>] Victim Support Services. Available at: &lt;https://victimsupportservices.org/help-for-victims/crime-types/gang-violence/&gt; [Accessed 3 February 2021].</w:t>
      </w:r>
    </w:p>
    <w:p w:rsidR="00AE3F9E" w:rsidRPr="00954C86" w:rsidRDefault="00AE3F9E" w:rsidP="00954C86">
      <w:pPr>
        <w:spacing w:after="0" w:line="240" w:lineRule="auto"/>
        <w:rPr>
          <w:rFonts w:eastAsia="Times New Roman" w:cstheme="minorHAnsi"/>
          <w:color w:val="3A3A3A"/>
          <w:sz w:val="20"/>
          <w:szCs w:val="20"/>
        </w:rPr>
      </w:pPr>
    </w:p>
    <w:p w:rsidR="00AE3F9E" w:rsidRPr="00954C86" w:rsidRDefault="00AE3F9E" w:rsidP="00954C86">
      <w:pPr>
        <w:spacing w:after="0" w:line="240" w:lineRule="auto"/>
        <w:rPr>
          <w:rFonts w:eastAsia="Times New Roman" w:cstheme="minorHAnsi"/>
          <w:color w:val="3A3A3A"/>
          <w:sz w:val="20"/>
          <w:szCs w:val="20"/>
        </w:rPr>
      </w:pPr>
    </w:p>
    <w:p w:rsidR="00AE3F9E" w:rsidRPr="00954C86" w:rsidRDefault="00AE3F9E" w:rsidP="00954C86">
      <w:pPr>
        <w:spacing w:after="0" w:line="240" w:lineRule="auto"/>
        <w:rPr>
          <w:rFonts w:cstheme="minorHAnsi"/>
          <w:color w:val="3A3A3A"/>
          <w:sz w:val="20"/>
          <w:szCs w:val="20"/>
        </w:rPr>
      </w:pPr>
      <w:r w:rsidRPr="00954C86">
        <w:rPr>
          <w:rFonts w:cstheme="minorHAnsi"/>
          <w:color w:val="3A3A3A"/>
          <w:sz w:val="20"/>
          <w:szCs w:val="20"/>
        </w:rPr>
        <w:t xml:space="preserve">Taylor, Richard &amp; </w:t>
      </w:r>
      <w:proofErr w:type="spellStart"/>
      <w:r w:rsidRPr="00954C86">
        <w:rPr>
          <w:rFonts w:cstheme="minorHAnsi"/>
          <w:color w:val="3A3A3A"/>
          <w:sz w:val="20"/>
          <w:szCs w:val="20"/>
        </w:rPr>
        <w:t>Yakeley</w:t>
      </w:r>
      <w:proofErr w:type="spellEnd"/>
      <w:r w:rsidRPr="00954C86">
        <w:rPr>
          <w:rFonts w:cstheme="minorHAnsi"/>
          <w:color w:val="3A3A3A"/>
          <w:sz w:val="20"/>
          <w:szCs w:val="20"/>
        </w:rPr>
        <w:t xml:space="preserve">, Jessica, 2019. Working with MAPPA: ethics and pragmatics. </w:t>
      </w:r>
      <w:proofErr w:type="spellStart"/>
      <w:r w:rsidRPr="00954C86">
        <w:rPr>
          <w:rFonts w:cstheme="minorHAnsi"/>
          <w:i/>
          <w:iCs/>
          <w:color w:val="3A3A3A"/>
          <w:sz w:val="20"/>
          <w:szCs w:val="20"/>
        </w:rPr>
        <w:t>BJPsych</w:t>
      </w:r>
      <w:proofErr w:type="spellEnd"/>
      <w:r w:rsidRPr="00954C86">
        <w:rPr>
          <w:rFonts w:cstheme="minorHAnsi"/>
          <w:i/>
          <w:iCs/>
          <w:color w:val="3A3A3A"/>
          <w:sz w:val="20"/>
          <w:szCs w:val="20"/>
        </w:rPr>
        <w:t xml:space="preserve"> advances</w:t>
      </w:r>
      <w:r w:rsidRPr="00954C86">
        <w:rPr>
          <w:rFonts w:cstheme="minorHAnsi"/>
          <w:color w:val="3A3A3A"/>
          <w:sz w:val="20"/>
          <w:szCs w:val="20"/>
        </w:rPr>
        <w:t>, pp.157–165.</w:t>
      </w:r>
    </w:p>
    <w:p w:rsidR="00AE3F9E" w:rsidRPr="00954C86" w:rsidRDefault="00AE3F9E" w:rsidP="00954C86">
      <w:pPr>
        <w:spacing w:after="0" w:line="240" w:lineRule="auto"/>
        <w:rPr>
          <w:rFonts w:cstheme="minorHAnsi"/>
          <w:color w:val="3A3A3A"/>
          <w:sz w:val="20"/>
          <w:szCs w:val="20"/>
        </w:rPr>
      </w:pPr>
    </w:p>
    <w:p w:rsidR="00AE3F9E" w:rsidRPr="00954C86" w:rsidRDefault="00AE3F9E" w:rsidP="00954C86">
      <w:pPr>
        <w:spacing w:after="0" w:line="240" w:lineRule="auto"/>
        <w:rPr>
          <w:rFonts w:cstheme="minorHAnsi"/>
          <w:color w:val="3A3A3A"/>
          <w:sz w:val="20"/>
          <w:szCs w:val="20"/>
        </w:rPr>
      </w:pPr>
      <w:r w:rsidRPr="00954C86">
        <w:rPr>
          <w:rFonts w:cstheme="minorHAnsi"/>
          <w:color w:val="3A3A3A"/>
          <w:sz w:val="20"/>
          <w:szCs w:val="20"/>
        </w:rPr>
        <w:lastRenderedPageBreak/>
        <w:t xml:space="preserve">Westmarland, Louise &amp; Conway, Steve, 2020. Police ethics and integrity: Keeping the ‘blue code’ of silence. </w:t>
      </w:r>
      <w:r w:rsidRPr="00954C86">
        <w:rPr>
          <w:rFonts w:cstheme="minorHAnsi"/>
          <w:i/>
          <w:iCs/>
          <w:color w:val="3A3A3A"/>
          <w:sz w:val="20"/>
          <w:szCs w:val="20"/>
        </w:rPr>
        <w:t>International journal of police science &amp; management</w:t>
      </w:r>
      <w:r w:rsidRPr="00954C86">
        <w:rPr>
          <w:rFonts w:cstheme="minorHAnsi"/>
          <w:color w:val="3A3A3A"/>
          <w:sz w:val="20"/>
          <w:szCs w:val="20"/>
        </w:rPr>
        <w:t>, 22(4), pp.378–392.</w:t>
      </w:r>
    </w:p>
    <w:p w:rsidR="00AE3F9E" w:rsidRPr="00954C86" w:rsidRDefault="00AE3F9E" w:rsidP="00954C86">
      <w:pPr>
        <w:spacing w:after="0" w:line="240" w:lineRule="auto"/>
        <w:rPr>
          <w:rFonts w:cstheme="minorHAnsi"/>
          <w:color w:val="3A3A3A"/>
          <w:sz w:val="20"/>
          <w:szCs w:val="20"/>
        </w:rPr>
      </w:pPr>
    </w:p>
    <w:p w:rsidR="00AE3F9E" w:rsidRPr="00954C86" w:rsidRDefault="00AE3F9E" w:rsidP="00954C86">
      <w:pPr>
        <w:spacing w:after="0" w:line="240" w:lineRule="auto"/>
        <w:rPr>
          <w:rFonts w:cstheme="minorHAnsi"/>
          <w:color w:val="3A3A3A"/>
          <w:sz w:val="20"/>
          <w:szCs w:val="20"/>
        </w:rPr>
      </w:pPr>
    </w:p>
    <w:p w:rsidR="00AE3F9E" w:rsidRPr="00954C86" w:rsidRDefault="00AE3F9E" w:rsidP="00954C86">
      <w:pPr>
        <w:spacing w:after="0" w:line="240" w:lineRule="auto"/>
        <w:rPr>
          <w:rFonts w:eastAsia="Times New Roman" w:cstheme="minorHAnsi"/>
          <w:color w:val="3A3A3A"/>
          <w:sz w:val="20"/>
          <w:szCs w:val="20"/>
          <w:lang w:eastAsia="en-GB"/>
        </w:rPr>
      </w:pPr>
      <w:r w:rsidRPr="00954C86">
        <w:rPr>
          <w:rFonts w:cstheme="minorHAnsi"/>
          <w:color w:val="3A3A3A"/>
          <w:sz w:val="20"/>
          <w:szCs w:val="20"/>
        </w:rPr>
        <w:t xml:space="preserve">Young, Tara, Fitzgibbon, Wendy, and Silverstone, Daniel, ‘A Question of Family? Youth and Gangs’, </w:t>
      </w:r>
      <w:r w:rsidRPr="00954C86">
        <w:rPr>
          <w:rFonts w:cstheme="minorHAnsi"/>
          <w:i/>
          <w:iCs/>
          <w:color w:val="3A3A3A"/>
          <w:sz w:val="20"/>
          <w:szCs w:val="20"/>
        </w:rPr>
        <w:t>Youth Justice</w:t>
      </w:r>
      <w:r w:rsidRPr="00954C86">
        <w:rPr>
          <w:rFonts w:cstheme="minorHAnsi"/>
          <w:color w:val="3A3A3A"/>
          <w:sz w:val="20"/>
          <w:szCs w:val="20"/>
        </w:rPr>
        <w:t>, 14.2 (2014), 171–85</w:t>
      </w:r>
    </w:p>
    <w:p w:rsidR="00AE3F9E" w:rsidRPr="00954C86" w:rsidRDefault="00AE3F9E" w:rsidP="00954C86">
      <w:pPr>
        <w:pStyle w:val="xs3"/>
        <w:spacing w:before="0" w:beforeAutospacing="0" w:after="0" w:afterAutospacing="0"/>
        <w:jc w:val="both"/>
        <w:rPr>
          <w:rFonts w:asciiTheme="minorHAnsi" w:hAnsiTheme="minorHAnsi" w:cstheme="minorHAnsi"/>
          <w:sz w:val="20"/>
          <w:szCs w:val="20"/>
        </w:rPr>
      </w:pPr>
    </w:p>
    <w:p w:rsidR="00AE3F9E" w:rsidRPr="00954C86" w:rsidRDefault="00AE3F9E" w:rsidP="00954C86">
      <w:pPr>
        <w:spacing w:after="0" w:line="240" w:lineRule="auto"/>
        <w:rPr>
          <w:rFonts w:eastAsia="Times New Roman" w:cstheme="minorHAnsi"/>
          <w:color w:val="212529"/>
          <w:sz w:val="20"/>
          <w:szCs w:val="20"/>
          <w:bdr w:val="none" w:sz="0" w:space="0" w:color="auto" w:frame="1"/>
          <w:shd w:val="clear" w:color="auto" w:fill="FFFFFF"/>
          <w:lang w:eastAsia="en-GB"/>
        </w:rPr>
      </w:pPr>
    </w:p>
    <w:p w:rsidR="00AE3F9E" w:rsidRPr="00954C86" w:rsidRDefault="00AE3F9E" w:rsidP="00954C86">
      <w:pPr>
        <w:spacing w:after="0" w:line="240" w:lineRule="auto"/>
        <w:rPr>
          <w:rFonts w:eastAsia="Times New Roman" w:cstheme="minorHAnsi"/>
          <w:color w:val="212529"/>
          <w:sz w:val="20"/>
          <w:szCs w:val="20"/>
          <w:bdr w:val="none" w:sz="0" w:space="0" w:color="auto" w:frame="1"/>
          <w:shd w:val="clear" w:color="auto" w:fill="FFFFFF"/>
          <w:lang w:eastAsia="en-GB"/>
        </w:rPr>
      </w:pPr>
    </w:p>
    <w:p w:rsidR="00AE3F9E" w:rsidRPr="00954C86" w:rsidRDefault="00AE3F9E" w:rsidP="00954C86">
      <w:pPr>
        <w:spacing w:after="0" w:line="240" w:lineRule="auto"/>
        <w:rPr>
          <w:rFonts w:cstheme="minorHAnsi"/>
          <w:sz w:val="20"/>
          <w:szCs w:val="20"/>
        </w:rPr>
      </w:pPr>
    </w:p>
    <w:p w:rsidR="00AE3F9E" w:rsidRPr="00954C86" w:rsidRDefault="00AE3F9E" w:rsidP="00954C86">
      <w:pPr>
        <w:spacing w:after="0" w:line="240" w:lineRule="auto"/>
        <w:rPr>
          <w:rFonts w:cstheme="minorHAnsi"/>
          <w:sz w:val="20"/>
          <w:szCs w:val="20"/>
        </w:rPr>
      </w:pPr>
    </w:p>
    <w:sectPr w:rsidR="00AE3F9E" w:rsidRPr="00954C86" w:rsidSect="00AE3F9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3F9E"/>
    <w:rsid w:val="0008228D"/>
    <w:rsid w:val="0081770F"/>
    <w:rsid w:val="00954C86"/>
    <w:rsid w:val="00AE3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B6041"/>
  <w15:chartTrackingRefBased/>
  <w15:docId w15:val="{516FD6EC-1362-47CF-9D36-58A3F6EB9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3F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3F9E"/>
    <w:rPr>
      <w:rFonts w:eastAsiaTheme="minorEastAsia"/>
      <w:lang w:val="en-US"/>
    </w:rPr>
  </w:style>
  <w:style w:type="character" w:customStyle="1" w:styleId="xbumpedfont15">
    <w:name w:val="x_bumpedfont15"/>
    <w:basedOn w:val="DefaultParagraphFont"/>
    <w:rsid w:val="00AE3F9E"/>
  </w:style>
  <w:style w:type="paragraph" w:customStyle="1" w:styleId="xs4">
    <w:name w:val="x_s4"/>
    <w:basedOn w:val="Normal"/>
    <w:rsid w:val="00AE3F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s6">
    <w:name w:val="x_s6"/>
    <w:basedOn w:val="Normal"/>
    <w:rsid w:val="00AE3F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s8">
    <w:name w:val="x_s8"/>
    <w:basedOn w:val="Normal"/>
    <w:rsid w:val="00AE3F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s3">
    <w:name w:val="x_s3"/>
    <w:basedOn w:val="Normal"/>
    <w:rsid w:val="00AE3F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E3F9E"/>
    <w:pPr>
      <w:spacing w:before="100" w:beforeAutospacing="1" w:after="100" w:afterAutospacing="1" w:line="240" w:lineRule="auto"/>
    </w:pPr>
    <w:rPr>
      <w:rFonts w:ascii="Times New Roman" w:hAnsi="Times New Roman" w:cs="Times New Roman"/>
      <w:sz w:val="24"/>
      <w:szCs w:val="24"/>
      <w:lang w:eastAsia="en-GB"/>
    </w:rPr>
  </w:style>
  <w:style w:type="character" w:customStyle="1" w:styleId="bumpedfont15">
    <w:name w:val="bumpedfont15"/>
    <w:basedOn w:val="DefaultParagraphFont"/>
    <w:rsid w:val="00AE3F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11</Pages>
  <Words>5020</Words>
  <Characters>28618</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33571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PCDA</dc:subject>
  <dc:creator>Hannan, Kaal</dc:creator>
  <cp:keywords/>
  <dc:description/>
  <cp:lastModifiedBy>Hannan, Kamal</cp:lastModifiedBy>
  <cp:revision>2</cp:revision>
  <dcterms:created xsi:type="dcterms:W3CDTF">2021-02-15T19:21:00Z</dcterms:created>
  <dcterms:modified xsi:type="dcterms:W3CDTF">2021-02-15T20:18:00Z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