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905EE" w14:textId="124016E7" w:rsidR="0002242A" w:rsidRDefault="00794E58" w:rsidP="0002242A">
      <w:pPr>
        <w:rPr>
          <w:b/>
          <w:bCs/>
        </w:rPr>
      </w:pPr>
      <w:r w:rsidRPr="006508D1">
        <w:rPr>
          <w:rFonts w:cs="Arial"/>
          <w:noProof/>
        </w:rPr>
        <w:drawing>
          <wp:anchor distT="0" distB="0" distL="114300" distR="114300" simplePos="0" relativeHeight="251659264" behindDoc="0" locked="0" layoutInCell="1" allowOverlap="1" wp14:anchorId="3FBB67F8" wp14:editId="13907CF3">
            <wp:simplePos x="0" y="0"/>
            <wp:positionH relativeFrom="column">
              <wp:posOffset>0</wp:posOffset>
            </wp:positionH>
            <wp:positionV relativeFrom="paragraph">
              <wp:posOffset>361315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1D6DA22" w14:textId="77777777" w:rsidR="0002242A" w:rsidRDefault="0002242A" w:rsidP="0002242A">
      <w:pPr>
        <w:rPr>
          <w:b/>
          <w:bCs/>
        </w:rPr>
      </w:pPr>
    </w:p>
    <w:p w14:paraId="6E2B9FDF" w14:textId="77777777" w:rsidR="0002242A" w:rsidRDefault="0002242A" w:rsidP="0002242A">
      <w:pPr>
        <w:rPr>
          <w:b/>
          <w:bCs/>
        </w:rPr>
      </w:pPr>
    </w:p>
    <w:p w14:paraId="31F2E2B3" w14:textId="77777777" w:rsidR="0002242A" w:rsidRDefault="0002242A" w:rsidP="0002242A">
      <w:pPr>
        <w:rPr>
          <w:b/>
          <w:bCs/>
        </w:rPr>
      </w:pPr>
    </w:p>
    <w:p w14:paraId="7E435724" w14:textId="77777777" w:rsidR="0002242A" w:rsidRDefault="0002242A" w:rsidP="0002242A">
      <w:pPr>
        <w:rPr>
          <w:b/>
          <w:bCs/>
        </w:rPr>
      </w:pPr>
    </w:p>
    <w:p w14:paraId="700C6E3F" w14:textId="77777777" w:rsidR="0002242A" w:rsidRDefault="0002242A" w:rsidP="0002242A">
      <w:pPr>
        <w:rPr>
          <w:b/>
          <w:bCs/>
        </w:rPr>
      </w:pPr>
    </w:p>
    <w:p w14:paraId="7E4C423D" w14:textId="77777777" w:rsidR="0002242A" w:rsidRDefault="0002242A" w:rsidP="0002242A">
      <w:pPr>
        <w:rPr>
          <w:b/>
          <w:bCs/>
        </w:rPr>
      </w:pPr>
    </w:p>
    <w:p w14:paraId="54D4C873" w14:textId="27EE5C00" w:rsidR="0002242A" w:rsidRPr="00CA1A89" w:rsidRDefault="0002242A" w:rsidP="00FA60F3">
      <w:pPr>
        <w:jc w:val="center"/>
        <w:rPr>
          <w:b/>
          <w:bCs/>
        </w:rPr>
      </w:pPr>
      <w:r w:rsidRPr="00CA1A89">
        <w:rPr>
          <w:b/>
          <w:bCs/>
        </w:rPr>
        <w:t>Programme: Master of Business Administration</w:t>
      </w:r>
    </w:p>
    <w:p w14:paraId="021AC437" w14:textId="77777777" w:rsidR="0002242A" w:rsidRPr="00CA1A89" w:rsidRDefault="0002242A" w:rsidP="00FA60F3">
      <w:pPr>
        <w:jc w:val="center"/>
        <w:rPr>
          <w:b/>
          <w:bCs/>
        </w:rPr>
      </w:pPr>
      <w:r w:rsidRPr="00CA1A89">
        <w:rPr>
          <w:b/>
          <w:bCs/>
        </w:rPr>
        <w:t>Module: Human Capital Management</w:t>
      </w:r>
    </w:p>
    <w:p w14:paraId="56812071" w14:textId="7CA7BBB1" w:rsidR="00D56EE6" w:rsidRPr="00CA1A89" w:rsidRDefault="0002242A" w:rsidP="00FA60F3">
      <w:pPr>
        <w:jc w:val="center"/>
        <w:rPr>
          <w:b/>
          <w:bCs/>
        </w:rPr>
      </w:pPr>
      <w:r w:rsidRPr="00CA1A89">
        <w:rPr>
          <w:b/>
          <w:bCs/>
        </w:rPr>
        <w:t>Module code: LCMB7023</w:t>
      </w:r>
    </w:p>
    <w:p w14:paraId="49D8725B" w14:textId="77777777" w:rsidR="00D56EE6" w:rsidRPr="00CA1A89" w:rsidRDefault="00D56EE6">
      <w:pPr>
        <w:spacing w:line="259" w:lineRule="auto"/>
        <w:jc w:val="left"/>
        <w:rPr>
          <w:b/>
          <w:bCs/>
        </w:rPr>
      </w:pPr>
      <w:r w:rsidRPr="00CA1A89">
        <w:rPr>
          <w:b/>
          <w:bCs/>
        </w:rPr>
        <w:br w:type="page"/>
      </w:r>
    </w:p>
    <w:sdt>
      <w:sdtPr>
        <w:rPr>
          <w:rFonts w:ascii="Times New Roman" w:eastAsiaTheme="minorHAnsi" w:hAnsi="Times New Roman" w:cstheme="minorBidi"/>
          <w:color w:val="auto"/>
          <w:kern w:val="2"/>
          <w:sz w:val="24"/>
          <w:szCs w:val="22"/>
          <w:lang w:val="en-GB"/>
        </w:rPr>
        <w:id w:val="1500309719"/>
        <w:docPartObj>
          <w:docPartGallery w:val="Table of Contents"/>
          <w:docPartUnique/>
        </w:docPartObj>
      </w:sdtPr>
      <w:sdtEndPr>
        <w:rPr>
          <w:rFonts w:ascii="Arial" w:hAnsi="Arial"/>
          <w:b/>
          <w:bCs/>
          <w:noProof/>
        </w:rPr>
      </w:sdtEndPr>
      <w:sdtContent>
        <w:p w14:paraId="3B179ABA" w14:textId="0FF45D93" w:rsidR="00D56EE6" w:rsidRPr="00B26726" w:rsidRDefault="00D56EE6" w:rsidP="00D56EE6">
          <w:pPr>
            <w:pStyle w:val="TOCHeading"/>
            <w:jc w:val="center"/>
            <w:rPr>
              <w:rFonts w:ascii="Arial" w:hAnsi="Arial" w:cs="Arial"/>
              <w:b/>
              <w:bCs/>
              <w:color w:val="000000" w:themeColor="text1"/>
              <w:sz w:val="24"/>
              <w:szCs w:val="24"/>
            </w:rPr>
          </w:pPr>
          <w:r w:rsidRPr="00B26726">
            <w:rPr>
              <w:rFonts w:ascii="Arial" w:hAnsi="Arial" w:cs="Arial"/>
              <w:b/>
              <w:bCs/>
              <w:color w:val="000000" w:themeColor="text1"/>
              <w:sz w:val="24"/>
              <w:szCs w:val="24"/>
            </w:rPr>
            <w:t>Table of Contents</w:t>
          </w:r>
        </w:p>
        <w:p w14:paraId="7514E336" w14:textId="10760D8B" w:rsidR="00AC148F" w:rsidRDefault="00D56EE6">
          <w:pPr>
            <w:pStyle w:val="TOC1"/>
            <w:tabs>
              <w:tab w:val="right" w:leader="dot" w:pos="9016"/>
            </w:tabs>
            <w:rPr>
              <w:rFonts w:asciiTheme="minorHAnsi" w:eastAsiaTheme="minorEastAsia" w:hAnsiTheme="minorHAnsi"/>
              <w:noProof/>
              <w:szCs w:val="24"/>
              <w:lang w:val="en-IN" w:eastAsia="en-IN"/>
            </w:rPr>
          </w:pPr>
          <w:r w:rsidRPr="00CA1A89">
            <w:fldChar w:fldCharType="begin"/>
          </w:r>
          <w:r w:rsidRPr="00CA1A89">
            <w:instrText xml:space="preserve"> TOC \o "1-3" \h \z \u </w:instrText>
          </w:r>
          <w:r w:rsidRPr="00CA1A89">
            <w:fldChar w:fldCharType="separate"/>
          </w:r>
          <w:hyperlink w:anchor="_Toc242742948" w:history="1">
            <w:r w:rsidR="00AC148F" w:rsidRPr="00391CDE">
              <w:rPr>
                <w:rStyle w:val="Hyperlink"/>
                <w:noProof/>
              </w:rPr>
              <w:t>TASK A: Designing Innovative Working Practices</w:t>
            </w:r>
            <w:r w:rsidR="00AC148F">
              <w:rPr>
                <w:noProof/>
                <w:webHidden/>
              </w:rPr>
              <w:tab/>
            </w:r>
            <w:r w:rsidR="00AC148F">
              <w:rPr>
                <w:noProof/>
                <w:webHidden/>
              </w:rPr>
              <w:fldChar w:fldCharType="begin"/>
            </w:r>
            <w:r w:rsidR="00AC148F">
              <w:rPr>
                <w:noProof/>
                <w:webHidden/>
              </w:rPr>
              <w:instrText xml:space="preserve"> PAGEREF _Toc242742948 \h </w:instrText>
            </w:r>
            <w:r w:rsidR="00AC148F">
              <w:rPr>
                <w:noProof/>
                <w:webHidden/>
              </w:rPr>
            </w:r>
            <w:r w:rsidR="00AC148F">
              <w:rPr>
                <w:noProof/>
                <w:webHidden/>
              </w:rPr>
              <w:fldChar w:fldCharType="separate"/>
            </w:r>
            <w:r w:rsidR="00AC148F">
              <w:rPr>
                <w:noProof/>
                <w:webHidden/>
              </w:rPr>
              <w:t>4</w:t>
            </w:r>
            <w:r w:rsidR="00AC148F">
              <w:rPr>
                <w:noProof/>
                <w:webHidden/>
              </w:rPr>
              <w:fldChar w:fldCharType="end"/>
            </w:r>
          </w:hyperlink>
        </w:p>
        <w:p w14:paraId="3D5D8993" w14:textId="3B5F57D7"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49" w:history="1">
            <w:r w:rsidRPr="00391CDE">
              <w:rPr>
                <w:rStyle w:val="Hyperlink"/>
                <w:noProof/>
              </w:rPr>
              <w:t>1. Background</w:t>
            </w:r>
            <w:r>
              <w:rPr>
                <w:noProof/>
                <w:webHidden/>
              </w:rPr>
              <w:tab/>
            </w:r>
            <w:r>
              <w:rPr>
                <w:noProof/>
                <w:webHidden/>
              </w:rPr>
              <w:fldChar w:fldCharType="begin"/>
            </w:r>
            <w:r>
              <w:rPr>
                <w:noProof/>
                <w:webHidden/>
              </w:rPr>
              <w:instrText xml:space="preserve"> PAGEREF _Toc242742949 \h </w:instrText>
            </w:r>
            <w:r>
              <w:rPr>
                <w:noProof/>
                <w:webHidden/>
              </w:rPr>
            </w:r>
            <w:r>
              <w:rPr>
                <w:noProof/>
                <w:webHidden/>
              </w:rPr>
              <w:fldChar w:fldCharType="separate"/>
            </w:r>
            <w:r>
              <w:rPr>
                <w:noProof/>
                <w:webHidden/>
              </w:rPr>
              <w:t>4</w:t>
            </w:r>
            <w:r>
              <w:rPr>
                <w:noProof/>
                <w:webHidden/>
              </w:rPr>
              <w:fldChar w:fldCharType="end"/>
            </w:r>
          </w:hyperlink>
        </w:p>
        <w:p w14:paraId="4873A917" w14:textId="14607AC5"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50" w:history="1">
            <w:r w:rsidRPr="00391CDE">
              <w:rPr>
                <w:rStyle w:val="Hyperlink"/>
                <w:noProof/>
              </w:rPr>
              <w:t>2. Traditional v/s Contemporary Work Design</w:t>
            </w:r>
            <w:r>
              <w:rPr>
                <w:noProof/>
                <w:webHidden/>
              </w:rPr>
              <w:tab/>
            </w:r>
            <w:r>
              <w:rPr>
                <w:noProof/>
                <w:webHidden/>
              </w:rPr>
              <w:fldChar w:fldCharType="begin"/>
            </w:r>
            <w:r>
              <w:rPr>
                <w:noProof/>
                <w:webHidden/>
              </w:rPr>
              <w:instrText xml:space="preserve"> PAGEREF _Toc242742950 \h </w:instrText>
            </w:r>
            <w:r>
              <w:rPr>
                <w:noProof/>
                <w:webHidden/>
              </w:rPr>
            </w:r>
            <w:r>
              <w:rPr>
                <w:noProof/>
                <w:webHidden/>
              </w:rPr>
              <w:fldChar w:fldCharType="separate"/>
            </w:r>
            <w:r>
              <w:rPr>
                <w:noProof/>
                <w:webHidden/>
              </w:rPr>
              <w:t>4</w:t>
            </w:r>
            <w:r>
              <w:rPr>
                <w:noProof/>
                <w:webHidden/>
              </w:rPr>
              <w:fldChar w:fldCharType="end"/>
            </w:r>
          </w:hyperlink>
        </w:p>
        <w:p w14:paraId="182AA549" w14:textId="01366DEF" w:rsidR="00AC148F" w:rsidRDefault="00AC148F">
          <w:pPr>
            <w:pStyle w:val="TOC3"/>
            <w:tabs>
              <w:tab w:val="right" w:leader="dot" w:pos="9016"/>
            </w:tabs>
            <w:rPr>
              <w:rFonts w:asciiTheme="minorHAnsi" w:eastAsiaTheme="minorEastAsia" w:hAnsiTheme="minorHAnsi"/>
              <w:noProof/>
              <w:szCs w:val="24"/>
              <w:lang w:val="en-IN" w:eastAsia="en-IN"/>
            </w:rPr>
          </w:pPr>
          <w:hyperlink w:anchor="_Toc242742951" w:history="1">
            <w:r w:rsidRPr="00391CDE">
              <w:rPr>
                <w:rStyle w:val="Hyperlink"/>
                <w:noProof/>
              </w:rPr>
              <w:t>2.1 Slowed Innovation and Decision-Making</w:t>
            </w:r>
            <w:r>
              <w:rPr>
                <w:noProof/>
                <w:webHidden/>
              </w:rPr>
              <w:tab/>
            </w:r>
            <w:r>
              <w:rPr>
                <w:noProof/>
                <w:webHidden/>
              </w:rPr>
              <w:fldChar w:fldCharType="begin"/>
            </w:r>
            <w:r>
              <w:rPr>
                <w:noProof/>
                <w:webHidden/>
              </w:rPr>
              <w:instrText xml:space="preserve"> PAGEREF _Toc242742951 \h </w:instrText>
            </w:r>
            <w:r>
              <w:rPr>
                <w:noProof/>
                <w:webHidden/>
              </w:rPr>
            </w:r>
            <w:r>
              <w:rPr>
                <w:noProof/>
                <w:webHidden/>
              </w:rPr>
              <w:fldChar w:fldCharType="separate"/>
            </w:r>
            <w:r>
              <w:rPr>
                <w:noProof/>
                <w:webHidden/>
              </w:rPr>
              <w:t>5</w:t>
            </w:r>
            <w:r>
              <w:rPr>
                <w:noProof/>
                <w:webHidden/>
              </w:rPr>
              <w:fldChar w:fldCharType="end"/>
            </w:r>
          </w:hyperlink>
        </w:p>
        <w:p w14:paraId="37139166" w14:textId="25623AB1" w:rsidR="00AC148F" w:rsidRDefault="00AC148F">
          <w:pPr>
            <w:pStyle w:val="TOC3"/>
            <w:tabs>
              <w:tab w:val="right" w:leader="dot" w:pos="9016"/>
            </w:tabs>
            <w:rPr>
              <w:rFonts w:asciiTheme="minorHAnsi" w:eastAsiaTheme="minorEastAsia" w:hAnsiTheme="minorHAnsi"/>
              <w:noProof/>
              <w:szCs w:val="24"/>
              <w:lang w:val="en-IN" w:eastAsia="en-IN"/>
            </w:rPr>
          </w:pPr>
          <w:hyperlink w:anchor="_Toc242742952" w:history="1">
            <w:r w:rsidRPr="00391CDE">
              <w:rPr>
                <w:rStyle w:val="Hyperlink"/>
                <w:noProof/>
              </w:rPr>
              <w:t>2.2 Limited Opportunities for Creativity</w:t>
            </w:r>
            <w:r>
              <w:rPr>
                <w:noProof/>
                <w:webHidden/>
              </w:rPr>
              <w:tab/>
            </w:r>
            <w:r>
              <w:rPr>
                <w:noProof/>
                <w:webHidden/>
              </w:rPr>
              <w:fldChar w:fldCharType="begin"/>
            </w:r>
            <w:r>
              <w:rPr>
                <w:noProof/>
                <w:webHidden/>
              </w:rPr>
              <w:instrText xml:space="preserve"> PAGEREF _Toc242742952 \h </w:instrText>
            </w:r>
            <w:r>
              <w:rPr>
                <w:noProof/>
                <w:webHidden/>
              </w:rPr>
            </w:r>
            <w:r>
              <w:rPr>
                <w:noProof/>
                <w:webHidden/>
              </w:rPr>
              <w:fldChar w:fldCharType="separate"/>
            </w:r>
            <w:r>
              <w:rPr>
                <w:noProof/>
                <w:webHidden/>
              </w:rPr>
              <w:t>5</w:t>
            </w:r>
            <w:r>
              <w:rPr>
                <w:noProof/>
                <w:webHidden/>
              </w:rPr>
              <w:fldChar w:fldCharType="end"/>
            </w:r>
          </w:hyperlink>
        </w:p>
        <w:p w14:paraId="04BDD285" w14:textId="6FEA51DD" w:rsidR="00AC148F" w:rsidRDefault="00AC148F">
          <w:pPr>
            <w:pStyle w:val="TOC3"/>
            <w:tabs>
              <w:tab w:val="right" w:leader="dot" w:pos="9016"/>
            </w:tabs>
            <w:rPr>
              <w:rFonts w:asciiTheme="minorHAnsi" w:eastAsiaTheme="minorEastAsia" w:hAnsiTheme="minorHAnsi"/>
              <w:noProof/>
              <w:szCs w:val="24"/>
              <w:lang w:val="en-IN" w:eastAsia="en-IN"/>
            </w:rPr>
          </w:pPr>
          <w:hyperlink w:anchor="_Toc242742953" w:history="1">
            <w:r w:rsidRPr="00391CDE">
              <w:rPr>
                <w:rStyle w:val="Hyperlink"/>
                <w:noProof/>
              </w:rPr>
              <w:t>2.3 Reduced Collaboration and Knowledge Sharing</w:t>
            </w:r>
            <w:r>
              <w:rPr>
                <w:noProof/>
                <w:webHidden/>
              </w:rPr>
              <w:tab/>
            </w:r>
            <w:r>
              <w:rPr>
                <w:noProof/>
                <w:webHidden/>
              </w:rPr>
              <w:fldChar w:fldCharType="begin"/>
            </w:r>
            <w:r>
              <w:rPr>
                <w:noProof/>
                <w:webHidden/>
              </w:rPr>
              <w:instrText xml:space="preserve"> PAGEREF _Toc242742953 \h </w:instrText>
            </w:r>
            <w:r>
              <w:rPr>
                <w:noProof/>
                <w:webHidden/>
              </w:rPr>
            </w:r>
            <w:r>
              <w:rPr>
                <w:noProof/>
                <w:webHidden/>
              </w:rPr>
              <w:fldChar w:fldCharType="separate"/>
            </w:r>
            <w:r>
              <w:rPr>
                <w:noProof/>
                <w:webHidden/>
              </w:rPr>
              <w:t>6</w:t>
            </w:r>
            <w:r>
              <w:rPr>
                <w:noProof/>
                <w:webHidden/>
              </w:rPr>
              <w:fldChar w:fldCharType="end"/>
            </w:r>
          </w:hyperlink>
        </w:p>
        <w:p w14:paraId="0141F157" w14:textId="1CAB484C"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54" w:history="1">
            <w:r w:rsidRPr="00391CDE">
              <w:rPr>
                <w:rStyle w:val="Hyperlink"/>
                <w:noProof/>
              </w:rPr>
              <w:t>3. Recommendations and Conclusion</w:t>
            </w:r>
            <w:r>
              <w:rPr>
                <w:noProof/>
                <w:webHidden/>
              </w:rPr>
              <w:tab/>
            </w:r>
            <w:r>
              <w:rPr>
                <w:noProof/>
                <w:webHidden/>
              </w:rPr>
              <w:fldChar w:fldCharType="begin"/>
            </w:r>
            <w:r>
              <w:rPr>
                <w:noProof/>
                <w:webHidden/>
              </w:rPr>
              <w:instrText xml:space="preserve"> PAGEREF _Toc242742954 \h </w:instrText>
            </w:r>
            <w:r>
              <w:rPr>
                <w:noProof/>
                <w:webHidden/>
              </w:rPr>
            </w:r>
            <w:r>
              <w:rPr>
                <w:noProof/>
                <w:webHidden/>
              </w:rPr>
              <w:fldChar w:fldCharType="separate"/>
            </w:r>
            <w:r>
              <w:rPr>
                <w:noProof/>
                <w:webHidden/>
              </w:rPr>
              <w:t>7</w:t>
            </w:r>
            <w:r>
              <w:rPr>
                <w:noProof/>
                <w:webHidden/>
              </w:rPr>
              <w:fldChar w:fldCharType="end"/>
            </w:r>
          </w:hyperlink>
        </w:p>
        <w:p w14:paraId="59D452D9" w14:textId="38AC74D3" w:rsidR="00AC148F" w:rsidRDefault="00AC148F">
          <w:pPr>
            <w:pStyle w:val="TOC1"/>
            <w:tabs>
              <w:tab w:val="right" w:leader="dot" w:pos="9016"/>
            </w:tabs>
            <w:rPr>
              <w:rFonts w:asciiTheme="minorHAnsi" w:eastAsiaTheme="minorEastAsia" w:hAnsiTheme="minorHAnsi"/>
              <w:noProof/>
              <w:szCs w:val="24"/>
              <w:lang w:val="en-IN" w:eastAsia="en-IN"/>
            </w:rPr>
          </w:pPr>
          <w:hyperlink w:anchor="_Toc242742955" w:history="1">
            <w:r w:rsidRPr="00391CDE">
              <w:rPr>
                <w:rStyle w:val="Hyperlink"/>
                <w:noProof/>
              </w:rPr>
              <w:t>TASK B: Breeding an Environment Where Talent May Grow</w:t>
            </w:r>
            <w:r>
              <w:rPr>
                <w:noProof/>
                <w:webHidden/>
              </w:rPr>
              <w:tab/>
            </w:r>
            <w:r>
              <w:rPr>
                <w:noProof/>
                <w:webHidden/>
              </w:rPr>
              <w:fldChar w:fldCharType="begin"/>
            </w:r>
            <w:r>
              <w:rPr>
                <w:noProof/>
                <w:webHidden/>
              </w:rPr>
              <w:instrText xml:space="preserve"> PAGEREF _Toc242742955 \h </w:instrText>
            </w:r>
            <w:r>
              <w:rPr>
                <w:noProof/>
                <w:webHidden/>
              </w:rPr>
            </w:r>
            <w:r>
              <w:rPr>
                <w:noProof/>
                <w:webHidden/>
              </w:rPr>
              <w:fldChar w:fldCharType="separate"/>
            </w:r>
            <w:r>
              <w:rPr>
                <w:noProof/>
                <w:webHidden/>
              </w:rPr>
              <w:t>7</w:t>
            </w:r>
            <w:r>
              <w:rPr>
                <w:noProof/>
                <w:webHidden/>
              </w:rPr>
              <w:fldChar w:fldCharType="end"/>
            </w:r>
          </w:hyperlink>
        </w:p>
        <w:p w14:paraId="417B2A2C" w14:textId="6EAFBBA3"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56" w:history="1">
            <w:r w:rsidRPr="00391CDE">
              <w:rPr>
                <w:rStyle w:val="Hyperlink"/>
                <w:noProof/>
                <w:lang w:val="en-IN"/>
              </w:rPr>
              <w:t>1. Introduction</w:t>
            </w:r>
            <w:r>
              <w:rPr>
                <w:noProof/>
                <w:webHidden/>
              </w:rPr>
              <w:tab/>
            </w:r>
            <w:r>
              <w:rPr>
                <w:noProof/>
                <w:webHidden/>
              </w:rPr>
              <w:fldChar w:fldCharType="begin"/>
            </w:r>
            <w:r>
              <w:rPr>
                <w:noProof/>
                <w:webHidden/>
              </w:rPr>
              <w:instrText xml:space="preserve"> PAGEREF _Toc242742956 \h </w:instrText>
            </w:r>
            <w:r>
              <w:rPr>
                <w:noProof/>
                <w:webHidden/>
              </w:rPr>
            </w:r>
            <w:r>
              <w:rPr>
                <w:noProof/>
                <w:webHidden/>
              </w:rPr>
              <w:fldChar w:fldCharType="separate"/>
            </w:r>
            <w:r>
              <w:rPr>
                <w:noProof/>
                <w:webHidden/>
              </w:rPr>
              <w:t>7</w:t>
            </w:r>
            <w:r>
              <w:rPr>
                <w:noProof/>
                <w:webHidden/>
              </w:rPr>
              <w:fldChar w:fldCharType="end"/>
            </w:r>
          </w:hyperlink>
        </w:p>
        <w:p w14:paraId="2D0DA909" w14:textId="2C826DEF"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57" w:history="1">
            <w:r w:rsidRPr="00391CDE">
              <w:rPr>
                <w:rStyle w:val="Hyperlink"/>
                <w:noProof/>
                <w:lang w:val="en-IN"/>
              </w:rPr>
              <w:t>2. Creating an Environment for Talent Development</w:t>
            </w:r>
            <w:r>
              <w:rPr>
                <w:noProof/>
                <w:webHidden/>
              </w:rPr>
              <w:tab/>
            </w:r>
            <w:r>
              <w:rPr>
                <w:noProof/>
                <w:webHidden/>
              </w:rPr>
              <w:fldChar w:fldCharType="begin"/>
            </w:r>
            <w:r>
              <w:rPr>
                <w:noProof/>
                <w:webHidden/>
              </w:rPr>
              <w:instrText xml:space="preserve"> PAGEREF _Toc242742957 \h </w:instrText>
            </w:r>
            <w:r>
              <w:rPr>
                <w:noProof/>
                <w:webHidden/>
              </w:rPr>
            </w:r>
            <w:r>
              <w:rPr>
                <w:noProof/>
                <w:webHidden/>
              </w:rPr>
              <w:fldChar w:fldCharType="separate"/>
            </w:r>
            <w:r>
              <w:rPr>
                <w:noProof/>
                <w:webHidden/>
              </w:rPr>
              <w:t>7</w:t>
            </w:r>
            <w:r>
              <w:rPr>
                <w:noProof/>
                <w:webHidden/>
              </w:rPr>
              <w:fldChar w:fldCharType="end"/>
            </w:r>
          </w:hyperlink>
        </w:p>
        <w:p w14:paraId="001A89F4" w14:textId="43F0CDF1" w:rsidR="00AC148F" w:rsidRDefault="00AC148F">
          <w:pPr>
            <w:pStyle w:val="TOC3"/>
            <w:tabs>
              <w:tab w:val="right" w:leader="dot" w:pos="9016"/>
            </w:tabs>
            <w:rPr>
              <w:rFonts w:asciiTheme="minorHAnsi" w:eastAsiaTheme="minorEastAsia" w:hAnsiTheme="minorHAnsi"/>
              <w:noProof/>
              <w:szCs w:val="24"/>
              <w:lang w:val="en-IN" w:eastAsia="en-IN"/>
            </w:rPr>
          </w:pPr>
          <w:hyperlink w:anchor="_Toc242742958" w:history="1">
            <w:r w:rsidRPr="00391CDE">
              <w:rPr>
                <w:rStyle w:val="Hyperlink"/>
                <w:noProof/>
                <w:lang w:val="en-IN"/>
              </w:rPr>
              <w:t>2.1 Job Design</w:t>
            </w:r>
            <w:r>
              <w:rPr>
                <w:noProof/>
                <w:webHidden/>
              </w:rPr>
              <w:tab/>
            </w:r>
            <w:r>
              <w:rPr>
                <w:noProof/>
                <w:webHidden/>
              </w:rPr>
              <w:fldChar w:fldCharType="begin"/>
            </w:r>
            <w:r>
              <w:rPr>
                <w:noProof/>
                <w:webHidden/>
              </w:rPr>
              <w:instrText xml:space="preserve"> PAGEREF _Toc242742958 \h </w:instrText>
            </w:r>
            <w:r>
              <w:rPr>
                <w:noProof/>
                <w:webHidden/>
              </w:rPr>
            </w:r>
            <w:r>
              <w:rPr>
                <w:noProof/>
                <w:webHidden/>
              </w:rPr>
              <w:fldChar w:fldCharType="separate"/>
            </w:r>
            <w:r>
              <w:rPr>
                <w:noProof/>
                <w:webHidden/>
              </w:rPr>
              <w:t>7</w:t>
            </w:r>
            <w:r>
              <w:rPr>
                <w:noProof/>
                <w:webHidden/>
              </w:rPr>
              <w:fldChar w:fldCharType="end"/>
            </w:r>
          </w:hyperlink>
        </w:p>
        <w:p w14:paraId="152AF44A" w14:textId="50617BE0" w:rsidR="00AC148F" w:rsidRDefault="00AC148F">
          <w:pPr>
            <w:pStyle w:val="TOC3"/>
            <w:tabs>
              <w:tab w:val="right" w:leader="dot" w:pos="9016"/>
            </w:tabs>
            <w:rPr>
              <w:rFonts w:asciiTheme="minorHAnsi" w:eastAsiaTheme="minorEastAsia" w:hAnsiTheme="minorHAnsi"/>
              <w:noProof/>
              <w:szCs w:val="24"/>
              <w:lang w:val="en-IN" w:eastAsia="en-IN"/>
            </w:rPr>
          </w:pPr>
          <w:hyperlink w:anchor="_Toc242742959" w:history="1">
            <w:r w:rsidRPr="00391CDE">
              <w:rPr>
                <w:rStyle w:val="Hyperlink"/>
                <w:noProof/>
                <w:lang w:val="en-IN"/>
              </w:rPr>
              <w:t>2.2 Employee-Led Job Development</w:t>
            </w:r>
            <w:r>
              <w:rPr>
                <w:noProof/>
                <w:webHidden/>
              </w:rPr>
              <w:tab/>
            </w:r>
            <w:r>
              <w:rPr>
                <w:noProof/>
                <w:webHidden/>
              </w:rPr>
              <w:fldChar w:fldCharType="begin"/>
            </w:r>
            <w:r>
              <w:rPr>
                <w:noProof/>
                <w:webHidden/>
              </w:rPr>
              <w:instrText xml:space="preserve"> PAGEREF _Toc242742959 \h </w:instrText>
            </w:r>
            <w:r>
              <w:rPr>
                <w:noProof/>
                <w:webHidden/>
              </w:rPr>
            </w:r>
            <w:r>
              <w:rPr>
                <w:noProof/>
                <w:webHidden/>
              </w:rPr>
              <w:fldChar w:fldCharType="separate"/>
            </w:r>
            <w:r>
              <w:rPr>
                <w:noProof/>
                <w:webHidden/>
              </w:rPr>
              <w:t>8</w:t>
            </w:r>
            <w:r>
              <w:rPr>
                <w:noProof/>
                <w:webHidden/>
              </w:rPr>
              <w:fldChar w:fldCharType="end"/>
            </w:r>
          </w:hyperlink>
        </w:p>
        <w:p w14:paraId="2BEA7987" w14:textId="370A2EB7"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60" w:history="1">
            <w:r w:rsidRPr="00391CDE">
              <w:rPr>
                <w:rStyle w:val="Hyperlink"/>
                <w:noProof/>
                <w:lang w:val="en-IN"/>
              </w:rPr>
              <w:t>3. Building a Strategic Talent System</w:t>
            </w:r>
            <w:r>
              <w:rPr>
                <w:noProof/>
                <w:webHidden/>
              </w:rPr>
              <w:tab/>
            </w:r>
            <w:r>
              <w:rPr>
                <w:noProof/>
                <w:webHidden/>
              </w:rPr>
              <w:fldChar w:fldCharType="begin"/>
            </w:r>
            <w:r>
              <w:rPr>
                <w:noProof/>
                <w:webHidden/>
              </w:rPr>
              <w:instrText xml:space="preserve"> PAGEREF _Toc242742960 \h </w:instrText>
            </w:r>
            <w:r>
              <w:rPr>
                <w:noProof/>
                <w:webHidden/>
              </w:rPr>
            </w:r>
            <w:r>
              <w:rPr>
                <w:noProof/>
                <w:webHidden/>
              </w:rPr>
              <w:fldChar w:fldCharType="separate"/>
            </w:r>
            <w:r>
              <w:rPr>
                <w:noProof/>
                <w:webHidden/>
              </w:rPr>
              <w:t>8</w:t>
            </w:r>
            <w:r>
              <w:rPr>
                <w:noProof/>
                <w:webHidden/>
              </w:rPr>
              <w:fldChar w:fldCharType="end"/>
            </w:r>
          </w:hyperlink>
        </w:p>
        <w:p w14:paraId="5D44EC31" w14:textId="7F241231" w:rsidR="00AC148F" w:rsidRDefault="00AC148F">
          <w:pPr>
            <w:pStyle w:val="TOC3"/>
            <w:tabs>
              <w:tab w:val="right" w:leader="dot" w:pos="9016"/>
            </w:tabs>
            <w:rPr>
              <w:rFonts w:asciiTheme="minorHAnsi" w:eastAsiaTheme="minorEastAsia" w:hAnsiTheme="minorHAnsi"/>
              <w:noProof/>
              <w:szCs w:val="24"/>
              <w:lang w:val="en-IN" w:eastAsia="en-IN"/>
            </w:rPr>
          </w:pPr>
          <w:hyperlink w:anchor="_Toc242742961" w:history="1">
            <w:r w:rsidRPr="00391CDE">
              <w:rPr>
                <w:rStyle w:val="Hyperlink"/>
                <w:noProof/>
                <w:lang w:val="en-IN"/>
              </w:rPr>
              <w:t>3.1 Continuous Learning and Career Progression</w:t>
            </w:r>
            <w:r>
              <w:rPr>
                <w:noProof/>
                <w:webHidden/>
              </w:rPr>
              <w:tab/>
            </w:r>
            <w:r>
              <w:rPr>
                <w:noProof/>
                <w:webHidden/>
              </w:rPr>
              <w:fldChar w:fldCharType="begin"/>
            </w:r>
            <w:r>
              <w:rPr>
                <w:noProof/>
                <w:webHidden/>
              </w:rPr>
              <w:instrText xml:space="preserve"> PAGEREF _Toc242742961 \h </w:instrText>
            </w:r>
            <w:r>
              <w:rPr>
                <w:noProof/>
                <w:webHidden/>
              </w:rPr>
            </w:r>
            <w:r>
              <w:rPr>
                <w:noProof/>
                <w:webHidden/>
              </w:rPr>
              <w:fldChar w:fldCharType="separate"/>
            </w:r>
            <w:r>
              <w:rPr>
                <w:noProof/>
                <w:webHidden/>
              </w:rPr>
              <w:t>8</w:t>
            </w:r>
            <w:r>
              <w:rPr>
                <w:noProof/>
                <w:webHidden/>
              </w:rPr>
              <w:fldChar w:fldCharType="end"/>
            </w:r>
          </w:hyperlink>
        </w:p>
        <w:p w14:paraId="3825F00A" w14:textId="58903885" w:rsidR="00AC148F" w:rsidRDefault="00AC148F">
          <w:pPr>
            <w:pStyle w:val="TOC3"/>
            <w:tabs>
              <w:tab w:val="right" w:leader="dot" w:pos="9016"/>
            </w:tabs>
            <w:rPr>
              <w:rFonts w:asciiTheme="minorHAnsi" w:eastAsiaTheme="minorEastAsia" w:hAnsiTheme="minorHAnsi"/>
              <w:noProof/>
              <w:szCs w:val="24"/>
              <w:lang w:val="en-IN" w:eastAsia="en-IN"/>
            </w:rPr>
          </w:pPr>
          <w:hyperlink w:anchor="_Toc242742962" w:history="1">
            <w:r w:rsidRPr="00391CDE">
              <w:rPr>
                <w:rStyle w:val="Hyperlink"/>
                <w:noProof/>
                <w:lang w:val="en-IN"/>
              </w:rPr>
              <w:t>3.2 AI-Based Internal Talent Marketplace</w:t>
            </w:r>
            <w:r>
              <w:rPr>
                <w:noProof/>
                <w:webHidden/>
              </w:rPr>
              <w:tab/>
            </w:r>
            <w:r>
              <w:rPr>
                <w:noProof/>
                <w:webHidden/>
              </w:rPr>
              <w:fldChar w:fldCharType="begin"/>
            </w:r>
            <w:r>
              <w:rPr>
                <w:noProof/>
                <w:webHidden/>
              </w:rPr>
              <w:instrText xml:space="preserve"> PAGEREF _Toc242742962 \h </w:instrText>
            </w:r>
            <w:r>
              <w:rPr>
                <w:noProof/>
                <w:webHidden/>
              </w:rPr>
            </w:r>
            <w:r>
              <w:rPr>
                <w:noProof/>
                <w:webHidden/>
              </w:rPr>
              <w:fldChar w:fldCharType="separate"/>
            </w:r>
            <w:r>
              <w:rPr>
                <w:noProof/>
                <w:webHidden/>
              </w:rPr>
              <w:t>9</w:t>
            </w:r>
            <w:r>
              <w:rPr>
                <w:noProof/>
                <w:webHidden/>
              </w:rPr>
              <w:fldChar w:fldCharType="end"/>
            </w:r>
          </w:hyperlink>
        </w:p>
        <w:p w14:paraId="22767A1D" w14:textId="21C8E778" w:rsidR="00AC148F" w:rsidRDefault="00AC148F">
          <w:pPr>
            <w:pStyle w:val="TOC3"/>
            <w:tabs>
              <w:tab w:val="right" w:leader="dot" w:pos="9016"/>
            </w:tabs>
            <w:rPr>
              <w:rFonts w:asciiTheme="minorHAnsi" w:eastAsiaTheme="minorEastAsia" w:hAnsiTheme="minorHAnsi"/>
              <w:noProof/>
              <w:szCs w:val="24"/>
              <w:lang w:val="en-IN" w:eastAsia="en-IN"/>
            </w:rPr>
          </w:pPr>
          <w:hyperlink w:anchor="_Toc242742963" w:history="1">
            <w:r w:rsidRPr="00391CDE">
              <w:rPr>
                <w:rStyle w:val="Hyperlink"/>
                <w:noProof/>
                <w:lang w:val="en-IN"/>
              </w:rPr>
              <w:t>3.3 Mentoring and Coaching</w:t>
            </w:r>
            <w:r>
              <w:rPr>
                <w:noProof/>
                <w:webHidden/>
              </w:rPr>
              <w:tab/>
            </w:r>
            <w:r>
              <w:rPr>
                <w:noProof/>
                <w:webHidden/>
              </w:rPr>
              <w:fldChar w:fldCharType="begin"/>
            </w:r>
            <w:r>
              <w:rPr>
                <w:noProof/>
                <w:webHidden/>
              </w:rPr>
              <w:instrText xml:space="preserve"> PAGEREF _Toc242742963 \h </w:instrText>
            </w:r>
            <w:r>
              <w:rPr>
                <w:noProof/>
                <w:webHidden/>
              </w:rPr>
            </w:r>
            <w:r>
              <w:rPr>
                <w:noProof/>
                <w:webHidden/>
              </w:rPr>
              <w:fldChar w:fldCharType="separate"/>
            </w:r>
            <w:r>
              <w:rPr>
                <w:noProof/>
                <w:webHidden/>
              </w:rPr>
              <w:t>9</w:t>
            </w:r>
            <w:r>
              <w:rPr>
                <w:noProof/>
                <w:webHidden/>
              </w:rPr>
              <w:fldChar w:fldCharType="end"/>
            </w:r>
          </w:hyperlink>
        </w:p>
        <w:p w14:paraId="36377324" w14:textId="3654CC41"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64" w:history="1">
            <w:r w:rsidRPr="00391CDE">
              <w:rPr>
                <w:rStyle w:val="Hyperlink"/>
                <w:noProof/>
                <w:lang w:val="en-IN"/>
              </w:rPr>
              <w:t>4. Wellbeing and Sustainable Performance</w:t>
            </w:r>
            <w:r>
              <w:rPr>
                <w:noProof/>
                <w:webHidden/>
              </w:rPr>
              <w:tab/>
            </w:r>
            <w:r>
              <w:rPr>
                <w:noProof/>
                <w:webHidden/>
              </w:rPr>
              <w:fldChar w:fldCharType="begin"/>
            </w:r>
            <w:r>
              <w:rPr>
                <w:noProof/>
                <w:webHidden/>
              </w:rPr>
              <w:instrText xml:space="preserve"> PAGEREF _Toc242742964 \h </w:instrText>
            </w:r>
            <w:r>
              <w:rPr>
                <w:noProof/>
                <w:webHidden/>
              </w:rPr>
            </w:r>
            <w:r>
              <w:rPr>
                <w:noProof/>
                <w:webHidden/>
              </w:rPr>
              <w:fldChar w:fldCharType="separate"/>
            </w:r>
            <w:r>
              <w:rPr>
                <w:noProof/>
                <w:webHidden/>
              </w:rPr>
              <w:t>10</w:t>
            </w:r>
            <w:r>
              <w:rPr>
                <w:noProof/>
                <w:webHidden/>
              </w:rPr>
              <w:fldChar w:fldCharType="end"/>
            </w:r>
          </w:hyperlink>
        </w:p>
        <w:p w14:paraId="0849064C" w14:textId="424C6D91" w:rsidR="00AC148F" w:rsidRDefault="00AC148F">
          <w:pPr>
            <w:pStyle w:val="TOC3"/>
            <w:tabs>
              <w:tab w:val="right" w:leader="dot" w:pos="9016"/>
            </w:tabs>
            <w:rPr>
              <w:rFonts w:asciiTheme="minorHAnsi" w:eastAsiaTheme="minorEastAsia" w:hAnsiTheme="minorHAnsi"/>
              <w:noProof/>
              <w:szCs w:val="24"/>
              <w:lang w:val="en-IN" w:eastAsia="en-IN"/>
            </w:rPr>
          </w:pPr>
          <w:hyperlink w:anchor="_Toc242742965" w:history="1">
            <w:r w:rsidRPr="00391CDE">
              <w:rPr>
                <w:rStyle w:val="Hyperlink"/>
                <w:noProof/>
                <w:lang w:val="en-IN"/>
              </w:rPr>
              <w:t>4.1 Psychological Safety</w:t>
            </w:r>
            <w:r>
              <w:rPr>
                <w:noProof/>
                <w:webHidden/>
              </w:rPr>
              <w:tab/>
            </w:r>
            <w:r>
              <w:rPr>
                <w:noProof/>
                <w:webHidden/>
              </w:rPr>
              <w:fldChar w:fldCharType="begin"/>
            </w:r>
            <w:r>
              <w:rPr>
                <w:noProof/>
                <w:webHidden/>
              </w:rPr>
              <w:instrText xml:space="preserve"> PAGEREF _Toc242742965 \h </w:instrText>
            </w:r>
            <w:r>
              <w:rPr>
                <w:noProof/>
                <w:webHidden/>
              </w:rPr>
            </w:r>
            <w:r>
              <w:rPr>
                <w:noProof/>
                <w:webHidden/>
              </w:rPr>
              <w:fldChar w:fldCharType="separate"/>
            </w:r>
            <w:r>
              <w:rPr>
                <w:noProof/>
                <w:webHidden/>
              </w:rPr>
              <w:t>10</w:t>
            </w:r>
            <w:r>
              <w:rPr>
                <w:noProof/>
                <w:webHidden/>
              </w:rPr>
              <w:fldChar w:fldCharType="end"/>
            </w:r>
          </w:hyperlink>
        </w:p>
        <w:p w14:paraId="74833965" w14:textId="63A4CF55" w:rsidR="00AC148F" w:rsidRDefault="00AC148F">
          <w:pPr>
            <w:pStyle w:val="TOC3"/>
            <w:tabs>
              <w:tab w:val="right" w:leader="dot" w:pos="9016"/>
            </w:tabs>
            <w:rPr>
              <w:rFonts w:asciiTheme="minorHAnsi" w:eastAsiaTheme="minorEastAsia" w:hAnsiTheme="minorHAnsi"/>
              <w:noProof/>
              <w:szCs w:val="24"/>
              <w:lang w:val="en-IN" w:eastAsia="en-IN"/>
            </w:rPr>
          </w:pPr>
          <w:hyperlink w:anchor="_Toc242742966" w:history="1">
            <w:r w:rsidRPr="00391CDE">
              <w:rPr>
                <w:rStyle w:val="Hyperlink"/>
                <w:noProof/>
                <w:lang w:val="en-IN"/>
              </w:rPr>
              <w:t>4.2 Balancing Performance and Wellbeing</w:t>
            </w:r>
            <w:r>
              <w:rPr>
                <w:noProof/>
                <w:webHidden/>
              </w:rPr>
              <w:tab/>
            </w:r>
            <w:r>
              <w:rPr>
                <w:noProof/>
                <w:webHidden/>
              </w:rPr>
              <w:fldChar w:fldCharType="begin"/>
            </w:r>
            <w:r>
              <w:rPr>
                <w:noProof/>
                <w:webHidden/>
              </w:rPr>
              <w:instrText xml:space="preserve"> PAGEREF _Toc242742966 \h </w:instrText>
            </w:r>
            <w:r>
              <w:rPr>
                <w:noProof/>
                <w:webHidden/>
              </w:rPr>
            </w:r>
            <w:r>
              <w:rPr>
                <w:noProof/>
                <w:webHidden/>
              </w:rPr>
              <w:fldChar w:fldCharType="separate"/>
            </w:r>
            <w:r>
              <w:rPr>
                <w:noProof/>
                <w:webHidden/>
              </w:rPr>
              <w:t>10</w:t>
            </w:r>
            <w:r>
              <w:rPr>
                <w:noProof/>
                <w:webHidden/>
              </w:rPr>
              <w:fldChar w:fldCharType="end"/>
            </w:r>
          </w:hyperlink>
        </w:p>
        <w:p w14:paraId="693DC2D6" w14:textId="1EBFB22B"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67" w:history="1">
            <w:r w:rsidRPr="00391CDE">
              <w:rPr>
                <w:rStyle w:val="Hyperlink"/>
                <w:noProof/>
              </w:rPr>
              <w:t>5. Implementation and Evaluation</w:t>
            </w:r>
            <w:r>
              <w:rPr>
                <w:noProof/>
                <w:webHidden/>
              </w:rPr>
              <w:tab/>
            </w:r>
            <w:r>
              <w:rPr>
                <w:noProof/>
                <w:webHidden/>
              </w:rPr>
              <w:fldChar w:fldCharType="begin"/>
            </w:r>
            <w:r>
              <w:rPr>
                <w:noProof/>
                <w:webHidden/>
              </w:rPr>
              <w:instrText xml:space="preserve"> PAGEREF _Toc242742967 \h </w:instrText>
            </w:r>
            <w:r>
              <w:rPr>
                <w:noProof/>
                <w:webHidden/>
              </w:rPr>
            </w:r>
            <w:r>
              <w:rPr>
                <w:noProof/>
                <w:webHidden/>
              </w:rPr>
              <w:fldChar w:fldCharType="separate"/>
            </w:r>
            <w:r>
              <w:rPr>
                <w:noProof/>
                <w:webHidden/>
              </w:rPr>
              <w:t>11</w:t>
            </w:r>
            <w:r>
              <w:rPr>
                <w:noProof/>
                <w:webHidden/>
              </w:rPr>
              <w:fldChar w:fldCharType="end"/>
            </w:r>
          </w:hyperlink>
        </w:p>
        <w:p w14:paraId="0168825C" w14:textId="418102FA"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68" w:history="1">
            <w:r w:rsidRPr="00391CDE">
              <w:rPr>
                <w:rStyle w:val="Hyperlink"/>
                <w:noProof/>
              </w:rPr>
              <w:t>6. Conclusion</w:t>
            </w:r>
            <w:r>
              <w:rPr>
                <w:noProof/>
                <w:webHidden/>
              </w:rPr>
              <w:tab/>
            </w:r>
            <w:r>
              <w:rPr>
                <w:noProof/>
                <w:webHidden/>
              </w:rPr>
              <w:fldChar w:fldCharType="begin"/>
            </w:r>
            <w:r>
              <w:rPr>
                <w:noProof/>
                <w:webHidden/>
              </w:rPr>
              <w:instrText xml:space="preserve"> PAGEREF _Toc242742968 \h </w:instrText>
            </w:r>
            <w:r>
              <w:rPr>
                <w:noProof/>
                <w:webHidden/>
              </w:rPr>
            </w:r>
            <w:r>
              <w:rPr>
                <w:noProof/>
                <w:webHidden/>
              </w:rPr>
              <w:fldChar w:fldCharType="separate"/>
            </w:r>
            <w:r>
              <w:rPr>
                <w:noProof/>
                <w:webHidden/>
              </w:rPr>
              <w:t>12</w:t>
            </w:r>
            <w:r>
              <w:rPr>
                <w:noProof/>
                <w:webHidden/>
              </w:rPr>
              <w:fldChar w:fldCharType="end"/>
            </w:r>
          </w:hyperlink>
        </w:p>
        <w:p w14:paraId="215DA524" w14:textId="210BB04F" w:rsidR="00AC148F" w:rsidRDefault="00AC148F">
          <w:pPr>
            <w:pStyle w:val="TOC1"/>
            <w:tabs>
              <w:tab w:val="right" w:leader="dot" w:pos="9016"/>
            </w:tabs>
            <w:rPr>
              <w:rFonts w:asciiTheme="minorHAnsi" w:eastAsiaTheme="minorEastAsia" w:hAnsiTheme="minorHAnsi"/>
              <w:noProof/>
              <w:szCs w:val="24"/>
              <w:lang w:val="en-IN" w:eastAsia="en-IN"/>
            </w:rPr>
          </w:pPr>
          <w:hyperlink w:anchor="_Toc242742969" w:history="1">
            <w:r w:rsidRPr="00391CDE">
              <w:rPr>
                <w:rStyle w:val="Hyperlink"/>
                <w:noProof/>
              </w:rPr>
              <w:t>TASK C: Reflective report</w:t>
            </w:r>
            <w:r>
              <w:rPr>
                <w:noProof/>
                <w:webHidden/>
              </w:rPr>
              <w:tab/>
            </w:r>
            <w:r>
              <w:rPr>
                <w:noProof/>
                <w:webHidden/>
              </w:rPr>
              <w:fldChar w:fldCharType="begin"/>
            </w:r>
            <w:r>
              <w:rPr>
                <w:noProof/>
                <w:webHidden/>
              </w:rPr>
              <w:instrText xml:space="preserve"> PAGEREF _Toc242742969 \h </w:instrText>
            </w:r>
            <w:r>
              <w:rPr>
                <w:noProof/>
                <w:webHidden/>
              </w:rPr>
            </w:r>
            <w:r>
              <w:rPr>
                <w:noProof/>
                <w:webHidden/>
              </w:rPr>
              <w:fldChar w:fldCharType="separate"/>
            </w:r>
            <w:r>
              <w:rPr>
                <w:noProof/>
                <w:webHidden/>
              </w:rPr>
              <w:t>12</w:t>
            </w:r>
            <w:r>
              <w:rPr>
                <w:noProof/>
                <w:webHidden/>
              </w:rPr>
              <w:fldChar w:fldCharType="end"/>
            </w:r>
          </w:hyperlink>
        </w:p>
        <w:p w14:paraId="209525E1" w14:textId="7B0F9C96"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70" w:history="1">
            <w:r w:rsidRPr="00391CDE">
              <w:rPr>
                <w:rStyle w:val="Hyperlink"/>
                <w:noProof/>
                <w:lang w:val="en-IN"/>
              </w:rPr>
              <w:t>1. Introduction</w:t>
            </w:r>
            <w:r>
              <w:rPr>
                <w:noProof/>
                <w:webHidden/>
              </w:rPr>
              <w:tab/>
            </w:r>
            <w:r>
              <w:rPr>
                <w:noProof/>
                <w:webHidden/>
              </w:rPr>
              <w:fldChar w:fldCharType="begin"/>
            </w:r>
            <w:r>
              <w:rPr>
                <w:noProof/>
                <w:webHidden/>
              </w:rPr>
              <w:instrText xml:space="preserve"> PAGEREF _Toc242742970 \h </w:instrText>
            </w:r>
            <w:r>
              <w:rPr>
                <w:noProof/>
                <w:webHidden/>
              </w:rPr>
            </w:r>
            <w:r>
              <w:rPr>
                <w:noProof/>
                <w:webHidden/>
              </w:rPr>
              <w:fldChar w:fldCharType="separate"/>
            </w:r>
            <w:r>
              <w:rPr>
                <w:noProof/>
                <w:webHidden/>
              </w:rPr>
              <w:t>12</w:t>
            </w:r>
            <w:r>
              <w:rPr>
                <w:noProof/>
                <w:webHidden/>
              </w:rPr>
              <w:fldChar w:fldCharType="end"/>
            </w:r>
          </w:hyperlink>
        </w:p>
        <w:p w14:paraId="14DAF8E1" w14:textId="4191EF12"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71" w:history="1">
            <w:r w:rsidRPr="00391CDE">
              <w:rPr>
                <w:rStyle w:val="Hyperlink"/>
                <w:noProof/>
                <w:lang w:val="en-IN"/>
              </w:rPr>
              <w:t>2. AI as a Strategic Resource in HRM</w:t>
            </w:r>
            <w:r>
              <w:rPr>
                <w:noProof/>
                <w:webHidden/>
              </w:rPr>
              <w:tab/>
            </w:r>
            <w:r>
              <w:rPr>
                <w:noProof/>
                <w:webHidden/>
              </w:rPr>
              <w:fldChar w:fldCharType="begin"/>
            </w:r>
            <w:r>
              <w:rPr>
                <w:noProof/>
                <w:webHidden/>
              </w:rPr>
              <w:instrText xml:space="preserve"> PAGEREF _Toc242742971 \h </w:instrText>
            </w:r>
            <w:r>
              <w:rPr>
                <w:noProof/>
                <w:webHidden/>
              </w:rPr>
            </w:r>
            <w:r>
              <w:rPr>
                <w:noProof/>
                <w:webHidden/>
              </w:rPr>
              <w:fldChar w:fldCharType="separate"/>
            </w:r>
            <w:r>
              <w:rPr>
                <w:noProof/>
                <w:webHidden/>
              </w:rPr>
              <w:t>12</w:t>
            </w:r>
            <w:r>
              <w:rPr>
                <w:noProof/>
                <w:webHidden/>
              </w:rPr>
              <w:fldChar w:fldCharType="end"/>
            </w:r>
          </w:hyperlink>
        </w:p>
        <w:p w14:paraId="2F8A7A30" w14:textId="485480A0"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72" w:history="1">
            <w:r w:rsidRPr="00391CDE">
              <w:rPr>
                <w:rStyle w:val="Hyperlink"/>
                <w:noProof/>
                <w:lang w:val="en-IN"/>
              </w:rPr>
              <w:t>3. Critical Reflection on Use of AI</w:t>
            </w:r>
            <w:r>
              <w:rPr>
                <w:noProof/>
                <w:webHidden/>
              </w:rPr>
              <w:tab/>
            </w:r>
            <w:r>
              <w:rPr>
                <w:noProof/>
                <w:webHidden/>
              </w:rPr>
              <w:fldChar w:fldCharType="begin"/>
            </w:r>
            <w:r>
              <w:rPr>
                <w:noProof/>
                <w:webHidden/>
              </w:rPr>
              <w:instrText xml:space="preserve"> PAGEREF _Toc242742972 \h </w:instrText>
            </w:r>
            <w:r>
              <w:rPr>
                <w:noProof/>
                <w:webHidden/>
              </w:rPr>
            </w:r>
            <w:r>
              <w:rPr>
                <w:noProof/>
                <w:webHidden/>
              </w:rPr>
              <w:fldChar w:fldCharType="separate"/>
            </w:r>
            <w:r>
              <w:rPr>
                <w:noProof/>
                <w:webHidden/>
              </w:rPr>
              <w:t>13</w:t>
            </w:r>
            <w:r>
              <w:rPr>
                <w:noProof/>
                <w:webHidden/>
              </w:rPr>
              <w:fldChar w:fldCharType="end"/>
            </w:r>
          </w:hyperlink>
        </w:p>
        <w:p w14:paraId="6E7E463C" w14:textId="1D244C3D"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73" w:history="1">
            <w:r w:rsidRPr="00391CDE">
              <w:rPr>
                <w:rStyle w:val="Hyperlink"/>
                <w:noProof/>
                <w:lang w:val="en-IN"/>
              </w:rPr>
              <w:t>4. Personal Capability Development Plan</w:t>
            </w:r>
            <w:r>
              <w:rPr>
                <w:noProof/>
                <w:webHidden/>
              </w:rPr>
              <w:tab/>
            </w:r>
            <w:r>
              <w:rPr>
                <w:noProof/>
                <w:webHidden/>
              </w:rPr>
              <w:fldChar w:fldCharType="begin"/>
            </w:r>
            <w:r>
              <w:rPr>
                <w:noProof/>
                <w:webHidden/>
              </w:rPr>
              <w:instrText xml:space="preserve"> PAGEREF _Toc242742973 \h </w:instrText>
            </w:r>
            <w:r>
              <w:rPr>
                <w:noProof/>
                <w:webHidden/>
              </w:rPr>
            </w:r>
            <w:r>
              <w:rPr>
                <w:noProof/>
                <w:webHidden/>
              </w:rPr>
              <w:fldChar w:fldCharType="separate"/>
            </w:r>
            <w:r>
              <w:rPr>
                <w:noProof/>
                <w:webHidden/>
              </w:rPr>
              <w:t>14</w:t>
            </w:r>
            <w:r>
              <w:rPr>
                <w:noProof/>
                <w:webHidden/>
              </w:rPr>
              <w:fldChar w:fldCharType="end"/>
            </w:r>
          </w:hyperlink>
        </w:p>
        <w:p w14:paraId="7D59563B" w14:textId="14D5E0A5" w:rsidR="00AC148F" w:rsidRDefault="00AC148F">
          <w:pPr>
            <w:pStyle w:val="TOC2"/>
            <w:tabs>
              <w:tab w:val="right" w:leader="dot" w:pos="9016"/>
            </w:tabs>
            <w:rPr>
              <w:rFonts w:asciiTheme="minorHAnsi" w:eastAsiaTheme="minorEastAsia" w:hAnsiTheme="minorHAnsi"/>
              <w:noProof/>
              <w:szCs w:val="24"/>
              <w:lang w:val="en-IN" w:eastAsia="en-IN"/>
            </w:rPr>
          </w:pPr>
          <w:hyperlink w:anchor="_Toc242742974" w:history="1">
            <w:r w:rsidRPr="00391CDE">
              <w:rPr>
                <w:rStyle w:val="Hyperlink"/>
                <w:noProof/>
                <w:lang w:val="en-IN"/>
              </w:rPr>
              <w:t>5. Conclusion</w:t>
            </w:r>
            <w:r>
              <w:rPr>
                <w:noProof/>
                <w:webHidden/>
              </w:rPr>
              <w:tab/>
            </w:r>
            <w:r>
              <w:rPr>
                <w:noProof/>
                <w:webHidden/>
              </w:rPr>
              <w:fldChar w:fldCharType="begin"/>
            </w:r>
            <w:r>
              <w:rPr>
                <w:noProof/>
                <w:webHidden/>
              </w:rPr>
              <w:instrText xml:space="preserve"> PAGEREF _Toc242742974 \h </w:instrText>
            </w:r>
            <w:r>
              <w:rPr>
                <w:noProof/>
                <w:webHidden/>
              </w:rPr>
            </w:r>
            <w:r>
              <w:rPr>
                <w:noProof/>
                <w:webHidden/>
              </w:rPr>
              <w:fldChar w:fldCharType="separate"/>
            </w:r>
            <w:r>
              <w:rPr>
                <w:noProof/>
                <w:webHidden/>
              </w:rPr>
              <w:t>14</w:t>
            </w:r>
            <w:r>
              <w:rPr>
                <w:noProof/>
                <w:webHidden/>
              </w:rPr>
              <w:fldChar w:fldCharType="end"/>
            </w:r>
          </w:hyperlink>
        </w:p>
        <w:p w14:paraId="674E035A" w14:textId="687B102E" w:rsidR="00AC148F" w:rsidRDefault="00AC148F">
          <w:pPr>
            <w:pStyle w:val="TOC1"/>
            <w:tabs>
              <w:tab w:val="right" w:leader="dot" w:pos="9016"/>
            </w:tabs>
            <w:rPr>
              <w:rFonts w:asciiTheme="minorHAnsi" w:eastAsiaTheme="minorEastAsia" w:hAnsiTheme="minorHAnsi"/>
              <w:noProof/>
              <w:szCs w:val="24"/>
              <w:lang w:val="en-IN" w:eastAsia="en-IN"/>
            </w:rPr>
          </w:pPr>
          <w:hyperlink w:anchor="_Toc242742975" w:history="1">
            <w:r w:rsidRPr="00391CDE">
              <w:rPr>
                <w:rStyle w:val="Hyperlink"/>
                <w:noProof/>
              </w:rPr>
              <w:t>References</w:t>
            </w:r>
            <w:r>
              <w:rPr>
                <w:noProof/>
                <w:webHidden/>
              </w:rPr>
              <w:tab/>
            </w:r>
            <w:r>
              <w:rPr>
                <w:noProof/>
                <w:webHidden/>
              </w:rPr>
              <w:fldChar w:fldCharType="begin"/>
            </w:r>
            <w:r>
              <w:rPr>
                <w:noProof/>
                <w:webHidden/>
              </w:rPr>
              <w:instrText xml:space="preserve"> PAGEREF _Toc242742975 \h </w:instrText>
            </w:r>
            <w:r>
              <w:rPr>
                <w:noProof/>
                <w:webHidden/>
              </w:rPr>
            </w:r>
            <w:r>
              <w:rPr>
                <w:noProof/>
                <w:webHidden/>
              </w:rPr>
              <w:fldChar w:fldCharType="separate"/>
            </w:r>
            <w:r>
              <w:rPr>
                <w:noProof/>
                <w:webHidden/>
              </w:rPr>
              <w:t>15</w:t>
            </w:r>
            <w:r>
              <w:rPr>
                <w:noProof/>
                <w:webHidden/>
              </w:rPr>
              <w:fldChar w:fldCharType="end"/>
            </w:r>
          </w:hyperlink>
        </w:p>
        <w:p w14:paraId="1397B2AE" w14:textId="36E37F85" w:rsidR="00D56EE6" w:rsidRPr="00CA1A89" w:rsidRDefault="00D56EE6">
          <w:r w:rsidRPr="00CA1A89">
            <w:rPr>
              <w:b/>
              <w:bCs/>
              <w:noProof/>
            </w:rPr>
            <w:fldChar w:fldCharType="end"/>
          </w:r>
        </w:p>
      </w:sdtContent>
    </w:sdt>
    <w:p w14:paraId="54A94422" w14:textId="77777777" w:rsidR="00B379AE" w:rsidRPr="00CA1A89" w:rsidRDefault="00B379AE" w:rsidP="0002242A">
      <w:pPr>
        <w:rPr>
          <w:b/>
          <w:bCs/>
        </w:rPr>
      </w:pPr>
    </w:p>
    <w:p w14:paraId="1C7F3C03" w14:textId="77777777" w:rsidR="00B379AE" w:rsidRPr="00CA1A89" w:rsidRDefault="00B379AE">
      <w:pPr>
        <w:spacing w:line="259" w:lineRule="auto"/>
        <w:jc w:val="left"/>
        <w:rPr>
          <w:b/>
          <w:bCs/>
        </w:rPr>
      </w:pPr>
      <w:r w:rsidRPr="00CA1A89">
        <w:rPr>
          <w:b/>
          <w:bCs/>
        </w:rPr>
        <w:br w:type="page"/>
      </w:r>
    </w:p>
    <w:p w14:paraId="443D7823" w14:textId="31115B9D" w:rsidR="00911C9A" w:rsidRPr="00CA1A89" w:rsidRDefault="002C075D" w:rsidP="000F6855">
      <w:pPr>
        <w:pStyle w:val="Heading1"/>
      </w:pPr>
      <w:bookmarkStart w:id="0" w:name="_Toc242742948"/>
      <w:r w:rsidRPr="00CA1A89">
        <w:lastRenderedPageBreak/>
        <w:t>TASK A: Designing Innovative Working Practices</w:t>
      </w:r>
      <w:bookmarkEnd w:id="0"/>
    </w:p>
    <w:p w14:paraId="1A382D41" w14:textId="3305E7C3" w:rsidR="002C075D" w:rsidRPr="00CA1A89" w:rsidRDefault="001D388F" w:rsidP="000F6855">
      <w:pPr>
        <w:pStyle w:val="Heading2"/>
      </w:pPr>
      <w:bookmarkStart w:id="1" w:name="_Toc242742949"/>
      <w:r w:rsidRPr="00CA1A89">
        <w:t>1. Background</w:t>
      </w:r>
      <w:bookmarkEnd w:id="1"/>
      <w:r w:rsidRPr="00CA1A89">
        <w:t xml:space="preserve"> </w:t>
      </w:r>
    </w:p>
    <w:p w14:paraId="6A9B5ECF" w14:textId="6586E84F" w:rsidR="00D525B3" w:rsidRPr="00CA1A89" w:rsidRDefault="00D525B3" w:rsidP="00D525B3">
      <w:pPr>
        <w:rPr>
          <w:lang w:val="en-IN"/>
        </w:rPr>
      </w:pPr>
      <w:proofErr w:type="spellStart"/>
      <w:r w:rsidRPr="00CA1A89">
        <w:rPr>
          <w:lang w:val="en-IN"/>
        </w:rPr>
        <w:t>NexSpace</w:t>
      </w:r>
      <w:proofErr w:type="spellEnd"/>
      <w:r w:rsidRPr="00CA1A89">
        <w:rPr>
          <w:lang w:val="en-IN"/>
        </w:rPr>
        <w:t xml:space="preserve"> Health Systems (NHSX) </w:t>
      </w:r>
      <w:r w:rsidR="000F470F">
        <w:rPr>
          <w:lang w:val="en-IN"/>
        </w:rPr>
        <w:t>operates across</w:t>
      </w:r>
      <w:r w:rsidRPr="00CA1A89">
        <w:rPr>
          <w:lang w:val="en-IN"/>
        </w:rPr>
        <w:t xml:space="preserve"> the United Kingdom (UK), India, and the UAE</w:t>
      </w:r>
      <w:r w:rsidR="000F470F">
        <w:rPr>
          <w:lang w:val="en-IN"/>
        </w:rPr>
        <w:t xml:space="preserve"> as an emerging healthcare technology firm with around </w:t>
      </w:r>
      <w:r w:rsidR="00CA13E6">
        <w:rPr>
          <w:lang w:val="en-IN"/>
        </w:rPr>
        <w:t>600 employees</w:t>
      </w:r>
      <w:r w:rsidRPr="00CA1A89">
        <w:rPr>
          <w:lang w:val="en-IN"/>
        </w:rPr>
        <w:t>.</w:t>
      </w:r>
      <w:r w:rsidR="00CA13E6">
        <w:rPr>
          <w:lang w:val="en-IN"/>
        </w:rPr>
        <w:t xml:space="preserve"> It uses advanced technologies like AI </w:t>
      </w:r>
      <w:r w:rsidR="00F1255D">
        <w:rPr>
          <w:lang w:val="en-IN"/>
        </w:rPr>
        <w:t>to offer</w:t>
      </w:r>
      <w:r w:rsidR="00CA13E6">
        <w:rPr>
          <w:lang w:val="en-IN"/>
        </w:rPr>
        <w:t xml:space="preserve"> digital healthcare services, </w:t>
      </w:r>
      <w:r w:rsidR="00F1255D">
        <w:rPr>
          <w:lang w:val="en-IN"/>
        </w:rPr>
        <w:t>support</w:t>
      </w:r>
      <w:r w:rsidR="00CA13E6">
        <w:rPr>
          <w:lang w:val="en-IN"/>
        </w:rPr>
        <w:t xml:space="preserve"> clinical decisions, and remotely </w:t>
      </w:r>
      <w:r w:rsidR="00F1255D">
        <w:rPr>
          <w:lang w:val="en-IN"/>
        </w:rPr>
        <w:t>monitor</w:t>
      </w:r>
      <w:r w:rsidR="00CA13E6">
        <w:rPr>
          <w:lang w:val="en-IN"/>
        </w:rPr>
        <w:t xml:space="preserve"> patient health.</w:t>
      </w:r>
      <w:r w:rsidRPr="00CA1A89">
        <w:rPr>
          <w:lang w:val="en-IN"/>
        </w:rPr>
        <w:t xml:space="preserve"> Innovative working practices are required to improve staff engagement and develop organisational resilience so that staff can thrive through disruptive changes (Garrido-Moreno, Martín-Rojas and García-Morales, 2024). However, hierarchical working practices, limited opportunities for employee creativity and hybrid working are key barriers to this practice. Hence, the purpose of this report is to design an innovative working practice that can stimulate innovation and promote employee collaboration.</w:t>
      </w:r>
    </w:p>
    <w:p w14:paraId="78D095D7" w14:textId="038B170A" w:rsidR="001D388F" w:rsidRPr="00CA1A89" w:rsidRDefault="001D388F" w:rsidP="000F6855">
      <w:pPr>
        <w:pStyle w:val="Heading2"/>
      </w:pPr>
      <w:bookmarkStart w:id="2" w:name="_Toc242742950"/>
      <w:r w:rsidRPr="00CA1A89">
        <w:t>2.</w:t>
      </w:r>
      <w:r w:rsidR="00F1255D">
        <w:t xml:space="preserve"> </w:t>
      </w:r>
      <w:r w:rsidRPr="00CA1A89">
        <w:t>Traditional v/s Contemporary Work Design</w:t>
      </w:r>
      <w:bookmarkEnd w:id="2"/>
    </w:p>
    <w:p w14:paraId="1AF67A29" w14:textId="4BFEBEB6" w:rsidR="008E72DD" w:rsidRPr="00CA1A89" w:rsidRDefault="00E6670C" w:rsidP="008E72DD">
      <w:pPr>
        <w:rPr>
          <w:lang w:val="en-IN"/>
        </w:rPr>
      </w:pPr>
      <w:r w:rsidRPr="00CA1A89">
        <w:rPr>
          <w:lang w:val="en-IN"/>
        </w:rPr>
        <w:t>While traditional work design emphasises hierarchy and centralised decision-making, contemporary design embraces flexibility, employee empowerment and collaboration (Joseph and Sengul, 2025). Accountability among senior leaders in a traditional work environment is high, which can further help NHSX to comply with safety and regulatory requirements. However, centralised decision-making can delay problem-solving and innovation. The contemporary work design is supported by high-involvement work design (HIWS) as it enhances participation of employees in work practices (Nguyen et al., 2024). While HIWS empower employees, the High-Performance Work System (HPWS) emphasises more on employee training and performance management. Therefore, both these approaches can be combined to foster an innovative work environment. Furthermore, several software development firms are adopting agile work practices, as they promote proactive decision-making. Such activities can accelerate software development in NHSX, but excessive employee autonomy can disrupt operational practices. For instance, employees can mishandle confidential clinical information and can also prevent NHSX from complying with regulatory requirements like GDPR (Romolo et al., 2023). Therefore, a hybrid work design where employees’ autonomy is balanced with structured team collaboration is required to improve innovation work practices</w:t>
      </w:r>
      <w:r w:rsidR="008E72DD" w:rsidRPr="00CA1A89">
        <w:rPr>
          <w:lang w:val="en-IN"/>
        </w:rPr>
        <w:t>.</w:t>
      </w:r>
    </w:p>
    <w:p w14:paraId="64F30C54" w14:textId="3EC78B4B" w:rsidR="001D388F" w:rsidRPr="00CA1A89" w:rsidRDefault="00444E2D" w:rsidP="00444E2D">
      <w:pPr>
        <w:pStyle w:val="Heading3"/>
      </w:pPr>
      <w:bookmarkStart w:id="3" w:name="_Toc242742951"/>
      <w:r w:rsidRPr="00CA1A89">
        <w:lastRenderedPageBreak/>
        <w:t xml:space="preserve">2.1 </w:t>
      </w:r>
      <w:r w:rsidR="0071450B" w:rsidRPr="00CA1A89">
        <w:t>Slowed Innovation and Decision-Making</w:t>
      </w:r>
      <w:bookmarkEnd w:id="3"/>
    </w:p>
    <w:p w14:paraId="6D834648" w14:textId="77777777" w:rsidR="00F97666" w:rsidRPr="00CA1A89" w:rsidRDefault="00F97666" w:rsidP="00F97666">
      <w:pPr>
        <w:rPr>
          <w:lang w:val="en-IN"/>
        </w:rPr>
      </w:pPr>
      <w:r w:rsidRPr="00CA1A89">
        <w:rPr>
          <w:lang w:val="en-IN"/>
        </w:rPr>
        <w:t>In a hierarchical organisational structure, employees are often required to obtain approval from multiple levels of senior management. Furthermore, centralised decision-making is a key attribute of a top-down organisational structure. Senior leaders may have experience to make relevant decisions, but employees are more aware of potential problems and their solutions (</w:t>
      </w:r>
      <w:proofErr w:type="spellStart"/>
      <w:r w:rsidRPr="00CA1A89">
        <w:rPr>
          <w:lang w:val="en-IN"/>
        </w:rPr>
        <w:t>Alshwayat</w:t>
      </w:r>
      <w:proofErr w:type="spellEnd"/>
      <w:r w:rsidRPr="00CA1A89">
        <w:rPr>
          <w:lang w:val="en-IN"/>
        </w:rPr>
        <w:t xml:space="preserve"> et al., 2023). Therefore, innovation in a hierarchical organisational structure is not only delayed, but it can also prevent low-level employees from using their own expertise in the process of decision-making.</w:t>
      </w:r>
    </w:p>
    <w:p w14:paraId="053DF0E2" w14:textId="2A57ECBA" w:rsidR="00B20923" w:rsidRPr="00CA1A89" w:rsidRDefault="00F97666" w:rsidP="00F97666">
      <w:pPr>
        <w:rPr>
          <w:lang w:val="en-IN"/>
        </w:rPr>
      </w:pPr>
      <w:r w:rsidRPr="00CA1A89">
        <w:rPr>
          <w:lang w:val="en-IN"/>
        </w:rPr>
        <w:t>Operational, governance and structural changes can address the above-mentioned challenge. HIWS model can help people managers of the firm to strategically engage employees in the core innovation practices of the firm and make decision-making decentralised. Structurally, an agile working framework can help NHSX to develop robust cross-functional teams comprising healthcare professionals, AI engineers, and software developers. Operationally, delegated authority and constructive feedback can reduce miscommunication and improve decision-making (</w:t>
      </w:r>
      <w:proofErr w:type="spellStart"/>
      <w:r w:rsidRPr="00CA1A89">
        <w:rPr>
          <w:lang w:val="en-IN"/>
        </w:rPr>
        <w:t>Kalimashe</w:t>
      </w:r>
      <w:proofErr w:type="spellEnd"/>
      <w:r w:rsidRPr="00CA1A89">
        <w:rPr>
          <w:lang w:val="en-IN"/>
        </w:rPr>
        <w:t xml:space="preserve">, du Plessis and </w:t>
      </w:r>
      <w:proofErr w:type="spellStart"/>
      <w:r w:rsidRPr="00CA1A89">
        <w:rPr>
          <w:lang w:val="en-IN"/>
        </w:rPr>
        <w:t>Sehularo</w:t>
      </w:r>
      <w:proofErr w:type="spellEnd"/>
      <w:r w:rsidRPr="00CA1A89">
        <w:rPr>
          <w:lang w:val="en-IN"/>
        </w:rPr>
        <w:t xml:space="preserve">, 2025). However, clinicians must </w:t>
      </w:r>
      <w:r w:rsidR="00F1255D">
        <w:rPr>
          <w:lang w:val="en-IN"/>
        </w:rPr>
        <w:t>make</w:t>
      </w:r>
      <w:r w:rsidRPr="00CA1A89">
        <w:rPr>
          <w:lang w:val="en-IN"/>
        </w:rPr>
        <w:t xml:space="preserve"> clinical decisions to ensure accountability and patient safety. Technologically, secure platforms can optimise information sharing. These integrated work systems can reduce approval delays and increase employee responsiveness, along with innovation</w:t>
      </w:r>
      <w:r w:rsidR="00B20923" w:rsidRPr="00CA1A89">
        <w:rPr>
          <w:lang w:val="en-IN"/>
        </w:rPr>
        <w:t>.</w:t>
      </w:r>
    </w:p>
    <w:p w14:paraId="4C5121E0" w14:textId="4A85C95B" w:rsidR="0071450B" w:rsidRPr="00CA1A89" w:rsidRDefault="00444E2D" w:rsidP="00444E2D">
      <w:pPr>
        <w:pStyle w:val="Heading3"/>
      </w:pPr>
      <w:bookmarkStart w:id="4" w:name="_Toc242742952"/>
      <w:r w:rsidRPr="00CA1A89">
        <w:t>2.2</w:t>
      </w:r>
      <w:r w:rsidR="0071450B" w:rsidRPr="00CA1A89">
        <w:t xml:space="preserve"> Limited Opportunities for Creativity</w:t>
      </w:r>
      <w:bookmarkEnd w:id="4"/>
    </w:p>
    <w:p w14:paraId="35673911" w14:textId="0A2168D3" w:rsidR="00B20923" w:rsidRPr="00CA1A89" w:rsidRDefault="00F71EBD" w:rsidP="00B20923">
      <w:pPr>
        <w:rPr>
          <w:lang w:val="en-IN"/>
        </w:rPr>
      </w:pPr>
      <w:proofErr w:type="spellStart"/>
      <w:r w:rsidRPr="00CA1A89">
        <w:rPr>
          <w:lang w:val="en-IN"/>
        </w:rPr>
        <w:t>Manuoglu</w:t>
      </w:r>
      <w:proofErr w:type="spellEnd"/>
      <w:r>
        <w:rPr>
          <w:lang w:val="en-IN"/>
        </w:rPr>
        <w:t xml:space="preserve"> (</w:t>
      </w:r>
      <w:r w:rsidRPr="00CA1A89">
        <w:rPr>
          <w:lang w:val="en-IN"/>
        </w:rPr>
        <w:t>2023</w:t>
      </w:r>
      <w:r>
        <w:rPr>
          <w:lang w:val="en-IN"/>
        </w:rPr>
        <w:t xml:space="preserve">) argued that when employees experience </w:t>
      </w:r>
      <w:r w:rsidR="00F1255D">
        <w:rPr>
          <w:lang w:val="en-IN"/>
        </w:rPr>
        <w:t xml:space="preserve">a </w:t>
      </w:r>
      <w:r>
        <w:rPr>
          <w:lang w:val="en-IN"/>
        </w:rPr>
        <w:t>lack of autonomy and judgmental scrutiny, they lack confidence in sharing creative ideas or viewpoints</w:t>
      </w:r>
      <w:r w:rsidR="00A96761">
        <w:rPr>
          <w:lang w:val="en-IN"/>
        </w:rPr>
        <w:t>. This becomes problematic in AI-driven firms where rigorous brainstorming and experimentation are key to sustained innovation</w:t>
      </w:r>
      <w:r w:rsidR="00A4422C" w:rsidRPr="00CA1A89">
        <w:rPr>
          <w:lang w:val="en-IN"/>
        </w:rPr>
        <w:t>. Technological redesign can address this challenge and increase employee empowerment. However, in an AI-driven healthcare firm, rigorous brainstorming and experimentation are necessary to accelerate innovation. Contextually, according to Socio-technical System theory, the traditional and inflexible organisation can be transformed by collaborating between employees and technologies to achieve core organisational objectives (</w:t>
      </w:r>
      <w:proofErr w:type="spellStart"/>
      <w:r w:rsidR="00A4422C" w:rsidRPr="00CA1A89">
        <w:rPr>
          <w:lang w:val="en-IN"/>
        </w:rPr>
        <w:t>Govers</w:t>
      </w:r>
      <w:proofErr w:type="spellEnd"/>
      <w:r w:rsidR="00A4422C" w:rsidRPr="00CA1A89">
        <w:rPr>
          <w:lang w:val="en-IN"/>
        </w:rPr>
        <w:t xml:space="preserve"> and Van Amelsvoort, 2023). Hence, innovation workshops using secure digital platforms can optimise the exchange of information among cross-functional team members, </w:t>
      </w:r>
      <w:r w:rsidR="00A4422C" w:rsidRPr="00CA1A89">
        <w:rPr>
          <w:lang w:val="en-IN"/>
        </w:rPr>
        <w:lastRenderedPageBreak/>
        <w:t>thereby improving employee creativity. Employees within the workplace should also be trained so that they can leverage advanced technology and contribute to organisational innovation. This strategic approach can empower employees and make them feel valued. However, employee training and innovation workshops can increase the operational costs of the firm, which might have an impact on its profit margin. Therefore, NHSX should develop a comprehensive budget and establish KPIs to assess innovation rates, project completion times and employee participation. This assessment can further help in understanding the effectiveness of the chosen approach</w:t>
      </w:r>
      <w:r w:rsidR="00B20923" w:rsidRPr="00CA1A89">
        <w:rPr>
          <w:lang w:val="en-IN"/>
        </w:rPr>
        <w:t>.</w:t>
      </w:r>
    </w:p>
    <w:p w14:paraId="12C22E97" w14:textId="098A7AA2" w:rsidR="0071450B" w:rsidRPr="00CA1A89" w:rsidRDefault="00444E2D" w:rsidP="00444E2D">
      <w:pPr>
        <w:pStyle w:val="Heading3"/>
      </w:pPr>
      <w:bookmarkStart w:id="5" w:name="_Toc242742953"/>
      <w:r w:rsidRPr="00CA1A89">
        <w:t>2.3</w:t>
      </w:r>
      <w:r w:rsidR="000F6855" w:rsidRPr="00CA1A89">
        <w:t xml:space="preserve"> Reduced Collaboration and Knowledge Sharing</w:t>
      </w:r>
      <w:bookmarkEnd w:id="5"/>
    </w:p>
    <w:p w14:paraId="40A2C103" w14:textId="43D0DAEE" w:rsidR="00AE3B93" w:rsidRPr="00CA1A89" w:rsidRDefault="00B4022B" w:rsidP="00AE3B93">
      <w:r w:rsidRPr="00CA1A89">
        <w:t xml:space="preserve">With the implementation of hybrid working policies, NHSX can gain access to </w:t>
      </w:r>
      <w:r w:rsidR="00F1255D">
        <w:t xml:space="preserve">a </w:t>
      </w:r>
      <w:r w:rsidRPr="00CA1A89">
        <w:t>global talent pipeline while also offering greater flexibility to employees.</w:t>
      </w:r>
      <w:r w:rsidR="00D83CB4" w:rsidRPr="00CA1A89">
        <w:t xml:space="preserve"> However, when information is not shared equally between remote and office-based staff, this can reduce collaboration</w:t>
      </w:r>
      <w:r w:rsidR="00E148E6" w:rsidRPr="00CA1A89">
        <w:t xml:space="preserve"> (</w:t>
      </w:r>
      <w:proofErr w:type="spellStart"/>
      <w:r w:rsidR="00E148E6" w:rsidRPr="00CA1A89">
        <w:t>Waizenegger</w:t>
      </w:r>
      <w:proofErr w:type="spellEnd"/>
      <w:r w:rsidR="00E148E6" w:rsidRPr="00CA1A89">
        <w:t xml:space="preserve"> et al., 2020)</w:t>
      </w:r>
      <w:r w:rsidR="00D83CB4" w:rsidRPr="00CA1A89">
        <w:t xml:space="preserve">. </w:t>
      </w:r>
      <w:r w:rsidR="007059F9" w:rsidRPr="00CA1A89">
        <w:t>Due to</w:t>
      </w:r>
      <w:r w:rsidR="00442C62" w:rsidRPr="00CA1A89">
        <w:t xml:space="preserve"> time zone differences across India, </w:t>
      </w:r>
      <w:r w:rsidR="00F1255D">
        <w:t xml:space="preserve">the </w:t>
      </w:r>
      <w:r w:rsidR="00442C62" w:rsidRPr="00CA1A89">
        <w:t xml:space="preserve">UK, and </w:t>
      </w:r>
      <w:r w:rsidR="00F1255D">
        <w:t xml:space="preserve">the </w:t>
      </w:r>
      <w:r w:rsidR="00442C62" w:rsidRPr="00CA1A89">
        <w:t xml:space="preserve">UAE, decisions may be delayed, </w:t>
      </w:r>
      <w:r w:rsidR="007059F9" w:rsidRPr="00CA1A89">
        <w:t>which can be addressed through rotating meeting schedules, overlapping working hours, asynchronous communication protocols and shared knowledge practices</w:t>
      </w:r>
      <w:r w:rsidR="00861CEB" w:rsidRPr="00CA1A89">
        <w:t xml:space="preserve"> without forcing unreasonable working hours</w:t>
      </w:r>
      <w:r w:rsidR="0096758D" w:rsidRPr="00CA1A89">
        <w:t>. This indicates that although NHSX</w:t>
      </w:r>
      <w:r w:rsidR="00E85610" w:rsidRPr="00CA1A89">
        <w:t xml:space="preserve"> can ensure improved work-life balance through hybrid working, </w:t>
      </w:r>
      <w:r w:rsidR="00F1255D">
        <w:t xml:space="preserve">a </w:t>
      </w:r>
      <w:r w:rsidR="00E85610" w:rsidRPr="00CA1A89">
        <w:t>lack of coordination despite flexibility can result in isolation and fragmented teams</w:t>
      </w:r>
      <w:r w:rsidR="007D5D35" w:rsidRPr="00CA1A89">
        <w:t xml:space="preserve"> (</w:t>
      </w:r>
      <w:proofErr w:type="spellStart"/>
      <w:r w:rsidR="007D5D35" w:rsidRPr="00CA1A89">
        <w:t>Brenyah</w:t>
      </w:r>
      <w:proofErr w:type="spellEnd"/>
      <w:r w:rsidR="007D5D35" w:rsidRPr="00CA1A89">
        <w:t>, 2026)</w:t>
      </w:r>
      <w:r w:rsidR="00E85610" w:rsidRPr="00CA1A89">
        <w:t>.</w:t>
      </w:r>
    </w:p>
    <w:p w14:paraId="69BB3873" w14:textId="0BAAC418" w:rsidR="008E5B2D" w:rsidRPr="00CA1A89" w:rsidRDefault="008E5B2D" w:rsidP="00AE3B93">
      <w:r w:rsidRPr="00CA1A89">
        <w:t>Applying the sociotechnical systems theory, NHSX should strike a balance between employees’ social needs and technology implementation</w:t>
      </w:r>
      <w:r w:rsidR="008D2186" w:rsidRPr="00CA1A89">
        <w:t xml:space="preserve"> (Walker, Stanton and Jenkins, 2017)</w:t>
      </w:r>
      <w:r w:rsidRPr="00CA1A89">
        <w:t xml:space="preserve">. </w:t>
      </w:r>
      <w:r w:rsidR="00E2304A">
        <w:t xml:space="preserve">Although </w:t>
      </w:r>
      <w:r w:rsidR="00F1255D">
        <w:t>these</w:t>
      </w:r>
      <w:r w:rsidR="00E2304A">
        <w:t xml:space="preserve"> issues can be resolved if the firm introduces virtual whiteboards, </w:t>
      </w:r>
      <w:r w:rsidR="00952441">
        <w:t xml:space="preserve">secure collaboration platforms, and shared responsibilities, there remains </w:t>
      </w:r>
      <w:r w:rsidR="00F1255D">
        <w:t xml:space="preserve">a </w:t>
      </w:r>
      <w:r w:rsidR="00952441">
        <w:t>possibility of cybersecurity, digital overload, or integration risks</w:t>
      </w:r>
      <w:r w:rsidR="001E31C8" w:rsidRPr="00CA1A89">
        <w:t xml:space="preserve">. Moreover, information flow can also be ensured through providing project updates and recording decisions. However, while employees may feel fatigued due to excess meetings, they may also face </w:t>
      </w:r>
      <w:r w:rsidR="00F1255D">
        <w:t>disadvantages</w:t>
      </w:r>
      <w:r w:rsidR="001E31C8" w:rsidRPr="00CA1A89">
        <w:t xml:space="preserve"> because of different </w:t>
      </w:r>
      <w:r w:rsidR="00F1255D">
        <w:t>time zones</w:t>
      </w:r>
      <w:r w:rsidR="00925836" w:rsidRPr="00CA1A89">
        <w:t xml:space="preserve"> (Sesay, 2025)</w:t>
      </w:r>
      <w:r w:rsidR="00CF7B3E" w:rsidRPr="00CA1A89">
        <w:t>. Using the job characteristics model, NHSX can enhance employee autonomy while enhancing accountability through designating clear responsibilities and offering feedback</w:t>
      </w:r>
      <w:r w:rsidR="005F3EA6" w:rsidRPr="00CA1A89">
        <w:t xml:space="preserve"> (</w:t>
      </w:r>
      <w:proofErr w:type="spellStart"/>
      <w:r w:rsidR="005F3EA6" w:rsidRPr="00CA1A89">
        <w:t>Ajobi</w:t>
      </w:r>
      <w:proofErr w:type="spellEnd"/>
      <w:r w:rsidR="005F3EA6" w:rsidRPr="00CA1A89">
        <w:t xml:space="preserve"> et al., 2026)</w:t>
      </w:r>
      <w:r w:rsidR="00CF7B3E" w:rsidRPr="00CA1A89">
        <w:t>.</w:t>
      </w:r>
    </w:p>
    <w:p w14:paraId="0E6C6B87" w14:textId="43C4012D" w:rsidR="000F6855" w:rsidRPr="00CA1A89" w:rsidRDefault="00444E2D" w:rsidP="000F6855">
      <w:pPr>
        <w:pStyle w:val="Heading2"/>
      </w:pPr>
      <w:bookmarkStart w:id="6" w:name="_Toc242742954"/>
      <w:r w:rsidRPr="00CA1A89">
        <w:lastRenderedPageBreak/>
        <w:t>3</w:t>
      </w:r>
      <w:r w:rsidR="000F6855" w:rsidRPr="00CA1A89">
        <w:t>. Recommendations and Conclusion</w:t>
      </w:r>
      <w:bookmarkEnd w:id="6"/>
    </w:p>
    <w:p w14:paraId="5EB48D10" w14:textId="31318D62" w:rsidR="00880C98" w:rsidRPr="00CA1A89" w:rsidRDefault="00880C98" w:rsidP="00880C98">
      <w:r w:rsidRPr="00CA1A89">
        <w:t>Based on the analysed problems, NHSX should undertake strategic actions. First, it should prioritise minimising hierarchical barriers that can be ensured through collaborating with cross-functional teams for decision-making and improving approval processes</w:t>
      </w:r>
      <w:r w:rsidR="00795490" w:rsidRPr="00CA1A89">
        <w:t xml:space="preserve"> (García, 2017)</w:t>
      </w:r>
      <w:r w:rsidRPr="00CA1A89">
        <w:t>.</w:t>
      </w:r>
      <w:r w:rsidR="00E82B93" w:rsidRPr="00CA1A89">
        <w:t xml:space="preserve"> The second priority should be on enhancing creativity by allocating adequate time for employees to encourage them to experiment, facilitate pilot projects, and brainstorm innovative ideas. The third priority will be on improving its existing hybrid collaboration by using shared digital workspaces, </w:t>
      </w:r>
      <w:r w:rsidR="007055E2" w:rsidRPr="00CA1A89">
        <w:t>conducting knowledge-sharing meetings, and developing overlapping working hours</w:t>
      </w:r>
      <w:r w:rsidR="006A69D8" w:rsidRPr="00CA1A89">
        <w:t xml:space="preserve"> (Tran, 2026)</w:t>
      </w:r>
      <w:r w:rsidR="007055E2" w:rsidRPr="00CA1A89">
        <w:t>. In addition to this, utilising performance indicators and employee feedback, NHSX managers should constantly evaluate progress.</w:t>
      </w:r>
      <w:r w:rsidR="00E00042" w:rsidRPr="00CA1A89">
        <w:t xml:space="preserve"> A three-month pilot programme should be introduced under the guidance of managers, HR, and </w:t>
      </w:r>
      <w:r w:rsidR="00F1255D">
        <w:t xml:space="preserve">the </w:t>
      </w:r>
      <w:r w:rsidR="00E00042" w:rsidRPr="00CA1A89">
        <w:t>IT team to monitor approval times, innovation outcomes, and delivery against baseline measures.</w:t>
      </w:r>
    </w:p>
    <w:p w14:paraId="0CD0BACA" w14:textId="4493E927" w:rsidR="004C6364" w:rsidRPr="00CA1A89" w:rsidRDefault="00055AB4" w:rsidP="00880C98">
      <w:r w:rsidRPr="00CA1A89">
        <w:t xml:space="preserve">Therefore, utilising an integrated approach can help NHSX to focus on collaboration, agility, and innovation simultaneously through involving employees, applying sociotechnical principles, and </w:t>
      </w:r>
      <w:r w:rsidR="00983F67" w:rsidRPr="00CA1A89">
        <w:t>agile working. Although this can resolve the persisting issues, without leadership support, progress evaluation, and adequate resource allocation, these practices cannot ensure progress in enhancing performance and fulfil employee needs.</w:t>
      </w:r>
    </w:p>
    <w:p w14:paraId="2B4374D2" w14:textId="6B9CF3B0" w:rsidR="000F07CE" w:rsidRPr="00CA1A89" w:rsidRDefault="000F07CE" w:rsidP="000F07CE">
      <w:pPr>
        <w:pStyle w:val="Heading1"/>
      </w:pPr>
      <w:bookmarkStart w:id="7" w:name="_Toc242742955"/>
      <w:r w:rsidRPr="00CA1A89">
        <w:t>TASK B: Breeding an Environment Where Talent May Grow</w:t>
      </w:r>
      <w:bookmarkEnd w:id="7"/>
    </w:p>
    <w:p w14:paraId="3C268D7F" w14:textId="4A7A8D20" w:rsidR="004843D8" w:rsidRPr="00CA1A89" w:rsidRDefault="004843D8" w:rsidP="004843D8">
      <w:pPr>
        <w:pStyle w:val="Heading2"/>
        <w:rPr>
          <w:lang w:val="en-IN"/>
        </w:rPr>
      </w:pPr>
      <w:bookmarkStart w:id="8" w:name="_Toc242742956"/>
      <w:r w:rsidRPr="00CA1A89">
        <w:rPr>
          <w:lang w:val="en-IN"/>
        </w:rPr>
        <w:t>1. Introduction</w:t>
      </w:r>
      <w:bookmarkEnd w:id="8"/>
    </w:p>
    <w:p w14:paraId="11BF0629" w14:textId="710DEAE3" w:rsidR="004843D8" w:rsidRPr="00CA1A89" w:rsidRDefault="004843D8" w:rsidP="004843D8">
      <w:pPr>
        <w:rPr>
          <w:lang w:val="en-IN"/>
        </w:rPr>
      </w:pPr>
      <w:r w:rsidRPr="00CA1A89">
        <w:rPr>
          <w:lang w:val="en-IN"/>
        </w:rPr>
        <w:t xml:space="preserve">NHSX employs approximately 600 individuals in the United Kingdom, India and the United Arab Emirates. The company culture attracts qualified professionals, but it fails to prevent </w:t>
      </w:r>
      <w:r w:rsidR="00F1255D">
        <w:rPr>
          <w:lang w:val="en-IN"/>
        </w:rPr>
        <w:t>brain drain</w:t>
      </w:r>
      <w:r w:rsidRPr="00CA1A89">
        <w:rPr>
          <w:lang w:val="en-IN"/>
        </w:rPr>
        <w:t>. It is crucial to ensure that organisational goals are met while motivating and supporting employees. NHSX requires a comprehensive strategy to promote talent development and healthy performance.</w:t>
      </w:r>
    </w:p>
    <w:p w14:paraId="30755944" w14:textId="2BA0EF3E" w:rsidR="004843D8" w:rsidRPr="00CA1A89" w:rsidRDefault="004843D8" w:rsidP="004843D8">
      <w:pPr>
        <w:pStyle w:val="Heading2"/>
        <w:rPr>
          <w:lang w:val="en-IN"/>
        </w:rPr>
      </w:pPr>
      <w:bookmarkStart w:id="9" w:name="_Toc242742957"/>
      <w:r w:rsidRPr="00CA1A89">
        <w:rPr>
          <w:lang w:val="en-IN"/>
        </w:rPr>
        <w:t>2. Creating an Environment for Talent Development</w:t>
      </w:r>
      <w:bookmarkEnd w:id="9"/>
    </w:p>
    <w:p w14:paraId="73BD2A33" w14:textId="00ADEE70" w:rsidR="004843D8" w:rsidRPr="00CA1A89" w:rsidRDefault="004843D8" w:rsidP="004843D8">
      <w:pPr>
        <w:pStyle w:val="Heading3"/>
        <w:rPr>
          <w:lang w:val="en-IN"/>
        </w:rPr>
      </w:pPr>
      <w:bookmarkStart w:id="10" w:name="_Toc242742958"/>
      <w:r w:rsidRPr="00CA1A89">
        <w:rPr>
          <w:lang w:val="en-IN"/>
        </w:rPr>
        <w:t>2.1 Job Design</w:t>
      </w:r>
      <w:bookmarkEnd w:id="10"/>
    </w:p>
    <w:p w14:paraId="5EA82FC4" w14:textId="5C9E5AD3" w:rsidR="004843D8" w:rsidRPr="00CA1A89" w:rsidRDefault="00D568FF" w:rsidP="004843D8">
      <w:pPr>
        <w:rPr>
          <w:lang w:val="en-IN"/>
        </w:rPr>
      </w:pPr>
      <w:r w:rsidRPr="00CA1A89">
        <w:rPr>
          <w:lang w:val="en-IN"/>
        </w:rPr>
        <w:t>Self-Determination Theory deals with motivational aspects of autonomy, competence, and relatedness</w:t>
      </w:r>
      <w:r w:rsidR="00331FE0">
        <w:rPr>
          <w:lang w:val="en-IN"/>
        </w:rPr>
        <w:t xml:space="preserve"> (</w:t>
      </w:r>
      <w:r w:rsidR="00331FE0" w:rsidRPr="00331FE0">
        <w:rPr>
          <w:lang w:val="en-IN"/>
        </w:rPr>
        <w:t>Guay</w:t>
      </w:r>
      <w:r w:rsidR="00331FE0">
        <w:rPr>
          <w:lang w:val="en-IN"/>
        </w:rPr>
        <w:t>, 2022)</w:t>
      </w:r>
      <w:r w:rsidRPr="00CA1A89">
        <w:rPr>
          <w:lang w:val="en-IN"/>
        </w:rPr>
        <w:t>. The Job Characteristics Model, in its turn, focuses on such components as skill variety, task significance, autonomy, and feedback</w:t>
      </w:r>
      <w:r w:rsidR="00331FE0">
        <w:rPr>
          <w:lang w:val="en-IN"/>
        </w:rPr>
        <w:t xml:space="preserve"> (</w:t>
      </w:r>
      <w:proofErr w:type="spellStart"/>
      <w:r w:rsidR="00331FE0" w:rsidRPr="00331FE0">
        <w:rPr>
          <w:lang w:val="en-IN"/>
        </w:rPr>
        <w:t>Cotič</w:t>
      </w:r>
      <w:proofErr w:type="spellEnd"/>
      <w:r w:rsidR="00331FE0">
        <w:rPr>
          <w:lang w:val="en-IN"/>
        </w:rPr>
        <w:t xml:space="preserve"> et </w:t>
      </w:r>
      <w:r w:rsidR="00331FE0">
        <w:rPr>
          <w:lang w:val="en-IN"/>
        </w:rPr>
        <w:lastRenderedPageBreak/>
        <w:t>al., 2025)</w:t>
      </w:r>
      <w:r w:rsidRPr="00CA1A89">
        <w:rPr>
          <w:lang w:val="en-IN"/>
        </w:rPr>
        <w:t xml:space="preserve">. NHSX has to balance motivating factors </w:t>
      </w:r>
      <w:r w:rsidR="00F1255D">
        <w:rPr>
          <w:lang w:val="en-IN"/>
        </w:rPr>
        <w:t>with constraints such</w:t>
      </w:r>
      <w:r w:rsidRPr="00CA1A89">
        <w:rPr>
          <w:lang w:val="en-IN"/>
        </w:rPr>
        <w:t xml:space="preserve"> as a high workload and clinical responsibility.</w:t>
      </w:r>
    </w:p>
    <w:p w14:paraId="4EC2CF54" w14:textId="45510A2A" w:rsidR="004843D8" w:rsidRPr="00CA1A89" w:rsidRDefault="004843D8" w:rsidP="004843D8">
      <w:pPr>
        <w:rPr>
          <w:lang w:val="en-IN"/>
        </w:rPr>
      </w:pPr>
      <w:r w:rsidRPr="00CA1A89">
        <w:rPr>
          <w:lang w:val="en-IN"/>
        </w:rPr>
        <w:t>At the same time, expanded responsibilities may lead to increased stress levels and exhaustion. Before implementing the proposed changes, NHSX’s management can assess the current workload and provide employees with the necessary tools and resources.</w:t>
      </w:r>
    </w:p>
    <w:p w14:paraId="53A038AA" w14:textId="15B46C32" w:rsidR="004843D8" w:rsidRPr="00CA1A89" w:rsidRDefault="004843D8" w:rsidP="004843D8">
      <w:pPr>
        <w:pStyle w:val="Heading3"/>
        <w:rPr>
          <w:lang w:val="en-IN"/>
        </w:rPr>
      </w:pPr>
      <w:bookmarkStart w:id="11" w:name="_Toc242742959"/>
      <w:r w:rsidRPr="00CA1A89">
        <w:rPr>
          <w:lang w:val="en-IN"/>
        </w:rPr>
        <w:t>2.2 Employee-Led Job Development</w:t>
      </w:r>
      <w:bookmarkEnd w:id="11"/>
    </w:p>
    <w:p w14:paraId="5789E19B" w14:textId="15F8BABA" w:rsidR="004843D8" w:rsidRPr="00CA1A89" w:rsidRDefault="00D568FF" w:rsidP="004843D8">
      <w:pPr>
        <w:rPr>
          <w:lang w:val="en-IN"/>
        </w:rPr>
      </w:pPr>
      <w:r w:rsidRPr="00CA1A89">
        <w:rPr>
          <w:lang w:val="en-IN"/>
        </w:rPr>
        <w:t>Job crafting can be described as job redesign from the perspective of employees</w:t>
      </w:r>
      <w:r w:rsidR="00331FE0">
        <w:rPr>
          <w:lang w:val="en-IN"/>
        </w:rPr>
        <w:t xml:space="preserve"> (</w:t>
      </w:r>
      <w:r w:rsidR="00331FE0" w:rsidRPr="00331FE0">
        <w:rPr>
          <w:lang w:val="en-IN"/>
        </w:rPr>
        <w:t>Kardas</w:t>
      </w:r>
      <w:r w:rsidR="00331FE0">
        <w:rPr>
          <w:lang w:val="en-IN"/>
        </w:rPr>
        <w:t>, 2023)</w:t>
      </w:r>
      <w:r w:rsidRPr="00CA1A89">
        <w:rPr>
          <w:lang w:val="en-IN"/>
        </w:rPr>
        <w:t>. They can change aspects of their work, relationships or perceptions of their occupations. For instance, they might volunteer for important AI-related tasks, work with different clinical professionals to gain new expertise or acquire new skills by getting engaged in diverse assignments. While increased opportunities for individual responsibility and impactful work could motivate people, unconstrained job crafting can lead to workload imbalance, role conflicts, and underemphasized core missions</w:t>
      </w:r>
      <w:r w:rsidR="00331FE0">
        <w:rPr>
          <w:lang w:val="en-IN"/>
        </w:rPr>
        <w:t xml:space="preserve"> (</w:t>
      </w:r>
      <w:r w:rsidR="00331FE0" w:rsidRPr="00331FE0">
        <w:rPr>
          <w:lang w:val="en-IN"/>
        </w:rPr>
        <w:t>Liang</w:t>
      </w:r>
      <w:r w:rsidR="00331FE0">
        <w:rPr>
          <w:lang w:val="en-IN"/>
        </w:rPr>
        <w:t xml:space="preserve"> et al., 2026)</w:t>
      </w:r>
      <w:r w:rsidRPr="00CA1A89">
        <w:rPr>
          <w:lang w:val="en-IN"/>
        </w:rPr>
        <w:t>. Therefore, managers must approve such changes to ensure that they align with workload, developmental goals and organisational requirements.</w:t>
      </w:r>
    </w:p>
    <w:p w14:paraId="393F1C90" w14:textId="67936EEF" w:rsidR="004843D8" w:rsidRPr="00CA1A89" w:rsidRDefault="004843D8" w:rsidP="004843D8">
      <w:pPr>
        <w:pStyle w:val="Heading2"/>
        <w:rPr>
          <w:lang w:val="en-IN"/>
        </w:rPr>
      </w:pPr>
      <w:bookmarkStart w:id="12" w:name="_Toc242742960"/>
      <w:r w:rsidRPr="00CA1A89">
        <w:rPr>
          <w:lang w:val="en-IN"/>
        </w:rPr>
        <w:t>3. Building a Strategic Talent System</w:t>
      </w:r>
      <w:bookmarkEnd w:id="12"/>
    </w:p>
    <w:p w14:paraId="7DF14091" w14:textId="52DBFCE3" w:rsidR="004843D8" w:rsidRPr="00CA1A89" w:rsidRDefault="004843D8" w:rsidP="004843D8">
      <w:pPr>
        <w:pStyle w:val="Heading3"/>
        <w:rPr>
          <w:lang w:val="en-IN"/>
        </w:rPr>
      </w:pPr>
      <w:bookmarkStart w:id="13" w:name="_Toc242742961"/>
      <w:r w:rsidRPr="00CA1A89">
        <w:rPr>
          <w:lang w:val="en-IN"/>
        </w:rPr>
        <w:t>3.1 Continuous Learning and Career Progression</w:t>
      </w:r>
      <w:bookmarkEnd w:id="13"/>
    </w:p>
    <w:p w14:paraId="5A2DBCDA" w14:textId="420F4850" w:rsidR="004843D8" w:rsidRPr="00CA1A89" w:rsidRDefault="004843D8" w:rsidP="004843D8">
      <w:pPr>
        <w:rPr>
          <w:lang w:val="en-IN"/>
        </w:rPr>
      </w:pPr>
      <w:r w:rsidRPr="00CA1A89">
        <w:rPr>
          <w:lang w:val="en-IN"/>
        </w:rPr>
        <w:t>NHSX’s strategic goals in clinical AI, cybersecurity, data governance and digital healthcare regulation require the company to invest in the continuous education of its employees. NHSX’s learning strategy should provide a clear vision of required skills and competencies, set individual goals and help employees identify the most relevant areas of professional development.</w:t>
      </w:r>
    </w:p>
    <w:p w14:paraId="11607F93" w14:textId="07BBA128" w:rsidR="004843D8" w:rsidRPr="00CA1A89" w:rsidRDefault="004843D8" w:rsidP="004843D8">
      <w:pPr>
        <w:rPr>
          <w:lang w:val="en-IN"/>
        </w:rPr>
      </w:pPr>
      <w:r w:rsidRPr="00CA1A89">
        <w:rPr>
          <w:lang w:val="en-IN"/>
        </w:rPr>
        <w:t>For example, NHSX can introduce an annual 24-hour learning allowance and allocate 14,400 hours for training and professional development in 2023. Allocating time and resources to educational purposes demonstrates the company’s commitment to talent development</w:t>
      </w:r>
      <w:r w:rsidR="00331FE0">
        <w:rPr>
          <w:lang w:val="en-IN"/>
        </w:rPr>
        <w:t xml:space="preserve"> (</w:t>
      </w:r>
      <w:r w:rsidR="00331FE0" w:rsidRPr="00331FE0">
        <w:rPr>
          <w:lang w:val="en-IN"/>
        </w:rPr>
        <w:t>Jooss</w:t>
      </w:r>
      <w:r w:rsidR="00331FE0">
        <w:rPr>
          <w:lang w:val="en-IN"/>
        </w:rPr>
        <w:t xml:space="preserve"> et al., 2024)</w:t>
      </w:r>
      <w:r w:rsidRPr="00CA1A89">
        <w:rPr>
          <w:lang w:val="en-IN"/>
        </w:rPr>
        <w:t>. The proposed strategy can include individual development plans, mentoring and coaching, and workplace learning and experience.</w:t>
      </w:r>
    </w:p>
    <w:p w14:paraId="43CEDCD0" w14:textId="5F5601F9" w:rsidR="004843D8" w:rsidRPr="00CA1A89" w:rsidRDefault="004843D8" w:rsidP="004843D8">
      <w:pPr>
        <w:rPr>
          <w:lang w:val="en-IN"/>
        </w:rPr>
      </w:pPr>
      <w:r w:rsidRPr="00CA1A89">
        <w:rPr>
          <w:lang w:val="en-IN"/>
        </w:rPr>
        <w:t xml:space="preserve">The effectiveness of the learning and development strategy will depend on its impact on the employees’ performance and career progression. While a significant investment in education is unlikely to yield immediate results, NHSX should analyse the staff’s </w:t>
      </w:r>
      <w:r w:rsidRPr="00CA1A89">
        <w:rPr>
          <w:lang w:val="en-IN"/>
        </w:rPr>
        <w:lastRenderedPageBreak/>
        <w:t>performance data and determine whether the quality of work and the number of qualified specialists have improved.</w:t>
      </w:r>
    </w:p>
    <w:p w14:paraId="1CF6AADC" w14:textId="5D6D362D" w:rsidR="004843D8" w:rsidRPr="00CA1A89" w:rsidRDefault="004843D8" w:rsidP="004843D8">
      <w:pPr>
        <w:pStyle w:val="Heading3"/>
        <w:rPr>
          <w:lang w:val="en-IN"/>
        </w:rPr>
      </w:pPr>
      <w:bookmarkStart w:id="14" w:name="_Toc242742962"/>
      <w:r w:rsidRPr="00CA1A89">
        <w:rPr>
          <w:lang w:val="en-IN"/>
        </w:rPr>
        <w:t>3.2 AI-Based Internal Talent Marketplace</w:t>
      </w:r>
      <w:bookmarkEnd w:id="14"/>
    </w:p>
    <w:p w14:paraId="73031F8D" w14:textId="1D6F99D5" w:rsidR="004843D8" w:rsidRPr="00CA1A89" w:rsidRDefault="004843D8" w:rsidP="004843D8">
      <w:pPr>
        <w:rPr>
          <w:lang w:val="en-IN"/>
        </w:rPr>
      </w:pPr>
      <w:r w:rsidRPr="00CA1A89">
        <w:rPr>
          <w:lang w:val="en-IN"/>
        </w:rPr>
        <w:t>NHSX can use an AI-based internal talent marketplace to post job openings, vacancies, mentoring opportunities and telecommuting options for NHSX staff. For example, the AI system can match NHSX’s machine learning experts from India with clinical technology projects in the United Kingdom. This cooperation can benefit both parties and ensure that the NHSX’s clinical technology projects are completed faster.</w:t>
      </w:r>
    </w:p>
    <w:p w14:paraId="178817A5" w14:textId="0E260B0B" w:rsidR="00D568FF" w:rsidRPr="00CA1A89" w:rsidRDefault="00D568FF" w:rsidP="00D568FF">
      <w:pPr>
        <w:rPr>
          <w:lang w:val="en-IN"/>
        </w:rPr>
      </w:pPr>
      <w:r w:rsidRPr="00CA1A89">
        <w:rPr>
          <w:b/>
          <w:bCs/>
          <w:i/>
          <w:iCs/>
          <w:lang w:val="en-IN"/>
        </w:rPr>
        <w:t>Skills data</w:t>
      </w:r>
      <w:r w:rsidRPr="00CA1A89">
        <w:rPr>
          <w:lang w:val="en-IN"/>
        </w:rPr>
        <w:t>: Employees can edit and update their information, while also allowing managers or human resources to periodically review and verify their information</w:t>
      </w:r>
      <w:r w:rsidR="00331FE0">
        <w:rPr>
          <w:lang w:val="en-IN"/>
        </w:rPr>
        <w:t xml:space="preserve"> (</w:t>
      </w:r>
      <w:proofErr w:type="spellStart"/>
      <w:r w:rsidR="00331FE0" w:rsidRPr="00331FE0">
        <w:rPr>
          <w:lang w:val="en-IN"/>
        </w:rPr>
        <w:t>Aguinis</w:t>
      </w:r>
      <w:proofErr w:type="spellEnd"/>
      <w:r w:rsidR="00331FE0">
        <w:rPr>
          <w:lang w:val="en-IN"/>
        </w:rPr>
        <w:t xml:space="preserve"> et al., 2024).</w:t>
      </w:r>
    </w:p>
    <w:p w14:paraId="2475E2FD" w14:textId="602ACE67" w:rsidR="00CA1A89" w:rsidRPr="00CA1A89" w:rsidRDefault="00D568FF" w:rsidP="00CA1A89">
      <w:pPr>
        <w:rPr>
          <w:lang w:val="en-IN"/>
        </w:rPr>
      </w:pPr>
      <w:r w:rsidRPr="00CA1A89">
        <w:rPr>
          <w:b/>
          <w:bCs/>
          <w:i/>
          <w:iCs/>
          <w:lang w:val="en-IN"/>
        </w:rPr>
        <w:t>Consent and transparency</w:t>
      </w:r>
      <w:r w:rsidRPr="00CA1A89">
        <w:rPr>
          <w:lang w:val="en-IN"/>
        </w:rPr>
        <w:t xml:space="preserve">: Make sure that employees understand what information is gathered, the rationale behind it, and how suggestions are formed. </w:t>
      </w:r>
    </w:p>
    <w:p w14:paraId="16339A6E" w14:textId="7716E49C" w:rsidR="00CA1A89" w:rsidRPr="00CA1A89" w:rsidRDefault="00CA1A89" w:rsidP="00CA1A89">
      <w:pPr>
        <w:rPr>
          <w:lang w:val="en-IN"/>
        </w:rPr>
      </w:pPr>
      <w:r w:rsidRPr="00CA1A89">
        <w:rPr>
          <w:b/>
          <w:bCs/>
          <w:i/>
          <w:iCs/>
          <w:lang w:val="en-IN"/>
        </w:rPr>
        <w:t>Legal compliance</w:t>
      </w:r>
      <w:r w:rsidRPr="00CA1A89">
        <w:rPr>
          <w:lang w:val="en-IN"/>
        </w:rPr>
        <w:t>: Design a lawful basis for handling employees’ data, not relying solely on their consent, which can be given freely only outside the scope of an employment contract.</w:t>
      </w:r>
    </w:p>
    <w:p w14:paraId="382C68BF" w14:textId="62587895" w:rsidR="00CA1A89" w:rsidRPr="00CA1A89" w:rsidRDefault="00CA1A89" w:rsidP="00CA1A89">
      <w:pPr>
        <w:rPr>
          <w:lang w:val="en-IN"/>
        </w:rPr>
      </w:pPr>
      <w:r w:rsidRPr="00CA1A89">
        <w:rPr>
          <w:b/>
          <w:bCs/>
          <w:i/>
          <w:iCs/>
          <w:lang w:val="en-IN"/>
        </w:rPr>
        <w:t>Fairness and equality</w:t>
      </w:r>
      <w:r w:rsidRPr="00CA1A89">
        <w:rPr>
          <w:lang w:val="en-IN"/>
        </w:rPr>
        <w:t>: Ensure the system treats all workers fairly, without discrimination, and gives equal opportunity for career advancement, mentorship, and other professional development, benefiting similarly situated employees.</w:t>
      </w:r>
    </w:p>
    <w:p w14:paraId="1BE4C9B4" w14:textId="141E25F9" w:rsidR="00CA1A89" w:rsidRPr="00CA1A89" w:rsidRDefault="00CA1A89" w:rsidP="00CA1A89">
      <w:pPr>
        <w:rPr>
          <w:lang w:val="en-IN"/>
        </w:rPr>
      </w:pPr>
      <w:r w:rsidRPr="00CA1A89">
        <w:rPr>
          <w:b/>
          <w:bCs/>
          <w:i/>
          <w:iCs/>
          <w:lang w:val="en-IN"/>
        </w:rPr>
        <w:t>Human decision-making</w:t>
      </w:r>
      <w:r w:rsidRPr="00CA1A89">
        <w:rPr>
          <w:lang w:val="en-IN"/>
        </w:rPr>
        <w:t>: Maintain human supervision at the highest levels of decision-making</w:t>
      </w:r>
      <w:r w:rsidR="00331FE0">
        <w:rPr>
          <w:lang w:val="en-IN"/>
        </w:rPr>
        <w:t xml:space="preserve"> (</w:t>
      </w:r>
      <w:proofErr w:type="spellStart"/>
      <w:r w:rsidR="00331FE0" w:rsidRPr="00331FE0">
        <w:rPr>
          <w:lang w:val="en-IN"/>
        </w:rPr>
        <w:t>Tsamados</w:t>
      </w:r>
      <w:proofErr w:type="spellEnd"/>
      <w:r w:rsidR="00331FE0">
        <w:rPr>
          <w:lang w:val="en-IN"/>
        </w:rPr>
        <w:t xml:space="preserve"> et al., 2025)</w:t>
      </w:r>
      <w:r w:rsidRPr="00CA1A89">
        <w:rPr>
          <w:lang w:val="en-IN"/>
        </w:rPr>
        <w:t>, since professional judgment is required for recruitment and other personnel-related decisions, and ensure that people can challenge the suggested options.</w:t>
      </w:r>
    </w:p>
    <w:p w14:paraId="3F52EE4D" w14:textId="082A30C4" w:rsidR="004843D8" w:rsidRPr="00CA1A89" w:rsidRDefault="00CA1A89" w:rsidP="004843D8">
      <w:pPr>
        <w:rPr>
          <w:lang w:val="en-IN"/>
        </w:rPr>
      </w:pPr>
      <w:r w:rsidRPr="00CA1A89">
        <w:rPr>
          <w:b/>
          <w:bCs/>
          <w:i/>
          <w:iCs/>
          <w:lang w:val="en-IN"/>
        </w:rPr>
        <w:t>Cross-border data protection</w:t>
      </w:r>
      <w:r w:rsidRPr="00CA1A89">
        <w:rPr>
          <w:lang w:val="en-IN"/>
        </w:rPr>
        <w:t xml:space="preserve">: Evaluate the legal framework and contractual limitations regarding the sharing of employees’ data and personal information when, for example, Indian AI experts are matched with UK clinical assignments and ensure that no third party can </w:t>
      </w:r>
      <w:r w:rsidR="00F1255D">
        <w:rPr>
          <w:lang w:val="en-IN"/>
        </w:rPr>
        <w:t>utilise</w:t>
      </w:r>
      <w:r w:rsidRPr="00CA1A89">
        <w:rPr>
          <w:lang w:val="en-IN"/>
        </w:rPr>
        <w:t xml:space="preserve"> the shared data unlawfully or without consent.</w:t>
      </w:r>
    </w:p>
    <w:p w14:paraId="12A453BC" w14:textId="0DDAAC2B" w:rsidR="004843D8" w:rsidRPr="00CA1A89" w:rsidRDefault="004843D8" w:rsidP="004843D8">
      <w:pPr>
        <w:pStyle w:val="Heading3"/>
        <w:rPr>
          <w:lang w:val="en-IN"/>
        </w:rPr>
      </w:pPr>
      <w:bookmarkStart w:id="15" w:name="_Toc242742963"/>
      <w:r w:rsidRPr="00CA1A89">
        <w:rPr>
          <w:lang w:val="en-IN"/>
        </w:rPr>
        <w:t>3.3 Mentoring and Coaching</w:t>
      </w:r>
      <w:bookmarkEnd w:id="15"/>
    </w:p>
    <w:p w14:paraId="6A55B804" w14:textId="0121EF01" w:rsidR="004843D8" w:rsidRPr="00CA1A89" w:rsidRDefault="004843D8" w:rsidP="004843D8">
      <w:pPr>
        <w:rPr>
          <w:lang w:val="en-IN"/>
        </w:rPr>
      </w:pPr>
      <w:r w:rsidRPr="00CA1A89">
        <w:rPr>
          <w:lang w:val="en-IN"/>
        </w:rPr>
        <w:t xml:space="preserve">NHSX’s mentoring strategy should offer extended in-person or virtual mentoring programmes with specific goals and monthly meetings. Such an environment will allow </w:t>
      </w:r>
      <w:r w:rsidRPr="00CA1A89">
        <w:rPr>
          <w:lang w:val="en-IN"/>
        </w:rPr>
        <w:lastRenderedPageBreak/>
        <w:t>employees to build relationships and develop skills for leadership roles. Additionally, NHSX’s managers can invest in learning and development to strengthen their mentoring and coaching abilities and establish a supportive atmosphere.</w:t>
      </w:r>
    </w:p>
    <w:p w14:paraId="7DECFA00" w14:textId="269C8AFE" w:rsidR="004843D8" w:rsidRPr="00CA1A89" w:rsidRDefault="004843D8" w:rsidP="004843D8">
      <w:pPr>
        <w:rPr>
          <w:lang w:val="en-IN"/>
        </w:rPr>
      </w:pPr>
      <w:r w:rsidRPr="00CA1A89">
        <w:rPr>
          <w:lang w:val="en-IN"/>
        </w:rPr>
        <w:t>However, encouraging employees to become mentors will not solve all issues related to poor performance, excessive workload and unfair promotion practices</w:t>
      </w:r>
      <w:r w:rsidR="00331FE0">
        <w:rPr>
          <w:lang w:val="en-IN"/>
        </w:rPr>
        <w:t xml:space="preserve"> (</w:t>
      </w:r>
      <w:r w:rsidR="00331FE0" w:rsidRPr="00331FE0">
        <w:rPr>
          <w:lang w:val="en-IN"/>
        </w:rPr>
        <w:t>Erdogan</w:t>
      </w:r>
      <w:r w:rsidR="00331FE0">
        <w:rPr>
          <w:lang w:val="en-IN"/>
        </w:rPr>
        <w:t xml:space="preserve"> et al., 2025)</w:t>
      </w:r>
      <w:r w:rsidRPr="00CA1A89">
        <w:rPr>
          <w:lang w:val="en-IN"/>
        </w:rPr>
        <w:t>. To ensure that the mentoring strategy promotes talent development, NHSX’s managers should invest in leadership training and provide employees with access to high-quality projects and new challenges.</w:t>
      </w:r>
    </w:p>
    <w:p w14:paraId="333F8B5E" w14:textId="3957F5EB" w:rsidR="004843D8" w:rsidRPr="00CA1A89" w:rsidRDefault="004843D8" w:rsidP="004843D8">
      <w:pPr>
        <w:pStyle w:val="Heading2"/>
        <w:rPr>
          <w:lang w:val="en-IN"/>
        </w:rPr>
      </w:pPr>
      <w:bookmarkStart w:id="16" w:name="_Toc242742964"/>
      <w:r w:rsidRPr="00CA1A89">
        <w:rPr>
          <w:lang w:val="en-IN"/>
        </w:rPr>
        <w:t>4. Wellbeing and Sustainable Performance</w:t>
      </w:r>
      <w:bookmarkEnd w:id="16"/>
    </w:p>
    <w:p w14:paraId="4D1E66EC" w14:textId="07AE50F4" w:rsidR="004843D8" w:rsidRPr="00CA1A89" w:rsidRDefault="004843D8" w:rsidP="004843D8">
      <w:pPr>
        <w:pStyle w:val="Heading3"/>
        <w:rPr>
          <w:lang w:val="en-IN"/>
        </w:rPr>
      </w:pPr>
      <w:bookmarkStart w:id="17" w:name="_Toc242742965"/>
      <w:r w:rsidRPr="00CA1A89">
        <w:rPr>
          <w:lang w:val="en-IN"/>
        </w:rPr>
        <w:t>4.1 Psychological Safety</w:t>
      </w:r>
      <w:bookmarkEnd w:id="17"/>
    </w:p>
    <w:p w14:paraId="3A565D16" w14:textId="75109B04" w:rsidR="004843D8" w:rsidRPr="00CA1A89" w:rsidRDefault="004843D8" w:rsidP="004843D8">
      <w:pPr>
        <w:rPr>
          <w:lang w:val="en-IN"/>
        </w:rPr>
      </w:pPr>
      <w:r w:rsidRPr="00CA1A89">
        <w:rPr>
          <w:lang w:val="en-IN"/>
        </w:rPr>
        <w:t>NHSX’s employees should feel safe and secure when reporting mistakes, asking questions about the decisions made by AI systems or expressing concerns about patient safety and wellbeing. I suggest that NHSX invests in individual psychological safety to improve staff engagement and performance. For example, the company can offer anonymity and confidentiality when submitting feedback, hold regular one-to-one meetings and conduct project retrospectives</w:t>
      </w:r>
      <w:r w:rsidR="00331FE0">
        <w:rPr>
          <w:lang w:val="en-IN"/>
        </w:rPr>
        <w:t xml:space="preserve"> (</w:t>
      </w:r>
      <w:r w:rsidR="00331FE0" w:rsidRPr="00331FE0">
        <w:rPr>
          <w:lang w:val="en-IN"/>
        </w:rPr>
        <w:t>Wang</w:t>
      </w:r>
      <w:r w:rsidR="00331FE0">
        <w:rPr>
          <w:lang w:val="en-IN"/>
        </w:rPr>
        <w:t xml:space="preserve"> et al., 2024)</w:t>
      </w:r>
      <w:r w:rsidRPr="00CA1A89">
        <w:rPr>
          <w:lang w:val="en-IN"/>
        </w:rPr>
        <w:t>.</w:t>
      </w:r>
    </w:p>
    <w:p w14:paraId="47BB61AA" w14:textId="6A8DB97F" w:rsidR="004843D8" w:rsidRPr="00CA1A89" w:rsidRDefault="004843D8" w:rsidP="004843D8">
      <w:pPr>
        <w:rPr>
          <w:lang w:val="en-IN"/>
        </w:rPr>
      </w:pPr>
      <w:r w:rsidRPr="00CA1A89">
        <w:rPr>
          <w:lang w:val="en-IN"/>
        </w:rPr>
        <w:t>The proposed changes will promote open communication and continuous improvement. However, team members should be held accountable for achieving goals and complying with NHSX’s standards and regulations. To measure the impact of the suggested changes on the performance of NHSX, I suggest analysing the volume of anonymous feedback and the number of resolved concerns.</w:t>
      </w:r>
    </w:p>
    <w:p w14:paraId="30D8E6D9" w14:textId="100FE546" w:rsidR="004843D8" w:rsidRPr="00CA1A89" w:rsidRDefault="004843D8" w:rsidP="004843D8">
      <w:pPr>
        <w:pStyle w:val="Heading3"/>
        <w:rPr>
          <w:lang w:val="en-IN"/>
        </w:rPr>
      </w:pPr>
      <w:bookmarkStart w:id="18" w:name="_Toc242742966"/>
      <w:r w:rsidRPr="00CA1A89">
        <w:rPr>
          <w:lang w:val="en-IN"/>
        </w:rPr>
        <w:t>4.2 Balancing Performance and Wellbeing</w:t>
      </w:r>
      <w:bookmarkEnd w:id="18"/>
    </w:p>
    <w:p w14:paraId="4CBBD3A3" w14:textId="09110245" w:rsidR="004843D8" w:rsidRPr="00CA1A89" w:rsidRDefault="004843D8" w:rsidP="004843D8">
      <w:pPr>
        <w:rPr>
          <w:lang w:val="en-IN"/>
        </w:rPr>
      </w:pPr>
      <w:r w:rsidRPr="00CA1A89">
        <w:rPr>
          <w:lang w:val="en-IN"/>
        </w:rPr>
        <w:t>NHSX can measure employee performance using a balanced scorecard that reflects the organisation’s vision and values and considers a wide range of factors. The quarterly performance reviews can be adjusted to reflect achievements and challenges and help NHSX identify new goals and develop new strategies. When measuring performance, NHSX should consider not only the quantity and quality of work done but also the staff’s wellbeing and the impact of their performance on patient safety.</w:t>
      </w:r>
    </w:p>
    <w:p w14:paraId="5B056C64" w14:textId="2855E087" w:rsidR="00164098" w:rsidRPr="00CA1A89" w:rsidRDefault="004843D8" w:rsidP="002A3BC3">
      <w:pPr>
        <w:rPr>
          <w:lang w:val="en-IN"/>
        </w:rPr>
      </w:pPr>
      <w:r w:rsidRPr="00CA1A89">
        <w:rPr>
          <w:lang w:val="en-IN"/>
        </w:rPr>
        <w:t xml:space="preserve">NHSX’s management should acknowledge the importance of flexibility, minimising interruptions and ensuring that employees have the necessary skills, tools and </w:t>
      </w:r>
      <w:r w:rsidRPr="00CA1A89">
        <w:rPr>
          <w:lang w:val="en-IN"/>
        </w:rPr>
        <w:lastRenderedPageBreak/>
        <w:t>resources. At the same time, leaders should not impose unrealistic standards and additional demands</w:t>
      </w:r>
      <w:r w:rsidR="00331FE0">
        <w:rPr>
          <w:lang w:val="en-IN"/>
        </w:rPr>
        <w:t xml:space="preserve"> (</w:t>
      </w:r>
      <w:proofErr w:type="spellStart"/>
      <w:r w:rsidR="00331FE0" w:rsidRPr="00331FE0">
        <w:rPr>
          <w:lang w:val="en-IN"/>
        </w:rPr>
        <w:t>Taherizadeh</w:t>
      </w:r>
      <w:proofErr w:type="spellEnd"/>
      <w:r w:rsidR="00331FE0" w:rsidRPr="00331FE0">
        <w:rPr>
          <w:lang w:val="en-IN"/>
        </w:rPr>
        <w:t xml:space="preserve"> and Beaudry</w:t>
      </w:r>
      <w:r w:rsidR="00331FE0">
        <w:rPr>
          <w:lang w:val="en-IN"/>
        </w:rPr>
        <w:t>, 2023)</w:t>
      </w:r>
      <w:r w:rsidRPr="00CA1A89">
        <w:rPr>
          <w:lang w:val="en-IN"/>
        </w:rPr>
        <w:t>. The measurement of staff wellbeing should be transparent, and employees should understand how this information will be used. Overall, NHSX should focus on delivering quality results and achieving realistic goals rather than emphasising the quantity and speed of work.</w:t>
      </w:r>
    </w:p>
    <w:p w14:paraId="763A1BC3" w14:textId="6181C81E" w:rsidR="00CA5649" w:rsidRPr="00CA1A89" w:rsidRDefault="00CA5649" w:rsidP="00CA5649">
      <w:pPr>
        <w:pStyle w:val="Heading2"/>
      </w:pPr>
      <w:bookmarkStart w:id="19" w:name="_Toc242742967"/>
      <w:r w:rsidRPr="00CA1A89">
        <w:t>5. Implementation and Evaluation</w:t>
      </w:r>
      <w:bookmarkEnd w:id="19"/>
    </w:p>
    <w:p w14:paraId="32616C90" w14:textId="49468823" w:rsidR="00CA5649" w:rsidRPr="00CA1A89" w:rsidRDefault="00CA5649" w:rsidP="00CA5649">
      <w:r w:rsidRPr="00CA1A89">
        <w:t xml:space="preserve">To implement </w:t>
      </w:r>
      <w:r w:rsidR="0034187C" w:rsidRPr="00CA1A89">
        <w:t xml:space="preserve">the talent development strategy over 12 months, NHSX should undertake a phased approach that will help evaluate progress, identify barriers, and ensure equitable access for all employees working across India, </w:t>
      </w:r>
      <w:r w:rsidR="00F1255D">
        <w:t xml:space="preserve">the </w:t>
      </w:r>
      <w:r w:rsidR="0034187C" w:rsidRPr="00CA1A89">
        <w:t xml:space="preserve">UK, and </w:t>
      </w:r>
      <w:r w:rsidR="00F1255D">
        <w:t xml:space="preserve">the </w:t>
      </w:r>
      <w:r w:rsidR="0034187C" w:rsidRPr="00CA1A89">
        <w:t>UAE.</w:t>
      </w:r>
      <w:r w:rsidR="008012BD" w:rsidRPr="00CA1A89">
        <w:t xml:space="preserve"> Moreover, to evaluate progress of this plan, various targets will be set in the first year</w:t>
      </w:r>
      <w:r w:rsidR="00F1255D">
        <w:t>,</w:t>
      </w:r>
      <w:r w:rsidR="008012BD" w:rsidRPr="00CA1A89">
        <w:t xml:space="preserve"> and actual results will be compared with baseline data.</w:t>
      </w:r>
    </w:p>
    <w:p w14:paraId="3B00AB6F" w14:textId="02886781" w:rsidR="008F1F60" w:rsidRPr="00CA1A89" w:rsidRDefault="008F1F60" w:rsidP="008F1F60">
      <w:pPr>
        <w:jc w:val="center"/>
        <w:rPr>
          <w:b/>
          <w:bCs/>
        </w:rPr>
      </w:pPr>
      <w:r w:rsidRPr="00CA1A89">
        <w:rPr>
          <w:b/>
          <w:bCs/>
        </w:rPr>
        <w:t>Table 1: Implementation Plan</w:t>
      </w:r>
    </w:p>
    <w:tbl>
      <w:tblPr>
        <w:tblStyle w:val="TableGrid"/>
        <w:tblW w:w="0" w:type="auto"/>
        <w:tblLook w:val="04A0" w:firstRow="1" w:lastRow="0" w:firstColumn="1" w:lastColumn="0" w:noHBand="0" w:noVBand="1"/>
      </w:tblPr>
      <w:tblGrid>
        <w:gridCol w:w="3656"/>
        <w:gridCol w:w="1258"/>
        <w:gridCol w:w="2256"/>
        <w:gridCol w:w="1846"/>
      </w:tblGrid>
      <w:tr w:rsidR="00505E56" w:rsidRPr="00CA1A89" w14:paraId="1DD7A069" w14:textId="68953BFA" w:rsidTr="00505E56">
        <w:tc>
          <w:tcPr>
            <w:tcW w:w="3782" w:type="dxa"/>
          </w:tcPr>
          <w:p w14:paraId="6085ACD8" w14:textId="0BA429FC" w:rsidR="00505E56" w:rsidRPr="00CA1A89" w:rsidRDefault="00505E56" w:rsidP="00CA5649">
            <w:pPr>
              <w:rPr>
                <w:b/>
                <w:bCs/>
              </w:rPr>
            </w:pPr>
            <w:r w:rsidRPr="00CA1A89">
              <w:rPr>
                <w:b/>
                <w:bCs/>
              </w:rPr>
              <w:t>Key Actions</w:t>
            </w:r>
          </w:p>
        </w:tc>
        <w:tc>
          <w:tcPr>
            <w:tcW w:w="1263" w:type="dxa"/>
          </w:tcPr>
          <w:p w14:paraId="0344C04D" w14:textId="06705BE7" w:rsidR="00505E56" w:rsidRPr="00CA1A89" w:rsidRDefault="00505E56" w:rsidP="00CA5649">
            <w:pPr>
              <w:rPr>
                <w:b/>
                <w:bCs/>
              </w:rPr>
            </w:pPr>
            <w:r w:rsidRPr="00CA1A89">
              <w:rPr>
                <w:b/>
                <w:bCs/>
              </w:rPr>
              <w:t>Timeline</w:t>
            </w:r>
          </w:p>
        </w:tc>
        <w:tc>
          <w:tcPr>
            <w:tcW w:w="2328" w:type="dxa"/>
          </w:tcPr>
          <w:p w14:paraId="7F91F7AD" w14:textId="04BD5448" w:rsidR="00505E56" w:rsidRPr="00CA1A89" w:rsidRDefault="00505E56" w:rsidP="00CA5649">
            <w:pPr>
              <w:rPr>
                <w:b/>
                <w:bCs/>
              </w:rPr>
            </w:pPr>
            <w:r w:rsidRPr="00CA1A89">
              <w:rPr>
                <w:b/>
                <w:bCs/>
              </w:rPr>
              <w:t>Evaluation Measures</w:t>
            </w:r>
          </w:p>
        </w:tc>
        <w:tc>
          <w:tcPr>
            <w:tcW w:w="1869" w:type="dxa"/>
          </w:tcPr>
          <w:p w14:paraId="402AC25B" w14:textId="5AE4050C" w:rsidR="00505E56" w:rsidRPr="00CA1A89" w:rsidRDefault="00505E56" w:rsidP="00CA5649">
            <w:pPr>
              <w:rPr>
                <w:b/>
                <w:bCs/>
              </w:rPr>
            </w:pPr>
            <w:r w:rsidRPr="00CA1A89">
              <w:rPr>
                <w:b/>
                <w:bCs/>
              </w:rPr>
              <w:t>Target</w:t>
            </w:r>
          </w:p>
        </w:tc>
      </w:tr>
      <w:tr w:rsidR="00505E56" w:rsidRPr="00CA1A89" w14:paraId="5295DAAA" w14:textId="57C54933" w:rsidTr="00505E56">
        <w:tc>
          <w:tcPr>
            <w:tcW w:w="3782" w:type="dxa"/>
          </w:tcPr>
          <w:p w14:paraId="7431B096" w14:textId="2E8F2564" w:rsidR="00505E56" w:rsidRPr="00CA1A89" w:rsidRDefault="00505E56" w:rsidP="00513AE8">
            <w:pPr>
              <w:pStyle w:val="ListParagraph"/>
              <w:numPr>
                <w:ilvl w:val="0"/>
                <w:numId w:val="1"/>
              </w:numPr>
            </w:pPr>
            <w:r w:rsidRPr="00CA1A89">
              <w:t>Evaluating skills gaps, workload, employee satisfaction, and turnover.</w:t>
            </w:r>
          </w:p>
        </w:tc>
        <w:tc>
          <w:tcPr>
            <w:tcW w:w="1263" w:type="dxa"/>
          </w:tcPr>
          <w:p w14:paraId="31505F88" w14:textId="3D208BD3" w:rsidR="00505E56" w:rsidRPr="00CA1A89" w:rsidRDefault="00505E56" w:rsidP="00CA5649">
            <w:r w:rsidRPr="00CA1A89">
              <w:t>Months 1-3</w:t>
            </w:r>
          </w:p>
        </w:tc>
        <w:tc>
          <w:tcPr>
            <w:tcW w:w="2328" w:type="dxa"/>
          </w:tcPr>
          <w:p w14:paraId="736DB3C1" w14:textId="320A6C58" w:rsidR="00505E56" w:rsidRPr="00CA1A89" w:rsidRDefault="00505E56" w:rsidP="00CA5649">
            <w:r w:rsidRPr="00CA1A89">
              <w:t>Employee feedback and baseline workforce data.</w:t>
            </w:r>
          </w:p>
        </w:tc>
        <w:tc>
          <w:tcPr>
            <w:tcW w:w="1869" w:type="dxa"/>
          </w:tcPr>
          <w:p w14:paraId="46960FF4" w14:textId="17D0F76E" w:rsidR="00505E56" w:rsidRPr="00CA1A89" w:rsidRDefault="00505E56" w:rsidP="00CA5649">
            <w:r w:rsidRPr="00CA1A89">
              <w:t>Achieving baseline.</w:t>
            </w:r>
          </w:p>
        </w:tc>
      </w:tr>
      <w:tr w:rsidR="00505E56" w:rsidRPr="00CA1A89" w14:paraId="0E2962D6" w14:textId="424B5E80" w:rsidTr="00505E56">
        <w:tc>
          <w:tcPr>
            <w:tcW w:w="3782" w:type="dxa"/>
          </w:tcPr>
          <w:p w14:paraId="59F286CB" w14:textId="04AA7BCB" w:rsidR="00505E56" w:rsidRPr="00CA1A89" w:rsidRDefault="00505E56" w:rsidP="001F7A17">
            <w:pPr>
              <w:pStyle w:val="ListParagraph"/>
              <w:numPr>
                <w:ilvl w:val="0"/>
                <w:numId w:val="2"/>
              </w:numPr>
            </w:pPr>
            <w:r w:rsidRPr="00CA1A89">
              <w:t>Mentorship, AI-based internal talent pipeline, and piloting individual plans.</w:t>
            </w:r>
          </w:p>
        </w:tc>
        <w:tc>
          <w:tcPr>
            <w:tcW w:w="1263" w:type="dxa"/>
          </w:tcPr>
          <w:p w14:paraId="482A0E2F" w14:textId="55E1EFF3" w:rsidR="00505E56" w:rsidRPr="00CA1A89" w:rsidRDefault="00505E56" w:rsidP="00CA5649">
            <w:r w:rsidRPr="00CA1A89">
              <w:t>Months 4-6</w:t>
            </w:r>
          </w:p>
        </w:tc>
        <w:tc>
          <w:tcPr>
            <w:tcW w:w="2328" w:type="dxa"/>
          </w:tcPr>
          <w:p w14:paraId="106F0542" w14:textId="73D37A7F" w:rsidR="00505E56" w:rsidRPr="00CA1A89" w:rsidRDefault="00505E56" w:rsidP="00CA5649">
            <w:r w:rsidRPr="00CA1A89">
              <w:t>Internal applications and participation rate.</w:t>
            </w:r>
          </w:p>
        </w:tc>
        <w:tc>
          <w:tcPr>
            <w:tcW w:w="1869" w:type="dxa"/>
          </w:tcPr>
          <w:p w14:paraId="6075366E" w14:textId="5E47EEAF" w:rsidR="00505E56" w:rsidRPr="00CA1A89" w:rsidRDefault="00505E56" w:rsidP="00CA5649">
            <w:r w:rsidRPr="00CA1A89">
              <w:t>90%</w:t>
            </w:r>
            <w:r w:rsidR="008F36B5" w:rsidRPr="00CA1A89">
              <w:t xml:space="preserve"> participation </w:t>
            </w:r>
          </w:p>
        </w:tc>
      </w:tr>
      <w:tr w:rsidR="00505E56" w:rsidRPr="00CA1A89" w14:paraId="108A28BB" w14:textId="6E91F132" w:rsidTr="00505E56">
        <w:tc>
          <w:tcPr>
            <w:tcW w:w="3782" w:type="dxa"/>
          </w:tcPr>
          <w:p w14:paraId="64C16583" w14:textId="2A09855B" w:rsidR="00505E56" w:rsidRPr="00CA1A89" w:rsidRDefault="00505E56" w:rsidP="00F15387">
            <w:pPr>
              <w:pStyle w:val="ListParagraph"/>
              <w:numPr>
                <w:ilvl w:val="0"/>
                <w:numId w:val="2"/>
              </w:numPr>
            </w:pPr>
            <w:r w:rsidRPr="00CA1A89">
              <w:t>Conducting workload assessments, wellbeing reviews, and performance objectives.</w:t>
            </w:r>
          </w:p>
        </w:tc>
        <w:tc>
          <w:tcPr>
            <w:tcW w:w="1263" w:type="dxa"/>
          </w:tcPr>
          <w:p w14:paraId="6A602E26" w14:textId="04B6D244" w:rsidR="00505E56" w:rsidRPr="00CA1A89" w:rsidRDefault="00505E56" w:rsidP="00CA5649">
            <w:r w:rsidRPr="00CA1A89">
              <w:t>Months 7-9</w:t>
            </w:r>
          </w:p>
        </w:tc>
        <w:tc>
          <w:tcPr>
            <w:tcW w:w="2328" w:type="dxa"/>
          </w:tcPr>
          <w:p w14:paraId="06D766A9" w14:textId="2BD96B04" w:rsidR="00505E56" w:rsidRPr="00CA1A89" w:rsidRDefault="001313DC" w:rsidP="00CA5649">
            <w:r>
              <w:t>Workload perceptions and employees’ career satisfaction</w:t>
            </w:r>
            <w:r w:rsidR="00505E56" w:rsidRPr="00CA1A89">
              <w:t>.</w:t>
            </w:r>
          </w:p>
        </w:tc>
        <w:tc>
          <w:tcPr>
            <w:tcW w:w="1869" w:type="dxa"/>
          </w:tcPr>
          <w:p w14:paraId="6FDF0093" w14:textId="1A9EE2F4" w:rsidR="00505E56" w:rsidRPr="00CA1A89" w:rsidRDefault="00B23265" w:rsidP="00CA5649">
            <w:r>
              <w:t>80%</w:t>
            </w:r>
            <w:r w:rsidR="008F36B5" w:rsidRPr="00CA1A89">
              <w:t xml:space="preserve"> favourable responses</w:t>
            </w:r>
          </w:p>
        </w:tc>
      </w:tr>
      <w:tr w:rsidR="00505E56" w:rsidRPr="00CA1A89" w14:paraId="7F540289" w14:textId="20401100" w:rsidTr="00505E56">
        <w:tc>
          <w:tcPr>
            <w:tcW w:w="3782" w:type="dxa"/>
          </w:tcPr>
          <w:p w14:paraId="1F493E6A" w14:textId="4CB10ACF" w:rsidR="00505E56" w:rsidRPr="00CA1A89" w:rsidRDefault="00505E56" w:rsidP="00F15387">
            <w:pPr>
              <w:pStyle w:val="ListParagraph"/>
              <w:numPr>
                <w:ilvl w:val="0"/>
                <w:numId w:val="2"/>
              </w:numPr>
            </w:pPr>
            <w:r w:rsidRPr="00CA1A89">
              <w:t>Examining results, addressing inequalities, and expanding initiatives.</w:t>
            </w:r>
          </w:p>
        </w:tc>
        <w:tc>
          <w:tcPr>
            <w:tcW w:w="1263" w:type="dxa"/>
          </w:tcPr>
          <w:p w14:paraId="57EC2FFD" w14:textId="3A69CC4B" w:rsidR="00505E56" w:rsidRPr="00CA1A89" w:rsidRDefault="00505E56" w:rsidP="00CA5649">
            <w:r w:rsidRPr="00CA1A89">
              <w:t>Months 10-12</w:t>
            </w:r>
          </w:p>
        </w:tc>
        <w:tc>
          <w:tcPr>
            <w:tcW w:w="2328" w:type="dxa"/>
          </w:tcPr>
          <w:p w14:paraId="1AF9E1B1" w14:textId="016D49C4" w:rsidR="00505E56" w:rsidRPr="00CA1A89" w:rsidRDefault="00505E56" w:rsidP="00CA5649">
            <w:r w:rsidRPr="00CA1A89">
              <w:t>Turnover rate, employee feedback, and internal promotions.</w:t>
            </w:r>
          </w:p>
        </w:tc>
        <w:tc>
          <w:tcPr>
            <w:tcW w:w="1869" w:type="dxa"/>
          </w:tcPr>
          <w:p w14:paraId="54D8FD66" w14:textId="6E85156D" w:rsidR="00505E56" w:rsidRPr="00CA1A89" w:rsidRDefault="00505E56" w:rsidP="00CA5649">
            <w:r w:rsidRPr="00CA1A89">
              <w:t xml:space="preserve">15% </w:t>
            </w:r>
            <w:r w:rsidR="008F36B5" w:rsidRPr="00CA1A89">
              <w:t xml:space="preserve">turnover </w:t>
            </w:r>
            <w:r w:rsidRPr="00CA1A89">
              <w:t>reduction</w:t>
            </w:r>
          </w:p>
        </w:tc>
      </w:tr>
      <w:tr w:rsidR="00BE3085" w:rsidRPr="00CA1A89" w14:paraId="74CABB43" w14:textId="77777777" w:rsidTr="00505E56">
        <w:tc>
          <w:tcPr>
            <w:tcW w:w="3782" w:type="dxa"/>
          </w:tcPr>
          <w:p w14:paraId="0774CDD3" w14:textId="50933B00" w:rsidR="00BE3085" w:rsidRPr="00CA1A89" w:rsidRDefault="00BE3085" w:rsidP="00F15387">
            <w:pPr>
              <w:pStyle w:val="ListParagraph"/>
              <w:numPr>
                <w:ilvl w:val="0"/>
                <w:numId w:val="2"/>
              </w:numPr>
            </w:pPr>
            <w:r w:rsidRPr="00CA1A89">
              <w:lastRenderedPageBreak/>
              <w:t>Reviewing career opportunities, employee feedback, and wor</w:t>
            </w:r>
            <w:r w:rsidR="008012BD" w:rsidRPr="00CA1A89">
              <w:t>k</w:t>
            </w:r>
            <w:r w:rsidRPr="00CA1A89">
              <w:t>load</w:t>
            </w:r>
            <w:r w:rsidR="008012BD" w:rsidRPr="00CA1A89">
              <w:t>.</w:t>
            </w:r>
          </w:p>
        </w:tc>
        <w:tc>
          <w:tcPr>
            <w:tcW w:w="1263" w:type="dxa"/>
          </w:tcPr>
          <w:p w14:paraId="2708D10D" w14:textId="0A014977" w:rsidR="00BE3085" w:rsidRPr="00CA1A89" w:rsidRDefault="00BE3085" w:rsidP="00CA5649">
            <w:r w:rsidRPr="00CA1A89">
              <w:t>Quarterly</w:t>
            </w:r>
          </w:p>
        </w:tc>
        <w:tc>
          <w:tcPr>
            <w:tcW w:w="2328" w:type="dxa"/>
          </w:tcPr>
          <w:p w14:paraId="18489872" w14:textId="20654108" w:rsidR="00BE3085" w:rsidRPr="00CA1A89" w:rsidRDefault="00B23265" w:rsidP="00CA5649">
            <w:r>
              <w:t>Managing work pressure and career progression</w:t>
            </w:r>
            <w:r w:rsidR="00BE3085" w:rsidRPr="00CA1A89">
              <w:t>.</w:t>
            </w:r>
          </w:p>
        </w:tc>
        <w:tc>
          <w:tcPr>
            <w:tcW w:w="1869" w:type="dxa"/>
          </w:tcPr>
          <w:p w14:paraId="340D1426" w14:textId="30C8F362" w:rsidR="00BE3085" w:rsidRPr="00CA1A89" w:rsidRDefault="00DC6641" w:rsidP="00CA5649">
            <w:r>
              <w:t>I</w:t>
            </w:r>
            <w:r w:rsidR="008F36B5" w:rsidRPr="00CA1A89">
              <w:t>mprovement</w:t>
            </w:r>
            <w:r>
              <w:t xml:space="preserve"> by </w:t>
            </w:r>
            <w:r w:rsidR="00F1255D">
              <w:t>10 percentage</w:t>
            </w:r>
            <w:r>
              <w:t xml:space="preserve"> points</w:t>
            </w:r>
          </w:p>
        </w:tc>
      </w:tr>
    </w:tbl>
    <w:p w14:paraId="548212F7" w14:textId="364F317B" w:rsidR="00182166" w:rsidRPr="00CA1A89" w:rsidRDefault="00182166" w:rsidP="00182166"/>
    <w:p w14:paraId="566A712C" w14:textId="7ED66569" w:rsidR="00182166" w:rsidRPr="00CA1A89" w:rsidRDefault="00DC6641" w:rsidP="00182166">
      <w:r>
        <w:t xml:space="preserve">Since these numerical targets are proposed under the implementation plan, they do not reflect established NHSX commitments, </w:t>
      </w:r>
      <w:r w:rsidR="00307FD0">
        <w:t>requiring further validation by comparing with baseline evidence</w:t>
      </w:r>
      <w:r w:rsidR="00182166" w:rsidRPr="00CA1A89">
        <w:t>.</w:t>
      </w:r>
      <w:r w:rsidR="00253904" w:rsidRPr="00CA1A89">
        <w:t xml:space="preserve"> Thus, any employee feedback and external factors must also </w:t>
      </w:r>
      <w:r w:rsidR="00F1255D">
        <w:t>be communicated regarding</w:t>
      </w:r>
      <w:r w:rsidR="00253904" w:rsidRPr="00CA1A89">
        <w:t xml:space="preserve"> adjustments to the strategy.</w:t>
      </w:r>
      <w:r w:rsidR="00513AE8" w:rsidRPr="00CA1A89">
        <w:t xml:space="preserve"> </w:t>
      </w:r>
    </w:p>
    <w:p w14:paraId="1FEDEC77" w14:textId="7E3A811B" w:rsidR="00CA5649" w:rsidRPr="00CA1A89" w:rsidRDefault="00CA5649" w:rsidP="00CA5649">
      <w:pPr>
        <w:pStyle w:val="Heading2"/>
      </w:pPr>
      <w:bookmarkStart w:id="20" w:name="_Toc242742968"/>
      <w:r w:rsidRPr="00CA1A89">
        <w:t>6. Conclusion</w:t>
      </w:r>
      <w:bookmarkEnd w:id="20"/>
    </w:p>
    <w:p w14:paraId="365AA03F" w14:textId="735B7570" w:rsidR="00FB088B" w:rsidRPr="00CA1A89" w:rsidRDefault="005A04CE" w:rsidP="00FB088B">
      <w:r>
        <w:t>Through this analysis, it has been observed that NHSX needs to ensure meaningful work, continuous learning opportunities, internal mobility, and management support in an integrated approach to retain its talented employees while also enhancing organisational capability</w:t>
      </w:r>
      <w:r w:rsidR="00FB088B" w:rsidRPr="00CA1A89">
        <w:t>.</w:t>
      </w:r>
      <w:r>
        <w:t xml:space="preserve"> Nevertheless, it must also </w:t>
      </w:r>
      <w:r w:rsidR="00C20F79">
        <w:t xml:space="preserve">address the presence of adequate resources, regular performance </w:t>
      </w:r>
      <w:r w:rsidR="00F1255D">
        <w:t>reviews</w:t>
      </w:r>
      <w:r w:rsidR="00C20F79">
        <w:t>, and fair growth opportunities for employees.</w:t>
      </w:r>
    </w:p>
    <w:p w14:paraId="32ED52D2" w14:textId="77777777" w:rsidR="005D6B40" w:rsidRPr="00CA1A89" w:rsidRDefault="005D6B40" w:rsidP="005D6B40">
      <w:pPr>
        <w:pStyle w:val="Heading1"/>
      </w:pPr>
      <w:bookmarkStart w:id="21" w:name="_Toc242742969"/>
      <w:r w:rsidRPr="00CA1A89">
        <w:t>TASK C: Reflective report</w:t>
      </w:r>
      <w:bookmarkEnd w:id="21"/>
    </w:p>
    <w:p w14:paraId="16F6063D" w14:textId="64E6E011" w:rsidR="005D6B40" w:rsidRPr="00CA1A89" w:rsidRDefault="005D6B40" w:rsidP="005D6B40">
      <w:pPr>
        <w:pStyle w:val="Heading2"/>
        <w:rPr>
          <w:lang w:val="en-IN"/>
        </w:rPr>
      </w:pPr>
      <w:bookmarkStart w:id="22" w:name="_Toc242742970"/>
      <w:r w:rsidRPr="00CA1A89">
        <w:rPr>
          <w:lang w:val="en-IN"/>
        </w:rPr>
        <w:t>1. Introduct</w:t>
      </w:r>
      <w:r w:rsidR="00D568FF" w:rsidRPr="00CA1A89">
        <w:rPr>
          <w:lang w:val="en-IN"/>
        </w:rPr>
        <w:t>io</w:t>
      </w:r>
      <w:r w:rsidRPr="00CA1A89">
        <w:rPr>
          <w:lang w:val="en-IN"/>
        </w:rPr>
        <w:t>n</w:t>
      </w:r>
      <w:bookmarkEnd w:id="22"/>
    </w:p>
    <w:p w14:paraId="360FEAEF" w14:textId="1F84E6B3" w:rsidR="00E46C5C" w:rsidRPr="00CA1A89" w:rsidRDefault="00E46C5C" w:rsidP="00E46C5C">
      <w:pPr>
        <w:rPr>
          <w:lang w:val="en-IN"/>
        </w:rPr>
      </w:pPr>
      <w:r w:rsidRPr="00CA1A89">
        <w:rPr>
          <w:lang w:val="en-IN"/>
        </w:rPr>
        <w:t>Human resource management (HRM) is contingent upon effective judgement, ethical intuition, communication and reflective learning. While artificial intelligence (AI) is a valuable tool which can collate and process information into proposed solutions, these must be critically evaluated by HR professionals. This report reflects upon my experience of using AI in different scenarios, the impact that it can have on my HRM practice, and the capabilities I need to enhance.</w:t>
      </w:r>
    </w:p>
    <w:p w14:paraId="7C00768F" w14:textId="01AE8730" w:rsidR="00E46C5C" w:rsidRPr="00CA1A89" w:rsidRDefault="00E46C5C" w:rsidP="00E46C5C">
      <w:pPr>
        <w:pStyle w:val="Heading2"/>
        <w:rPr>
          <w:lang w:val="en-IN"/>
        </w:rPr>
      </w:pPr>
      <w:bookmarkStart w:id="23" w:name="_Toc242742971"/>
      <w:r w:rsidRPr="00CA1A89">
        <w:rPr>
          <w:lang w:val="en-IN"/>
        </w:rPr>
        <w:t>2. AI as a Strategic Resource in HRM</w:t>
      </w:r>
      <w:bookmarkEnd w:id="23"/>
    </w:p>
    <w:p w14:paraId="4DD6C332" w14:textId="4103998E" w:rsidR="00E46C5C" w:rsidRPr="00CA1A89" w:rsidRDefault="00E46C5C" w:rsidP="00E46C5C">
      <w:pPr>
        <w:rPr>
          <w:lang w:val="en-IN"/>
        </w:rPr>
      </w:pPr>
      <w:r w:rsidRPr="00CA1A89">
        <w:rPr>
          <w:lang w:val="en-IN"/>
        </w:rPr>
        <w:t xml:space="preserve">AI can support HR practitioners in addressing talent management issues, workforce planning, recruiting and individual development. For example, an </w:t>
      </w:r>
      <w:r w:rsidR="00F1255D">
        <w:rPr>
          <w:lang w:val="en-IN"/>
        </w:rPr>
        <w:t>organisation</w:t>
      </w:r>
      <w:r w:rsidRPr="00CA1A89">
        <w:rPr>
          <w:lang w:val="en-IN"/>
        </w:rPr>
        <w:t xml:space="preserve"> such as NHSX in the health sector can utilise AI to predict future skills gaps in areas such as cybersecurity or clinical AI. Microsoft (2024) notes that 75% of knowledge workers globally have engaged with AI in the workplace.</w:t>
      </w:r>
    </w:p>
    <w:p w14:paraId="213C1256" w14:textId="64114FAC" w:rsidR="00E46C5C" w:rsidRPr="00CA1A89" w:rsidRDefault="00E46C5C" w:rsidP="00E46C5C">
      <w:pPr>
        <w:rPr>
          <w:lang w:val="en-IN"/>
        </w:rPr>
      </w:pPr>
      <w:r w:rsidRPr="00CA1A89">
        <w:rPr>
          <w:lang w:val="en-IN"/>
        </w:rPr>
        <w:lastRenderedPageBreak/>
        <w:t xml:space="preserve">However, its overall effectiveness is reliant on several factors, ranging from representative data which does not discriminate against protected groups, appropriate information collection which respects workers’ rights to privacy, and contextualisation of recommended solutions at the </w:t>
      </w:r>
      <w:r w:rsidR="00F1255D">
        <w:rPr>
          <w:lang w:val="en-IN"/>
        </w:rPr>
        <w:t>organisational</w:t>
      </w:r>
      <w:r w:rsidRPr="00CA1A89">
        <w:rPr>
          <w:lang w:val="en-IN"/>
        </w:rPr>
        <w:t xml:space="preserve"> level. Thus, while I can rely on AI to generate ideas, it is important to evaluate their efficacy and ethical implications as opposed to relying on default recommendations.</w:t>
      </w:r>
    </w:p>
    <w:p w14:paraId="21E0C55A" w14:textId="0AB2F3CE" w:rsidR="00E46C5C" w:rsidRPr="00CA1A89" w:rsidRDefault="00E46C5C" w:rsidP="00E46C5C">
      <w:pPr>
        <w:pStyle w:val="Heading2"/>
        <w:rPr>
          <w:lang w:val="en-IN"/>
        </w:rPr>
      </w:pPr>
      <w:bookmarkStart w:id="24" w:name="_Toc242742972"/>
      <w:r w:rsidRPr="00CA1A89">
        <w:rPr>
          <w:lang w:val="en-IN"/>
        </w:rPr>
        <w:t>3. Critical Reflection on Use of AI</w:t>
      </w:r>
      <w:bookmarkEnd w:id="24"/>
    </w:p>
    <w:p w14:paraId="5D35200F" w14:textId="06F0A5D2" w:rsidR="00E46C5C" w:rsidRPr="00CA1A89" w:rsidRDefault="00E46C5C" w:rsidP="00E46C5C">
      <w:pPr>
        <w:rPr>
          <w:lang w:val="en-IN"/>
        </w:rPr>
      </w:pPr>
      <w:r w:rsidRPr="00CA1A89">
        <w:rPr>
          <w:b/>
          <w:bCs/>
          <w:i/>
          <w:iCs/>
          <w:lang w:val="en-IN"/>
        </w:rPr>
        <w:t>Example 1: Using AI to structure academic work</w:t>
      </w:r>
    </w:p>
    <w:p w14:paraId="778E5BCC" w14:textId="6EF68970" w:rsidR="00E46C5C" w:rsidRPr="00CA1A89" w:rsidRDefault="00E46C5C" w:rsidP="00E46C5C">
      <w:pPr>
        <w:rPr>
          <w:lang w:val="en-IN"/>
        </w:rPr>
      </w:pPr>
      <w:r w:rsidRPr="00CA1A89">
        <w:rPr>
          <w:lang w:val="en-IN"/>
        </w:rPr>
        <w:t xml:space="preserve">I have used AI to collate and process information relating to workforce management issues and link them to relevant theories for the completion of my assignment. This supported me in </w:t>
      </w:r>
      <w:r w:rsidR="00F1255D">
        <w:rPr>
          <w:lang w:val="en-IN"/>
        </w:rPr>
        <w:t>organising</w:t>
      </w:r>
      <w:r w:rsidRPr="00CA1A89">
        <w:rPr>
          <w:lang w:val="en-IN"/>
        </w:rPr>
        <w:t xml:space="preserve"> my arguments and improving overall clarity of my writing. However, I learned that the suggested outline may not always take </w:t>
      </w:r>
      <w:r w:rsidR="00F1255D">
        <w:rPr>
          <w:lang w:val="en-IN"/>
        </w:rPr>
        <w:t>verbatim</w:t>
      </w:r>
      <w:r w:rsidRPr="00CA1A89">
        <w:rPr>
          <w:lang w:val="en-IN"/>
        </w:rPr>
        <w:t xml:space="preserve"> or assessment instructions into account, and that theoretical perspectives may be used without sufficient explanation of their relevance to the assignment question. By comparing suggestions to the marking criteria, I was able to engage in critical thinking as opposed to relying on the suggested solution.</w:t>
      </w:r>
    </w:p>
    <w:p w14:paraId="4E456F1E" w14:textId="591620CF" w:rsidR="00E46C5C" w:rsidRPr="00CA1A89" w:rsidRDefault="00E46C5C" w:rsidP="00E46C5C">
      <w:pPr>
        <w:rPr>
          <w:lang w:val="en-IN"/>
        </w:rPr>
      </w:pPr>
      <w:r w:rsidRPr="00CA1A89">
        <w:rPr>
          <w:b/>
          <w:bCs/>
          <w:i/>
          <w:iCs/>
          <w:lang w:val="en-IN"/>
        </w:rPr>
        <w:t>Example 2: Using AI to develop recommendations</w:t>
      </w:r>
    </w:p>
    <w:p w14:paraId="0C33E0E1" w14:textId="1F666F92" w:rsidR="00E46C5C" w:rsidRPr="00CA1A89" w:rsidRDefault="00E46C5C" w:rsidP="00E46C5C">
      <w:pPr>
        <w:rPr>
          <w:lang w:val="en-IN"/>
        </w:rPr>
      </w:pPr>
      <w:r w:rsidRPr="00CA1A89">
        <w:rPr>
          <w:lang w:val="en-IN"/>
        </w:rPr>
        <w:t>Using AI to develop recommendations broadened my understanding of possible solutions, such as mentoring programs</w:t>
      </w:r>
      <w:r w:rsidR="00331FE0">
        <w:rPr>
          <w:lang w:val="en-IN"/>
        </w:rPr>
        <w:t xml:space="preserve"> (</w:t>
      </w:r>
      <w:r w:rsidR="00331FE0" w:rsidRPr="00331FE0">
        <w:rPr>
          <w:lang w:val="en-IN"/>
        </w:rPr>
        <w:t>Lin and Chen</w:t>
      </w:r>
      <w:r w:rsidR="00331FE0">
        <w:rPr>
          <w:lang w:val="en-IN"/>
        </w:rPr>
        <w:t>, 2025)</w:t>
      </w:r>
      <w:r w:rsidRPr="00CA1A89">
        <w:rPr>
          <w:lang w:val="en-IN"/>
        </w:rPr>
        <w:t xml:space="preserve"> and </w:t>
      </w:r>
      <w:r w:rsidR="00F1255D">
        <w:rPr>
          <w:lang w:val="en-IN"/>
        </w:rPr>
        <w:t>personalised</w:t>
      </w:r>
      <w:r w:rsidRPr="00CA1A89">
        <w:rPr>
          <w:lang w:val="en-IN"/>
        </w:rPr>
        <w:t xml:space="preserve"> training and development plans. I learned about methods to improve engagement, such as encouraging internal referrals or providing employees with choices. However, </w:t>
      </w:r>
      <w:r w:rsidR="00F1255D">
        <w:rPr>
          <w:lang w:val="en-IN"/>
        </w:rPr>
        <w:t>effective recommendations require considering</w:t>
      </w:r>
      <w:r w:rsidRPr="00CA1A89">
        <w:rPr>
          <w:lang w:val="en-IN"/>
        </w:rPr>
        <w:t xml:space="preserve"> available resources and whether they can be realistically implemented. At times, recommendations generated by the software may fail to consider the academic or </w:t>
      </w:r>
      <w:r w:rsidR="00F1255D">
        <w:rPr>
          <w:lang w:val="en-IN"/>
        </w:rPr>
        <w:t>organisational</w:t>
      </w:r>
      <w:r w:rsidRPr="00CA1A89">
        <w:rPr>
          <w:lang w:val="en-IN"/>
        </w:rPr>
        <w:t xml:space="preserve"> context.</w:t>
      </w:r>
    </w:p>
    <w:p w14:paraId="5FA13224" w14:textId="40F595E4" w:rsidR="00E46C5C" w:rsidRPr="00CA1A89" w:rsidRDefault="00E46C5C" w:rsidP="00E46C5C">
      <w:pPr>
        <w:rPr>
          <w:lang w:val="en-IN"/>
        </w:rPr>
      </w:pPr>
      <w:r w:rsidRPr="00CA1A89">
        <w:rPr>
          <w:b/>
          <w:bCs/>
          <w:i/>
          <w:iCs/>
          <w:lang w:val="en-IN"/>
        </w:rPr>
        <w:t>Example 3: Using AI to improve communication</w:t>
      </w:r>
    </w:p>
    <w:p w14:paraId="109AB634" w14:textId="1C7F9FE0" w:rsidR="00E46C5C" w:rsidRPr="00CA1A89" w:rsidRDefault="00E46C5C" w:rsidP="00E46C5C">
      <w:pPr>
        <w:rPr>
          <w:lang w:val="en-IN"/>
        </w:rPr>
      </w:pPr>
      <w:r w:rsidRPr="00CA1A89">
        <w:rPr>
          <w:lang w:val="en-IN"/>
        </w:rPr>
        <w:t xml:space="preserve">Using AI to edit my writing enabled me to simplify complex ideas, remove superfluous verbiage, and improve paragraph formatting. However, overreliance on it can diminish my ability to write effectively or </w:t>
      </w:r>
      <w:r w:rsidR="00F1255D">
        <w:rPr>
          <w:lang w:val="en-IN"/>
        </w:rPr>
        <w:t>make me</w:t>
      </w:r>
      <w:r w:rsidRPr="00CA1A89">
        <w:rPr>
          <w:lang w:val="en-IN"/>
        </w:rPr>
        <w:t xml:space="preserve"> reliant on auto-generated text</w:t>
      </w:r>
      <w:r w:rsidR="00F1255D">
        <w:rPr>
          <w:lang w:val="en-IN"/>
        </w:rPr>
        <w:t>,</w:t>
      </w:r>
      <w:r w:rsidRPr="00CA1A89">
        <w:rPr>
          <w:lang w:val="en-IN"/>
        </w:rPr>
        <w:t xml:space="preserve"> which may lack originality. Thus, while I can use it as a tool to improve writing, I need to ensure that my ideas form the basis of the paragraphs and that I critically engage with suggestions.</w:t>
      </w:r>
    </w:p>
    <w:p w14:paraId="08BB6C74" w14:textId="742DCA7C" w:rsidR="00E46C5C" w:rsidRPr="00CA1A89" w:rsidRDefault="00E46C5C" w:rsidP="00E46C5C">
      <w:pPr>
        <w:pStyle w:val="Heading2"/>
        <w:rPr>
          <w:lang w:val="en-IN"/>
        </w:rPr>
      </w:pPr>
      <w:bookmarkStart w:id="25" w:name="_Toc242742973"/>
      <w:r w:rsidRPr="00CA1A89">
        <w:rPr>
          <w:lang w:val="en-IN"/>
        </w:rPr>
        <w:lastRenderedPageBreak/>
        <w:t>4. Personal Capability Development Plan</w:t>
      </w:r>
      <w:bookmarkEnd w:id="25"/>
    </w:p>
    <w:p w14:paraId="394D94FF" w14:textId="4229673C" w:rsidR="00E46C5C" w:rsidRPr="00CA1A89" w:rsidRDefault="00E46C5C" w:rsidP="00E46C5C">
      <w:pPr>
        <w:rPr>
          <w:lang w:val="en-IN"/>
        </w:rPr>
      </w:pPr>
      <w:r w:rsidRPr="00CA1A89">
        <w:rPr>
          <w:lang w:val="en-IN"/>
        </w:rPr>
        <w:t>Capability development plans should be realistic and relate to specific outcomes which can be measured within a given timeframe</w:t>
      </w:r>
      <w:r w:rsidR="00331FE0">
        <w:rPr>
          <w:lang w:val="en-IN"/>
        </w:rPr>
        <w:t xml:space="preserve"> (</w:t>
      </w:r>
      <w:r w:rsidR="00331FE0" w:rsidRPr="00331FE0">
        <w:rPr>
          <w:lang w:val="en-IN"/>
        </w:rPr>
        <w:t>George and Bryson</w:t>
      </w:r>
      <w:r w:rsidR="00331FE0">
        <w:rPr>
          <w:lang w:val="en-IN"/>
        </w:rPr>
        <w:t>, 2026)</w:t>
      </w:r>
      <w:r w:rsidRPr="00CA1A89">
        <w:rPr>
          <w:lang w:val="en-IN"/>
        </w:rPr>
        <w:t>. In the next 12 months, I intend to focus on three areas, namely:</w:t>
      </w:r>
    </w:p>
    <w:p w14:paraId="3DC6A5B2" w14:textId="46C1A9F5" w:rsidR="00E46C5C" w:rsidRPr="00CA1A89" w:rsidRDefault="00E46C5C" w:rsidP="00E46C5C">
      <w:pPr>
        <w:rPr>
          <w:lang w:val="en-IN"/>
        </w:rPr>
      </w:pPr>
      <w:r w:rsidRPr="00CA1A89">
        <w:rPr>
          <w:b/>
          <w:bCs/>
          <w:i/>
          <w:iCs/>
          <w:lang w:val="en-IN"/>
        </w:rPr>
        <w:t>HR analytics</w:t>
      </w:r>
      <w:r w:rsidRPr="00CA1A89">
        <w:rPr>
          <w:lang w:val="en-IN"/>
        </w:rPr>
        <w:t>: Register for an online course on HR analytics within the next 3 months and practice spreadsheet use on sample datasets relating to turnover, engagement and training effectiveness.</w:t>
      </w:r>
    </w:p>
    <w:p w14:paraId="19FA639B" w14:textId="1CD23180" w:rsidR="00E46C5C" w:rsidRPr="00CA1A89" w:rsidRDefault="00E46C5C" w:rsidP="00E46C5C">
      <w:pPr>
        <w:rPr>
          <w:lang w:val="en-IN"/>
        </w:rPr>
      </w:pPr>
      <w:r w:rsidRPr="00CA1A89">
        <w:rPr>
          <w:b/>
          <w:bCs/>
          <w:i/>
          <w:iCs/>
          <w:lang w:val="en-IN"/>
        </w:rPr>
        <w:t>Responsible AI</w:t>
      </w:r>
      <w:r w:rsidRPr="00CA1A89">
        <w:rPr>
          <w:lang w:val="en-IN"/>
        </w:rPr>
        <w:t>: Learn about algorithmic bias, privacy, and ethical decision-making within 6 months and apply this knowledge to a sample AI software used in recruitment.</w:t>
      </w:r>
    </w:p>
    <w:p w14:paraId="6E2555DF" w14:textId="561272FD" w:rsidR="00E46C5C" w:rsidRPr="00CA1A89" w:rsidRDefault="00E46C5C" w:rsidP="00E46C5C">
      <w:pPr>
        <w:rPr>
          <w:lang w:val="en-IN"/>
        </w:rPr>
      </w:pPr>
      <w:r w:rsidRPr="00CA1A89">
        <w:rPr>
          <w:b/>
          <w:bCs/>
          <w:i/>
          <w:iCs/>
          <w:lang w:val="en-IN"/>
        </w:rPr>
        <w:t>Communication and reflection</w:t>
      </w:r>
      <w:r w:rsidRPr="00CA1A89">
        <w:rPr>
          <w:lang w:val="en-IN"/>
        </w:rPr>
        <w:t>: Maintain a reflective log, seek feedback on 3 substantial assignments and evaluate how I have acted on this feedback to improve. I will review my capability development plan every 3 months and update it as necessary to ensure that progress is being made.</w:t>
      </w:r>
    </w:p>
    <w:p w14:paraId="557A2500" w14:textId="7CE73F6B" w:rsidR="00E46C5C" w:rsidRPr="00CA1A89" w:rsidRDefault="00E46C5C" w:rsidP="00E46C5C">
      <w:pPr>
        <w:rPr>
          <w:lang w:val="en-IN"/>
        </w:rPr>
      </w:pPr>
      <w:r w:rsidRPr="00CA1A89">
        <w:rPr>
          <w:lang w:val="en-IN"/>
        </w:rPr>
        <w:t>Rather than simply measuring capability development by the number of courses completed, I will focus on specific outcomes which I can demonstrate.</w:t>
      </w:r>
    </w:p>
    <w:p w14:paraId="3FA1651C" w14:textId="2D5A5122" w:rsidR="00E46C5C" w:rsidRPr="00CA1A89" w:rsidRDefault="00E46C5C" w:rsidP="00E46C5C">
      <w:pPr>
        <w:pStyle w:val="Heading2"/>
        <w:rPr>
          <w:lang w:val="en-IN"/>
        </w:rPr>
      </w:pPr>
      <w:bookmarkStart w:id="26" w:name="_Toc242742974"/>
      <w:r w:rsidRPr="00CA1A89">
        <w:rPr>
          <w:lang w:val="en-IN"/>
        </w:rPr>
        <w:t>5. Conclusion</w:t>
      </w:r>
      <w:bookmarkEnd w:id="26"/>
    </w:p>
    <w:p w14:paraId="2DB0B7FE" w14:textId="77777777" w:rsidR="00E46C5C" w:rsidRPr="00CA1A89" w:rsidRDefault="00E46C5C" w:rsidP="00E46C5C">
      <w:pPr>
        <w:rPr>
          <w:lang w:val="en-IN"/>
        </w:rPr>
      </w:pPr>
      <w:r w:rsidRPr="00CA1A89">
        <w:rPr>
          <w:lang w:val="en-IN"/>
        </w:rPr>
        <w:t>This reflective report has demonstrated that while AI can support HR professionals in making better decisions and improving operational effectiveness, its use should be tempered with critical thinking and ethical considerations. Enhancing my capabilities in analytics, responsible AI, and communication will support me in engaging effectively with these technologies in my future HRM practice.</w:t>
      </w:r>
    </w:p>
    <w:p w14:paraId="5FC6C478" w14:textId="4C27E6F9" w:rsidR="005D6B40" w:rsidRPr="00CA1A89" w:rsidRDefault="005D6B40" w:rsidP="005D6B40">
      <w:pPr>
        <w:rPr>
          <w:lang w:val="en-IN"/>
        </w:rPr>
      </w:pPr>
    </w:p>
    <w:p w14:paraId="61222638" w14:textId="6F986B0B" w:rsidR="005D6B40" w:rsidRPr="00CA1A89" w:rsidRDefault="005D6B40" w:rsidP="005D6B40">
      <w:pPr>
        <w:rPr>
          <w:lang w:val="en-IN"/>
        </w:rPr>
      </w:pPr>
    </w:p>
    <w:p w14:paraId="526AF082" w14:textId="30BBE282" w:rsidR="005D6B40" w:rsidRPr="00CA1A89" w:rsidRDefault="005D6B40" w:rsidP="00FB088B">
      <w:r w:rsidRPr="00CA1A89">
        <w:t xml:space="preserve"> </w:t>
      </w:r>
    </w:p>
    <w:p w14:paraId="796453A2" w14:textId="49B120C8" w:rsidR="004C6364" w:rsidRPr="00CA1A89" w:rsidRDefault="004C6364" w:rsidP="000F07CE">
      <w:pPr>
        <w:pStyle w:val="Heading1"/>
      </w:pPr>
      <w:r w:rsidRPr="00CA1A89">
        <w:br w:type="page"/>
      </w:r>
    </w:p>
    <w:p w14:paraId="0645F350" w14:textId="3FE7D40C" w:rsidR="00055AB4" w:rsidRPr="00CA1A89" w:rsidRDefault="004C6364" w:rsidP="000F07CE">
      <w:pPr>
        <w:pStyle w:val="Heading1"/>
      </w:pPr>
      <w:bookmarkStart w:id="27" w:name="_Toc242742975"/>
      <w:r w:rsidRPr="00CA1A89">
        <w:lastRenderedPageBreak/>
        <w:t>References</w:t>
      </w:r>
      <w:bookmarkEnd w:id="27"/>
    </w:p>
    <w:p w14:paraId="7AD89E4B" w14:textId="77777777" w:rsidR="00331FE0" w:rsidRPr="00331FE0" w:rsidRDefault="00331FE0" w:rsidP="00331FE0">
      <w:r w:rsidRPr="00331FE0">
        <w:t xml:space="preserve">Aguinis, H., Beltran, J.R. and Cope, A. (2024) ‘How to use generative AI as a human resource management assistant’, </w:t>
      </w:r>
      <w:r w:rsidRPr="00331FE0">
        <w:rPr>
          <w:i/>
          <w:iCs/>
        </w:rPr>
        <w:t>Organizational Dynamics</w:t>
      </w:r>
      <w:r w:rsidRPr="00331FE0">
        <w:t xml:space="preserve">, 53(1), pp.1-7. Available at: </w:t>
      </w:r>
      <w:hyperlink r:id="rId10" w:history="1">
        <w:r w:rsidRPr="00331FE0">
          <w:rPr>
            <w:rStyle w:val="Hyperlink"/>
          </w:rPr>
          <w:t>https://www.sciencedirect.com/science/article/pii/S0090261624000020/pdfft?md5=642f120d5cdb32a88a07c78a359f28fe&amp;pid=1-s2.0-S0090261624000020-main.pdf</w:t>
        </w:r>
      </w:hyperlink>
      <w:r w:rsidRPr="00331FE0">
        <w:t xml:space="preserve"> (Accessed: 12 October 2026)</w:t>
      </w:r>
    </w:p>
    <w:p w14:paraId="633DA0AD" w14:textId="11FBAFC2" w:rsidR="00331FE0" w:rsidRPr="00CA1A89" w:rsidRDefault="00331FE0" w:rsidP="00880C98">
      <w:proofErr w:type="spellStart"/>
      <w:r w:rsidRPr="00CA1A89">
        <w:t>Ajobi</w:t>
      </w:r>
      <w:proofErr w:type="spellEnd"/>
      <w:r w:rsidRPr="00CA1A89">
        <w:t xml:space="preserve">, A.O., Ismail, I.A.B., Ismail, S.B. and </w:t>
      </w:r>
      <w:proofErr w:type="spellStart"/>
      <w:r w:rsidRPr="00CA1A89">
        <w:t>Owunna</w:t>
      </w:r>
      <w:proofErr w:type="spellEnd"/>
      <w:r w:rsidRPr="00CA1A89">
        <w:t xml:space="preserve">, R. (2026) ‘Enhancing Employee Performance Through Task Significance: A Theoretical Exploration </w:t>
      </w:r>
      <w:r w:rsidR="00F1255D">
        <w:t>of the</w:t>
      </w:r>
      <w:r w:rsidRPr="00CA1A89">
        <w:t xml:space="preserve"> Job Characteristics Model’, </w:t>
      </w:r>
      <w:r w:rsidRPr="00CA1A89">
        <w:rPr>
          <w:i/>
          <w:iCs/>
        </w:rPr>
        <w:t>Quantum Journal of Social Sciences and Humanities</w:t>
      </w:r>
      <w:r w:rsidRPr="00CA1A89">
        <w:t xml:space="preserve">, </w:t>
      </w:r>
      <w:r w:rsidRPr="00CA1A89">
        <w:rPr>
          <w:i/>
          <w:iCs/>
        </w:rPr>
        <w:t>7</w:t>
      </w:r>
      <w:r w:rsidRPr="00CA1A89">
        <w:t xml:space="preserve">(2), pp.350-365. Available at: </w:t>
      </w:r>
      <w:hyperlink r:id="rId11" w:history="1">
        <w:r w:rsidRPr="00CA1A89">
          <w:rPr>
            <w:rStyle w:val="Hyperlink"/>
          </w:rPr>
          <w:t>https://www.qjssh.com/index.php/qjssh/article/download/1119/777</w:t>
        </w:r>
      </w:hyperlink>
      <w:r w:rsidRPr="00CA1A89">
        <w:t xml:space="preserve"> (Accessed: 12 October 2026)</w:t>
      </w:r>
    </w:p>
    <w:p w14:paraId="4E49E962" w14:textId="77777777" w:rsidR="00331FE0" w:rsidRPr="00CA1A89" w:rsidRDefault="00331FE0" w:rsidP="0058478E">
      <w:proofErr w:type="spellStart"/>
      <w:r w:rsidRPr="00CA1A89">
        <w:t>Alshwayat</w:t>
      </w:r>
      <w:proofErr w:type="spellEnd"/>
      <w:r w:rsidRPr="00CA1A89">
        <w:t xml:space="preserve">, D., </w:t>
      </w:r>
      <w:proofErr w:type="spellStart"/>
      <w:r w:rsidRPr="00CA1A89">
        <w:t>Elrehail</w:t>
      </w:r>
      <w:proofErr w:type="spellEnd"/>
      <w:r w:rsidRPr="00CA1A89">
        <w:t xml:space="preserve">, H., Shehadeh, E., </w:t>
      </w:r>
      <w:proofErr w:type="spellStart"/>
      <w:r w:rsidRPr="00CA1A89">
        <w:t>Alsalhi</w:t>
      </w:r>
      <w:proofErr w:type="spellEnd"/>
      <w:r w:rsidRPr="00CA1A89">
        <w:t xml:space="preserve">, N., </w:t>
      </w:r>
      <w:proofErr w:type="spellStart"/>
      <w:r w:rsidRPr="00CA1A89">
        <w:t>Shamout</w:t>
      </w:r>
      <w:proofErr w:type="spellEnd"/>
      <w:r w:rsidRPr="00CA1A89">
        <w:t xml:space="preserve">, M.D. and Rehman, S.U. (2023) ‘An exploratory examination of the barriers to innovation and change as perceived by senior management’, </w:t>
      </w:r>
      <w:r w:rsidRPr="00CA1A89">
        <w:rPr>
          <w:i/>
          <w:iCs/>
        </w:rPr>
        <w:t>International Journal of Innovation Studies</w:t>
      </w:r>
      <w:r w:rsidRPr="00CA1A89">
        <w:t xml:space="preserve">, </w:t>
      </w:r>
      <w:r w:rsidRPr="00CA1A89">
        <w:rPr>
          <w:i/>
          <w:iCs/>
        </w:rPr>
        <w:t>7</w:t>
      </w:r>
      <w:r w:rsidRPr="00CA1A89">
        <w:t xml:space="preserve">(2), pp.159-170. Available at: </w:t>
      </w:r>
      <w:hyperlink r:id="rId12" w:history="1">
        <w:r w:rsidRPr="00CA1A89">
          <w:rPr>
            <w:rStyle w:val="Hyperlink"/>
          </w:rPr>
          <w:t>https://doi.org/10.1016/j.ijis.2022.12.005</w:t>
        </w:r>
      </w:hyperlink>
      <w:r w:rsidRPr="00CA1A89">
        <w:t xml:space="preserve"> </w:t>
      </w:r>
    </w:p>
    <w:p w14:paraId="048B3AF5" w14:textId="77777777" w:rsidR="00331FE0" w:rsidRPr="00CA1A89" w:rsidRDefault="00331FE0" w:rsidP="007D5D35">
      <w:proofErr w:type="spellStart"/>
      <w:r w:rsidRPr="00CA1A89">
        <w:t>Brenyah</w:t>
      </w:r>
      <w:proofErr w:type="spellEnd"/>
      <w:r w:rsidRPr="00CA1A89">
        <w:t xml:space="preserve">, R.S. (2026) ‘Relational Fragmentation in Hybrid Organisations: A Structural Lens on Workplace Loneliness and Its Implications for Employee Wellbeing and Work Engagement’, </w:t>
      </w:r>
      <w:r w:rsidRPr="00CA1A89">
        <w:rPr>
          <w:i/>
          <w:iCs/>
        </w:rPr>
        <w:t>Sage Open</w:t>
      </w:r>
      <w:r w:rsidRPr="00CA1A89">
        <w:t xml:space="preserve">, </w:t>
      </w:r>
      <w:r w:rsidRPr="00CA1A89">
        <w:rPr>
          <w:i/>
          <w:iCs/>
        </w:rPr>
        <w:t>16</w:t>
      </w:r>
      <w:r w:rsidRPr="00CA1A89">
        <w:t xml:space="preserve">(3), pp.1-16. Available at: </w:t>
      </w:r>
      <w:hyperlink r:id="rId13" w:history="1">
        <w:r w:rsidRPr="00CA1A89">
          <w:rPr>
            <w:rStyle w:val="Hyperlink"/>
          </w:rPr>
          <w:t>https://journals.sagepub.com/doi/pdf/10.1177/21582440261489328</w:t>
        </w:r>
      </w:hyperlink>
      <w:r w:rsidRPr="00CA1A89">
        <w:t xml:space="preserve"> (Accessed: 12 October 2026)</w:t>
      </w:r>
    </w:p>
    <w:p w14:paraId="6C61811F" w14:textId="77777777" w:rsidR="00331FE0" w:rsidRPr="00331FE0" w:rsidRDefault="00331FE0" w:rsidP="00331FE0">
      <w:proofErr w:type="spellStart"/>
      <w:r w:rsidRPr="00331FE0">
        <w:t>Cotič</w:t>
      </w:r>
      <w:proofErr w:type="spellEnd"/>
      <w:r w:rsidRPr="00331FE0">
        <w:t xml:space="preserve">, L.P., Man, M.M.K., Soga, L.R., Konstantopoulou, A. and </w:t>
      </w:r>
      <w:proofErr w:type="spellStart"/>
      <w:r w:rsidRPr="00331FE0">
        <w:t>Lodorfos</w:t>
      </w:r>
      <w:proofErr w:type="spellEnd"/>
      <w:r w:rsidRPr="00331FE0">
        <w:t xml:space="preserve">, G. (2025) ‘Job characteristics for work engagement: Autonomy, feedback, skill variety, task identity, and task significance. </w:t>
      </w:r>
      <w:r w:rsidRPr="00331FE0">
        <w:rPr>
          <w:i/>
          <w:iCs/>
        </w:rPr>
        <w:t>Global Business and Organizational Excellence</w:t>
      </w:r>
      <w:r w:rsidRPr="00331FE0">
        <w:t xml:space="preserve">, 44(5), pp.75-85. Available at: </w:t>
      </w:r>
      <w:hyperlink r:id="rId14" w:history="1">
        <w:r w:rsidRPr="00331FE0">
          <w:rPr>
            <w:rStyle w:val="Hyperlink"/>
          </w:rPr>
          <w:t>https://onlinelibrary.wiley.com/doi/pdf/10.1002/joe.22295</w:t>
        </w:r>
      </w:hyperlink>
      <w:r w:rsidRPr="00331FE0">
        <w:t xml:space="preserve"> (Accessed: 12 October 2026)</w:t>
      </w:r>
    </w:p>
    <w:p w14:paraId="73A38456" w14:textId="77777777" w:rsidR="00331FE0" w:rsidRPr="00331FE0" w:rsidRDefault="00331FE0" w:rsidP="00331FE0">
      <w:r w:rsidRPr="00331FE0">
        <w:t xml:space="preserve">Erdogan, B., Kudret, S., Campion, E.D., Bauer, T.N., McCarthy, J. and Cheng, B.H. (2025) ‘Under pressure: Employee work stress, supervisory mentoring support, and employee career success’, </w:t>
      </w:r>
      <w:r w:rsidRPr="00331FE0">
        <w:rPr>
          <w:i/>
          <w:iCs/>
        </w:rPr>
        <w:t>Personnel Psychology</w:t>
      </w:r>
      <w:r w:rsidRPr="00331FE0">
        <w:t xml:space="preserve">, 78(1), pp.123-144. Available at: </w:t>
      </w:r>
      <w:hyperlink r:id="rId15" w:history="1">
        <w:r w:rsidRPr="00331FE0">
          <w:rPr>
            <w:rStyle w:val="Hyperlink"/>
          </w:rPr>
          <w:t>https://onlinelibrary.wiley.com/doi/pdf/10.1111/peps.12662</w:t>
        </w:r>
      </w:hyperlink>
      <w:r w:rsidRPr="00331FE0">
        <w:t xml:space="preserve"> (Accessed: 12 October 2026)</w:t>
      </w:r>
    </w:p>
    <w:p w14:paraId="6318BDAB" w14:textId="77777777" w:rsidR="00331FE0" w:rsidRPr="00CA1A89" w:rsidRDefault="00331FE0" w:rsidP="00FF66BF">
      <w:r w:rsidRPr="00CA1A89">
        <w:t xml:space="preserve">García, A. (2017) ‘Organizational Structure and Cross-Functional Collaboration’, </w:t>
      </w:r>
      <w:r w:rsidRPr="00CA1A89">
        <w:rPr>
          <w:i/>
          <w:iCs/>
        </w:rPr>
        <w:t xml:space="preserve">International Review </w:t>
      </w:r>
      <w:proofErr w:type="gramStart"/>
      <w:r w:rsidRPr="00CA1A89">
        <w:rPr>
          <w:i/>
          <w:iCs/>
        </w:rPr>
        <w:t>Of</w:t>
      </w:r>
      <w:proofErr w:type="gramEnd"/>
      <w:r w:rsidRPr="00CA1A89">
        <w:rPr>
          <w:i/>
          <w:iCs/>
        </w:rPr>
        <w:t xml:space="preserve"> Management </w:t>
      </w:r>
      <w:proofErr w:type="gramStart"/>
      <w:r w:rsidRPr="00CA1A89">
        <w:rPr>
          <w:i/>
          <w:iCs/>
        </w:rPr>
        <w:t>And</w:t>
      </w:r>
      <w:proofErr w:type="gramEnd"/>
      <w:r w:rsidRPr="00CA1A89">
        <w:rPr>
          <w:i/>
          <w:iCs/>
        </w:rPr>
        <w:t xml:space="preserve"> Development Studies</w:t>
      </w:r>
      <w:r w:rsidRPr="00CA1A89">
        <w:t xml:space="preserve">, </w:t>
      </w:r>
      <w:r w:rsidRPr="00CA1A89">
        <w:rPr>
          <w:i/>
          <w:iCs/>
        </w:rPr>
        <w:t>1</w:t>
      </w:r>
      <w:r w:rsidRPr="00CA1A89">
        <w:t xml:space="preserve">(4), pp.8-16. Available at: </w:t>
      </w:r>
      <w:hyperlink r:id="rId16" w:history="1">
        <w:r w:rsidRPr="00CA1A89">
          <w:rPr>
            <w:rStyle w:val="Hyperlink"/>
          </w:rPr>
          <w:t>https://crcltd.org/index.php/IRMDS/article/view/202/286</w:t>
        </w:r>
      </w:hyperlink>
      <w:r w:rsidRPr="00CA1A89">
        <w:t xml:space="preserve"> (Accessed: 12 October 2026)</w:t>
      </w:r>
    </w:p>
    <w:p w14:paraId="47312EA6" w14:textId="77777777" w:rsidR="00331FE0" w:rsidRPr="00CA1A89" w:rsidRDefault="00331FE0" w:rsidP="0058478E">
      <w:r w:rsidRPr="00CA1A89">
        <w:t xml:space="preserve">Garrido-Moreno, A., Martín-Rojas, R. and García-Morales, V.J. (2024) ‘The key role of innovation and organizational resilience in improving business performance: A mixed-methods approach’, </w:t>
      </w:r>
      <w:r w:rsidRPr="00CA1A89">
        <w:rPr>
          <w:i/>
          <w:iCs/>
        </w:rPr>
        <w:t>International Journal of Information Management</w:t>
      </w:r>
      <w:r w:rsidRPr="00CA1A89">
        <w:t xml:space="preserve">, </w:t>
      </w:r>
      <w:r w:rsidRPr="00CA1A89">
        <w:rPr>
          <w:i/>
          <w:iCs/>
        </w:rPr>
        <w:t>77</w:t>
      </w:r>
      <w:r w:rsidRPr="00CA1A89">
        <w:t xml:space="preserve">, p.102777. Available at: </w:t>
      </w:r>
      <w:hyperlink r:id="rId17" w:history="1">
        <w:r w:rsidRPr="00CA1A89">
          <w:rPr>
            <w:rStyle w:val="Hyperlink"/>
          </w:rPr>
          <w:t>https://doi.org/10.1016/j.ijinfomgt.2024.102777</w:t>
        </w:r>
      </w:hyperlink>
      <w:r w:rsidRPr="00CA1A89">
        <w:t xml:space="preserve"> </w:t>
      </w:r>
    </w:p>
    <w:p w14:paraId="44D774DD" w14:textId="77777777" w:rsidR="00331FE0" w:rsidRPr="00331FE0" w:rsidRDefault="00331FE0" w:rsidP="00331FE0">
      <w:r w:rsidRPr="00331FE0">
        <w:t xml:space="preserve">George, B. and Bryson, J.M. (2026) ‘Strategizing in public management: the concept and its measurement’, </w:t>
      </w:r>
      <w:r w:rsidRPr="00331FE0">
        <w:rPr>
          <w:i/>
          <w:iCs/>
        </w:rPr>
        <w:t>International Public Management Journal</w:t>
      </w:r>
      <w:r w:rsidRPr="00331FE0">
        <w:t xml:space="preserve">, 29(4), pp.415-435. Available at: </w:t>
      </w:r>
      <w:hyperlink r:id="rId18" w:history="1">
        <w:r w:rsidRPr="00331FE0">
          <w:rPr>
            <w:rStyle w:val="Hyperlink"/>
          </w:rPr>
          <w:t>https://www.tandfonline.com/doi/pdf/10.1080/10967494.2025.2559832</w:t>
        </w:r>
      </w:hyperlink>
      <w:r w:rsidRPr="00331FE0">
        <w:t xml:space="preserve"> (Accessed: 12 October 2026)</w:t>
      </w:r>
    </w:p>
    <w:p w14:paraId="18AB24F8" w14:textId="77777777" w:rsidR="00331FE0" w:rsidRPr="00CA1A89" w:rsidRDefault="00331FE0" w:rsidP="0058478E">
      <w:proofErr w:type="spellStart"/>
      <w:r w:rsidRPr="00CA1A89">
        <w:t>Govers</w:t>
      </w:r>
      <w:proofErr w:type="spellEnd"/>
      <w:r w:rsidRPr="00CA1A89">
        <w:t xml:space="preserve">, M. and Van Amelsvoort, P. (2023) ‘A theoretical essay on socio-technical systems design thinking in the era of digital transformation’, </w:t>
      </w:r>
      <w:r w:rsidRPr="00CA1A89">
        <w:rPr>
          <w:i/>
          <w:iCs/>
        </w:rPr>
        <w:t xml:space="preserve">Gruppe. </w:t>
      </w:r>
      <w:proofErr w:type="spellStart"/>
      <w:r w:rsidRPr="00CA1A89">
        <w:rPr>
          <w:i/>
          <w:iCs/>
        </w:rPr>
        <w:t>Interaktion</w:t>
      </w:r>
      <w:proofErr w:type="spellEnd"/>
      <w:r w:rsidRPr="00CA1A89">
        <w:rPr>
          <w:i/>
          <w:iCs/>
        </w:rPr>
        <w:t xml:space="preserve">. Organisation. </w:t>
      </w:r>
      <w:proofErr w:type="spellStart"/>
      <w:r w:rsidRPr="00CA1A89">
        <w:rPr>
          <w:i/>
          <w:iCs/>
        </w:rPr>
        <w:t>Zeitschrift</w:t>
      </w:r>
      <w:proofErr w:type="spellEnd"/>
      <w:r w:rsidRPr="00CA1A89">
        <w:rPr>
          <w:i/>
          <w:iCs/>
        </w:rPr>
        <w:t xml:space="preserve"> für </w:t>
      </w:r>
      <w:proofErr w:type="spellStart"/>
      <w:r w:rsidRPr="00CA1A89">
        <w:rPr>
          <w:i/>
          <w:iCs/>
        </w:rPr>
        <w:t>Angewandte</w:t>
      </w:r>
      <w:proofErr w:type="spellEnd"/>
      <w:r w:rsidRPr="00CA1A89">
        <w:rPr>
          <w:i/>
          <w:iCs/>
        </w:rPr>
        <w:t xml:space="preserve"> </w:t>
      </w:r>
      <w:proofErr w:type="spellStart"/>
      <w:r w:rsidRPr="00CA1A89">
        <w:rPr>
          <w:i/>
          <w:iCs/>
        </w:rPr>
        <w:t>Organisationspsychologie</w:t>
      </w:r>
      <w:proofErr w:type="spellEnd"/>
      <w:r w:rsidRPr="00CA1A89">
        <w:rPr>
          <w:i/>
          <w:iCs/>
        </w:rPr>
        <w:t xml:space="preserve"> (GIO)</w:t>
      </w:r>
      <w:r w:rsidRPr="00CA1A89">
        <w:t xml:space="preserve">, </w:t>
      </w:r>
      <w:r w:rsidRPr="00CA1A89">
        <w:rPr>
          <w:i/>
          <w:iCs/>
        </w:rPr>
        <w:t>54</w:t>
      </w:r>
      <w:r w:rsidRPr="00CA1A89">
        <w:t xml:space="preserve">(1), pp.27-40. Available at: </w:t>
      </w:r>
      <w:hyperlink r:id="rId19" w:history="1">
        <w:r w:rsidRPr="00CA1A89">
          <w:rPr>
            <w:rStyle w:val="Hyperlink"/>
          </w:rPr>
          <w:t>https://doi.org/10.1007/s11612-023-00675-8</w:t>
        </w:r>
      </w:hyperlink>
      <w:r w:rsidRPr="00CA1A89">
        <w:t xml:space="preserve"> </w:t>
      </w:r>
    </w:p>
    <w:p w14:paraId="78B5FA09" w14:textId="77777777" w:rsidR="00331FE0" w:rsidRPr="00331FE0" w:rsidRDefault="00331FE0" w:rsidP="00331FE0">
      <w:r w:rsidRPr="00331FE0">
        <w:t xml:space="preserve">Guay, F. (2022) ‘Applying self-determination theory to education: Regulations types, psychological needs, and autonomy supporting </w:t>
      </w:r>
      <w:proofErr w:type="spellStart"/>
      <w:r w:rsidRPr="00331FE0">
        <w:t>behaviors</w:t>
      </w:r>
      <w:proofErr w:type="spellEnd"/>
      <w:r w:rsidRPr="00331FE0">
        <w:t xml:space="preserve">’, </w:t>
      </w:r>
      <w:r w:rsidRPr="00331FE0">
        <w:rPr>
          <w:i/>
          <w:iCs/>
        </w:rPr>
        <w:t>Canadian Journal of School Psychology</w:t>
      </w:r>
      <w:r w:rsidRPr="00331FE0">
        <w:t xml:space="preserve">, 37(1), pp.75-92. Available at: </w:t>
      </w:r>
      <w:hyperlink r:id="rId20" w:history="1">
        <w:r w:rsidRPr="00331FE0">
          <w:rPr>
            <w:rStyle w:val="Hyperlink"/>
          </w:rPr>
          <w:t>https://journals.sagepub.com/doi/pdf/10.1177/08295735211055355</w:t>
        </w:r>
      </w:hyperlink>
      <w:r w:rsidRPr="00331FE0">
        <w:t xml:space="preserve"> (Accessed: 12 October 2026)</w:t>
      </w:r>
    </w:p>
    <w:p w14:paraId="78461118" w14:textId="77777777" w:rsidR="00331FE0" w:rsidRPr="00331FE0" w:rsidRDefault="00331FE0" w:rsidP="00331FE0">
      <w:r w:rsidRPr="00331FE0">
        <w:t>Jooss, S., Collings, D.G., McMackin, J. and Dickmann, M. (2024) ‘A skills</w:t>
      </w:r>
      <w:r w:rsidRPr="00331FE0">
        <w:rPr>
          <w:rFonts w:ascii="Cambria Math" w:hAnsi="Cambria Math" w:cs="Cambria Math"/>
        </w:rPr>
        <w:t>‐</w:t>
      </w:r>
      <w:r w:rsidRPr="00331FE0">
        <w:t>matching perspective on talent management: Developing strategic agilit</w:t>
      </w:r>
      <w:r w:rsidRPr="00331FE0">
        <w:rPr>
          <w:i/>
          <w:iCs/>
        </w:rPr>
        <w:t>y’, Human Resource Management</w:t>
      </w:r>
      <w:r w:rsidRPr="00331FE0">
        <w:t xml:space="preserve">, 63(1), pp.141-157. Available at: </w:t>
      </w:r>
      <w:hyperlink r:id="rId21" w:history="1">
        <w:r w:rsidRPr="00331FE0">
          <w:rPr>
            <w:rStyle w:val="Hyperlink"/>
          </w:rPr>
          <w:t>https://onlinelibrary.wiley.com/doi/pdfdirect/10.1002/hrm.22192</w:t>
        </w:r>
      </w:hyperlink>
      <w:r w:rsidRPr="00331FE0">
        <w:t xml:space="preserve"> (Accessed: 12 October 2026)</w:t>
      </w:r>
    </w:p>
    <w:p w14:paraId="330AC03A" w14:textId="77777777" w:rsidR="00331FE0" w:rsidRPr="00CA1A89" w:rsidRDefault="00331FE0" w:rsidP="0058478E">
      <w:r w:rsidRPr="00CA1A89">
        <w:t xml:space="preserve">Joseph, J. and Sengul, M. (2025) ‘Organization design: Current insights and future research directions’, </w:t>
      </w:r>
      <w:r w:rsidRPr="00CA1A89">
        <w:rPr>
          <w:i/>
          <w:iCs/>
        </w:rPr>
        <w:t>Journal of Management</w:t>
      </w:r>
      <w:r w:rsidRPr="00CA1A89">
        <w:t xml:space="preserve">, </w:t>
      </w:r>
      <w:r w:rsidRPr="00CA1A89">
        <w:rPr>
          <w:i/>
          <w:iCs/>
        </w:rPr>
        <w:t>51</w:t>
      </w:r>
      <w:r w:rsidRPr="00CA1A89">
        <w:t xml:space="preserve">(1), pp.249-308. Available at: </w:t>
      </w:r>
      <w:hyperlink r:id="rId22" w:history="1">
        <w:r w:rsidRPr="00CA1A89">
          <w:rPr>
            <w:rStyle w:val="Hyperlink"/>
          </w:rPr>
          <w:t>https://doi.org/10.1177/01492063241271242</w:t>
        </w:r>
      </w:hyperlink>
      <w:r w:rsidRPr="00CA1A89">
        <w:t xml:space="preserve"> </w:t>
      </w:r>
    </w:p>
    <w:p w14:paraId="3E7D4A4F" w14:textId="77777777" w:rsidR="00331FE0" w:rsidRPr="00CA1A89" w:rsidRDefault="00331FE0" w:rsidP="0058478E">
      <w:proofErr w:type="spellStart"/>
      <w:r w:rsidRPr="00CA1A89">
        <w:lastRenderedPageBreak/>
        <w:t>Kalimashe</w:t>
      </w:r>
      <w:proofErr w:type="spellEnd"/>
      <w:r w:rsidRPr="00CA1A89">
        <w:t xml:space="preserve">, L., du Plessis, E. and </w:t>
      </w:r>
      <w:proofErr w:type="spellStart"/>
      <w:r w:rsidRPr="00CA1A89">
        <w:t>Sehularo</w:t>
      </w:r>
      <w:proofErr w:type="spellEnd"/>
      <w:r w:rsidRPr="00CA1A89">
        <w:t xml:space="preserve">, L.A. (2025) ‘Development and evaluation of relational leadership guidelines for primary healthcare: a mixed methods study’, </w:t>
      </w:r>
      <w:r w:rsidRPr="00CA1A89">
        <w:rPr>
          <w:i/>
          <w:iCs/>
        </w:rPr>
        <w:t>Journal of Nursing Management</w:t>
      </w:r>
      <w:r w:rsidRPr="00CA1A89">
        <w:t xml:space="preserve">, </w:t>
      </w:r>
      <w:r w:rsidRPr="00CA1A89">
        <w:rPr>
          <w:i/>
          <w:iCs/>
        </w:rPr>
        <w:t>2025</w:t>
      </w:r>
      <w:r w:rsidRPr="00CA1A89">
        <w:t xml:space="preserve">(1), p.1-10. Available at: </w:t>
      </w:r>
      <w:hyperlink r:id="rId23" w:history="1">
        <w:r w:rsidRPr="00CA1A89">
          <w:rPr>
            <w:rStyle w:val="Hyperlink"/>
          </w:rPr>
          <w:t>https://doi.org/10.1155/jonm/2653041</w:t>
        </w:r>
      </w:hyperlink>
      <w:r w:rsidRPr="00CA1A89">
        <w:t xml:space="preserve"> </w:t>
      </w:r>
    </w:p>
    <w:p w14:paraId="67989F59" w14:textId="77777777" w:rsidR="00331FE0" w:rsidRPr="00331FE0" w:rsidRDefault="00331FE0" w:rsidP="00331FE0">
      <w:r w:rsidRPr="00331FE0">
        <w:t xml:space="preserve">Kardas, J.S. (2023) ‘Job crafting competences and the levels of self-organization, job satisfaction and job redesign in a mature organization’, </w:t>
      </w:r>
      <w:r w:rsidRPr="00331FE0">
        <w:rPr>
          <w:i/>
          <w:iCs/>
        </w:rPr>
        <w:t>Sustainability</w:t>
      </w:r>
      <w:r w:rsidRPr="00331FE0">
        <w:t xml:space="preserve">, 15(3), pp.1-23. Available at: </w:t>
      </w:r>
      <w:hyperlink r:id="rId24" w:history="1">
        <w:r w:rsidRPr="00331FE0">
          <w:rPr>
            <w:rStyle w:val="Hyperlink"/>
          </w:rPr>
          <w:t>https://www.mdpi.com/2071-1050/15/3/2253/pdf</w:t>
        </w:r>
      </w:hyperlink>
      <w:r w:rsidRPr="00331FE0">
        <w:t xml:space="preserve"> (Accessed: 12 October 2026)</w:t>
      </w:r>
    </w:p>
    <w:p w14:paraId="652613B0" w14:textId="77777777" w:rsidR="00331FE0" w:rsidRPr="00331FE0" w:rsidRDefault="00331FE0" w:rsidP="00331FE0">
      <w:r w:rsidRPr="00331FE0">
        <w:t xml:space="preserve">Liang, C.X., Tian, P., Yin, C.H., Yua, Y., Wei, A.H., Li, M., Song, X., Wang, T., Bi, Z., Liu, M. and Bao, R. (2026) ‘A comprehensive survey and guide to multimodal large language models in vision–language tasks’, </w:t>
      </w:r>
      <w:r w:rsidRPr="00331FE0">
        <w:rPr>
          <w:i/>
          <w:iCs/>
        </w:rPr>
        <w:t>Computation</w:t>
      </w:r>
      <w:r w:rsidRPr="00331FE0">
        <w:t xml:space="preserve">, 14(6), pp.1-91. Available at: </w:t>
      </w:r>
      <w:hyperlink r:id="rId25" w:history="1">
        <w:r w:rsidRPr="00331FE0">
          <w:rPr>
            <w:rStyle w:val="Hyperlink"/>
          </w:rPr>
          <w:t>https://www.mdpi.com/2079-3197/14/6/125</w:t>
        </w:r>
      </w:hyperlink>
      <w:r w:rsidRPr="00331FE0">
        <w:t xml:space="preserve"> (Accessed: 12 October 2026)</w:t>
      </w:r>
    </w:p>
    <w:p w14:paraId="00CE3888" w14:textId="77777777" w:rsidR="00331FE0" w:rsidRPr="00331FE0" w:rsidRDefault="00331FE0" w:rsidP="00331FE0">
      <w:r w:rsidRPr="00331FE0">
        <w:t xml:space="preserve">Lin, C.P. and Chen, P.C. (2025) ‘Mentoring for effective human-AI collaboration: an integrated theoretical framework’, </w:t>
      </w:r>
      <w:r w:rsidRPr="00331FE0">
        <w:rPr>
          <w:i/>
          <w:iCs/>
        </w:rPr>
        <w:t>Total Quality Management &amp; Business Excellence</w:t>
      </w:r>
      <w:r w:rsidRPr="00331FE0">
        <w:t xml:space="preserve">, 36(9-10), pp.1062-1076. Available at: </w:t>
      </w:r>
      <w:hyperlink r:id="rId26" w:history="1">
        <w:r w:rsidRPr="00331FE0">
          <w:rPr>
            <w:rStyle w:val="Hyperlink"/>
          </w:rPr>
          <w:t>https://www.tandfonline.com/doi/pdf/10.1080/14783363.2025.2504603</w:t>
        </w:r>
      </w:hyperlink>
      <w:r w:rsidRPr="00331FE0">
        <w:t xml:space="preserve"> (Accessed: 12 October 2026)</w:t>
      </w:r>
    </w:p>
    <w:p w14:paraId="025B7AF9" w14:textId="77777777" w:rsidR="00331FE0" w:rsidRPr="00CA1A89" w:rsidRDefault="00331FE0" w:rsidP="0058478E">
      <w:proofErr w:type="spellStart"/>
      <w:r w:rsidRPr="00CA1A89">
        <w:t>Manuoglu</w:t>
      </w:r>
      <w:proofErr w:type="spellEnd"/>
      <w:r w:rsidRPr="00CA1A89">
        <w:t xml:space="preserve">, E. (2023) ‘The role of perceived autonomy support and fear of failure: A weekly diary study on work-related rumination’, </w:t>
      </w:r>
      <w:proofErr w:type="spellStart"/>
      <w:r w:rsidRPr="00CA1A89">
        <w:rPr>
          <w:i/>
          <w:iCs/>
        </w:rPr>
        <w:t>Plos</w:t>
      </w:r>
      <w:proofErr w:type="spellEnd"/>
      <w:r w:rsidRPr="00CA1A89">
        <w:rPr>
          <w:i/>
          <w:iCs/>
        </w:rPr>
        <w:t xml:space="preserve"> one</w:t>
      </w:r>
      <w:r w:rsidRPr="00CA1A89">
        <w:t xml:space="preserve">, </w:t>
      </w:r>
      <w:r w:rsidRPr="00CA1A89">
        <w:rPr>
          <w:i/>
          <w:iCs/>
        </w:rPr>
        <w:t>18</w:t>
      </w:r>
      <w:r w:rsidRPr="00CA1A89">
        <w:t xml:space="preserve">(10), p.e0291312. Available at: </w:t>
      </w:r>
      <w:hyperlink r:id="rId27" w:history="1">
        <w:r w:rsidRPr="00CA1A89">
          <w:rPr>
            <w:rStyle w:val="Hyperlink"/>
          </w:rPr>
          <w:t>https://doi.org/10.1371/journal.pone.0291312</w:t>
        </w:r>
      </w:hyperlink>
      <w:r w:rsidRPr="00CA1A89">
        <w:t xml:space="preserve"> </w:t>
      </w:r>
    </w:p>
    <w:p w14:paraId="0A895377" w14:textId="77777777" w:rsidR="00331FE0" w:rsidRPr="00331FE0" w:rsidRDefault="00331FE0" w:rsidP="00331FE0">
      <w:r w:rsidRPr="00331FE0">
        <w:t xml:space="preserve">Microsoft (2024) </w:t>
      </w:r>
      <w:r w:rsidRPr="00331FE0">
        <w:rPr>
          <w:i/>
          <w:iCs/>
        </w:rPr>
        <w:t>Microsoft and LinkedIn release the 2024 Work Trend Index on the state of AI at work</w:t>
      </w:r>
      <w:r w:rsidRPr="00331FE0">
        <w:t xml:space="preserve">. Available at: </w:t>
      </w:r>
      <w:hyperlink r:id="rId28" w:history="1">
        <w:r w:rsidRPr="00331FE0">
          <w:rPr>
            <w:rStyle w:val="Hyperlink"/>
          </w:rPr>
          <w:t>https://news.microsoft.com/source/2024/05/08/microsoft-and-linkedin-release-the-2024-work-trend-index-on-the-state-of-ai-at-work/</w:t>
        </w:r>
      </w:hyperlink>
      <w:r w:rsidRPr="00331FE0">
        <w:t xml:space="preserve"> (Accessed: 12 October 2026)</w:t>
      </w:r>
    </w:p>
    <w:p w14:paraId="5153B343" w14:textId="77777777" w:rsidR="00331FE0" w:rsidRPr="00CA1A89" w:rsidRDefault="00331FE0" w:rsidP="0058478E">
      <w:r w:rsidRPr="00CA1A89">
        <w:t xml:space="preserve">Nguyen, M., Malik, A., Sharma, P., Kingshott, R. and Gugnani, R. (2024) ‘High involvement work system and organizational and employee resilience: Impact of digitalisation in crisis situations’, </w:t>
      </w:r>
      <w:r w:rsidRPr="00CA1A89">
        <w:rPr>
          <w:i/>
          <w:iCs/>
        </w:rPr>
        <w:t>Technological Forecasting and Social Change</w:t>
      </w:r>
      <w:r w:rsidRPr="00CA1A89">
        <w:t xml:space="preserve">, </w:t>
      </w:r>
      <w:r w:rsidRPr="00CA1A89">
        <w:rPr>
          <w:i/>
          <w:iCs/>
        </w:rPr>
        <w:t>205</w:t>
      </w:r>
      <w:r w:rsidRPr="00CA1A89">
        <w:t xml:space="preserve">, p.1-14. Available at: </w:t>
      </w:r>
      <w:hyperlink r:id="rId29" w:history="1">
        <w:r w:rsidRPr="00CA1A89">
          <w:rPr>
            <w:rStyle w:val="Hyperlink"/>
          </w:rPr>
          <w:t>https://doi.org/10.1016/j.techfore.2024.123510</w:t>
        </w:r>
      </w:hyperlink>
      <w:r w:rsidRPr="00CA1A89">
        <w:t xml:space="preserve"> </w:t>
      </w:r>
    </w:p>
    <w:p w14:paraId="1310F74B" w14:textId="77777777" w:rsidR="00331FE0" w:rsidRPr="00CA1A89" w:rsidRDefault="00331FE0" w:rsidP="0058478E">
      <w:r w:rsidRPr="00CA1A89">
        <w:t xml:space="preserve">Romolo, F.S., Grassi, S., Di Luca, A., </w:t>
      </w:r>
      <w:proofErr w:type="spellStart"/>
      <w:r w:rsidRPr="00CA1A89">
        <w:t>Previtali</w:t>
      </w:r>
      <w:proofErr w:type="spellEnd"/>
      <w:r w:rsidRPr="00CA1A89">
        <w:t xml:space="preserve">, M. and Oliva, A. (2023) ‘Health and cybercrime’, </w:t>
      </w:r>
      <w:proofErr w:type="spellStart"/>
      <w:r w:rsidRPr="00CA1A89">
        <w:rPr>
          <w:i/>
          <w:iCs/>
        </w:rPr>
        <w:t>Eur</w:t>
      </w:r>
      <w:proofErr w:type="spellEnd"/>
      <w:r w:rsidRPr="00CA1A89">
        <w:rPr>
          <w:i/>
          <w:iCs/>
        </w:rPr>
        <w:t xml:space="preserve"> Rev Digit </w:t>
      </w:r>
      <w:proofErr w:type="spellStart"/>
      <w:r w:rsidRPr="00CA1A89">
        <w:rPr>
          <w:i/>
          <w:iCs/>
        </w:rPr>
        <w:t>Adm</w:t>
      </w:r>
      <w:proofErr w:type="spellEnd"/>
      <w:r w:rsidRPr="00CA1A89">
        <w:rPr>
          <w:i/>
          <w:iCs/>
        </w:rPr>
        <w:t xml:space="preserve"> Law</w:t>
      </w:r>
      <w:r w:rsidRPr="00CA1A89">
        <w:t xml:space="preserve">, </w:t>
      </w:r>
      <w:r w:rsidRPr="00CA1A89">
        <w:rPr>
          <w:i/>
          <w:iCs/>
        </w:rPr>
        <w:t>4</w:t>
      </w:r>
      <w:r w:rsidRPr="00CA1A89">
        <w:t xml:space="preserve">(1), pp.287-297. Available at: </w:t>
      </w:r>
      <w:hyperlink r:id="rId30" w:history="1">
        <w:r w:rsidRPr="00CA1A89">
          <w:rPr>
            <w:rStyle w:val="Hyperlink"/>
          </w:rPr>
          <w:t>https://www.erdalreview.eu/free-download/979122181128523.pdf</w:t>
        </w:r>
      </w:hyperlink>
      <w:r w:rsidRPr="00CA1A89">
        <w:t xml:space="preserve"> (Accessed 12 October 2026)</w:t>
      </w:r>
    </w:p>
    <w:p w14:paraId="0CEBAC79" w14:textId="77777777" w:rsidR="00331FE0" w:rsidRPr="00CA1A89" w:rsidRDefault="00331FE0" w:rsidP="00925836">
      <w:r w:rsidRPr="00CA1A89">
        <w:t xml:space="preserve">Sesay, I.T. (2025) ‘Mastering Time Management for Remote Workers: Proven Strategies for Peak Productivity’, </w:t>
      </w:r>
      <w:r w:rsidRPr="00CA1A89">
        <w:rPr>
          <w:i/>
          <w:iCs/>
        </w:rPr>
        <w:t>Open Access Library Journal</w:t>
      </w:r>
      <w:r w:rsidRPr="00CA1A89">
        <w:t xml:space="preserve">, </w:t>
      </w:r>
      <w:r w:rsidRPr="00CA1A89">
        <w:rPr>
          <w:i/>
          <w:iCs/>
        </w:rPr>
        <w:t>12</w:t>
      </w:r>
      <w:r w:rsidRPr="00CA1A89">
        <w:t xml:space="preserve">, p.e14057. Available at: </w:t>
      </w:r>
      <w:hyperlink r:id="rId31" w:history="1">
        <w:r w:rsidRPr="00CA1A89">
          <w:rPr>
            <w:rStyle w:val="Hyperlink"/>
          </w:rPr>
          <w:t>https://www.scirp.net/pdf/oalib_1114057.pdf</w:t>
        </w:r>
      </w:hyperlink>
      <w:r w:rsidRPr="00CA1A89">
        <w:t xml:space="preserve"> (Accessed: 12 October 2026)</w:t>
      </w:r>
    </w:p>
    <w:p w14:paraId="48446896" w14:textId="77777777" w:rsidR="00331FE0" w:rsidRPr="00331FE0" w:rsidRDefault="00331FE0" w:rsidP="00331FE0">
      <w:proofErr w:type="spellStart"/>
      <w:r w:rsidRPr="00331FE0">
        <w:t>Taherizadeh</w:t>
      </w:r>
      <w:proofErr w:type="spellEnd"/>
      <w:r w:rsidRPr="00331FE0">
        <w:t xml:space="preserve">, A. and Beaudry, C. (2023) ‘An emergent grounded theory of AI-driven digital transformation: Canadian SMEs’ perspectives’, </w:t>
      </w:r>
      <w:r w:rsidRPr="00331FE0">
        <w:rPr>
          <w:i/>
          <w:iCs/>
        </w:rPr>
        <w:t>Industry and Innovation</w:t>
      </w:r>
      <w:r w:rsidRPr="00331FE0">
        <w:t xml:space="preserve">, 30(9), pp.1244-1273. Available at: </w:t>
      </w:r>
      <w:hyperlink r:id="rId32" w:history="1">
        <w:r w:rsidRPr="00331FE0">
          <w:rPr>
            <w:rStyle w:val="Hyperlink"/>
          </w:rPr>
          <w:t>https://www.tandfonline.com/doi/pdf/10.1080/13662716.2023.2242285</w:t>
        </w:r>
      </w:hyperlink>
      <w:r w:rsidRPr="00331FE0">
        <w:t xml:space="preserve"> (Accessed: 12 October 2026)</w:t>
      </w:r>
    </w:p>
    <w:p w14:paraId="036D190A" w14:textId="77777777" w:rsidR="00331FE0" w:rsidRPr="00CA1A89" w:rsidRDefault="00331FE0" w:rsidP="00880C98">
      <w:r w:rsidRPr="00CA1A89">
        <w:t xml:space="preserve">Tran, A.N. (2026) ‘Collaborating Across Time Zones–Digital Platforms, Asynchronous Practices, and Performance in Global Virtual Teams’, </w:t>
      </w:r>
      <w:r w:rsidRPr="00CA1A89">
        <w:rPr>
          <w:i/>
          <w:iCs/>
        </w:rPr>
        <w:t>Transformational Management Review</w:t>
      </w:r>
      <w:r w:rsidRPr="00CA1A89">
        <w:t xml:space="preserve">, </w:t>
      </w:r>
      <w:r w:rsidRPr="00CA1A89">
        <w:rPr>
          <w:i/>
          <w:iCs/>
        </w:rPr>
        <w:t>1</w:t>
      </w:r>
      <w:r w:rsidRPr="00CA1A89">
        <w:t xml:space="preserve">(02), pp.236-264. Available at: </w:t>
      </w:r>
      <w:hyperlink r:id="rId33" w:history="1">
        <w:r w:rsidRPr="00CA1A89">
          <w:rPr>
            <w:rStyle w:val="Hyperlink"/>
          </w:rPr>
          <w:t>https://www.iilmreview.com/index.php/tmr/article/download/35/23</w:t>
        </w:r>
      </w:hyperlink>
      <w:r w:rsidRPr="00CA1A89">
        <w:t xml:space="preserve"> (Accessed: 12 October 2026)</w:t>
      </w:r>
    </w:p>
    <w:p w14:paraId="0B66403F" w14:textId="77777777" w:rsidR="00331FE0" w:rsidRPr="00331FE0" w:rsidRDefault="00331FE0" w:rsidP="00331FE0">
      <w:proofErr w:type="spellStart"/>
      <w:r w:rsidRPr="00331FE0">
        <w:t>Tsamados</w:t>
      </w:r>
      <w:proofErr w:type="spellEnd"/>
      <w:r w:rsidRPr="00331FE0">
        <w:t xml:space="preserve">, A., </w:t>
      </w:r>
      <w:proofErr w:type="spellStart"/>
      <w:r w:rsidRPr="00331FE0">
        <w:t>Floridi</w:t>
      </w:r>
      <w:proofErr w:type="spellEnd"/>
      <w:r w:rsidRPr="00331FE0">
        <w:t xml:space="preserve">, L. and Taddeo, M. (2025) ‘Human control of AI systems: from supervision to teaming’, </w:t>
      </w:r>
      <w:r w:rsidRPr="00331FE0">
        <w:rPr>
          <w:i/>
          <w:iCs/>
        </w:rPr>
        <w:t>AI and Ethics</w:t>
      </w:r>
      <w:r w:rsidRPr="00331FE0">
        <w:t xml:space="preserve">, 5(2), pp.1535-1548. Available at: </w:t>
      </w:r>
      <w:hyperlink r:id="rId34" w:history="1">
        <w:r w:rsidRPr="00331FE0">
          <w:rPr>
            <w:rStyle w:val="Hyperlink"/>
          </w:rPr>
          <w:t>https://link.springer.com/content/pdf/10.1007/s43681-024-00489-4.pdf</w:t>
        </w:r>
      </w:hyperlink>
      <w:r w:rsidRPr="00331FE0">
        <w:t xml:space="preserve"> (Accessed: 12 October 2026)</w:t>
      </w:r>
    </w:p>
    <w:p w14:paraId="6CBB596C" w14:textId="77777777" w:rsidR="00331FE0" w:rsidRPr="00CA1A89" w:rsidRDefault="00331FE0" w:rsidP="00880C98">
      <w:proofErr w:type="spellStart"/>
      <w:r w:rsidRPr="00CA1A89">
        <w:t>Waizenegger</w:t>
      </w:r>
      <w:proofErr w:type="spellEnd"/>
      <w:r w:rsidRPr="00CA1A89">
        <w:t xml:space="preserve">, L., McKenna, B., Cai, W. and Bendz, T. (2020) ‘An affordance perspective of team collaboration and enforced working from home during COVID-19’, </w:t>
      </w:r>
      <w:r w:rsidRPr="00CA1A89">
        <w:rPr>
          <w:i/>
          <w:iCs/>
        </w:rPr>
        <w:t>European journal of information systems</w:t>
      </w:r>
      <w:r w:rsidRPr="00CA1A89">
        <w:t xml:space="preserve">, </w:t>
      </w:r>
      <w:r w:rsidRPr="00CA1A89">
        <w:rPr>
          <w:i/>
          <w:iCs/>
        </w:rPr>
        <w:t>29</w:t>
      </w:r>
      <w:r w:rsidRPr="00CA1A89">
        <w:t xml:space="preserve">(4), pp.429-442. Available at: </w:t>
      </w:r>
      <w:hyperlink r:id="rId35" w:history="1">
        <w:r w:rsidRPr="00CA1A89">
          <w:rPr>
            <w:rStyle w:val="Hyperlink"/>
          </w:rPr>
          <w:t>https://ueaeprints.uea.ac.uk/id/eprint/76259/1/Accepted_Manuscript.pdf</w:t>
        </w:r>
      </w:hyperlink>
      <w:r w:rsidRPr="00CA1A89">
        <w:t xml:space="preserve"> (Accessed: 12 October 2026)</w:t>
      </w:r>
    </w:p>
    <w:p w14:paraId="6A626856" w14:textId="77777777" w:rsidR="00331FE0" w:rsidRDefault="00331FE0" w:rsidP="007D5D35">
      <w:r w:rsidRPr="00CA1A89">
        <w:t xml:space="preserve">Walker, G.H., Stanton, N.A. and Jenkins, D.P. (2017) </w:t>
      </w:r>
      <w:r w:rsidRPr="00CA1A89">
        <w:rPr>
          <w:i/>
          <w:iCs/>
        </w:rPr>
        <w:t>Command and control: the sociotechnical perspective</w:t>
      </w:r>
      <w:r w:rsidRPr="00CA1A89">
        <w:t>. CRC Press.</w:t>
      </w:r>
    </w:p>
    <w:p w14:paraId="5C499EDB" w14:textId="77777777" w:rsidR="00331FE0" w:rsidRPr="00331FE0" w:rsidRDefault="00331FE0" w:rsidP="00331FE0">
      <w:r w:rsidRPr="00331FE0">
        <w:t xml:space="preserve">Wang, R., Qiu, L., Cranshaw, J. and Zhang, A.X. (2024) ‘Meeting bridges: designing information artifacts that bridge from synchronous meetings to asynchronous collaboration’, </w:t>
      </w:r>
      <w:r w:rsidRPr="00331FE0">
        <w:rPr>
          <w:i/>
          <w:iCs/>
        </w:rPr>
        <w:t>Proceedings of the ACM on Human-Computer Interaction</w:t>
      </w:r>
      <w:r w:rsidRPr="00331FE0">
        <w:t xml:space="preserve">, 8(CSCW1), </w:t>
      </w:r>
      <w:r w:rsidRPr="00331FE0">
        <w:lastRenderedPageBreak/>
        <w:t xml:space="preserve">pp.1-29. Available at: </w:t>
      </w:r>
      <w:hyperlink r:id="rId36" w:history="1">
        <w:r w:rsidRPr="00331FE0">
          <w:rPr>
            <w:rStyle w:val="Hyperlink"/>
          </w:rPr>
          <w:t>https://dl.acm.org/doi/pdf/10.1145/3637312</w:t>
        </w:r>
      </w:hyperlink>
      <w:r w:rsidRPr="00331FE0">
        <w:t xml:space="preserve"> (Accessed: 12 October 2026)</w:t>
      </w:r>
    </w:p>
    <w:p w14:paraId="7F780BE1" w14:textId="77777777" w:rsidR="0058478E" w:rsidRPr="00880C98" w:rsidRDefault="0058478E" w:rsidP="00880C98"/>
    <w:sectPr w:rsidR="0058478E" w:rsidRPr="00880C98">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D2DA5" w14:textId="77777777" w:rsidR="00403E7F" w:rsidRDefault="00403E7F" w:rsidP="0002242A">
      <w:pPr>
        <w:spacing w:after="0" w:line="240" w:lineRule="auto"/>
      </w:pPr>
      <w:r>
        <w:separator/>
      </w:r>
    </w:p>
  </w:endnote>
  <w:endnote w:type="continuationSeparator" w:id="0">
    <w:p w14:paraId="4BF90CFF" w14:textId="77777777" w:rsidR="00403E7F" w:rsidRDefault="00403E7F" w:rsidP="00022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9813D" w14:textId="77777777" w:rsidR="00403E7F" w:rsidRDefault="00403E7F" w:rsidP="0002242A">
      <w:pPr>
        <w:spacing w:after="0" w:line="240" w:lineRule="auto"/>
      </w:pPr>
      <w:r>
        <w:separator/>
      </w:r>
    </w:p>
  </w:footnote>
  <w:footnote w:type="continuationSeparator" w:id="0">
    <w:p w14:paraId="3A1C069B" w14:textId="77777777" w:rsidR="00403E7F" w:rsidRDefault="00403E7F" w:rsidP="00022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672359"/>
      <w:docPartObj>
        <w:docPartGallery w:val="Page Numbers (Top of Page)"/>
        <w:docPartUnique/>
      </w:docPartObj>
    </w:sdtPr>
    <w:sdtEndPr>
      <w:rPr>
        <w:noProof/>
      </w:rPr>
    </w:sdtEndPr>
    <w:sdtContent>
      <w:p w14:paraId="6D8DFCC7" w14:textId="3091DD9C" w:rsidR="0002242A" w:rsidRDefault="0002242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733AD61" w14:textId="77777777" w:rsidR="0002242A" w:rsidRDefault="000224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627C67"/>
    <w:multiLevelType w:val="hybridMultilevel"/>
    <w:tmpl w:val="C4209C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7CA2165"/>
    <w:multiLevelType w:val="hybridMultilevel"/>
    <w:tmpl w:val="BC8A93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77531238">
    <w:abstractNumId w:val="1"/>
  </w:num>
  <w:num w:numId="2" w16cid:durableId="359209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068"/>
    <w:rsid w:val="00005688"/>
    <w:rsid w:val="0001001B"/>
    <w:rsid w:val="00013229"/>
    <w:rsid w:val="0002242A"/>
    <w:rsid w:val="000509EF"/>
    <w:rsid w:val="00055AB4"/>
    <w:rsid w:val="000615D6"/>
    <w:rsid w:val="00070027"/>
    <w:rsid w:val="00074B5D"/>
    <w:rsid w:val="00077D49"/>
    <w:rsid w:val="00096125"/>
    <w:rsid w:val="000A7E4A"/>
    <w:rsid w:val="000A7EBF"/>
    <w:rsid w:val="000B40CA"/>
    <w:rsid w:val="000B7D1D"/>
    <w:rsid w:val="000C7FF1"/>
    <w:rsid w:val="000D3303"/>
    <w:rsid w:val="000E2F4F"/>
    <w:rsid w:val="000E3531"/>
    <w:rsid w:val="000F07CE"/>
    <w:rsid w:val="000F24C7"/>
    <w:rsid w:val="000F2732"/>
    <w:rsid w:val="000F470F"/>
    <w:rsid w:val="000F6855"/>
    <w:rsid w:val="001038B4"/>
    <w:rsid w:val="00117682"/>
    <w:rsid w:val="00122F18"/>
    <w:rsid w:val="001313DC"/>
    <w:rsid w:val="001341C4"/>
    <w:rsid w:val="00143EE3"/>
    <w:rsid w:val="0014786C"/>
    <w:rsid w:val="00152E0B"/>
    <w:rsid w:val="00154E31"/>
    <w:rsid w:val="0016041D"/>
    <w:rsid w:val="00164098"/>
    <w:rsid w:val="00171FDA"/>
    <w:rsid w:val="00176E91"/>
    <w:rsid w:val="00182166"/>
    <w:rsid w:val="001930CC"/>
    <w:rsid w:val="001936FE"/>
    <w:rsid w:val="001943D2"/>
    <w:rsid w:val="001C7559"/>
    <w:rsid w:val="001D368A"/>
    <w:rsid w:val="001D388F"/>
    <w:rsid w:val="001D47F8"/>
    <w:rsid w:val="001D71B6"/>
    <w:rsid w:val="001D77F4"/>
    <w:rsid w:val="001E05E7"/>
    <w:rsid w:val="001E1D27"/>
    <w:rsid w:val="001E248B"/>
    <w:rsid w:val="001E31C8"/>
    <w:rsid w:val="001E3EDC"/>
    <w:rsid w:val="001F063A"/>
    <w:rsid w:val="001F7A17"/>
    <w:rsid w:val="002005A0"/>
    <w:rsid w:val="00202BD0"/>
    <w:rsid w:val="00204FB8"/>
    <w:rsid w:val="002140A4"/>
    <w:rsid w:val="00220CBB"/>
    <w:rsid w:val="00227597"/>
    <w:rsid w:val="00230014"/>
    <w:rsid w:val="00232B00"/>
    <w:rsid w:val="00233C27"/>
    <w:rsid w:val="002340D5"/>
    <w:rsid w:val="002404AB"/>
    <w:rsid w:val="002412C6"/>
    <w:rsid w:val="00241AAD"/>
    <w:rsid w:val="00242EFA"/>
    <w:rsid w:val="00252080"/>
    <w:rsid w:val="00253904"/>
    <w:rsid w:val="00253D28"/>
    <w:rsid w:val="00264A46"/>
    <w:rsid w:val="00276308"/>
    <w:rsid w:val="002767E3"/>
    <w:rsid w:val="002959BF"/>
    <w:rsid w:val="0029607D"/>
    <w:rsid w:val="002A0261"/>
    <w:rsid w:val="002A2D38"/>
    <w:rsid w:val="002A3BC3"/>
    <w:rsid w:val="002B343E"/>
    <w:rsid w:val="002C075D"/>
    <w:rsid w:val="002D44CC"/>
    <w:rsid w:val="002F2608"/>
    <w:rsid w:val="002F574A"/>
    <w:rsid w:val="00300B3B"/>
    <w:rsid w:val="00307FD0"/>
    <w:rsid w:val="003124E8"/>
    <w:rsid w:val="003168A5"/>
    <w:rsid w:val="00331FE0"/>
    <w:rsid w:val="0034187C"/>
    <w:rsid w:val="003442C8"/>
    <w:rsid w:val="003514EC"/>
    <w:rsid w:val="0036576B"/>
    <w:rsid w:val="003934FA"/>
    <w:rsid w:val="003B5A87"/>
    <w:rsid w:val="003B5FE5"/>
    <w:rsid w:val="003C2BF1"/>
    <w:rsid w:val="003C71FE"/>
    <w:rsid w:val="003D4ABA"/>
    <w:rsid w:val="003F570D"/>
    <w:rsid w:val="00402DF1"/>
    <w:rsid w:val="00402E69"/>
    <w:rsid w:val="00403E7F"/>
    <w:rsid w:val="00420715"/>
    <w:rsid w:val="00425426"/>
    <w:rsid w:val="0042605D"/>
    <w:rsid w:val="0043031A"/>
    <w:rsid w:val="00431760"/>
    <w:rsid w:val="004362D8"/>
    <w:rsid w:val="00442C62"/>
    <w:rsid w:val="004430BC"/>
    <w:rsid w:val="00444E2D"/>
    <w:rsid w:val="00444EC3"/>
    <w:rsid w:val="004565CF"/>
    <w:rsid w:val="004660BB"/>
    <w:rsid w:val="00482A5E"/>
    <w:rsid w:val="00483194"/>
    <w:rsid w:val="004843D8"/>
    <w:rsid w:val="004A41CE"/>
    <w:rsid w:val="004A4C08"/>
    <w:rsid w:val="004B1068"/>
    <w:rsid w:val="004B2FED"/>
    <w:rsid w:val="004C08A8"/>
    <w:rsid w:val="004C6364"/>
    <w:rsid w:val="004D768E"/>
    <w:rsid w:val="004E4754"/>
    <w:rsid w:val="00505E56"/>
    <w:rsid w:val="00513AE8"/>
    <w:rsid w:val="005216A8"/>
    <w:rsid w:val="005225C5"/>
    <w:rsid w:val="00523F82"/>
    <w:rsid w:val="005240A0"/>
    <w:rsid w:val="00530D5F"/>
    <w:rsid w:val="0054042A"/>
    <w:rsid w:val="00547586"/>
    <w:rsid w:val="00547E1F"/>
    <w:rsid w:val="00562C13"/>
    <w:rsid w:val="00563B00"/>
    <w:rsid w:val="00564E70"/>
    <w:rsid w:val="00577233"/>
    <w:rsid w:val="0058478E"/>
    <w:rsid w:val="00585C34"/>
    <w:rsid w:val="005A00A9"/>
    <w:rsid w:val="005A04CE"/>
    <w:rsid w:val="005B2AAB"/>
    <w:rsid w:val="005B3B47"/>
    <w:rsid w:val="005C3757"/>
    <w:rsid w:val="005D6B40"/>
    <w:rsid w:val="005F3EA6"/>
    <w:rsid w:val="00615255"/>
    <w:rsid w:val="00617733"/>
    <w:rsid w:val="00622D09"/>
    <w:rsid w:val="00623358"/>
    <w:rsid w:val="006335DD"/>
    <w:rsid w:val="00634413"/>
    <w:rsid w:val="00653E85"/>
    <w:rsid w:val="006579A3"/>
    <w:rsid w:val="00671E03"/>
    <w:rsid w:val="0067530E"/>
    <w:rsid w:val="00676709"/>
    <w:rsid w:val="00697F53"/>
    <w:rsid w:val="006A1CFD"/>
    <w:rsid w:val="006A34F6"/>
    <w:rsid w:val="006A69D8"/>
    <w:rsid w:val="006B1D21"/>
    <w:rsid w:val="006B5405"/>
    <w:rsid w:val="006C1062"/>
    <w:rsid w:val="006C660B"/>
    <w:rsid w:val="006D1D74"/>
    <w:rsid w:val="006D5DB8"/>
    <w:rsid w:val="006E11BC"/>
    <w:rsid w:val="006F0C26"/>
    <w:rsid w:val="00700DFF"/>
    <w:rsid w:val="00704CD6"/>
    <w:rsid w:val="007055E2"/>
    <w:rsid w:val="007059F9"/>
    <w:rsid w:val="00710505"/>
    <w:rsid w:val="0071450B"/>
    <w:rsid w:val="00717F97"/>
    <w:rsid w:val="00726597"/>
    <w:rsid w:val="00726D04"/>
    <w:rsid w:val="00735C51"/>
    <w:rsid w:val="0074077A"/>
    <w:rsid w:val="00740DE1"/>
    <w:rsid w:val="00742757"/>
    <w:rsid w:val="00742CDA"/>
    <w:rsid w:val="007568AE"/>
    <w:rsid w:val="00762805"/>
    <w:rsid w:val="007808E6"/>
    <w:rsid w:val="007822F1"/>
    <w:rsid w:val="007857FE"/>
    <w:rsid w:val="00786924"/>
    <w:rsid w:val="00794E58"/>
    <w:rsid w:val="00795490"/>
    <w:rsid w:val="007957F8"/>
    <w:rsid w:val="007B7FC1"/>
    <w:rsid w:val="007C3799"/>
    <w:rsid w:val="007D36B8"/>
    <w:rsid w:val="007D5D35"/>
    <w:rsid w:val="007D7B53"/>
    <w:rsid w:val="007E26CA"/>
    <w:rsid w:val="008012BD"/>
    <w:rsid w:val="00806005"/>
    <w:rsid w:val="00811A0C"/>
    <w:rsid w:val="00814A9C"/>
    <w:rsid w:val="00822C67"/>
    <w:rsid w:val="008266D7"/>
    <w:rsid w:val="00850B71"/>
    <w:rsid w:val="008570CB"/>
    <w:rsid w:val="00861CEB"/>
    <w:rsid w:val="00867DD5"/>
    <w:rsid w:val="00880C98"/>
    <w:rsid w:val="008908B0"/>
    <w:rsid w:val="008931BC"/>
    <w:rsid w:val="008A74AD"/>
    <w:rsid w:val="008C6F58"/>
    <w:rsid w:val="008D2115"/>
    <w:rsid w:val="008D2186"/>
    <w:rsid w:val="008D43FD"/>
    <w:rsid w:val="008E2C01"/>
    <w:rsid w:val="008E5B2D"/>
    <w:rsid w:val="008E72DD"/>
    <w:rsid w:val="008F0CA8"/>
    <w:rsid w:val="008F1F60"/>
    <w:rsid w:val="008F32F6"/>
    <w:rsid w:val="008F36B5"/>
    <w:rsid w:val="00900E7B"/>
    <w:rsid w:val="00907F05"/>
    <w:rsid w:val="00911C9A"/>
    <w:rsid w:val="00925836"/>
    <w:rsid w:val="00930A2C"/>
    <w:rsid w:val="009435CC"/>
    <w:rsid w:val="0094403B"/>
    <w:rsid w:val="00952441"/>
    <w:rsid w:val="00957F2E"/>
    <w:rsid w:val="0096758D"/>
    <w:rsid w:val="00970795"/>
    <w:rsid w:val="0098200A"/>
    <w:rsid w:val="0098257D"/>
    <w:rsid w:val="00983F67"/>
    <w:rsid w:val="009B1C02"/>
    <w:rsid w:val="009D5B51"/>
    <w:rsid w:val="009F0075"/>
    <w:rsid w:val="009F3477"/>
    <w:rsid w:val="00A01203"/>
    <w:rsid w:val="00A03394"/>
    <w:rsid w:val="00A119CD"/>
    <w:rsid w:val="00A277FA"/>
    <w:rsid w:val="00A4422C"/>
    <w:rsid w:val="00A45660"/>
    <w:rsid w:val="00A5706B"/>
    <w:rsid w:val="00A75AB3"/>
    <w:rsid w:val="00A7737E"/>
    <w:rsid w:val="00A82B4C"/>
    <w:rsid w:val="00A82D8A"/>
    <w:rsid w:val="00A85F63"/>
    <w:rsid w:val="00A8712E"/>
    <w:rsid w:val="00A91CE9"/>
    <w:rsid w:val="00A9355C"/>
    <w:rsid w:val="00A96761"/>
    <w:rsid w:val="00AB309F"/>
    <w:rsid w:val="00AC148F"/>
    <w:rsid w:val="00AC3E9F"/>
    <w:rsid w:val="00AD4B35"/>
    <w:rsid w:val="00AD7CA4"/>
    <w:rsid w:val="00AE29B8"/>
    <w:rsid w:val="00AE3B93"/>
    <w:rsid w:val="00AF5D4C"/>
    <w:rsid w:val="00B10E19"/>
    <w:rsid w:val="00B20923"/>
    <w:rsid w:val="00B2254D"/>
    <w:rsid w:val="00B23265"/>
    <w:rsid w:val="00B26726"/>
    <w:rsid w:val="00B3178A"/>
    <w:rsid w:val="00B379AE"/>
    <w:rsid w:val="00B4022B"/>
    <w:rsid w:val="00B506C2"/>
    <w:rsid w:val="00B543A9"/>
    <w:rsid w:val="00B556E8"/>
    <w:rsid w:val="00B71C0E"/>
    <w:rsid w:val="00B95869"/>
    <w:rsid w:val="00B96995"/>
    <w:rsid w:val="00BB3DD1"/>
    <w:rsid w:val="00BC1D37"/>
    <w:rsid w:val="00BD2B4A"/>
    <w:rsid w:val="00BD415E"/>
    <w:rsid w:val="00BD5232"/>
    <w:rsid w:val="00BD64E0"/>
    <w:rsid w:val="00BD6F23"/>
    <w:rsid w:val="00BD701B"/>
    <w:rsid w:val="00BE2C23"/>
    <w:rsid w:val="00BE2CC9"/>
    <w:rsid w:val="00BE3085"/>
    <w:rsid w:val="00BF2A6D"/>
    <w:rsid w:val="00BF460D"/>
    <w:rsid w:val="00BF4B3B"/>
    <w:rsid w:val="00BF616D"/>
    <w:rsid w:val="00C02473"/>
    <w:rsid w:val="00C054D5"/>
    <w:rsid w:val="00C17081"/>
    <w:rsid w:val="00C20B7F"/>
    <w:rsid w:val="00C20F79"/>
    <w:rsid w:val="00C23C22"/>
    <w:rsid w:val="00C379BE"/>
    <w:rsid w:val="00C42668"/>
    <w:rsid w:val="00C5317B"/>
    <w:rsid w:val="00C578D6"/>
    <w:rsid w:val="00C60068"/>
    <w:rsid w:val="00C617D8"/>
    <w:rsid w:val="00C749FF"/>
    <w:rsid w:val="00C83F82"/>
    <w:rsid w:val="00C91442"/>
    <w:rsid w:val="00C93B05"/>
    <w:rsid w:val="00C96059"/>
    <w:rsid w:val="00C97096"/>
    <w:rsid w:val="00CA0441"/>
    <w:rsid w:val="00CA13E6"/>
    <w:rsid w:val="00CA1A89"/>
    <w:rsid w:val="00CA5649"/>
    <w:rsid w:val="00CA6339"/>
    <w:rsid w:val="00CB45BE"/>
    <w:rsid w:val="00CB657D"/>
    <w:rsid w:val="00CC100D"/>
    <w:rsid w:val="00CC36D8"/>
    <w:rsid w:val="00CC6859"/>
    <w:rsid w:val="00CF67E6"/>
    <w:rsid w:val="00CF7B3E"/>
    <w:rsid w:val="00D017FA"/>
    <w:rsid w:val="00D03F30"/>
    <w:rsid w:val="00D06B6B"/>
    <w:rsid w:val="00D11AD8"/>
    <w:rsid w:val="00D1244A"/>
    <w:rsid w:val="00D1787A"/>
    <w:rsid w:val="00D31C62"/>
    <w:rsid w:val="00D3602B"/>
    <w:rsid w:val="00D45B08"/>
    <w:rsid w:val="00D45FBE"/>
    <w:rsid w:val="00D50E41"/>
    <w:rsid w:val="00D525B3"/>
    <w:rsid w:val="00D528F2"/>
    <w:rsid w:val="00D568FF"/>
    <w:rsid w:val="00D56EE6"/>
    <w:rsid w:val="00D57230"/>
    <w:rsid w:val="00D61716"/>
    <w:rsid w:val="00D62C91"/>
    <w:rsid w:val="00D76DEF"/>
    <w:rsid w:val="00D82693"/>
    <w:rsid w:val="00D83CB4"/>
    <w:rsid w:val="00D850EF"/>
    <w:rsid w:val="00D86306"/>
    <w:rsid w:val="00D90472"/>
    <w:rsid w:val="00D90D4D"/>
    <w:rsid w:val="00D9278E"/>
    <w:rsid w:val="00DB4D77"/>
    <w:rsid w:val="00DB541E"/>
    <w:rsid w:val="00DC096A"/>
    <w:rsid w:val="00DC5045"/>
    <w:rsid w:val="00DC6641"/>
    <w:rsid w:val="00DE40F4"/>
    <w:rsid w:val="00DE7FCA"/>
    <w:rsid w:val="00E00042"/>
    <w:rsid w:val="00E12234"/>
    <w:rsid w:val="00E1430F"/>
    <w:rsid w:val="00E148E6"/>
    <w:rsid w:val="00E2304A"/>
    <w:rsid w:val="00E329BF"/>
    <w:rsid w:val="00E3546B"/>
    <w:rsid w:val="00E435C3"/>
    <w:rsid w:val="00E44584"/>
    <w:rsid w:val="00E45E04"/>
    <w:rsid w:val="00E46C5C"/>
    <w:rsid w:val="00E528AD"/>
    <w:rsid w:val="00E544AE"/>
    <w:rsid w:val="00E5609E"/>
    <w:rsid w:val="00E64753"/>
    <w:rsid w:val="00E6670C"/>
    <w:rsid w:val="00E72325"/>
    <w:rsid w:val="00E82B93"/>
    <w:rsid w:val="00E85610"/>
    <w:rsid w:val="00EA655B"/>
    <w:rsid w:val="00EA799D"/>
    <w:rsid w:val="00EB1DD4"/>
    <w:rsid w:val="00EB7606"/>
    <w:rsid w:val="00ED61AD"/>
    <w:rsid w:val="00ED6D32"/>
    <w:rsid w:val="00EF0DE8"/>
    <w:rsid w:val="00EF4BB7"/>
    <w:rsid w:val="00F06B09"/>
    <w:rsid w:val="00F10172"/>
    <w:rsid w:val="00F1255D"/>
    <w:rsid w:val="00F15387"/>
    <w:rsid w:val="00F16F0D"/>
    <w:rsid w:val="00F23431"/>
    <w:rsid w:val="00F23847"/>
    <w:rsid w:val="00F43343"/>
    <w:rsid w:val="00F43560"/>
    <w:rsid w:val="00F630C1"/>
    <w:rsid w:val="00F71EBD"/>
    <w:rsid w:val="00F721A5"/>
    <w:rsid w:val="00F808F8"/>
    <w:rsid w:val="00F97666"/>
    <w:rsid w:val="00FA60F3"/>
    <w:rsid w:val="00FA630B"/>
    <w:rsid w:val="00FB088B"/>
    <w:rsid w:val="00FB2523"/>
    <w:rsid w:val="00FC5983"/>
    <w:rsid w:val="00FD1E72"/>
    <w:rsid w:val="00FE30B5"/>
    <w:rsid w:val="00FE30CD"/>
    <w:rsid w:val="00FF186E"/>
    <w:rsid w:val="00FF4667"/>
    <w:rsid w:val="00FF66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DDBA2"/>
  <w15:chartTrackingRefBased/>
  <w15:docId w15:val="{6BE0FE90-4B98-491A-9EB8-8890CE6DD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C0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0F6855"/>
    <w:pPr>
      <w:keepNext/>
      <w:keepLines/>
      <w:spacing w:before="360" w:after="80"/>
      <w:jc w:val="left"/>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0F6855"/>
    <w:pPr>
      <w:keepNext/>
      <w:keepLines/>
      <w:spacing w:before="160" w:after="80"/>
      <w:jc w:val="left"/>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444E2D"/>
    <w:pPr>
      <w:keepNext/>
      <w:keepLines/>
      <w:spacing w:before="160" w:after="80"/>
      <w:jc w:val="left"/>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C6006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006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00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0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0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0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855"/>
    <w:rPr>
      <w:rFonts w:ascii="Times New Roman" w:eastAsiaTheme="majorEastAsia" w:hAnsi="Times New Roman" w:cstheme="majorBidi"/>
      <w:b/>
      <w:color w:val="000000" w:themeColor="text1"/>
      <w:sz w:val="24"/>
      <w:szCs w:val="40"/>
      <w:lang w:val="en-GB"/>
    </w:rPr>
  </w:style>
  <w:style w:type="character" w:customStyle="1" w:styleId="Heading2Char">
    <w:name w:val="Heading 2 Char"/>
    <w:basedOn w:val="DefaultParagraphFont"/>
    <w:link w:val="Heading2"/>
    <w:uiPriority w:val="9"/>
    <w:rsid w:val="000F6855"/>
    <w:rPr>
      <w:rFonts w:ascii="Times New Roman" w:eastAsiaTheme="majorEastAsia" w:hAnsi="Times New Roman" w:cstheme="majorBidi"/>
      <w:b/>
      <w:color w:val="000000" w:themeColor="text1"/>
      <w:sz w:val="24"/>
      <w:szCs w:val="32"/>
      <w:lang w:val="en-GB"/>
    </w:rPr>
  </w:style>
  <w:style w:type="character" w:customStyle="1" w:styleId="Heading3Char">
    <w:name w:val="Heading 3 Char"/>
    <w:basedOn w:val="DefaultParagraphFont"/>
    <w:link w:val="Heading3"/>
    <w:uiPriority w:val="9"/>
    <w:rsid w:val="00444E2D"/>
    <w:rPr>
      <w:rFonts w:ascii="Times New Roman" w:eastAsiaTheme="majorEastAsia" w:hAnsi="Times New Roman" w:cstheme="majorBidi"/>
      <w:b/>
      <w:color w:val="000000" w:themeColor="text1"/>
      <w:sz w:val="24"/>
      <w:szCs w:val="28"/>
      <w:lang w:val="en-GB"/>
    </w:rPr>
  </w:style>
  <w:style w:type="character" w:customStyle="1" w:styleId="Heading4Char">
    <w:name w:val="Heading 4 Char"/>
    <w:basedOn w:val="DefaultParagraphFont"/>
    <w:link w:val="Heading4"/>
    <w:uiPriority w:val="9"/>
    <w:semiHidden/>
    <w:rsid w:val="00C60068"/>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60068"/>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6006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6006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6006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6006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600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06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600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06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60068"/>
    <w:pPr>
      <w:spacing w:before="160"/>
      <w:jc w:val="center"/>
    </w:pPr>
    <w:rPr>
      <w:i/>
      <w:iCs/>
      <w:color w:val="404040" w:themeColor="text1" w:themeTint="BF"/>
    </w:rPr>
  </w:style>
  <w:style w:type="character" w:customStyle="1" w:styleId="QuoteChar">
    <w:name w:val="Quote Char"/>
    <w:basedOn w:val="DefaultParagraphFont"/>
    <w:link w:val="Quote"/>
    <w:uiPriority w:val="29"/>
    <w:rsid w:val="00C60068"/>
    <w:rPr>
      <w:i/>
      <w:iCs/>
      <w:color w:val="404040" w:themeColor="text1" w:themeTint="BF"/>
      <w:lang w:val="en-GB"/>
    </w:rPr>
  </w:style>
  <w:style w:type="paragraph" w:styleId="ListParagraph">
    <w:name w:val="List Paragraph"/>
    <w:basedOn w:val="Normal"/>
    <w:uiPriority w:val="34"/>
    <w:qFormat/>
    <w:rsid w:val="00C60068"/>
    <w:pPr>
      <w:ind w:left="720"/>
      <w:contextualSpacing/>
    </w:pPr>
  </w:style>
  <w:style w:type="character" w:styleId="IntenseEmphasis">
    <w:name w:val="Intense Emphasis"/>
    <w:basedOn w:val="DefaultParagraphFont"/>
    <w:uiPriority w:val="21"/>
    <w:qFormat/>
    <w:rsid w:val="00C60068"/>
    <w:rPr>
      <w:i/>
      <w:iCs/>
      <w:color w:val="2F5496" w:themeColor="accent1" w:themeShade="BF"/>
    </w:rPr>
  </w:style>
  <w:style w:type="paragraph" w:styleId="IntenseQuote">
    <w:name w:val="Intense Quote"/>
    <w:basedOn w:val="Normal"/>
    <w:next w:val="Normal"/>
    <w:link w:val="IntenseQuoteChar"/>
    <w:uiPriority w:val="30"/>
    <w:qFormat/>
    <w:rsid w:val="00C600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0068"/>
    <w:rPr>
      <w:i/>
      <w:iCs/>
      <w:color w:val="2F5496" w:themeColor="accent1" w:themeShade="BF"/>
      <w:lang w:val="en-GB"/>
    </w:rPr>
  </w:style>
  <w:style w:type="character" w:styleId="IntenseReference">
    <w:name w:val="Intense Reference"/>
    <w:basedOn w:val="DefaultParagraphFont"/>
    <w:uiPriority w:val="32"/>
    <w:qFormat/>
    <w:rsid w:val="00C60068"/>
    <w:rPr>
      <w:b/>
      <w:bCs/>
      <w:smallCaps/>
      <w:color w:val="2F5496" w:themeColor="accent1" w:themeShade="BF"/>
      <w:spacing w:val="5"/>
    </w:rPr>
  </w:style>
  <w:style w:type="paragraph" w:styleId="Header">
    <w:name w:val="header"/>
    <w:basedOn w:val="Normal"/>
    <w:link w:val="HeaderChar"/>
    <w:uiPriority w:val="99"/>
    <w:unhideWhenUsed/>
    <w:rsid w:val="000224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42A"/>
    <w:rPr>
      <w:rFonts w:ascii="Times New Roman" w:hAnsi="Times New Roman"/>
      <w:sz w:val="24"/>
      <w:lang w:val="en-GB"/>
    </w:rPr>
  </w:style>
  <w:style w:type="paragraph" w:styleId="Footer">
    <w:name w:val="footer"/>
    <w:basedOn w:val="Normal"/>
    <w:link w:val="FooterChar"/>
    <w:uiPriority w:val="99"/>
    <w:unhideWhenUsed/>
    <w:rsid w:val="000224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42A"/>
    <w:rPr>
      <w:rFonts w:ascii="Times New Roman" w:hAnsi="Times New Roman"/>
      <w:sz w:val="24"/>
      <w:lang w:val="en-GB"/>
    </w:rPr>
  </w:style>
  <w:style w:type="character" w:styleId="Hyperlink">
    <w:name w:val="Hyperlink"/>
    <w:basedOn w:val="DefaultParagraphFont"/>
    <w:uiPriority w:val="99"/>
    <w:unhideWhenUsed/>
    <w:rsid w:val="00E148E6"/>
    <w:rPr>
      <w:color w:val="0563C1" w:themeColor="hyperlink"/>
      <w:u w:val="single"/>
    </w:rPr>
  </w:style>
  <w:style w:type="character" w:styleId="UnresolvedMention">
    <w:name w:val="Unresolved Mention"/>
    <w:basedOn w:val="DefaultParagraphFont"/>
    <w:uiPriority w:val="99"/>
    <w:semiHidden/>
    <w:unhideWhenUsed/>
    <w:rsid w:val="00E148E6"/>
    <w:rPr>
      <w:color w:val="605E5C"/>
      <w:shd w:val="clear" w:color="auto" w:fill="E1DFDD"/>
    </w:rPr>
  </w:style>
  <w:style w:type="table" w:styleId="TableGrid">
    <w:name w:val="Table Grid"/>
    <w:basedOn w:val="TableNormal"/>
    <w:uiPriority w:val="39"/>
    <w:rsid w:val="008F1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56EE6"/>
    <w:pPr>
      <w:spacing w:before="240" w:after="0" w:line="259" w:lineRule="auto"/>
      <w:outlineLvl w:val="9"/>
    </w:pPr>
    <w:rPr>
      <w:rFonts w:asciiTheme="majorHAnsi" w:hAnsiTheme="majorHAnsi"/>
      <w:b w:val="0"/>
      <w:color w:val="2F5496" w:themeColor="accent1" w:themeShade="BF"/>
      <w:kern w:val="0"/>
      <w:sz w:val="32"/>
      <w:szCs w:val="32"/>
      <w:lang w:val="en-US"/>
    </w:rPr>
  </w:style>
  <w:style w:type="paragraph" w:styleId="TOC1">
    <w:name w:val="toc 1"/>
    <w:basedOn w:val="Normal"/>
    <w:next w:val="Normal"/>
    <w:autoRedefine/>
    <w:uiPriority w:val="39"/>
    <w:unhideWhenUsed/>
    <w:rsid w:val="00D56EE6"/>
    <w:pPr>
      <w:spacing w:after="100"/>
    </w:pPr>
  </w:style>
  <w:style w:type="paragraph" w:styleId="TOC2">
    <w:name w:val="toc 2"/>
    <w:basedOn w:val="Normal"/>
    <w:next w:val="Normal"/>
    <w:autoRedefine/>
    <w:uiPriority w:val="39"/>
    <w:unhideWhenUsed/>
    <w:rsid w:val="00D56EE6"/>
    <w:pPr>
      <w:spacing w:after="100"/>
      <w:ind w:left="240"/>
    </w:pPr>
  </w:style>
  <w:style w:type="paragraph" w:styleId="TOC3">
    <w:name w:val="toc 3"/>
    <w:basedOn w:val="Normal"/>
    <w:next w:val="Normal"/>
    <w:autoRedefine/>
    <w:uiPriority w:val="39"/>
    <w:unhideWhenUsed/>
    <w:rsid w:val="00D56EE6"/>
    <w:pPr>
      <w:spacing w:after="100"/>
      <w:ind w:left="480"/>
    </w:pPr>
  </w:style>
  <w:style w:type="character" w:styleId="FollowedHyperlink">
    <w:name w:val="FollowedHyperlink"/>
    <w:basedOn w:val="DefaultParagraphFont"/>
    <w:uiPriority w:val="99"/>
    <w:semiHidden/>
    <w:unhideWhenUsed/>
    <w:rsid w:val="00331F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pdf/10.1177/21582440261489328" TargetMode="External"/><Relationship Id="rId18" Type="http://schemas.openxmlformats.org/officeDocument/2006/relationships/hyperlink" Target="https://www.tandfonline.com/doi/pdf/10.1080/10967494.2025.2559832" TargetMode="External"/><Relationship Id="rId26" Type="http://schemas.openxmlformats.org/officeDocument/2006/relationships/hyperlink" Target="https://www.tandfonline.com/doi/pdf/10.1080/14783363.2025.2504603" TargetMode="External"/><Relationship Id="rId39" Type="http://schemas.openxmlformats.org/officeDocument/2006/relationships/theme" Target="theme/theme1.xml"/><Relationship Id="rId21" Type="http://schemas.openxmlformats.org/officeDocument/2006/relationships/hyperlink" Target="https://onlinelibrary.wiley.com/doi/pdfdirect/10.1002/hrm.22192" TargetMode="External"/><Relationship Id="rId34" Type="http://schemas.openxmlformats.org/officeDocument/2006/relationships/hyperlink" Target="https://link.springer.com/content/pdf/10.1007/s43681-024-00489-4.pdf" TargetMode="External"/><Relationship Id="rId7" Type="http://schemas.openxmlformats.org/officeDocument/2006/relationships/endnotes" Target="endnotes.xml"/><Relationship Id="rId12" Type="http://schemas.openxmlformats.org/officeDocument/2006/relationships/hyperlink" Target="https://doi.org/10.1016/j.ijis.2022.12.005%20" TargetMode="External"/><Relationship Id="rId17" Type="http://schemas.openxmlformats.org/officeDocument/2006/relationships/hyperlink" Target="https://doi.org/10.1016/j.ijinfomgt.2024.102777%20" TargetMode="External"/><Relationship Id="rId25" Type="http://schemas.openxmlformats.org/officeDocument/2006/relationships/hyperlink" Target="https://www.mdpi.com/2079-3197/14/6/125" TargetMode="External"/><Relationship Id="rId33" Type="http://schemas.openxmlformats.org/officeDocument/2006/relationships/hyperlink" Target="https://www.iilmreview.com/index.php/tmr/article/download/35/23"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rcltd.org/index.php/IRMDS/article/view/202/286" TargetMode="External"/><Relationship Id="rId20" Type="http://schemas.openxmlformats.org/officeDocument/2006/relationships/hyperlink" Target="https://journals.sagepub.com/doi/pdf/10.1177/08295735211055355" TargetMode="External"/><Relationship Id="rId29" Type="http://schemas.openxmlformats.org/officeDocument/2006/relationships/hyperlink" Target="https://doi.org/10.1016/j.techfore.2024.12351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qjssh.com/index.php/qjssh/article/download/1119/777" TargetMode="External"/><Relationship Id="rId24" Type="http://schemas.openxmlformats.org/officeDocument/2006/relationships/hyperlink" Target="https://www.mdpi.com/2071-1050/15/3/2253/pdf" TargetMode="External"/><Relationship Id="rId32" Type="http://schemas.openxmlformats.org/officeDocument/2006/relationships/hyperlink" Target="https://www.tandfonline.com/doi/pdf/10.1080/13662716.2023.2242285"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onlinelibrary.wiley.com/doi/pdf/10.1111/peps.12662" TargetMode="External"/><Relationship Id="rId23" Type="http://schemas.openxmlformats.org/officeDocument/2006/relationships/hyperlink" Target="https://doi.org/10.1155/jonm/2653041%20" TargetMode="External"/><Relationship Id="rId28" Type="http://schemas.openxmlformats.org/officeDocument/2006/relationships/hyperlink" Target="https://news.microsoft.com/source/2024/05/08/microsoft-and-linkedin-release-the-2024-work-trend-index-on-the-state-of-ai-at-work/" TargetMode="External"/><Relationship Id="rId36" Type="http://schemas.openxmlformats.org/officeDocument/2006/relationships/hyperlink" Target="https://dl.acm.org/doi/pdf/10.1145/3637312" TargetMode="External"/><Relationship Id="rId10" Type="http://schemas.openxmlformats.org/officeDocument/2006/relationships/hyperlink" Target="https://www.sciencedirect.com/science/article/pii/S0090261624000020/pdfft?md5=642f120d5cdb32a88a07c78a359f28fe&amp;pid=1-s2.0-S0090261624000020-main.pdf" TargetMode="External"/><Relationship Id="rId19" Type="http://schemas.openxmlformats.org/officeDocument/2006/relationships/hyperlink" Target="https://doi.org/10.1007/s11612-023-00675-8%20" TargetMode="External"/><Relationship Id="rId31" Type="http://schemas.openxmlformats.org/officeDocument/2006/relationships/hyperlink" Target="https://www.scirp.net/pdf/oalib_1114057.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onlinelibrary.wiley.com/doi/pdf/10.1002/joe.22295" TargetMode="External"/><Relationship Id="rId22" Type="http://schemas.openxmlformats.org/officeDocument/2006/relationships/hyperlink" Target="https://doi.org/10.1177/01492063241271242%20" TargetMode="External"/><Relationship Id="rId27" Type="http://schemas.openxmlformats.org/officeDocument/2006/relationships/hyperlink" Target="https://doi.org/10.1371/journal.pone.0291312%20" TargetMode="External"/><Relationship Id="rId30" Type="http://schemas.openxmlformats.org/officeDocument/2006/relationships/hyperlink" Target="https://www.erdalreview.eu/free-download/979122181128523.pdf%20" TargetMode="External"/><Relationship Id="rId35" Type="http://schemas.openxmlformats.org/officeDocument/2006/relationships/hyperlink" Target="https://ueaeprints.uea.ac.uk/id/eprint/76259/1/Accepted_Manuscript.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07A46-D9D3-40D5-B68D-1C371362B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19</Pages>
  <Words>5377</Words>
  <Characters>30652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Gabriela Savity (2312231)</cp:lastModifiedBy>
  <cp:revision>26</cp:revision>
  <dcterms:created xsi:type="dcterms:W3CDTF">2026-10-12T11:16:00Z</dcterms:created>
  <dcterms:modified xsi:type="dcterms:W3CDTF">2026-10-13T16:28:00Z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1a986b9be36f6cd54c21f6d0801c65d9df499c3dbb1ec248b83660547f2e1cb1</vt:lpwstr>
  </property>
</Properties>
</file>