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2"/>
        <w:bidi w:val="0"/>
      </w:pPr>
    </w:p>
    <w:p>
      <w:pPr>
        <w:pStyle w:val="Subtitle"/>
        <w:rPr>
          <w:outline w:val="0"/>
          <w:color w:val="000000"/>
          <w:sz w:val="40"/>
          <w:szCs w:val="40"/>
          <w14:textFill>
            <w14:solidFill>
              <w14:srgbClr w14:val="000000"/>
            </w14:solidFill>
          </w14:textFill>
        </w:rPr>
      </w:pPr>
    </w:p>
    <w:p>
      <w:pPr>
        <w:pStyle w:val="Subtitle"/>
        <w:rPr>
          <w:outline w:val="0"/>
          <w:color w:val="000000"/>
          <w:sz w:val="40"/>
          <w:szCs w:val="40"/>
          <w14:textFill>
            <w14:solidFill>
              <w14:srgbClr w14:val="000000"/>
            </w14:solidFill>
          </w14:textFill>
        </w:rPr>
      </w:pPr>
    </w:p>
    <w:p>
      <w:pPr>
        <w:pStyle w:val="Subtitle"/>
        <w:rPr>
          <w:outline w:val="0"/>
          <w:color w:val="000000"/>
          <w:sz w:val="40"/>
          <w:szCs w:val="40"/>
          <w14:textFill>
            <w14:solidFill>
              <w14:srgbClr w14:val="000000"/>
            </w14:solidFill>
          </w14:textFill>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Alberto Alessandro Berio</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Email: </w: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14:textOutline>
                  <w14:noFill/>
                </w14:textOutline>
                <w14:textFill>
                  <w14:solidFill>
                    <w14:srgbClr w14:val="000000"/>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14:textOutline>
                  <w14:noFill/>
                </w14:textOutline>
                <w14:textFill>
                  <w14:solidFill>
                    <w14:srgbClr w14:val="000000"/>
                  </w14:solidFill>
                </w14:textFill>
              </w:rPr>
              <w:instrText xml:space="preserve"> HYPERLINK "mailto:1907991@students.utwsd.ac.uk"</w:instrTex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14:textOutline>
                  <w14:noFill/>
                </w14:textOutline>
                <w14:textFill>
                  <w14:solidFill>
                    <w14:srgbClr w14:val="000000"/>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14:textOutline>
                  <w14:noFill/>
                </w14:textOutline>
                <w14:textFill>
                  <w14:solidFill>
                    <w14:srgbClr w14:val="000000"/>
                  </w14:solidFill>
                </w14:textFill>
              </w:rPr>
              <w:t>1907991</w:t>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@students.utwsd.ac.uk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fldChar w:fldCharType="end" w:fldLock="0"/>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HPCA7002</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RCC</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p>
          <w:p>
            <w:pPr>
              <w:pStyle w:val="Header &amp; Footer"/>
            </w:pPr>
            <w:r>
              <w:rPr>
                <w:caps w:val="1"/>
                <w:shd w:val="nil" w:color="auto" w:fill="auto"/>
                <w:rtl w:val="0"/>
                <w:lang w:val="en-US"/>
              </w:rPr>
              <w:t>1907991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title: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December, 16th, 2019</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This assignment is for the       1</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 xml:space="preserve">st </w:t>
            </w:r>
            <w:r>
              <w:rPr>
                <w:rFonts w:ascii="Arial" w:hAnsi="Arial"/>
                <w:outline w:val="0"/>
                <w:color w:val="000000"/>
                <w:sz w:val="22"/>
                <w:szCs w:val="22"/>
                <w:u w:color="000000"/>
                <w:shd w:val="nil" w:color="auto" w:fill="auto"/>
                <w:rtl w:val="0"/>
                <w:lang w:val="en-US"/>
                <w14:textFill>
                  <w14:solidFill>
                    <w14:srgbClr w14:val="000000"/>
                  </w14:solidFill>
                </w14:textFill>
              </w:rPr>
              <w:t xml:space="preserve">    2</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nd</w:t>
            </w:r>
            <w:r>
              <w:rPr>
                <w:rFonts w:ascii="Arial" w:hAnsi="Arial"/>
                <w:outline w:val="0"/>
                <w:color w:val="000000"/>
                <w:sz w:val="22"/>
                <w:szCs w:val="22"/>
                <w:u w:color="000000"/>
                <w:shd w:val="nil" w:color="auto" w:fill="auto"/>
                <w:rtl w:val="0"/>
                <w:lang w:val="en-US"/>
                <w14:textFill>
                  <w14:solidFill>
                    <w14:srgbClr w14:val="000000"/>
                  </w14:solidFill>
                </w14:textFill>
              </w:rPr>
              <w:t xml:space="preserve">       3</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rd</w:t>
            </w:r>
            <w:r>
              <w:rPr>
                <w:rFonts w:ascii="Arial" w:hAnsi="Arial"/>
                <w:outline w:val="0"/>
                <w:color w:val="000000"/>
                <w:sz w:val="22"/>
                <w:szCs w:val="22"/>
                <w:u w:color="000000"/>
                <w:shd w:val="nil" w:color="auto" w:fill="auto"/>
                <w:rtl w:val="0"/>
                <w:lang w:val="en-US"/>
                <w14:textFill>
                  <w14:solidFill>
                    <w14:srgbClr w14:val="000000"/>
                  </w14:solidFill>
                </w14:textFill>
              </w:rPr>
              <w:t xml:space="preserve">        4</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th</w:t>
            </w:r>
            <w:r>
              <w:rPr>
                <w:rFonts w:ascii="Arial" w:hAnsi="Arial"/>
                <w:outline w:val="0"/>
                <w:color w:val="000000"/>
                <w:sz w:val="22"/>
                <w:szCs w:val="22"/>
                <w:u w:color="000000"/>
                <w:shd w:val="nil" w:color="auto" w:fill="auto"/>
                <w:rtl w:val="0"/>
                <w:lang w:val="en-US"/>
                <w14:textFill>
                  <w14:solidFill>
                    <w14:srgbClr w14:val="000000"/>
                  </w14:solidFill>
                </w14:textFill>
              </w:rPr>
              <w:t xml:space="preserve">       5</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th</w:t>
            </w:r>
            <w:r>
              <w:rPr>
                <w:rFonts w:ascii="Arial" w:hAnsi="Arial"/>
                <w:outline w:val="0"/>
                <w:color w:val="000000"/>
                <w:sz w:val="22"/>
                <w:szCs w:val="22"/>
                <w:u w:color="000000"/>
                <w:shd w:val="nil" w:color="auto" w:fill="auto"/>
                <w:rtl w:val="0"/>
                <w:lang w:val="en-US"/>
                <w14:textFill>
                  <w14:solidFill>
                    <w14:srgbClr w14:val="000000"/>
                  </w14:solidFill>
                </w14:textFill>
              </w:rPr>
              <w:t xml:space="preserve">       6</w:t>
            </w:r>
            <w:r>
              <w:rPr>
                <w:rFonts w:ascii="Arial" w:hAnsi="Arial"/>
                <w:outline w:val="0"/>
                <w:color w:val="000000"/>
                <w:sz w:val="22"/>
                <w:szCs w:val="22"/>
                <w:u w:color="000000"/>
                <w:shd w:val="nil" w:color="auto" w:fill="auto"/>
                <w:vertAlign w:val="superscript"/>
                <w:rtl w:val="0"/>
                <w:lang w:val="en-US"/>
                <w14:textFill>
                  <w14:solidFill>
                    <w14:srgbClr w14:val="000000"/>
                  </w14:solidFill>
                </w14:textFill>
              </w:rPr>
              <w:t>th</w:t>
            </w:r>
            <w:r>
              <w:rPr>
                <w:rFonts w:ascii="Arial" w:hAnsi="Arial"/>
                <w:outline w:val="0"/>
                <w:color w:val="000000"/>
                <w:sz w:val="22"/>
                <w:szCs w:val="22"/>
                <w:u w:color="000000"/>
                <w:shd w:val="nil" w:color="auto" w:fill="auto"/>
                <w:rtl w:val="0"/>
                <w:lang w:val="en-US"/>
                <w14:textFill>
                  <w14:solidFill>
                    <w14:srgbClr w14:val="000000"/>
                  </w14:solidFill>
                </w14:textFill>
              </w:rPr>
              <w:t xml:space="preserve"> </w:t>
            </w:r>
            <w:r>
              <w:rPr>
                <w:rFonts w:ascii="Arial" w:hAnsi="Arial"/>
                <w:b w:val="1"/>
                <w:bCs w:val="1"/>
                <w:outline w:val="0"/>
                <w:color w:val="000000"/>
                <w:sz w:val="22"/>
                <w:szCs w:val="22"/>
                <w:u w:color="000000"/>
                <w:shd w:val="nil" w:color="auto" w:fill="auto"/>
                <w:rtl w:val="0"/>
                <w:lang w:val="en-US"/>
                <w14:textFill>
                  <w14:solidFill>
                    <w14:srgbClr w14:val="000000"/>
                  </w14:solidFill>
                </w14:textFill>
              </w:rPr>
              <w:t xml:space="preserve">   </w:t>
            </w:r>
            <w:r>
              <w:rPr>
                <w:rFonts w:ascii="Arial" w:hAnsi="Arial"/>
                <w:outline w:val="0"/>
                <w:color w:val="000000"/>
                <w:sz w:val="22"/>
                <w:szCs w:val="22"/>
                <w:u w:color="000000"/>
                <w:shd w:val="nil" w:color="auto" w:fill="auto"/>
                <w:rtl w:val="0"/>
                <w:lang w:val="en-US"/>
                <w14:textFill>
                  <w14:solidFill>
                    <w14:srgbClr w14:val="000000"/>
                  </w14:solidFill>
                </w14:textFill>
              </w:rPr>
              <w:t>module of the degree</w:t>
            </w:r>
          </w:p>
        </w:tc>
      </w:tr>
      <w:tr>
        <w:tblPrEx>
          <w:shd w:val="clear" w:color="auto" w:fill="ced7e7"/>
        </w:tblPrEx>
        <w:trPr>
          <w:trHeight w:val="155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Fonts w:ascii="Arial" w:cs="Arial" w:hAnsi="Arial" w:eastAsia="Arial"/>
                <w:b w:val="1"/>
                <w:bCs w:val="1"/>
                <w:outline w:val="0"/>
                <w:color w:val="000000"/>
                <w:u w:color="000000"/>
                <w:shd w:val="nil" w:color="auto" w:fill="auto"/>
                <w:rtl w:val="0"/>
                <w:lang w:val="en-US"/>
                <w14:textFill>
                  <w14:solidFill>
                    <w14:srgbClr w14:val="000000"/>
                  </w14:solidFill>
                </w14:textFill>
              </w:rPr>
            </w:pPr>
          </w:p>
          <w:p>
            <w:pPr>
              <w:pStyle w:val="Body 2"/>
              <w:spacing w:after="0" w:line="240" w:lineRule="auto"/>
              <w:jc w:val="left"/>
              <w:rPr>
                <w:rFonts w:ascii="Arial" w:cs="Arial" w:hAnsi="Arial" w:eastAsia="Arial"/>
                <w:outline w:val="0"/>
                <w:color w:val="000000"/>
                <w:u w:color="000000"/>
                <w:shd w:val="nil" w:color="auto" w:fill="auto"/>
                <w14:textFill>
                  <w14:solidFill>
                    <w14:srgbClr w14:val="000000"/>
                  </w14:solidFill>
                </w14:textFill>
              </w:rPr>
            </w:pPr>
            <w:r>
              <w:rPr>
                <w:rFonts w:ascii="Arial" w:hAnsi="Arial"/>
                <w:b w:val="1"/>
                <w:bCs w:val="1"/>
                <w:outline w:val="0"/>
                <w:color w:val="000000"/>
                <w:u w:color="000000"/>
                <w:shd w:val="nil" w:color="auto" w:fill="auto"/>
                <w:rtl w:val="0"/>
                <w:lang w:val="en-US"/>
                <w14:textFill>
                  <w14:solidFill>
                    <w14:srgbClr w14:val="000000"/>
                  </w14:solidFill>
                </w14:textFill>
              </w:rPr>
              <w:t>Assignment Mark</w:t>
            </w: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r>
              <w:rPr>
                <w:rFonts w:ascii="Arial" w:hAnsi="Arial"/>
                <w:outline w:val="0"/>
                <w:color w:val="000000"/>
                <w:sz w:val="20"/>
                <w:szCs w:val="20"/>
                <w:u w:color="000000"/>
                <w:shd w:val="nil" w:color="auto" w:fill="auto"/>
                <w:rtl w:val="0"/>
                <w:lang w:val="en-US"/>
                <w14:textFill>
                  <w14:solidFill>
                    <w14:srgbClr w14:val="000000"/>
                  </w14:solidFill>
                </w14:textFill>
              </w:rPr>
              <w:t>1</w:t>
            </w:r>
            <w:r>
              <w:rPr>
                <w:rFonts w:ascii="Arial" w:hAnsi="Arial"/>
                <w:outline w:val="0"/>
                <w:color w:val="000000"/>
                <w:sz w:val="20"/>
                <w:szCs w:val="20"/>
                <w:u w:color="000000"/>
                <w:shd w:val="nil" w:color="auto" w:fill="auto"/>
                <w:vertAlign w:val="superscript"/>
                <w:rtl w:val="0"/>
                <w:lang w:val="en-US"/>
                <w14:textFill>
                  <w14:solidFill>
                    <w14:srgbClr w14:val="000000"/>
                  </w14:solidFill>
                </w14:textFill>
              </w:rPr>
              <w:t>st</w:t>
            </w:r>
            <w:r>
              <w:rPr>
                <w:rFonts w:ascii="Arial" w:hAnsi="Arial"/>
                <w:outline w:val="0"/>
                <w:color w:val="000000"/>
                <w:sz w:val="20"/>
                <w:szCs w:val="20"/>
                <w:u w:color="000000"/>
                <w:shd w:val="nil" w:color="auto" w:fill="auto"/>
                <w:rtl w:val="0"/>
                <w:lang w:val="en-US"/>
                <w14:textFill>
                  <w14:solidFill>
                    <w14:srgbClr w14:val="000000"/>
                  </w14:solidFill>
                </w14:textFill>
              </w:rPr>
              <w:t xml:space="preserve"> Marker</w:t>
            </w:r>
            <w:r>
              <w:rPr>
                <w:rFonts w:ascii="Arial" w:hAnsi="Arial" w:hint="default"/>
                <w:outline w:val="0"/>
                <w:color w:val="000000"/>
                <w:sz w:val="20"/>
                <w:szCs w:val="20"/>
                <w:u w:color="000000"/>
                <w:shd w:val="nil" w:color="auto" w:fill="auto"/>
                <w:rtl w:val="0"/>
                <w:lang w:val="en-US"/>
                <w14:textFill>
                  <w14:solidFill>
                    <w14:srgbClr w14:val="000000"/>
                  </w14:solidFill>
                </w14:textFill>
              </w:rPr>
              <w:t>’</w:t>
            </w:r>
            <w:r>
              <w:rPr>
                <w:rFonts w:ascii="Arial" w:hAnsi="Arial"/>
                <w:outline w:val="0"/>
                <w:color w:val="000000"/>
                <w:sz w:val="20"/>
                <w:szCs w:val="20"/>
                <w:u w:color="000000"/>
                <w:shd w:val="nil" w:color="auto" w:fill="auto"/>
                <w:rtl w:val="0"/>
                <w:lang w:val="en-US"/>
                <w14:textFill>
                  <w14:solidFill>
                    <w14:srgbClr w14:val="000000"/>
                  </w14:solidFill>
                </w14:textFill>
              </w:rPr>
              <w:t>s Provisional mark</w:t>
              <w:tab/>
            </w: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r>
              <w:rPr>
                <w:rFonts w:ascii="Arial" w:hAnsi="Arial"/>
                <w:outline w:val="0"/>
                <w:color w:val="000000"/>
                <w:sz w:val="20"/>
                <w:szCs w:val="20"/>
                <w:u w:color="000000"/>
                <w:shd w:val="nil" w:color="auto" w:fill="auto"/>
                <w:rtl w:val="0"/>
                <w:lang w:val="en-US"/>
                <w14:textFill>
                  <w14:solidFill>
                    <w14:srgbClr w14:val="000000"/>
                  </w14:solidFill>
                </w14:textFill>
              </w:rPr>
              <w:t>2</w:t>
            </w:r>
            <w:r>
              <w:rPr>
                <w:rFonts w:ascii="Arial" w:hAnsi="Arial"/>
                <w:outline w:val="0"/>
                <w:color w:val="000000"/>
                <w:sz w:val="20"/>
                <w:szCs w:val="20"/>
                <w:u w:color="000000"/>
                <w:shd w:val="nil" w:color="auto" w:fill="auto"/>
                <w:vertAlign w:val="superscript"/>
                <w:rtl w:val="0"/>
                <w:lang w:val="en-US"/>
                <w14:textFill>
                  <w14:solidFill>
                    <w14:srgbClr w14:val="000000"/>
                  </w14:solidFill>
                </w14:textFill>
              </w:rPr>
              <w:t>nd</w:t>
            </w:r>
            <w:r>
              <w:rPr>
                <w:rFonts w:ascii="Arial" w:hAnsi="Arial"/>
                <w:outline w:val="0"/>
                <w:color w:val="000000"/>
                <w:sz w:val="20"/>
                <w:szCs w:val="20"/>
                <w:u w:color="000000"/>
                <w:shd w:val="nil" w:color="auto" w:fill="auto"/>
                <w:rtl w:val="0"/>
                <w:lang w:val="en-US"/>
                <w14:textFill>
                  <w14:solidFill>
                    <w14:srgbClr w14:val="000000"/>
                  </w14:solidFill>
                </w14:textFill>
              </w:rPr>
              <w:t xml:space="preserve"> Marker</w:t>
            </w:r>
            <w:r>
              <w:rPr>
                <w:rFonts w:ascii="Arial" w:hAnsi="Arial" w:hint="default"/>
                <w:outline w:val="0"/>
                <w:color w:val="000000"/>
                <w:sz w:val="20"/>
                <w:szCs w:val="20"/>
                <w:u w:color="000000"/>
                <w:shd w:val="nil" w:color="auto" w:fill="auto"/>
                <w:rtl w:val="0"/>
                <w:lang w:val="en-US"/>
                <w14:textFill>
                  <w14:solidFill>
                    <w14:srgbClr w14:val="000000"/>
                  </w14:solidFill>
                </w14:textFill>
              </w:rPr>
              <w:t>’</w:t>
            </w:r>
            <w:r>
              <w:rPr>
                <w:rFonts w:ascii="Arial" w:hAnsi="Arial"/>
                <w:outline w:val="0"/>
                <w:color w:val="000000"/>
                <w:sz w:val="20"/>
                <w:szCs w:val="20"/>
                <w:u w:color="000000"/>
                <w:shd w:val="nil" w:color="auto" w:fill="auto"/>
                <w:rtl w:val="0"/>
                <w:lang w:val="en-US"/>
                <w14:textFill>
                  <w14:solidFill>
                    <w14:srgbClr w14:val="000000"/>
                  </w14:solidFill>
                </w14:textFill>
              </w:rPr>
              <w:t>s/Moderator</w:t>
            </w:r>
            <w:r>
              <w:rPr>
                <w:rFonts w:ascii="Arial" w:hAnsi="Arial" w:hint="default"/>
                <w:outline w:val="0"/>
                <w:color w:val="000000"/>
                <w:sz w:val="20"/>
                <w:szCs w:val="20"/>
                <w:u w:color="000000"/>
                <w:shd w:val="nil" w:color="auto" w:fill="auto"/>
                <w:rtl w:val="0"/>
                <w:lang w:val="en-US"/>
                <w14:textFill>
                  <w14:solidFill>
                    <w14:srgbClr w14:val="000000"/>
                  </w14:solidFill>
                </w14:textFill>
              </w:rPr>
              <w:t>’</w:t>
            </w:r>
            <w:r>
              <w:rPr>
                <w:rFonts w:ascii="Arial" w:hAnsi="Arial"/>
                <w:outline w:val="0"/>
                <w:color w:val="000000"/>
                <w:sz w:val="20"/>
                <w:szCs w:val="20"/>
                <w:u w:color="000000"/>
                <w:shd w:val="nil" w:color="auto" w:fill="auto"/>
                <w:rtl w:val="0"/>
                <w:lang w:val="en-US"/>
                <w14:textFill>
                  <w14:solidFill>
                    <w14:srgbClr w14:val="000000"/>
                  </w14:solidFill>
                </w14:textFill>
              </w:rPr>
              <w:t>s provisional mark</w:t>
              <w:tab/>
            </w: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r>
              <w:rPr>
                <w:rFonts w:ascii="Arial" w:hAnsi="Arial"/>
                <w:outline w:val="0"/>
                <w:color w:val="000000"/>
                <w:sz w:val="20"/>
                <w:szCs w:val="20"/>
                <w:u w:color="000000"/>
                <w:shd w:val="nil" w:color="auto" w:fill="auto"/>
                <w:rtl w:val="0"/>
                <w:lang w:val="en-US"/>
                <w14:textFill>
                  <w14:solidFill>
                    <w14:srgbClr w14:val="000000"/>
                  </w14:solidFill>
                </w14:textFill>
              </w:rPr>
              <w:t>External Examiner</w:t>
            </w:r>
            <w:r>
              <w:rPr>
                <w:rFonts w:ascii="Arial" w:hAnsi="Arial" w:hint="default"/>
                <w:outline w:val="0"/>
                <w:color w:val="000000"/>
                <w:sz w:val="20"/>
                <w:szCs w:val="20"/>
                <w:u w:color="000000"/>
                <w:shd w:val="nil" w:color="auto" w:fill="auto"/>
                <w:rtl w:val="0"/>
                <w:lang w:val="en-US"/>
                <w14:textFill>
                  <w14:solidFill>
                    <w14:srgbClr w14:val="000000"/>
                  </w14:solidFill>
                </w14:textFill>
              </w:rPr>
              <w:t>’</w:t>
            </w:r>
            <w:r>
              <w:rPr>
                <w:rFonts w:ascii="Arial" w:hAnsi="Arial"/>
                <w:outline w:val="0"/>
                <w:color w:val="000000"/>
                <w:sz w:val="20"/>
                <w:szCs w:val="20"/>
                <w:u w:color="000000"/>
                <w:shd w:val="nil" w:color="auto" w:fill="auto"/>
                <w:rtl w:val="0"/>
                <w:lang w:val="en-US"/>
                <w14:textFill>
                  <w14:solidFill>
                    <w14:srgbClr w14:val="000000"/>
                  </w14:solidFill>
                </w14:textFill>
              </w:rPr>
              <w:t>s mark (if relevant)</w:t>
              <w:tab/>
            </w:r>
          </w:p>
          <w:p>
            <w:pPr>
              <w:pStyle w:val="Body 2"/>
              <w:bidi w:val="0"/>
              <w:spacing w:after="0" w:line="240" w:lineRule="auto"/>
              <w:ind w:left="0" w:right="0" w:firstLine="0"/>
              <w:jc w:val="left"/>
              <w:rPr>
                <w:rFonts w:ascii="Arial" w:cs="Arial" w:hAnsi="Arial" w:eastAsia="Arial"/>
                <w:outline w:val="0"/>
                <w:color w:val="000000"/>
                <w:sz w:val="20"/>
                <w:szCs w:val="20"/>
                <w:u w:color="000000"/>
                <w:shd w:val="nil" w:color="auto" w:fill="auto"/>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b w:val="1"/>
                <w:bCs w:val="1"/>
                <w:outline w:val="0"/>
                <w:color w:val="000000"/>
                <w:sz w:val="20"/>
                <w:szCs w:val="20"/>
                <w:u w:color="000000"/>
                <w:shd w:val="nil" w:color="auto" w:fill="auto"/>
                <w:rtl w:val="0"/>
                <w14:textFill>
                  <w14:solidFill>
                    <w14:srgbClr w14:val="000000"/>
                  </w14:solidFill>
                </w14:textFill>
              </w:rPr>
            </w:pPr>
            <w:r>
              <w:rPr>
                <w:rFonts w:ascii="Arial" w:hAnsi="Arial"/>
                <w:b w:val="1"/>
                <w:bCs w:val="1"/>
                <w:outline w:val="0"/>
                <w:color w:val="000000"/>
                <w:sz w:val="20"/>
                <w:szCs w:val="20"/>
                <w:u w:color="000000"/>
                <w:shd w:val="nil" w:color="auto" w:fill="auto"/>
                <w:rtl w:val="0"/>
                <w:lang w:val="en-US"/>
                <w14:textFill>
                  <w14:solidFill>
                    <w14:srgbClr w14:val="000000"/>
                  </w14:solidFill>
                </w14:textFill>
              </w:rPr>
              <w:t>Final Mark</w:t>
            </w:r>
          </w:p>
          <w:p>
            <w:pPr>
              <w:pStyle w:val="Body 2"/>
              <w:bidi w:val="0"/>
              <w:spacing w:after="0" w:line="240" w:lineRule="auto"/>
              <w:ind w:left="0" w:right="0" w:firstLine="0"/>
              <w:jc w:val="left"/>
              <w:rPr>
                <w:rFonts w:ascii="Arial" w:cs="Arial" w:hAnsi="Arial" w:eastAsia="Arial"/>
                <w:b w:val="1"/>
                <w:bCs w:val="1"/>
                <w:outline w:val="0"/>
                <w:color w:val="000000"/>
                <w:sz w:val="20"/>
                <w:szCs w:val="20"/>
                <w:u w:color="000000"/>
                <w:shd w:val="nil" w:color="auto" w:fill="auto"/>
                <w:rtl w:val="0"/>
                <w14:textFill>
                  <w14:solidFill>
                    <w14:srgbClr w14:val="000000"/>
                  </w14:solidFill>
                </w14:textFill>
              </w:rPr>
            </w:pPr>
            <w:r>
              <w:rPr>
                <w:rFonts w:ascii="Arial" w:cs="Arial" w:hAnsi="Arial" w:eastAsia="Arial"/>
                <w:b w:val="1"/>
                <w:bCs w:val="1"/>
                <w:outline w:val="0"/>
                <w:color w:val="000000"/>
                <w:sz w:val="20"/>
                <w:szCs w:val="20"/>
                <w:u w:color="000000"/>
                <w:shd w:val="nil" w:color="auto" w:fill="auto"/>
                <w:rtl w:val="0"/>
                <w14:textFill>
                  <w14:solidFill>
                    <w14:srgbClr w14:val="000000"/>
                  </w14:solidFill>
                </w14:textFill>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Fonts w:ascii="Arial" w:cs="Arial" w:hAnsi="Arial" w:eastAsia="Arial"/>
                <w:b w:val="1"/>
                <w:bCs w:val="1"/>
                <w:outline w:val="0"/>
                <w:color w:val="000000"/>
                <w:sz w:val="22"/>
                <w:szCs w:val="22"/>
                <w:u w:color="000000"/>
                <w:shd w:val="nil" w:color="auto" w:fill="auto"/>
                <w:rtl w:val="0"/>
                <w14:textFill>
                  <w14:solidFill>
                    <w14:srgbClr w14:val="000000"/>
                  </w14:solidFill>
                </w14:textFill>
              </w:rPr>
            </w:pPr>
            <w:r>
              <w:rPr>
                <w:rFonts w:ascii="Arial" w:hAnsi="Arial"/>
                <w:b w:val="1"/>
                <w:bCs w:val="1"/>
                <w:outline w:val="0"/>
                <w:color w:val="000000"/>
                <w:sz w:val="22"/>
                <w:szCs w:val="22"/>
                <w:u w:color="000000"/>
                <w:shd w:val="nil" w:color="auto" w:fill="auto"/>
                <w:rtl w:val="0"/>
                <w:lang w:val="en-US"/>
                <w14:textFill>
                  <w14:solidFill>
                    <w14:srgbClr w14:val="000000"/>
                  </w14:solidFill>
                </w14:textFill>
              </w:rPr>
              <w:t>External Examiner</w:t>
            </w:r>
            <w:r>
              <w:rPr>
                <w:rFonts w:ascii="Arial" w:hAnsi="Arial" w:hint="default"/>
                <w:b w:val="1"/>
                <w:bCs w:val="1"/>
                <w:outline w:val="0"/>
                <w:color w:val="000000"/>
                <w:sz w:val="22"/>
                <w:szCs w:val="22"/>
                <w:u w:color="000000"/>
                <w:shd w:val="nil" w:color="auto" w:fill="auto"/>
                <w:rtl w:val="0"/>
                <w:lang w:val="en-US"/>
                <w14:textFill>
                  <w14:solidFill>
                    <w14:srgbClr w14:val="000000"/>
                  </w14:solidFill>
                </w14:textFill>
              </w:rPr>
              <w:t>’</w:t>
            </w:r>
            <w:r>
              <w:rPr>
                <w:rFonts w:ascii="Arial" w:hAnsi="Arial"/>
                <w:b w:val="1"/>
                <w:bCs w:val="1"/>
                <w:outline w:val="0"/>
                <w:color w:val="000000"/>
                <w:sz w:val="22"/>
                <w:szCs w:val="22"/>
                <w:u w:color="000000"/>
                <w:shd w:val="nil" w:color="auto" w:fill="auto"/>
                <w:rtl w:val="0"/>
                <w:lang w:val="en-US"/>
                <w14:textFill>
                  <w14:solidFill>
                    <w14:srgbClr w14:val="000000"/>
                  </w14:solidFill>
                </w14:textFill>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External Examiner</w:t>
            </w:r>
            <w:r>
              <w:rPr>
                <w:rFonts w:ascii="Arial" w:hAnsi="Arial" w:hint="default"/>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Date:</w:t>
            </w:r>
          </w:p>
        </w:tc>
      </w:tr>
    </w:tbl>
    <w:p>
      <w:pPr>
        <w:pStyle w:val="Subtitle"/>
      </w:pPr>
      <w:r>
        <w:rPr>
          <w:rFonts w:ascii="Arial Unicode MS" w:cs="Arial Unicode MS" w:hAnsi="Arial Unicode MS" w:eastAsia="Arial Unicode MS"/>
          <w:b w:val="0"/>
          <w:bCs w:val="0"/>
          <w:i w:val="0"/>
          <w:iCs w:val="0"/>
          <w:outline w:val="0"/>
          <w:color w:val="000000"/>
          <w:sz w:val="40"/>
          <w:szCs w:val="40"/>
          <w14:textFill>
            <w14:solidFill>
              <w14:srgbClr w14:val="000000"/>
            </w14:solidFill>
          </w14:textFill>
        </w:rPr>
        <w:br w:type="page"/>
      </w:r>
    </w:p>
    <w:p>
      <w:pPr>
        <w:pStyle w:val="Subtitle"/>
        <w:rPr>
          <w:outline w:val="0"/>
          <w:color w:val="000000"/>
          <w:sz w:val="40"/>
          <w:szCs w:val="40"/>
          <w14:textFill>
            <w14:solidFill>
              <w14:srgbClr w14:val="000000"/>
            </w14:solidFill>
          </w14:textFill>
        </w:rPr>
      </w:pPr>
      <w:r>
        <w:rPr>
          <w:outline w:val="0"/>
          <w:color w:val="000000"/>
          <w:sz w:val="40"/>
          <w:szCs w:val="40"/>
          <w:rtl w:val="0"/>
          <w:lang w:val="en-US"/>
          <w14:textFill>
            <w14:solidFill>
              <w14:srgbClr w14:val="000000"/>
            </w14:solidFill>
          </w14:textFill>
        </w:rPr>
        <w:t>A Critical Comparison of Two Secondary Sources</w:t>
      </w:r>
    </w:p>
    <w:p>
      <w:pPr>
        <w:pStyle w:val="Subheading"/>
        <w:rPr>
          <w:i w:val="1"/>
          <w:iCs w:val="1"/>
          <w:outline w:val="0"/>
          <w:color w:val="7a7a7a"/>
          <w:sz w:val="24"/>
          <w:szCs w:val="24"/>
          <w14:textFill>
            <w14:solidFill>
              <w14:srgbClr w14:val="7A7A7A"/>
            </w14:solidFill>
          </w14:textFill>
        </w:rPr>
      </w:pPr>
    </w:p>
    <w:p>
      <w:pPr>
        <w:pStyle w:val="Subheading"/>
        <w:rPr>
          <w:i w:val="1"/>
          <w:iCs w:val="1"/>
          <w:outline w:val="0"/>
          <w:color w:val="7a7a7a"/>
          <w:sz w:val="24"/>
          <w:szCs w:val="24"/>
          <w14:textFill>
            <w14:solidFill>
              <w14:srgbClr w14:val="7A7A7A"/>
            </w14:solidFill>
          </w14:textFill>
        </w:rPr>
      </w:pPr>
      <w:r>
        <w:rPr>
          <w:i w:val="1"/>
          <w:iCs w:val="1"/>
          <w:outline w:val="0"/>
          <w:color w:val="7a7a7a"/>
          <w:sz w:val="24"/>
          <w:szCs w:val="24"/>
          <w:rtl w:val="0"/>
          <w:lang w:val="en-US"/>
          <w14:textFill>
            <w14:solidFill>
              <w14:srgbClr w14:val="7A7A7A"/>
            </w14:solidFill>
          </w14:textFill>
        </w:rPr>
        <w:t xml:space="preserve">Word Count: </w:t>
      </w:r>
      <w:r>
        <w:rPr>
          <w:i w:val="1"/>
          <w:iCs w:val="1"/>
          <w:outline w:val="0"/>
          <w:color w:val="7a7a7a"/>
          <w:sz w:val="24"/>
          <w:szCs w:val="24"/>
          <w:rtl w:val="0"/>
          <w:lang w:val="en-US"/>
          <w14:textFill>
            <w14:solidFill>
              <w14:srgbClr w14:val="7A7A7A"/>
            </w14:solidFill>
          </w14:textFill>
        </w:rPr>
        <w:t>1074</w:t>
      </w:r>
    </w:p>
    <w:p>
      <w:pPr>
        <w:pStyle w:val="Body 2"/>
        <w:bidi w:val="0"/>
      </w:pPr>
    </w:p>
    <w:p>
      <w:pPr>
        <w:pStyle w:val="Body"/>
        <w:bidi w:val="0"/>
      </w:pPr>
      <w:r>
        <w:rPr>
          <w:rtl w:val="0"/>
        </w:rPr>
        <w:t xml:space="preserve">The current essay critically compares the papers </w:t>
      </w:r>
      <w:r>
        <w:rPr>
          <w:rtl w:val="0"/>
        </w:rPr>
        <w:t>Brink, T. L.</w:t>
      </w:r>
      <w:r>
        <w:rPr>
          <w:rtl w:val="0"/>
        </w:rPr>
        <w:t xml:space="preserve">, </w:t>
      </w:r>
      <w:r>
        <w:rPr>
          <w:rtl w:val="1"/>
        </w:rPr>
        <w:t>‘</w:t>
      </w:r>
      <w:r>
        <w:rPr>
          <w:rtl w:val="0"/>
        </w:rPr>
        <w:t>Inconsistency of Belief among Roman Catholic Girls: Concerning Religion,</w:t>
      </w:r>
      <w:r>
        <w:rPr>
          <w:rtl w:val="0"/>
        </w:rPr>
        <w:t xml:space="preserve"> </w:t>
      </w:r>
      <w:r>
        <w:rPr>
          <w:rtl w:val="0"/>
        </w:rPr>
        <w:t>Astrology, Reincarnation</w:t>
      </w:r>
      <w:r>
        <w:rPr>
          <w:rtl w:val="1"/>
        </w:rPr>
        <w:t>’</w:t>
      </w:r>
      <w:r>
        <w:rPr>
          <w:rtl w:val="0"/>
        </w:rPr>
        <w:t>,</w:t>
      </w:r>
      <w:r>
        <w:rPr>
          <w:rtl w:val="0"/>
        </w:rPr>
        <w:t xml:space="preserve"> Review of Religious Research, 20,</w:t>
      </w:r>
      <w:r>
        <w:rPr>
          <w:rtl w:val="0"/>
        </w:rPr>
        <w:t xml:space="preserve"> </w:t>
      </w:r>
      <w:r>
        <w:rPr>
          <w:rtl w:val="0"/>
        </w:rPr>
        <w:t>1978</w:t>
      </w:r>
      <w:r>
        <w:rPr>
          <w:rtl w:val="0"/>
        </w:rPr>
        <w:t xml:space="preserve"> and </w:t>
      </w:r>
      <w:r>
        <w:rPr>
          <w:rtl w:val="0"/>
        </w:rPr>
        <w:t xml:space="preserve">Walter, T. &amp; Waterhouse, H. </w:t>
      </w:r>
      <w:r>
        <w:rPr>
          <w:rtl w:val="1"/>
        </w:rPr>
        <w:t>‘</w:t>
      </w:r>
      <w:r>
        <w:rPr>
          <w:rtl w:val="0"/>
        </w:rPr>
        <w:t>A Very Private Belief: Reincarnation in Contemporary</w:t>
      </w:r>
      <w:r>
        <w:rPr>
          <w:rtl w:val="0"/>
        </w:rPr>
        <w:t xml:space="preserve"> </w:t>
      </w:r>
      <w:r>
        <w:rPr>
          <w:rtl w:val="0"/>
        </w:rPr>
        <w:t>England</w:t>
      </w:r>
      <w:r>
        <w:rPr>
          <w:rtl w:val="1"/>
        </w:rPr>
        <w:t>’</w:t>
      </w:r>
      <w:r>
        <w:rPr>
          <w:rtl w:val="0"/>
        </w:rPr>
        <w:t>.</w:t>
      </w:r>
      <w:r>
        <w:rPr>
          <w:rtl w:val="0"/>
        </w:rPr>
        <w:t xml:space="preserve"> Sociology of Religion, 60,</w:t>
      </w:r>
      <w:r>
        <w:rPr>
          <w:rtl w:val="0"/>
        </w:rPr>
        <w:t xml:space="preserve"> </w:t>
      </w:r>
      <w:r>
        <w:rPr>
          <w:rtl w:val="0"/>
        </w:rPr>
        <w:t>1999</w:t>
      </w:r>
      <w:r>
        <w:rPr>
          <w:rtl w:val="0"/>
        </w:rPr>
        <w:t xml:space="preserve">. Despite the difference of 21 years in their publications, both papers demonstrate some flaws in their methodology </w:t>
      </w:r>
      <w:r>
        <w:rPr>
          <w:rtl w:val="0"/>
        </w:rPr>
        <w:t xml:space="preserve">as </w:t>
      </w:r>
      <w:r>
        <w:rPr>
          <w:rtl w:val="0"/>
        </w:rPr>
        <w:t xml:space="preserve">seen by </w:t>
      </w:r>
      <w:r>
        <w:rPr>
          <w:rtl w:val="0"/>
        </w:rPr>
        <w:t xml:space="preserve">their </w:t>
      </w:r>
      <w:r>
        <w:rPr>
          <w:rtl w:val="0"/>
        </w:rPr>
        <w:t xml:space="preserve">selection of </w:t>
      </w:r>
      <w:r>
        <w:rPr>
          <w:rtl w:val="0"/>
        </w:rPr>
        <w:t>target groups</w:t>
      </w:r>
      <w:r>
        <w:rPr>
          <w:rtl w:val="0"/>
        </w:rPr>
        <w:t>. Brink</w:t>
      </w:r>
      <w:r>
        <w:rPr>
          <w:rtl w:val="0"/>
        </w:rPr>
        <w:t>’</w:t>
      </w:r>
      <w:r>
        <w:rPr>
          <w:rtl w:val="0"/>
        </w:rPr>
        <w:t>s paper in particular shows a tendency toward bias against alternative belief systems such as astrology and reincarnation, as evidenced by his use of language, lack of self-reflexivity and the studies he opted to highlight.</w:t>
      </w:r>
    </w:p>
    <w:p>
      <w:pPr>
        <w:pStyle w:val="Body"/>
        <w:bidi w:val="0"/>
      </w:pPr>
      <w:r>
        <w:rPr>
          <w:rtl w:val="0"/>
        </w:rPr>
        <w:t>While Helen Waterhouse has been involved in researching Buddhism in England for many years and Tony Walters has focussed on the sociology of mortality, their personal belief toward reincarnation is unknown therefore it is unclear whether they could be classified as possessing an insider or emic perspective in this research.</w:t>
      </w:r>
      <w:r>
        <w:rPr>
          <w:rFonts w:ascii="Lora Regular" w:cs="Lora Regular" w:hAnsi="Lora Regular" w:eastAsia="Lora Regular"/>
          <w:b w:val="0"/>
          <w:bCs w:val="0"/>
          <w:i w:val="0"/>
          <w:iCs w:val="0"/>
          <w:vertAlign w:val="superscript"/>
        </w:rPr>
        <w:footnoteReference w:id="1"/>
      </w:r>
      <w:r>
        <w:rPr>
          <w:rtl w:val="0"/>
        </w:rPr>
        <w:t xml:space="preserve"> T.L. Brink, on the other hand, is an outsider to the subjects of his research, catholic school girls, although he is part of the </w:t>
      </w:r>
      <w:r>
        <w:rPr>
          <w:rtl w:val="0"/>
        </w:rPr>
        <w:t>American Academy of Religion</w:t>
      </w:r>
      <w:r>
        <w:rPr>
          <w:rtl w:val="0"/>
        </w:rPr>
        <w:t xml:space="preserve"> and</w:t>
      </w:r>
      <w:r>
        <w:rPr>
          <w:rtl w:val="0"/>
        </w:rPr>
        <w:t xml:space="preserve"> Religious Research Association</w:t>
      </w:r>
      <w:r>
        <w:rPr>
          <w:rtl w:val="0"/>
        </w:rPr>
        <w:t>. His private beliefs are also unknown.</w:t>
      </w:r>
      <w:r>
        <w:rPr>
          <w:rFonts w:ascii="Lora Regular" w:cs="Lora Regular" w:hAnsi="Lora Regular" w:eastAsia="Lora Regular"/>
          <w:b w:val="0"/>
          <w:bCs w:val="0"/>
          <w:i w:val="0"/>
          <w:iCs w:val="0"/>
          <w:vertAlign w:val="superscript"/>
        </w:rPr>
        <w:footnoteReference w:id="2"/>
      </w:r>
    </w:p>
    <w:p>
      <w:pPr>
        <w:pStyle w:val="Body"/>
        <w:bidi w:val="0"/>
      </w:pPr>
      <w:r>
        <w:rPr>
          <w:rtl w:val="0"/>
        </w:rPr>
        <w:t>Brink chose to study 227 junior and senior students Catholic girls</w:t>
      </w:r>
      <w:r>
        <w:rPr>
          <w:rtl w:val="0"/>
        </w:rPr>
        <w:t>,</w:t>
      </w:r>
      <w:r>
        <w:rPr>
          <w:rtl w:val="0"/>
        </w:rPr>
        <w:t xml:space="preserve"> </w:t>
      </w:r>
      <w:r>
        <w:rPr>
          <w:rtl w:val="0"/>
        </w:rPr>
        <w:t>using only quantitative data, which provided a superficial perspective on these girls' beliefs.</w:t>
      </w:r>
      <w:r>
        <w:rPr>
          <w:rFonts w:ascii="Lora Regular" w:cs="Lora Regular" w:hAnsi="Lora Regular" w:eastAsia="Lora Regular"/>
          <w:b w:val="0"/>
          <w:bCs w:val="0"/>
          <w:i w:val="0"/>
          <w:iCs w:val="0"/>
          <w:vertAlign w:val="superscript"/>
        </w:rPr>
        <w:footnoteReference w:id="3"/>
      </w:r>
      <w:r>
        <w:rPr>
          <w:rtl w:val="0"/>
        </w:rPr>
        <w:t xml:space="preserve"> </w:t>
      </w:r>
      <w:r>
        <w:rPr>
          <w:rtl w:val="0"/>
        </w:rPr>
        <w:t>This is confirmed when he reveal</w:t>
      </w:r>
      <w:r>
        <w:rPr>
          <w:rtl w:val="0"/>
        </w:rPr>
        <w:t>ed</w:t>
      </w:r>
      <w:r>
        <w:rPr>
          <w:rtl w:val="0"/>
        </w:rPr>
        <w:t xml:space="preserve"> that, </w:t>
      </w:r>
      <w:r>
        <w:rPr>
          <w:rtl w:val="1"/>
        </w:rPr>
        <w:t>‘</w:t>
      </w:r>
      <w:r>
        <w:rPr>
          <w:rtl w:val="0"/>
        </w:rPr>
        <w:t>The author was somewhat surprised at the low response of the subjects to the statement about Roman Catholic religion being the one for them.</w:t>
      </w:r>
      <w:r>
        <w:rPr>
          <w:rtl w:val="1"/>
        </w:rPr>
        <w:t>’</w:t>
      </w:r>
      <w:r>
        <w:rPr>
          <w:rFonts w:ascii="Lora Regular" w:cs="Lora Regular" w:hAnsi="Lora Regular" w:eastAsia="Lora Regular"/>
          <w:b w:val="0"/>
          <w:bCs w:val="0"/>
          <w:i w:val="0"/>
          <w:iCs w:val="0"/>
          <w:vertAlign w:val="superscript"/>
        </w:rPr>
        <w:footnoteReference w:id="4"/>
      </w:r>
      <w:r>
        <w:rPr>
          <w:rtl w:val="0"/>
        </w:rPr>
        <w:t xml:space="preserve"> </w:t>
      </w:r>
      <w:r>
        <w:rPr>
          <w:rtl w:val="0"/>
        </w:rPr>
        <w:t>This</w:t>
      </w:r>
      <w:r>
        <w:rPr>
          <w:rtl w:val="0"/>
        </w:rPr>
        <w:t xml:space="preserve"> indicates a preconceived notion</w:t>
      </w:r>
      <w:r>
        <w:rPr>
          <w:rtl w:val="0"/>
        </w:rPr>
        <w:t xml:space="preserve"> and lack of understanding</w:t>
      </w:r>
      <w:r>
        <w:rPr>
          <w:rtl w:val="0"/>
        </w:rPr>
        <w:t xml:space="preserve"> of his groups</w:t>
      </w:r>
      <w:r>
        <w:rPr>
          <w:rtl w:val="1"/>
        </w:rPr>
        <w:t xml:space="preserve">’ </w:t>
      </w:r>
      <w:r>
        <w:rPr>
          <w:rtl w:val="0"/>
        </w:rPr>
        <w:t>religious beliefs</w:t>
      </w:r>
      <w:r>
        <w:rPr>
          <w:rtl w:val="0"/>
        </w:rPr>
        <w:t xml:space="preserve">. </w:t>
      </w:r>
      <w:r>
        <w:rPr>
          <w:rtl w:val="0"/>
        </w:rPr>
        <w:t xml:space="preserve">As Bryman wrote, </w:t>
      </w:r>
      <w:r>
        <w:rPr>
          <w:rtl w:val="0"/>
        </w:rPr>
        <w:t>‘</w:t>
      </w:r>
      <w:r>
        <w:rPr>
          <w:rtl w:val="0"/>
        </w:rPr>
        <w:t>Quantitative research is concerned to establish that respondents are representative of a wider population, so that the generalizability of fin</w:t>
      </w:r>
      <w:r>
        <w:rPr>
          <w:rtl w:val="0"/>
        </w:rPr>
        <w:t>d</w:t>
      </w:r>
      <w:r>
        <w:rPr>
          <w:rtl w:val="0"/>
        </w:rPr>
        <w:t>ings can be enhanced</w:t>
      </w:r>
      <w:r>
        <w:rPr>
          <w:rtl w:val="0"/>
        </w:rPr>
        <w:t>.</w:t>
      </w:r>
      <w:r>
        <w:rPr>
          <w:rtl w:val="0"/>
        </w:rPr>
        <w:t>’</w:t>
      </w:r>
      <w:r>
        <w:rPr>
          <w:rFonts w:ascii="Lora Regular" w:cs="Lora Regular" w:hAnsi="Lora Regular" w:eastAsia="Lora Regular"/>
          <w:b w:val="0"/>
          <w:bCs w:val="0"/>
          <w:i w:val="0"/>
          <w:iCs w:val="0"/>
          <w:vertAlign w:val="superscript"/>
        </w:rPr>
        <w:footnoteReference w:id="5"/>
      </w:r>
      <w:r>
        <w:rPr>
          <w:rtl w:val="0"/>
        </w:rPr>
        <w:t xml:space="preserve"> It seems that results based on such a small and specific demographic cannot be extrapolated to a wider audience. Furthermore, the questionnaire was provided during class, </w:t>
      </w:r>
      <w:r>
        <w:rPr>
          <w:rtl w:val="0"/>
        </w:rPr>
        <w:t>‘</w:t>
      </w:r>
      <w:r>
        <w:rPr>
          <w:rtl w:val="0"/>
        </w:rPr>
        <w:t xml:space="preserve">Whoever was present in religion </w:t>
      </w:r>
      <w:r>
        <w:rPr>
          <w:rtl w:val="0"/>
        </w:rPr>
        <w:t>(</w:t>
      </w:r>
      <w:r>
        <w:rPr>
          <w:rtl w:val="0"/>
        </w:rPr>
        <w:t>required course) that day got a qu</w:t>
      </w:r>
      <w:r>
        <w:rPr>
          <w:rtl w:val="0"/>
        </w:rPr>
        <w:t>estionnaire</w:t>
      </w:r>
      <w:r>
        <w:rPr>
          <w:rtl w:val="0"/>
        </w:rPr>
        <w:t>’</w:t>
      </w:r>
      <w:r>
        <w:rPr>
          <w:rtl w:val="0"/>
        </w:rPr>
        <w:t>.</w:t>
      </w:r>
      <w:r>
        <w:rPr>
          <w:rFonts w:ascii="Lora Regular" w:cs="Lora Regular" w:hAnsi="Lora Regular" w:eastAsia="Lora Regular"/>
          <w:b w:val="0"/>
          <w:bCs w:val="0"/>
          <w:i w:val="0"/>
          <w:iCs w:val="0"/>
          <w:vertAlign w:val="superscript"/>
        </w:rPr>
        <w:footnoteReference w:id="6"/>
      </w:r>
      <w:r>
        <w:rPr>
          <w:rtl w:val="0"/>
        </w:rPr>
        <w:t xml:space="preserve"> This is probably a major flaw in the design of the research. As Hennink, Hutter, and Bailey wrote. </w:t>
      </w:r>
      <w:r>
        <w:rPr>
          <w:rtl w:val="0"/>
        </w:rPr>
        <w:t>‘…</w:t>
      </w:r>
      <w:r>
        <w:rPr>
          <w:rtl w:val="0"/>
        </w:rPr>
        <w:t>if a researcher conducted an interview and was inadvertently dressed in a manner that clearly expressed their strong religious identity, they might find that all study participants also indicate that religion was very important to them.</w:t>
      </w:r>
      <w:r>
        <w:rPr>
          <w:rtl w:val="0"/>
        </w:rPr>
        <w:t xml:space="preserve">’ </w:t>
      </w:r>
      <w:r>
        <w:rPr>
          <w:rFonts w:ascii="Lora Regular" w:cs="Lora Regular" w:hAnsi="Lora Regular" w:eastAsia="Lora Regular"/>
          <w:b w:val="0"/>
          <w:bCs w:val="0"/>
          <w:i w:val="0"/>
          <w:iCs w:val="0"/>
          <w:vertAlign w:val="superscript"/>
        </w:rPr>
        <w:footnoteReference w:id="7"/>
      </w:r>
      <w:r>
        <w:rPr>
          <w:rtl w:val="0"/>
        </w:rPr>
        <w:t xml:space="preserve"> Therefore, by conducting the interview in the setting of a religious institution, the results were likely skewed. </w:t>
      </w:r>
    </w:p>
    <w:p>
      <w:pPr>
        <w:pStyle w:val="Body"/>
        <w:bidi w:val="0"/>
      </w:pPr>
      <w:r>
        <w:rPr>
          <w:rtl w:val="0"/>
        </w:rPr>
        <w:t>Brink</w:t>
      </w:r>
      <w:r>
        <w:rPr>
          <w:rtl w:val="0"/>
        </w:rPr>
        <w:t>’</w:t>
      </w:r>
      <w:r>
        <w:rPr>
          <w:rtl w:val="0"/>
        </w:rPr>
        <w:t xml:space="preserve">s literature review includes an extensive bibliography on social theories regarding cognitive consistency, significantly absent however is any literature on astrology and reincarnation. By not reflecting on deeper questions of similarities or differences of the actual philosophies, and taking an uncritical view of Christianity, he makes generalized statements like </w:t>
      </w:r>
      <w:r>
        <w:rPr>
          <w:rtl w:val="0"/>
        </w:rPr>
        <w:t>‘…</w:t>
      </w:r>
      <w:r>
        <w:rPr>
          <w:rtl w:val="0"/>
        </w:rPr>
        <w:t>t</w:t>
      </w:r>
      <w:r>
        <w:rPr>
          <w:rtl w:val="0"/>
        </w:rPr>
        <w:t>he Catholic conception of the hereafter leaves no room for a return to, life in the flesh.</w:t>
      </w:r>
      <w:r>
        <w:rPr>
          <w:rtl w:val="0"/>
        </w:rPr>
        <w:t>’</w:t>
      </w:r>
      <w:r>
        <w:rPr>
          <w:rFonts w:ascii="Lora Regular" w:cs="Lora Regular" w:hAnsi="Lora Regular" w:eastAsia="Lora Regular"/>
          <w:b w:val="0"/>
          <w:bCs w:val="0"/>
          <w:i w:val="0"/>
          <w:iCs w:val="0"/>
          <w:vertAlign w:val="superscript"/>
        </w:rPr>
        <w:footnoteReference w:id="8"/>
      </w:r>
      <w:r>
        <w:rPr>
          <w:rtl w:val="0"/>
        </w:rPr>
        <w:t xml:space="preserve"> </w:t>
      </w:r>
      <w:r>
        <w:rPr>
          <w:rtl w:val="0"/>
        </w:rPr>
        <w:t xml:space="preserve">He does not </w:t>
      </w:r>
      <w:r>
        <w:rPr>
          <w:rtl w:val="0"/>
        </w:rPr>
        <w:t>investigate</w:t>
      </w:r>
      <w:r>
        <w:rPr>
          <w:rtl w:val="0"/>
          <w:lang w:val="pt-PT"/>
        </w:rPr>
        <w:t xml:space="preserve">, for instance, similarities or differences between resurrection and reincarnation, possible influences of astrology on Bible, and his own religious point of view in this debate. </w:t>
      </w:r>
      <w:r>
        <w:rPr>
          <w:rtl w:val="0"/>
        </w:rPr>
        <w:t xml:space="preserve">As Guillemin and Gillam note, </w:t>
      </w:r>
      <w:r>
        <w:rPr>
          <w:rtl w:val="0"/>
        </w:rPr>
        <w:t>‘</w:t>
      </w:r>
      <w:r>
        <w:rPr>
          <w:rtl w:val="0"/>
        </w:rPr>
        <w:t>Adopting a reflexive research process means a continuous process of critical scrutiny and interpretation, not just in relation to the research methods and the data but also to the researcher, participants, and the research context.</w:t>
      </w:r>
      <w:r>
        <w:rPr>
          <w:rtl w:val="0"/>
        </w:rPr>
        <w:t>’</w:t>
      </w:r>
      <w:r>
        <w:rPr>
          <w:rFonts w:ascii="Lora Regular" w:cs="Lora Regular" w:hAnsi="Lora Regular" w:eastAsia="Lora Regular"/>
          <w:b w:val="0"/>
          <w:bCs w:val="0"/>
          <w:i w:val="0"/>
          <w:iCs w:val="0"/>
          <w:vertAlign w:val="superscript"/>
        </w:rPr>
        <w:footnoteReference w:id="9"/>
      </w:r>
      <w:r>
        <w:rPr>
          <w:rFonts w:ascii="Times Roman" w:hAnsi="Times Roman"/>
          <w:rtl w:val="0"/>
          <w:lang w:val="en-US"/>
        </w:rPr>
        <w:t xml:space="preserve"> </w:t>
      </w:r>
      <w:r>
        <w:rPr>
          <w:rtl w:val="0"/>
        </w:rPr>
        <w:t>This is in contrast to Walter and Waterhouse</w:t>
      </w:r>
      <w:r>
        <w:rPr>
          <w:rtl w:val="1"/>
        </w:rPr>
        <w:t>’</w:t>
      </w:r>
      <w:r>
        <w:rPr>
          <w:rtl w:val="0"/>
        </w:rPr>
        <w:t xml:space="preserve">s </w:t>
      </w:r>
      <w:r>
        <w:rPr>
          <w:rtl w:val="0"/>
        </w:rPr>
        <w:t>research</w:t>
      </w:r>
      <w:r>
        <w:rPr>
          <w:rtl w:val="0"/>
        </w:rPr>
        <w:t>, which</w:t>
      </w:r>
      <w:r>
        <w:rPr>
          <w:rtl w:val="0"/>
        </w:rPr>
        <w:t xml:space="preserve">, for example, discovered their subjects struggling with the </w:t>
      </w:r>
      <w:r>
        <w:rPr>
          <w:rtl w:val="0"/>
        </w:rPr>
        <w:t>‘</w:t>
      </w:r>
      <w:r>
        <w:rPr>
          <w:rtl w:val="0"/>
        </w:rPr>
        <w:t>weak theodicy</w:t>
      </w:r>
      <w:r>
        <w:rPr>
          <w:rtl w:val="0"/>
        </w:rPr>
        <w:t xml:space="preserve">’ </w:t>
      </w:r>
      <w:r>
        <w:rPr>
          <w:rtl w:val="0"/>
        </w:rPr>
        <w:t>of Christianity and looking for Near Eastern influences.</w:t>
      </w:r>
      <w:r>
        <w:rPr>
          <w:rFonts w:ascii="Lora Regular" w:cs="Lora Regular" w:hAnsi="Lora Regular" w:eastAsia="Lora Regular"/>
          <w:b w:val="0"/>
          <w:bCs w:val="0"/>
          <w:i w:val="0"/>
          <w:iCs w:val="0"/>
          <w:vertAlign w:val="superscript"/>
        </w:rPr>
        <w:footnoteReference w:id="10"/>
      </w:r>
    </w:p>
    <w:p>
      <w:pPr>
        <w:pStyle w:val="Body"/>
        <w:bidi w:val="0"/>
      </w:pPr>
      <w:r>
        <w:rPr>
          <w:rtl w:val="0"/>
        </w:rPr>
        <w:t xml:space="preserve"> Walter and Waterhouse</w:t>
      </w:r>
      <w:r>
        <w:rPr>
          <w:rtl w:val="0"/>
        </w:rPr>
        <w:t>'s</w:t>
      </w:r>
      <w:r>
        <w:rPr>
          <w:rtl w:val="0"/>
        </w:rPr>
        <w:t xml:space="preserve"> essay is indeed better structured with the exposition of the data, analysis, the findings, definitions of the beliefs, and conclusion. Also, Walter and Waterhouse</w:t>
      </w:r>
      <w:r>
        <w:rPr>
          <w:rtl w:val="0"/>
        </w:rPr>
        <w:t>’</w:t>
      </w:r>
      <w:r>
        <w:rPr>
          <w:rtl w:val="0"/>
        </w:rPr>
        <w:t xml:space="preserve">s use of interviews, as qualitative research, provides a deeper understanding of the subjects, as compared to T.L. Brink. As Bell wrote, </w:t>
      </w:r>
      <w:r>
        <w:rPr>
          <w:rtl w:val="0"/>
        </w:rPr>
        <w:t>‘</w:t>
      </w:r>
      <w:r>
        <w:rPr>
          <w:rtl w:val="0"/>
        </w:rPr>
        <w:t>A skil</w:t>
      </w:r>
      <w:r>
        <w:rPr>
          <w:rtl w:val="0"/>
        </w:rPr>
        <w:t>l</w:t>
      </w:r>
      <w:r>
        <w:rPr>
          <w:rtl w:val="0"/>
        </w:rPr>
        <w:t>ful interviewer can follow up ideas, probe responses and investigate motives and feelings, which the questionnaire can never do.</w:t>
      </w:r>
      <w:r>
        <w:rPr>
          <w:rtl w:val="0"/>
        </w:rPr>
        <w:t>’</w:t>
      </w:r>
      <w:r>
        <w:rPr>
          <w:rFonts w:ascii="Lora Regular" w:cs="Lora Regular" w:hAnsi="Lora Regular" w:eastAsia="Lora Regular"/>
          <w:b w:val="0"/>
          <w:bCs w:val="0"/>
          <w:i w:val="0"/>
          <w:iCs w:val="0"/>
          <w:vertAlign w:val="superscript"/>
        </w:rPr>
        <w:footnoteReference w:id="11"/>
      </w:r>
      <w:r>
        <w:rPr>
          <w:rtl w:val="0"/>
        </w:rPr>
        <w:t xml:space="preserve"> However, there were some issues with their conclusions as related to their methodology. </w:t>
      </w:r>
      <w:r>
        <w:rPr>
          <w:rtl w:val="0"/>
        </w:rPr>
        <w:t>Walter and Waterhouse</w:t>
      </w:r>
      <w:r>
        <w:rPr>
          <w:rtl w:val="0"/>
        </w:rPr>
        <w:t>’</w:t>
      </w:r>
      <w:r>
        <w:rPr>
          <w:rtl w:val="0"/>
        </w:rPr>
        <w:t xml:space="preserve">s use the very broad title </w:t>
      </w:r>
      <w:r>
        <w:rPr>
          <w:rtl w:val="0"/>
        </w:rPr>
        <w:t>‘</w:t>
      </w:r>
      <w:r>
        <w:rPr>
          <w:rtl w:val="0"/>
        </w:rPr>
        <w:t xml:space="preserve">A </w:t>
      </w:r>
      <w:r>
        <w:rPr>
          <w:rtl w:val="0"/>
        </w:rPr>
        <w:t>Very Private Belief: Reincarnation in Contemporary Englan</w:t>
      </w:r>
      <w:r>
        <w:rPr>
          <w:rtl w:val="0"/>
        </w:rPr>
        <w:t>d</w:t>
      </w:r>
      <w:r>
        <w:rPr>
          <w:rtl w:val="0"/>
        </w:rPr>
        <w:t>’</w:t>
      </w:r>
      <w:r>
        <w:rPr>
          <w:rtl w:val="0"/>
        </w:rPr>
        <w:t xml:space="preserve">, wherein contemporary England </w:t>
      </w:r>
      <w:r>
        <w:rPr>
          <w:rtl w:val="0"/>
        </w:rPr>
        <w:t>‘</w:t>
      </w:r>
      <w:r>
        <w:rPr>
          <w:rtl w:val="0"/>
        </w:rPr>
        <w:t>deliberately excluded Hindus, Sikhs, and Buddhis</w:t>
      </w:r>
      <w:r>
        <w:rPr>
          <w:rtl w:val="0"/>
        </w:rPr>
        <w:t>ts</w:t>
      </w:r>
      <w:r>
        <w:rPr>
          <w:rtl w:val="0"/>
        </w:rPr>
        <w:t xml:space="preserve">’ </w:t>
      </w:r>
      <w:r>
        <w:rPr>
          <w:rtl w:val="0"/>
        </w:rPr>
        <w:t xml:space="preserve">and </w:t>
      </w:r>
      <w:r>
        <w:rPr>
          <w:rtl w:val="0"/>
        </w:rPr>
        <w:t>‘</w:t>
      </w:r>
      <w:r>
        <w:rPr>
          <w:rtl w:val="0"/>
        </w:rPr>
        <w:t>did not seek out obvious New Agers</w:t>
      </w:r>
      <w:r>
        <w:rPr>
          <w:rtl w:val="0"/>
        </w:rPr>
        <w:t>’</w:t>
      </w:r>
      <w:r>
        <w:rPr>
          <w:rtl w:val="0"/>
        </w:rPr>
        <w:t>.</w:t>
      </w:r>
      <w:r>
        <w:rPr>
          <w:rFonts w:ascii="Lora Regular" w:cs="Lora Regular" w:hAnsi="Lora Regular" w:eastAsia="Lora Regular"/>
          <w:b w:val="0"/>
          <w:bCs w:val="0"/>
          <w:i w:val="0"/>
          <w:iCs w:val="0"/>
          <w:vertAlign w:val="superscript"/>
        </w:rPr>
        <w:footnoteReference w:id="12"/>
      </w:r>
      <w:r>
        <w:rPr>
          <w:rtl w:val="0"/>
        </w:rPr>
        <w:t xml:space="preserve"> Therefore, statements such as </w:t>
      </w:r>
      <w:r>
        <w:rPr>
          <w:rtl w:val="0"/>
        </w:rPr>
        <w:t>‘</w:t>
      </w:r>
      <w:r>
        <w:rPr>
          <w:rtl w:val="0"/>
          <w:lang w:val="en-US"/>
        </w:rPr>
        <w:t>‘</w:t>
      </w:r>
      <w:r>
        <w:rPr>
          <w:rtl w:val="0"/>
          <w:lang w:val="en-US"/>
        </w:rPr>
        <w:t xml:space="preserve"> one might be tempted to suppose that reincarnation alternative to Christianity and secularism</w:t>
      </w:r>
      <w:r>
        <w:rPr>
          <w:rtl w:val="0"/>
          <w:lang w:val="en-US"/>
        </w:rPr>
        <w:t>’</w:t>
      </w:r>
      <w:r>
        <w:rPr>
          <w:rtl w:val="0"/>
        </w:rPr>
        <w:t xml:space="preserve"> seems difficult to assert since they did not actually study individuals who chose reincarnation as an alternative to Christianity. Walter and Waterhouse further demonstrate their questionable choice of subjects when they state, </w:t>
      </w:r>
      <w:r>
        <w:rPr>
          <w:rtl w:val="0"/>
        </w:rPr>
        <w:t>‘</w:t>
      </w:r>
      <w:r>
        <w:rPr>
          <w:rtl w:val="0"/>
        </w:rPr>
        <w:t>This is why we characterize our respondents as comprising not a sample of those who believe in reincarnation but a sample of those who seriously entertain the idea</w:t>
      </w:r>
      <w:r>
        <w:rPr>
          <w:rtl w:val="0"/>
        </w:rPr>
        <w:t>’</w:t>
      </w:r>
      <w:r>
        <w:rPr>
          <w:rtl w:val="0"/>
        </w:rPr>
        <w:t xml:space="preserve">, given that they affirm reincarnation as a </w:t>
      </w:r>
      <w:r>
        <w:rPr>
          <w:rtl w:val="0"/>
        </w:rPr>
        <w:t>‘</w:t>
      </w:r>
      <w:r>
        <w:rPr>
          <w:rtl w:val="0"/>
        </w:rPr>
        <w:t>private belief</w:t>
      </w:r>
      <w:r>
        <w:rPr>
          <w:rtl w:val="0"/>
        </w:rPr>
        <w:t xml:space="preserve">’ </w:t>
      </w:r>
      <w:r>
        <w:rPr>
          <w:rtl w:val="0"/>
        </w:rPr>
        <w:t>in their very title.</w:t>
      </w:r>
      <w:r>
        <w:rPr>
          <w:rFonts w:ascii="Lora Bold" w:cs="Lora Bold" w:hAnsi="Lora Bold" w:eastAsia="Lora Bold"/>
          <w:vertAlign w:val="superscript"/>
        </w:rPr>
        <w:footnoteReference w:id="13"/>
      </w:r>
      <w:r>
        <w:rPr>
          <w:rtl w:val="0"/>
        </w:rPr>
        <w:t xml:space="preserve"> Both studies, through their selected target groups, seem intent and concerned about assessing how these alternative beliefs have intruded into the Christian world while their methodologies for making such assessments seem insufficient.</w:t>
      </w:r>
    </w:p>
    <w:p>
      <w:pPr>
        <w:pStyle w:val="Body"/>
        <w:bidi w:val="0"/>
      </w:pPr>
      <w:r>
        <w:rPr>
          <w:rtl w:val="0"/>
        </w:rPr>
        <w:t xml:space="preserve">Perhaps, more significant is the perceived bias of T.L. Brink concerning astrology as evidenced by his use of language and lack of self-reflexivity. Brink discusses astrology from an outsider perspective as being based on the negatively tinged </w:t>
      </w:r>
      <w:r>
        <w:rPr>
          <w:rtl w:val="0"/>
        </w:rPr>
        <w:t>‘</w:t>
      </w:r>
      <w:r>
        <w:rPr>
          <w:rtl w:val="0"/>
        </w:rPr>
        <w:t>blind impersonal forces</w:t>
      </w:r>
      <w:r>
        <w:rPr>
          <w:rtl w:val="0"/>
        </w:rPr>
        <w:t xml:space="preserve">’ </w:t>
      </w:r>
      <w:r>
        <w:rPr>
          <w:rtl w:val="0"/>
        </w:rPr>
        <w:t xml:space="preserve">and those who followed as astrology as </w:t>
      </w:r>
      <w:r>
        <w:rPr>
          <w:rtl w:val="0"/>
        </w:rPr>
        <w:t>‘</w:t>
      </w:r>
      <w:r>
        <w:rPr>
          <w:rtl w:val="0"/>
        </w:rPr>
        <w:t>alienated</w:t>
      </w:r>
      <w:r>
        <w:rPr>
          <w:rtl w:val="0"/>
        </w:rPr>
        <w:t xml:space="preserve">’ </w:t>
      </w:r>
      <w:r>
        <w:rPr>
          <w:rtl w:val="0"/>
        </w:rPr>
        <w:t>from socially oriented traditional rituals.</w:t>
      </w:r>
      <w:r>
        <w:rPr>
          <w:rFonts w:ascii="Lora Regular" w:cs="Lora Regular" w:hAnsi="Lora Regular" w:eastAsia="Lora Regular"/>
          <w:b w:val="0"/>
          <w:bCs w:val="0"/>
          <w:i w:val="0"/>
          <w:iCs w:val="0"/>
          <w:vertAlign w:val="superscript"/>
        </w:rPr>
        <w:footnoteReference w:id="14"/>
      </w:r>
      <w:r>
        <w:rPr>
          <w:rtl w:val="0"/>
        </w:rPr>
        <w:t xml:space="preserve"> Brink goes as far as citing a study that </w:t>
      </w:r>
      <w:r>
        <w:rPr>
          <w:rtl w:val="0"/>
        </w:rPr>
        <w:t>‘</w:t>
      </w:r>
      <w:r>
        <w:rPr>
          <w:rtl w:val="0"/>
        </w:rPr>
        <w:t xml:space="preserve">demonstrated a relationship between </w:t>
      </w:r>
      <w:r>
        <w:rPr>
          <w:rtl w:val="0"/>
        </w:rPr>
        <w:t>margin</w:t>
      </w:r>
      <w:r>
        <w:rPr>
          <w:rtl w:val="0"/>
        </w:rPr>
        <w:t>ality and belief and interest i</w:t>
      </w:r>
      <w:r>
        <w:rPr>
          <w:rtl w:val="0"/>
        </w:rPr>
        <w:t>n astrology.</w:t>
      </w:r>
      <w:r>
        <w:rPr>
          <w:rtl w:val="0"/>
        </w:rPr>
        <w:t>’</w:t>
      </w:r>
      <w:r>
        <w:rPr>
          <w:rFonts w:ascii="Lora Regular" w:cs="Lora Regular" w:hAnsi="Lora Regular" w:eastAsia="Lora Regular"/>
          <w:b w:val="0"/>
          <w:bCs w:val="0"/>
          <w:i w:val="0"/>
          <w:iCs w:val="0"/>
          <w:vertAlign w:val="superscript"/>
        </w:rPr>
        <w:footnoteReference w:id="15"/>
      </w:r>
      <w:r>
        <w:rPr>
          <w:rtl w:val="0"/>
        </w:rPr>
        <w:t xml:space="preserve"> This biased association is reminiscent of an article that equated astrology columns with the irrationality of mass movements such as the rise of Hitler.</w:t>
      </w:r>
      <w:r>
        <w:rPr>
          <w:rFonts w:ascii="Lora Regular" w:cs="Lora Regular" w:hAnsi="Lora Regular" w:eastAsia="Lora Regular"/>
          <w:b w:val="0"/>
          <w:bCs w:val="0"/>
          <w:i w:val="0"/>
          <w:iCs w:val="0"/>
          <w:vertAlign w:val="superscript"/>
        </w:rPr>
        <w:footnoteReference w:id="16"/>
      </w:r>
      <w:r>
        <w:rPr>
          <w:rtl w:val="0"/>
        </w:rPr>
        <w:t xml:space="preserve"> He also indicates that studies should be conducted </w:t>
      </w:r>
      <w:r>
        <w:rPr>
          <w:rtl w:val="0"/>
        </w:rPr>
        <w:t>‘</w:t>
      </w:r>
      <w:r>
        <w:rPr>
          <w:rtl w:val="0"/>
        </w:rPr>
        <w:t>of the factors in adolescent backgrounds (societal, familial, educational)</w:t>
      </w:r>
      <w:r>
        <w:rPr>
          <w:rtl w:val="0"/>
        </w:rPr>
        <w:t xml:space="preserve">’ </w:t>
      </w:r>
      <w:r>
        <w:rPr>
          <w:rtl w:val="0"/>
        </w:rPr>
        <w:t>as if astrology was to be understood as a symptom of a broken past.</w:t>
      </w:r>
      <w:r>
        <w:rPr>
          <w:rFonts w:ascii="Lora Regular" w:cs="Lora Regular" w:hAnsi="Lora Regular" w:eastAsia="Lora Regular"/>
          <w:b w:val="0"/>
          <w:bCs w:val="0"/>
          <w:i w:val="0"/>
          <w:iCs w:val="0"/>
          <w:vertAlign w:val="superscript"/>
        </w:rPr>
        <w:footnoteReference w:id="17"/>
      </w:r>
      <w:r>
        <w:rPr>
          <w:rtl w:val="0"/>
        </w:rPr>
        <w:t xml:space="preserve"> While Walter and Waterhouse refer to reincarnation as a </w:t>
      </w:r>
      <w:r>
        <w:rPr>
          <w:rtl w:val="0"/>
        </w:rPr>
        <w:t>‘</w:t>
      </w:r>
      <w:r>
        <w:rPr>
          <w:rtl w:val="0"/>
        </w:rPr>
        <w:t>deviant belief which people "ought" not to hold</w:t>
      </w:r>
      <w:r>
        <w:rPr>
          <w:rtl w:val="0"/>
        </w:rPr>
        <w:t xml:space="preserve">’ </w:t>
      </w:r>
      <w:r>
        <w:rPr>
          <w:rtl w:val="0"/>
        </w:rPr>
        <w:t>since it is not part of Christianity or secularism,</w:t>
      </w:r>
      <w:r>
        <w:rPr>
          <w:rFonts w:ascii="Lora Regular" w:cs="Lora Regular" w:hAnsi="Lora Regular" w:eastAsia="Lora Regular"/>
          <w:b w:val="0"/>
          <w:bCs w:val="0"/>
          <w:i w:val="0"/>
          <w:iCs w:val="0"/>
          <w:vertAlign w:val="superscript"/>
        </w:rPr>
        <w:footnoteReference w:id="18"/>
      </w:r>
      <w:r>
        <w:rPr>
          <w:rtl w:val="0"/>
        </w:rPr>
        <w:t xml:space="preserve"> they do not demonstrate any apparent bias against such beliefs.</w:t>
      </w:r>
    </w:p>
    <w:p>
      <w:pPr>
        <w:pStyle w:val="Body"/>
        <w:bidi w:val="0"/>
      </w:pPr>
      <w:r>
        <w:rPr>
          <w:rtl w:val="0"/>
        </w:rPr>
        <w:t>This essay has critically compared the papers by T.L. Brink and Walter and Waterhouse, in assessing their literature review, their methodologies, their position on an insider/outsider continuum, and questions related to perceived bias by the authors. The essay has found that while both papers attempted to extrapolate understanding from a restricted subject group, Walter and Waterhouse succeeded in providing a deeper understanding through the use of qualitative data, while T.L. Brink exposed his preconceived bias against the alternative philosophies he was inquiring about, skewing  his methodologies.</w:t>
      </w:r>
      <w:r>
        <w:rPr>
          <w:rFonts w:ascii="Arial Unicode MS" w:cs="Arial Unicode MS" w:hAnsi="Arial Unicode MS" w:eastAsia="Arial Unicode MS"/>
          <w:b w:val="0"/>
          <w:bCs w:val="0"/>
          <w:i w:val="0"/>
          <w:iCs w:val="0"/>
        </w:rPr>
        <w:br w:type="page"/>
      </w:r>
    </w:p>
    <w:p>
      <w:pPr>
        <w:pStyle w:val="Heading 2"/>
        <w:bidi w:val="0"/>
      </w:pPr>
      <w:r>
        <w:rPr>
          <w:rtl w:val="0"/>
        </w:rPr>
        <w:t>Bibliography</w:t>
      </w:r>
    </w:p>
    <w:p>
      <w:pPr>
        <w:pStyle w:val="Body 2"/>
        <w:bidi w:val="0"/>
      </w:pPr>
      <w:r>
        <w:rPr/>
        <w:fldChar w:fldCharType="begin" w:fldLock="0"/>
      </w:r>
      <w:r>
        <w:instrText xml:space="preserve"> ADDIN EN.REFLIST </w:instrText>
      </w:r>
      <w:r>
        <w:rPr/>
        <w:fldChar w:fldCharType="separate" w:fldLock="0"/>
      </w:r>
    </w:p>
    <w:p>
      <w:pPr>
        <w:pStyle w:val="Body 2"/>
        <w:bidi w:val="0"/>
      </w:pPr>
      <w:r>
        <w:rPr>
          <w:rFonts w:cs="Arial Unicode MS" w:eastAsia="Arial Unicode MS"/>
          <w:rtl w:val="0"/>
          <w:lang w:val="it-IT"/>
        </w:rPr>
        <w:t xml:space="preserve">Adorno, Theodor W, </w:t>
      </w:r>
      <w:r>
        <w:rPr>
          <w:rFonts w:cs="Arial Unicode MS" w:eastAsia="Arial Unicode MS"/>
          <w:rtl w:val="0"/>
          <w:lang w:val="en-US"/>
        </w:rPr>
        <w:t>The Stars Down to Earth and Other Essays on the Irrational in Culture</w:t>
      </w:r>
      <w:r>
        <w:rPr>
          <w:rFonts w:cs="Arial Unicode MS" w:eastAsia="Arial Unicode MS"/>
          <w:rtl w:val="0"/>
        </w:rPr>
        <w:t xml:space="preserve"> (Psychology Press, 2001).</w:t>
      </w:r>
    </w:p>
    <w:p>
      <w:pPr>
        <w:pStyle w:val="Body 2"/>
        <w:bidi w:val="0"/>
      </w:pPr>
    </w:p>
    <w:p>
      <w:pPr>
        <w:pStyle w:val="Body 2"/>
        <w:bidi w:val="0"/>
      </w:pPr>
      <w:r>
        <w:rPr>
          <w:rFonts w:cs="Arial Unicode MS" w:eastAsia="Arial Unicode MS"/>
          <w:rtl w:val="0"/>
          <w:lang w:val="en-US"/>
        </w:rPr>
        <w:t xml:space="preserve">Bell, Judith, </w:t>
      </w:r>
      <w:r>
        <w:rPr>
          <w:rFonts w:cs="Arial Unicode MS" w:eastAsia="Arial Unicode MS"/>
          <w:rtl w:val="0"/>
          <w:lang w:val="en-US"/>
        </w:rPr>
        <w:t>Doing Your Research Project: A Guide for First-Time Researchers</w:t>
      </w:r>
      <w:r>
        <w:rPr>
          <w:rFonts w:cs="Arial Unicode MS" w:eastAsia="Arial Unicode MS"/>
          <w:rtl w:val="0"/>
          <w:lang w:val="en-US"/>
        </w:rPr>
        <w:t xml:space="preserve"> (McGraw-Hill Education (UK), 2014).</w:t>
      </w:r>
    </w:p>
    <w:p>
      <w:pPr>
        <w:pStyle w:val="Body 2"/>
        <w:bidi w:val="0"/>
      </w:pPr>
    </w:p>
    <w:p>
      <w:pPr>
        <w:pStyle w:val="Body 2"/>
        <w:bidi w:val="0"/>
      </w:pPr>
      <w:r>
        <w:rPr>
          <w:rFonts w:cs="Arial Unicode MS" w:eastAsia="Arial Unicode MS"/>
          <w:rtl w:val="0"/>
          <w:lang w:val="en-US"/>
        </w:rPr>
        <w:t xml:space="preserve">Brink, Terry L, 'Inconsistency of Belief among Roman Catholic Girls: Concerning Religion, Astrology, Reincarnation', </w:t>
      </w:r>
      <w:r>
        <w:rPr>
          <w:rFonts w:cs="Arial Unicode MS" w:eastAsia="Arial Unicode MS"/>
          <w:i w:val="1"/>
          <w:iCs w:val="1"/>
          <w:rtl w:val="0"/>
          <w:lang w:val="en-US"/>
        </w:rPr>
        <w:t>Review of Religious Research</w:t>
      </w:r>
      <w:r>
        <w:rPr>
          <w:rFonts w:cs="Arial Unicode MS" w:eastAsia="Arial Unicode MS"/>
          <w:rtl w:val="0"/>
        </w:rPr>
        <w:t>: (1978), 82-85.</w:t>
      </w:r>
    </w:p>
    <w:p>
      <w:pPr>
        <w:pStyle w:val="Body 2"/>
        <w:bidi w:val="0"/>
      </w:pPr>
    </w:p>
    <w:p>
      <w:pPr>
        <w:pStyle w:val="Body 2"/>
        <w:bidi w:val="0"/>
      </w:pPr>
      <w:r>
        <w:rPr>
          <w:rFonts w:cs="Arial Unicode MS" w:eastAsia="Arial Unicode MS"/>
          <w:rtl w:val="0"/>
        </w:rPr>
        <w:t xml:space="preserve">Bryman, Alan, </w:t>
      </w:r>
      <w:r>
        <w:rPr>
          <w:rFonts w:cs="Arial Unicode MS" w:eastAsia="Arial Unicode MS"/>
          <w:rtl w:val="0"/>
          <w:lang w:val="en-US"/>
        </w:rPr>
        <w:t>Quantity and Quality in Social Research</w:t>
      </w:r>
      <w:r>
        <w:rPr>
          <w:rFonts w:cs="Arial Unicode MS" w:eastAsia="Arial Unicode MS"/>
          <w:rtl w:val="0"/>
          <w:lang w:val="en-US"/>
        </w:rPr>
        <w:t xml:space="preserve"> (Routledge, 2003).</w:t>
      </w:r>
    </w:p>
    <w:p>
      <w:pPr>
        <w:pStyle w:val="Body 2"/>
        <w:bidi w:val="0"/>
      </w:pPr>
    </w:p>
    <w:p>
      <w:pPr>
        <w:pStyle w:val="Body 2"/>
        <w:bidi w:val="0"/>
      </w:pPr>
      <w:r>
        <w:rPr>
          <w:rFonts w:cs="Arial Unicode MS" w:eastAsia="Arial Unicode MS"/>
          <w:rtl w:val="0"/>
          <w:lang w:val="en-US"/>
        </w:rPr>
        <w:t xml:space="preserve">'Dr Helen Waterhouse'. The Open University, Accessed June 1st, 2020. </w:t>
      </w:r>
      <w:r>
        <w:rPr>
          <w:rFonts w:cs="Arial Unicode MS" w:eastAsia="Arial Unicode MS"/>
          <w:u w:val="single"/>
          <w:rtl w:val="0"/>
          <w:lang w:val="en-US"/>
        </w:rPr>
        <w:t>http://www.open.ac.uk/people/hjw26</w:t>
      </w:r>
      <w:r>
        <w:rPr>
          <w:rFonts w:cs="Arial Unicode MS" w:eastAsia="Arial Unicode MS"/>
          <w:rtl w:val="0"/>
        </w:rPr>
        <w:t>.</w:t>
      </w:r>
    </w:p>
    <w:p>
      <w:pPr>
        <w:pStyle w:val="Body 2"/>
        <w:bidi w:val="0"/>
      </w:pPr>
    </w:p>
    <w:p>
      <w:pPr>
        <w:pStyle w:val="Body 2"/>
        <w:bidi w:val="0"/>
      </w:pPr>
      <w:r>
        <w:rPr>
          <w:rFonts w:cs="Arial Unicode MS" w:eastAsia="Arial Unicode MS"/>
          <w:rtl w:val="0"/>
          <w:lang w:val="en-US"/>
        </w:rPr>
        <w:t>'Dr. Tony Walter'. Reading University, Accessed June 1st, 2020. http://www.reading.ac.uk/AcaDepts/lw/staff/tony.htm.</w:t>
      </w:r>
    </w:p>
    <w:p>
      <w:pPr>
        <w:pStyle w:val="Body 2"/>
        <w:bidi w:val="0"/>
      </w:pPr>
    </w:p>
    <w:p>
      <w:pPr>
        <w:pStyle w:val="Body 2"/>
        <w:bidi w:val="0"/>
      </w:pPr>
      <w:r>
        <w:rPr>
          <w:rFonts w:cs="Arial Unicode MS" w:eastAsia="Arial Unicode MS"/>
          <w:rtl w:val="0"/>
          <w:lang w:val="en-US"/>
        </w:rPr>
        <w:t xml:space="preserve">Guillemin, Marilys, and Lynn Gillam, 'Ethics, Reflexivity, and </w:t>
      </w:r>
      <w:r>
        <w:rPr>
          <w:rFonts w:cs="Arial Unicode MS" w:eastAsia="Arial Unicode MS" w:hint="default"/>
          <w:rtl w:val="1"/>
          <w:lang w:val="ar-SA" w:bidi="ar-SA"/>
        </w:rPr>
        <w:t>“</w:t>
      </w:r>
      <w:r>
        <w:rPr>
          <w:rFonts w:cs="Arial Unicode MS" w:eastAsia="Arial Unicode MS"/>
          <w:rtl w:val="0"/>
          <w:lang w:val="en-US"/>
        </w:rPr>
        <w:t>Ethically Important Moments</w:t>
      </w:r>
      <w:r>
        <w:rPr>
          <w:rFonts w:cs="Arial Unicode MS" w:eastAsia="Arial Unicode MS" w:hint="default"/>
          <w:rtl w:val="0"/>
        </w:rPr>
        <w:t xml:space="preserve">” </w:t>
      </w:r>
      <w:r>
        <w:rPr>
          <w:rFonts w:cs="Arial Unicode MS" w:eastAsia="Arial Unicode MS"/>
          <w:rtl w:val="0"/>
          <w:lang w:val="en-US"/>
        </w:rPr>
        <w:t xml:space="preserve">in Research', </w:t>
      </w:r>
      <w:r>
        <w:rPr>
          <w:rFonts w:cs="Arial Unicode MS" w:eastAsia="Arial Unicode MS"/>
          <w:i w:val="1"/>
          <w:iCs w:val="1"/>
          <w:rtl w:val="0"/>
          <w:lang w:val="it-IT"/>
        </w:rPr>
        <w:t>Qualitative inquiry</w:t>
      </w:r>
      <w:r>
        <w:rPr>
          <w:rFonts w:cs="Arial Unicode MS" w:eastAsia="Arial Unicode MS"/>
          <w:rtl w:val="0"/>
        </w:rPr>
        <w:t>, 10: (2004), 261-80.</w:t>
      </w:r>
    </w:p>
    <w:p>
      <w:pPr>
        <w:pStyle w:val="Body 2"/>
        <w:bidi w:val="0"/>
      </w:pPr>
    </w:p>
    <w:p>
      <w:pPr>
        <w:pStyle w:val="Body 2"/>
        <w:bidi w:val="0"/>
      </w:pPr>
      <w:r>
        <w:rPr>
          <w:rFonts w:cs="Arial Unicode MS" w:eastAsia="Arial Unicode MS"/>
          <w:rtl w:val="0"/>
          <w:lang w:val="en-US"/>
        </w:rPr>
        <w:t xml:space="preserve">Hennink, Monique, Inge Hutter, and Ajay Bailey, </w:t>
      </w:r>
      <w:r>
        <w:rPr>
          <w:rFonts w:cs="Arial Unicode MS" w:eastAsia="Arial Unicode MS"/>
          <w:i w:val="1"/>
          <w:iCs w:val="1"/>
          <w:rtl w:val="0"/>
          <w:lang w:val="en-US"/>
        </w:rPr>
        <w:t>Qualitative Research Methods</w:t>
      </w:r>
      <w:r>
        <w:rPr>
          <w:rFonts w:cs="Arial Unicode MS" w:eastAsia="Arial Unicode MS"/>
          <w:rtl w:val="0"/>
          <w:lang w:val="en-US"/>
        </w:rPr>
        <w:t xml:space="preserve"> (SAGE Publications Limited, 2020).</w:t>
      </w:r>
    </w:p>
    <w:p>
      <w:pPr>
        <w:pStyle w:val="Body 2"/>
        <w:bidi w:val="0"/>
      </w:pPr>
    </w:p>
    <w:p>
      <w:pPr>
        <w:pStyle w:val="Body 2"/>
        <w:bidi w:val="0"/>
      </w:pPr>
      <w:r>
        <w:rPr>
          <w:rFonts w:cs="Arial Unicode MS" w:eastAsia="Arial Unicode MS"/>
          <w:rtl w:val="0"/>
          <w:lang w:val="en-US"/>
        </w:rPr>
        <w:t>'T.L. Brink'. academia.edu, Accessed June 1st, 2020. https://craftonhills.academia.edu/TLBrink.</w:t>
      </w:r>
    </w:p>
    <w:p>
      <w:pPr>
        <w:pStyle w:val="Body 2"/>
        <w:bidi w:val="0"/>
      </w:pPr>
    </w:p>
    <w:p>
      <w:pPr>
        <w:pStyle w:val="Body 2"/>
        <w:bidi w:val="0"/>
      </w:pPr>
      <w:r>
        <w:rPr>
          <w:rFonts w:cs="Arial Unicode MS" w:eastAsia="Arial Unicode MS"/>
          <w:rtl w:val="0"/>
          <w:lang w:val="en-US"/>
        </w:rPr>
        <w:t xml:space="preserve">Walter, Tony, and Helen Waterhouse, 'A Very Private Belief: Reincarnation in Contemporary England', </w:t>
      </w:r>
      <w:r>
        <w:rPr>
          <w:rFonts w:cs="Arial Unicode MS" w:eastAsia="Arial Unicode MS"/>
          <w:i w:val="1"/>
          <w:iCs w:val="1"/>
          <w:rtl w:val="0"/>
          <w:lang w:val="en-US"/>
        </w:rPr>
        <w:t>Sociology of Religion</w:t>
      </w:r>
      <w:r>
        <w:rPr>
          <w:rFonts w:cs="Arial Unicode MS" w:eastAsia="Arial Unicode MS"/>
          <w:rtl w:val="0"/>
        </w:rPr>
        <w:t>, 60: (1999), 187-97.</w:t>
      </w:r>
    </w:p>
    <w:p>
      <w:pPr>
        <w:pStyle w:val="Body 2"/>
        <w:bidi w:val="0"/>
      </w:pPr>
      <w:r/>
      <w:r>
        <w:rPr/>
        <w:fldChar w:fldCharType="end" w:fldLock="0"/>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Lora Regular">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 w:name="Lora Bold">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lang w:val="en-US"/>
        </w:rPr>
        <w:t xml:space="preserve"> 'Dr Helen Waterhouse'. The Open University,</w:t>
      </w:r>
      <w:r>
        <w:rPr>
          <w:rFonts w:cs="Arial Unicode MS" w:eastAsia="Arial Unicode MS"/>
          <w:rtl w:val="0"/>
          <w:lang w:val="en-US"/>
        </w:rPr>
        <w:t xml:space="preserve"> </w:t>
      </w:r>
      <w:r>
        <w:rPr>
          <w:rStyle w:val="Hyperlink.0"/>
        </w:rPr>
        <w:fldChar w:fldCharType="begin" w:fldLock="0"/>
      </w:r>
      <w:r>
        <w:rPr>
          <w:rStyle w:val="Hyperlink.0"/>
        </w:rPr>
        <w:instrText xml:space="preserve"> HYPERLINK "http://www.open.ac.uk/people/hjw26"</w:instrText>
      </w:r>
      <w:r>
        <w:rPr>
          <w:rStyle w:val="Hyperlink.0"/>
        </w:rPr>
        <w:fldChar w:fldCharType="separate" w:fldLock="0"/>
      </w:r>
      <w:r>
        <w:rPr>
          <w:rStyle w:val="Hyperlink.0"/>
          <w:rFonts w:cs="Arial Unicode MS" w:eastAsia="Arial Unicode MS"/>
          <w:rtl w:val="0"/>
          <w:lang w:val="en-US"/>
        </w:rPr>
        <w:t>http://www.open.ac.uk/people/hjw26</w:t>
      </w:r>
      <w:r>
        <w:rPr/>
        <w:fldChar w:fldCharType="end" w:fldLock="0"/>
      </w:r>
      <w:r>
        <w:rPr>
          <w:rFonts w:cs="Arial Unicode MS" w:eastAsia="Arial Unicode MS"/>
          <w:rtl w:val="0"/>
          <w:lang w:val="en-US"/>
        </w:rPr>
        <w:t xml:space="preserve"> Accessed June 1st, 2020</w:t>
      </w:r>
      <w:r>
        <w:rPr>
          <w:rFonts w:cs="Arial Unicode MS" w:eastAsia="Arial Unicode MS"/>
          <w:rtl w:val="0"/>
          <w:lang w:val="en-US"/>
        </w:rPr>
        <w:t xml:space="preserve"> and </w:t>
      </w:r>
      <w:r>
        <w:rPr>
          <w:rFonts w:cs="Arial Unicode MS" w:eastAsia="Arial Unicode MS"/>
          <w:rtl w:val="0"/>
          <w:lang w:val="en-US"/>
        </w:rPr>
        <w:t>'Dr. Tony Walter'. Reading University,</w:t>
      </w:r>
      <w:r>
        <w:rPr>
          <w:rFonts w:cs="Arial Unicode MS" w:eastAsia="Arial Unicode MS"/>
          <w:rtl w:val="0"/>
          <w:lang w:val="en-US"/>
        </w:rPr>
        <w:t xml:space="preserve"> </w:t>
      </w:r>
      <w:r>
        <w:rPr>
          <w:rFonts w:cs="Arial Unicode MS" w:eastAsia="Arial Unicode MS"/>
          <w:rtl w:val="0"/>
          <w:lang w:val="en-US"/>
        </w:rPr>
        <w:t>http://www.reading.ac.uk/AcaDepts/lw/staff/tony.htm. Accessed June 1st, 2020</w:t>
      </w:r>
      <w:r>
        <w:rPr>
          <w:rFonts w:cs="Arial Unicode MS" w:eastAsia="Arial Unicode MS"/>
          <w:rtl w:val="0"/>
          <w:lang w:val="en-US"/>
        </w:rPr>
        <w:t>.</w:t>
      </w:r>
    </w:p>
  </w:footnote>
  <w:footnote w:id="2">
    <w:p>
      <w:pPr>
        <w:pStyle w:val="Footnote"/>
        <w:bidi w:val="0"/>
      </w:pPr>
      <w:r>
        <w:rPr>
          <w:vertAlign w:val="superscript"/>
        </w:rPr>
        <w:footnoteRef/>
      </w:r>
      <w:r>
        <w:rPr>
          <w:rFonts w:cs="Arial Unicode MS" w:eastAsia="Arial Unicode MS"/>
          <w:rtl w:val="0"/>
          <w:lang w:val="nl-NL"/>
        </w:rPr>
        <w:t xml:space="preserve"> 'T.L. Brink'. </w:t>
      </w:r>
      <w:r>
        <w:rPr>
          <w:rStyle w:val="Hyperlink.0"/>
        </w:rPr>
        <w:fldChar w:fldCharType="begin" w:fldLock="0"/>
      </w:r>
      <w:r>
        <w:rPr>
          <w:rStyle w:val="Hyperlink.0"/>
        </w:rPr>
        <w:instrText xml:space="preserve"> HYPERLINK "http://academia.edu"</w:instrText>
      </w:r>
      <w:r>
        <w:rPr>
          <w:rStyle w:val="Hyperlink.0"/>
        </w:rPr>
        <w:fldChar w:fldCharType="separate" w:fldLock="0"/>
      </w:r>
      <w:r>
        <w:rPr>
          <w:rStyle w:val="Hyperlink.0"/>
          <w:rFonts w:cs="Arial Unicode MS" w:eastAsia="Arial Unicode MS"/>
          <w:rtl w:val="0"/>
          <w:lang w:val="pt-PT"/>
        </w:rPr>
        <w:t>academia.edu</w:t>
      </w:r>
      <w:r>
        <w:rPr/>
        <w:fldChar w:fldCharType="end" w:fldLock="0"/>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https://craftonhills.academia.edu/TLBrink. Accessed June 1st, 2020.</w:t>
      </w:r>
    </w:p>
  </w:footnote>
  <w:footnote w:id="3">
    <w:p>
      <w:pPr>
        <w:pStyle w:val="Footnote"/>
        <w:bidi w:val="0"/>
      </w:pPr>
      <w:r>
        <w:rPr>
          <w:vertAlign w:val="superscript"/>
        </w:rPr>
        <w:footnoteRef/>
      </w:r>
      <w:r>
        <w:rPr>
          <w:rFonts w:cs="Arial Unicode MS" w:eastAsia="Arial Unicode MS"/>
          <w:rtl w:val="0"/>
          <w:lang w:val="en-US"/>
        </w:rPr>
        <w:t xml:space="preserve"> Terry L</w:t>
      </w:r>
      <w:r>
        <w:rPr>
          <w:rFonts w:cs="Arial Unicode MS" w:eastAsia="Arial Unicode MS"/>
          <w:rtl w:val="0"/>
          <w:lang w:val="en-US"/>
        </w:rPr>
        <w:t xml:space="preserve"> </w:t>
      </w:r>
      <w:r>
        <w:rPr>
          <w:rFonts w:cs="Arial Unicode MS" w:eastAsia="Arial Unicode MS"/>
          <w:rtl w:val="0"/>
          <w:lang w:val="en-US"/>
        </w:rPr>
        <w:t xml:space="preserve">Brink, 'Inconsistency of Belief among Roman Catholic Girls: Concerning Religion, Astrology, Reincarnation', </w:t>
      </w:r>
      <w:r>
        <w:rPr>
          <w:rFonts w:cs="Arial Unicode MS" w:eastAsia="Arial Unicode MS"/>
          <w:i w:val="1"/>
          <w:iCs w:val="1"/>
          <w:rtl w:val="0"/>
          <w:lang w:val="en-US"/>
        </w:rPr>
        <w:t>Review of Religious Research</w:t>
      </w:r>
      <w:r>
        <w:rPr>
          <w:rFonts w:cs="Arial Unicode MS" w:eastAsia="Arial Unicode MS"/>
          <w:rtl w:val="0"/>
        </w:rPr>
        <w:t xml:space="preserve">: (1978), </w:t>
      </w:r>
      <w:r>
        <w:rPr>
          <w:rFonts w:cs="Arial Unicode MS" w:eastAsia="Arial Unicode MS"/>
          <w:rtl w:val="0"/>
          <w:lang w:val="en-US"/>
        </w:rPr>
        <w:t xml:space="preserve">p. </w:t>
      </w:r>
      <w:r>
        <w:rPr>
          <w:rFonts w:cs="Arial Unicode MS" w:eastAsia="Arial Unicode MS"/>
          <w:rtl w:val="0"/>
        </w:rPr>
        <w:t>82</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Brink, </w:t>
      </w:r>
      <w:r>
        <w:rPr>
          <w:rFonts w:cs="Arial Unicode MS" w:eastAsia="Arial Unicode MS" w:hint="default"/>
          <w:rtl w:val="0"/>
          <w:lang w:val="en-US"/>
        </w:rPr>
        <w:t>‘</w:t>
      </w:r>
      <w:r>
        <w:rPr>
          <w:rFonts w:cs="Arial Unicode MS" w:eastAsia="Arial Unicode MS"/>
          <w:rtl w:val="0"/>
          <w:lang w:val="en-US"/>
        </w:rPr>
        <w:t>Inconsistency</w:t>
      </w:r>
      <w:r>
        <w:rPr>
          <w:rFonts w:cs="Arial Unicode MS" w:eastAsia="Arial Unicode MS" w:hint="default"/>
          <w:rtl w:val="0"/>
          <w:lang w:val="en-US"/>
        </w:rPr>
        <w:t>’</w:t>
      </w:r>
      <w:r>
        <w:rPr>
          <w:rFonts w:cs="Arial Unicode MS" w:eastAsia="Arial Unicode MS"/>
          <w:rtl w:val="0"/>
          <w:lang w:val="en-US"/>
        </w:rPr>
        <w:t>, p. 84</w:t>
      </w:r>
    </w:p>
  </w:footnote>
  <w:footnote w:id="5">
    <w:p>
      <w:pPr>
        <w:pStyle w:val="Footnote"/>
        <w:bidi w:val="0"/>
      </w:pPr>
      <w:r>
        <w:rPr>
          <w:vertAlign w:val="superscript"/>
        </w:rPr>
        <w:footnoteRef/>
      </w:r>
      <w:r>
        <w:rPr>
          <w:rFonts w:cs="Arial Unicode MS" w:eastAsia="Arial Unicode MS"/>
          <w:rtl w:val="0"/>
        </w:rPr>
        <w:t xml:space="preserve"> Alan</w:t>
      </w:r>
      <w:r>
        <w:rPr>
          <w:rFonts w:cs="Arial Unicode MS" w:eastAsia="Arial Unicode MS"/>
          <w:rtl w:val="0"/>
          <w:lang w:val="en-US"/>
        </w:rPr>
        <w:t xml:space="preserve"> </w:t>
      </w:r>
      <w:r>
        <w:rPr>
          <w:rFonts w:cs="Arial Unicode MS" w:eastAsia="Arial Unicode MS"/>
          <w:rtl w:val="0"/>
          <w:lang w:val="en-US"/>
        </w:rPr>
        <w:t>Bryman, Quantity and Quality in Social Research (Routledge, 2003)</w:t>
      </w:r>
      <w:r>
        <w:rPr>
          <w:rFonts w:cs="Arial Unicode MS" w:eastAsia="Arial Unicode MS"/>
          <w:rtl w:val="0"/>
          <w:lang w:val="en-US"/>
        </w:rPr>
        <w:t>, p.</w:t>
      </w:r>
      <w:r>
        <w:rPr>
          <w:rFonts w:cs="Arial Unicode MS" w:eastAsia="Arial Unicode MS"/>
          <w:rtl w:val="0"/>
        </w:rPr>
        <w:t xml:space="preserve"> 116</w:t>
      </w:r>
    </w:p>
  </w:footnote>
  <w:footnote w:id="6">
    <w:p>
      <w:pPr>
        <w:pStyle w:val="Footnote"/>
        <w:bidi w:val="0"/>
      </w:pPr>
      <w:r>
        <w:rPr>
          <w:vertAlign w:val="superscript"/>
        </w:rPr>
        <w:footnoteRef/>
      </w:r>
      <w:r>
        <w:rPr>
          <w:rFonts w:cs="Arial Unicode MS" w:eastAsia="Arial Unicode MS"/>
          <w:rtl w:val="0"/>
          <w:lang w:val="en-US"/>
        </w:rPr>
        <w:t xml:space="preserve"> Brink, </w:t>
      </w:r>
      <w:r>
        <w:rPr>
          <w:rFonts w:cs="Arial Unicode MS" w:eastAsia="Arial Unicode MS" w:hint="default"/>
          <w:rtl w:val="1"/>
        </w:rPr>
        <w:t>‘</w:t>
      </w:r>
      <w:r>
        <w:rPr>
          <w:rFonts w:cs="Arial Unicode MS" w:eastAsia="Arial Unicode MS"/>
          <w:rtl w:val="0"/>
          <w:lang w:val="en-US"/>
        </w:rPr>
        <w:t>Inconsistency</w:t>
      </w:r>
      <w:r>
        <w:rPr>
          <w:rFonts w:cs="Arial Unicode MS" w:eastAsia="Arial Unicode MS" w:hint="default"/>
          <w:rtl w:val="1"/>
        </w:rPr>
        <w:t>’</w:t>
      </w:r>
      <w:r>
        <w:rPr>
          <w:rFonts w:cs="Arial Unicode MS" w:eastAsia="Arial Unicode MS"/>
          <w:rtl w:val="0"/>
        </w:rPr>
        <w:t>, p. 8</w:t>
      </w:r>
      <w:r>
        <w:rPr>
          <w:rFonts w:cs="Arial Unicode MS" w:eastAsia="Arial Unicode MS"/>
          <w:rtl w:val="0"/>
          <w:lang w:val="en-US"/>
        </w:rPr>
        <w:t>3</w:t>
      </w:r>
    </w:p>
  </w:footnote>
  <w:footnote w:id="7">
    <w:p>
      <w:pPr>
        <w:pStyle w:val="Footnote"/>
      </w:pPr>
      <w:r>
        <w:rPr>
          <w:rFonts w:ascii="Lora Bold" w:cs="Lora Bold" w:hAnsi="Lora Bold" w:eastAsia="Lora Bold"/>
          <w:vertAlign w:val="superscript"/>
        </w:rPr>
        <w:footnoteRef/>
      </w:r>
      <w:r>
        <w:rPr>
          <w:rFonts w:ascii="Lora Bold" w:hAnsi="Lora Bold"/>
          <w:rtl w:val="0"/>
        </w:rPr>
        <w:t xml:space="preserve"> </w:t>
      </w:r>
      <w:r>
        <w:rPr>
          <w:rFonts w:ascii="Lora Regular" w:hAnsi="Lora Regular"/>
          <w:rtl w:val="0"/>
          <w:lang w:val="fr-FR"/>
        </w:rPr>
        <w:t>Monique</w:t>
      </w:r>
      <w:r>
        <w:rPr>
          <w:rFonts w:ascii="Lora Regular" w:hAnsi="Lora Regular"/>
          <w:rtl w:val="0"/>
          <w:lang w:val="en-US"/>
        </w:rPr>
        <w:t xml:space="preserve"> </w:t>
      </w:r>
      <w:r>
        <w:rPr>
          <w:rFonts w:ascii="Lora Regular" w:hAnsi="Lora Regular"/>
          <w:rtl w:val="0"/>
          <w:lang w:val="nl-NL"/>
        </w:rPr>
        <w:t>Hennink,</w:t>
      </w:r>
      <w:r>
        <w:rPr>
          <w:rFonts w:ascii="Lora Regular" w:hAnsi="Lora Regular"/>
          <w:rtl w:val="0"/>
          <w:lang w:val="en-US"/>
        </w:rPr>
        <w:t xml:space="preserve"> </w:t>
      </w:r>
      <w:r>
        <w:rPr>
          <w:rFonts w:ascii="Lora Regular" w:hAnsi="Lora Regular"/>
          <w:rtl w:val="0"/>
          <w:lang w:val="da-DK"/>
        </w:rPr>
        <w:t>Inge</w:t>
      </w:r>
      <w:r>
        <w:rPr>
          <w:rFonts w:ascii="Lora Regular" w:hAnsi="Lora Regular"/>
          <w:rtl w:val="0"/>
          <w:lang w:val="en-US"/>
        </w:rPr>
        <w:t xml:space="preserve"> </w:t>
      </w:r>
      <w:r>
        <w:rPr>
          <w:rFonts w:ascii="Lora Regular" w:hAnsi="Lora Regular"/>
          <w:rtl w:val="0"/>
        </w:rPr>
        <w:t>Hutter,</w:t>
      </w:r>
      <w:r>
        <w:rPr>
          <w:rFonts w:ascii="Lora Regular" w:hAnsi="Lora Regular"/>
          <w:rtl w:val="0"/>
          <w:lang w:val="en-US"/>
        </w:rPr>
        <w:t xml:space="preserve"> and </w:t>
      </w:r>
      <w:r>
        <w:rPr>
          <w:rFonts w:ascii="Lora Regular" w:hAnsi="Lora Regular"/>
          <w:rtl w:val="0"/>
          <w:lang w:val="nl-NL"/>
        </w:rPr>
        <w:t>Ajay</w:t>
      </w:r>
      <w:r>
        <w:rPr>
          <w:rFonts w:ascii="Lora Regular" w:hAnsi="Lora Regular"/>
          <w:rtl w:val="0"/>
          <w:lang w:val="en-US"/>
        </w:rPr>
        <w:t xml:space="preserve"> </w:t>
      </w:r>
      <w:r>
        <w:rPr>
          <w:rFonts w:ascii="Lora Regular" w:hAnsi="Lora Regular"/>
          <w:rtl w:val="0"/>
          <w:lang w:val="en-US"/>
        </w:rPr>
        <w:t>Baile</w:t>
      </w:r>
      <w:r>
        <w:rPr>
          <w:rFonts w:ascii="Lora Regular" w:hAnsi="Lora Regular"/>
          <w:rtl w:val="0"/>
          <w:lang w:val="en-US"/>
        </w:rPr>
        <w:t>y,</w:t>
      </w:r>
      <w:r>
        <w:rPr>
          <w:rFonts w:ascii="Lora Regular" w:hAnsi="Lora Regular"/>
          <w:rtl w:val="0"/>
          <w:lang w:val="en-US"/>
        </w:rPr>
        <w:t xml:space="preserve"> Qualitative Research Methods </w:t>
      </w:r>
      <w:r>
        <w:rPr>
          <w:rFonts w:ascii="Lora Regular" w:hAnsi="Lora Regular"/>
          <w:rtl w:val="0"/>
          <w:lang w:val="en-US"/>
        </w:rPr>
        <w:t>(</w:t>
      </w:r>
      <w:r>
        <w:rPr>
          <w:rFonts w:ascii="Lora Regular" w:hAnsi="Lora Regular"/>
          <w:rtl w:val="0"/>
          <w:lang w:val="en-US"/>
        </w:rPr>
        <w:t>SAGE Publications</w:t>
      </w:r>
      <w:r>
        <w:rPr>
          <w:rFonts w:ascii="Lora Regular" w:hAnsi="Lora Regular"/>
          <w:rtl w:val="0"/>
          <w:lang w:val="en-US"/>
        </w:rPr>
        <w:t>, 2020)</w:t>
      </w:r>
      <w:r>
        <w:rPr>
          <w:rFonts w:ascii="Lora Regular" w:hAnsi="Lora Regular"/>
          <w:rtl w:val="0"/>
        </w:rPr>
        <w:t xml:space="preserve">. </w:t>
      </w:r>
      <w:r>
        <w:rPr>
          <w:rFonts w:ascii="Lora Regular" w:hAnsi="Lora Regular"/>
          <w:rtl w:val="0"/>
          <w:lang w:val="en-US"/>
        </w:rPr>
        <w:t>p 19</w:t>
      </w:r>
    </w:p>
  </w:footnote>
  <w:footnote w:id="8">
    <w:p>
      <w:pPr>
        <w:pStyle w:val="Footnote"/>
        <w:bidi w:val="0"/>
      </w:pPr>
      <w:r>
        <w:rPr>
          <w:vertAlign w:val="superscript"/>
        </w:rPr>
        <w:footnoteRef/>
      </w:r>
      <w:r>
        <w:rPr>
          <w:rFonts w:cs="Arial Unicode MS" w:eastAsia="Arial Unicode MS"/>
          <w:rtl w:val="0"/>
          <w:lang w:val="en-US"/>
        </w:rPr>
        <w:t xml:space="preserve"> Brink, </w:t>
      </w:r>
      <w:r>
        <w:rPr>
          <w:rFonts w:cs="Arial Unicode MS" w:eastAsia="Arial Unicode MS" w:hint="default"/>
          <w:rtl w:val="1"/>
        </w:rPr>
        <w:t>‘</w:t>
      </w:r>
      <w:r>
        <w:rPr>
          <w:rFonts w:cs="Arial Unicode MS" w:eastAsia="Arial Unicode MS"/>
          <w:rtl w:val="0"/>
          <w:lang w:val="en-US"/>
        </w:rPr>
        <w:t>Inconsistency</w:t>
      </w:r>
      <w:r>
        <w:rPr>
          <w:rFonts w:cs="Arial Unicode MS" w:eastAsia="Arial Unicode MS" w:hint="default"/>
          <w:rtl w:val="1"/>
        </w:rPr>
        <w:t>’</w:t>
      </w:r>
      <w:r>
        <w:rPr>
          <w:rFonts w:cs="Arial Unicode MS" w:eastAsia="Arial Unicode MS"/>
          <w:rtl w:val="0"/>
        </w:rPr>
        <w:t>, p. 8</w:t>
      </w:r>
      <w:r>
        <w:rPr>
          <w:rFonts w:cs="Arial Unicode MS" w:eastAsia="Arial Unicode MS"/>
          <w:rtl w:val="0"/>
          <w:lang w:val="en-US"/>
        </w:rPr>
        <w:t>2</w:t>
      </w:r>
    </w:p>
  </w:footnote>
  <w:footnote w:id="9">
    <w:p>
      <w:pPr>
        <w:pStyle w:val="Footnote"/>
        <w:bidi w:val="0"/>
      </w:pPr>
      <w:r>
        <w:rPr>
          <w:vertAlign w:val="superscript"/>
        </w:rPr>
        <w:footnoteRef/>
      </w:r>
      <w:r>
        <w:rPr>
          <w:rFonts w:cs="Arial Unicode MS" w:eastAsia="Arial Unicode MS"/>
          <w:rtl w:val="0"/>
          <w:lang w:val="en-US"/>
        </w:rPr>
        <w:t xml:space="preserve"> Marilys</w:t>
      </w:r>
      <w:r>
        <w:rPr>
          <w:rFonts w:cs="Arial Unicode MS" w:eastAsia="Arial Unicode MS"/>
          <w:rtl w:val="0"/>
          <w:lang w:val="en-US"/>
        </w:rPr>
        <w:t xml:space="preserve"> </w:t>
      </w:r>
      <w:r>
        <w:rPr>
          <w:rFonts w:cs="Arial Unicode MS" w:eastAsia="Arial Unicode MS"/>
          <w:rtl w:val="0"/>
        </w:rPr>
        <w:t>Guillemin</w:t>
      </w:r>
      <w:r>
        <w:rPr>
          <w:rFonts w:cs="Arial Unicode MS" w:eastAsia="Arial Unicode MS"/>
          <w:rtl w:val="0"/>
          <w:lang w:val="en-US"/>
        </w:rPr>
        <w:t xml:space="preserve"> </w:t>
      </w:r>
      <w:r>
        <w:rPr>
          <w:rFonts w:cs="Arial Unicode MS" w:eastAsia="Arial Unicode MS"/>
          <w:rtl w:val="0"/>
          <w:lang w:val="en-US"/>
        </w:rPr>
        <w:t xml:space="preserve">and Lynn Gillam, 'Ethics, Reflexivity, and </w:t>
      </w:r>
      <w:r>
        <w:rPr>
          <w:rFonts w:cs="Arial Unicode MS" w:eastAsia="Arial Unicode MS" w:hint="default"/>
          <w:rtl w:val="1"/>
          <w:lang w:val="ar-SA" w:bidi="ar-SA"/>
        </w:rPr>
        <w:t>“</w:t>
      </w:r>
      <w:r>
        <w:rPr>
          <w:rFonts w:cs="Arial Unicode MS" w:eastAsia="Arial Unicode MS"/>
          <w:rtl w:val="0"/>
          <w:lang w:val="en-US"/>
        </w:rPr>
        <w:t>Ethically Important Moments</w:t>
      </w:r>
      <w:r>
        <w:rPr>
          <w:rFonts w:cs="Arial Unicode MS" w:eastAsia="Arial Unicode MS" w:hint="default"/>
          <w:rtl w:val="0"/>
        </w:rPr>
        <w:t xml:space="preserve">” </w:t>
      </w:r>
      <w:r>
        <w:rPr>
          <w:rFonts w:cs="Arial Unicode MS" w:eastAsia="Arial Unicode MS"/>
          <w:rtl w:val="0"/>
          <w:lang w:val="en-US"/>
        </w:rPr>
        <w:t xml:space="preserve">in Research', </w:t>
      </w:r>
      <w:r>
        <w:rPr>
          <w:rFonts w:cs="Arial Unicode MS" w:eastAsia="Arial Unicode MS"/>
          <w:i w:val="1"/>
          <w:iCs w:val="1"/>
          <w:rtl w:val="0"/>
          <w:lang w:val="it-IT"/>
        </w:rPr>
        <w:t>Qualitative inquiry</w:t>
      </w:r>
      <w:r>
        <w:rPr>
          <w:rFonts w:cs="Arial Unicode MS" w:eastAsia="Arial Unicode MS"/>
          <w:rtl w:val="0"/>
        </w:rPr>
        <w:t xml:space="preserve">, 10: (2004), </w:t>
      </w:r>
      <w:r>
        <w:rPr>
          <w:rFonts w:cs="Arial Unicode MS" w:eastAsia="Arial Unicode MS"/>
          <w:rtl w:val="0"/>
          <w:lang w:val="en-US"/>
        </w:rPr>
        <w:t>p.</w:t>
      </w:r>
      <w:r>
        <w:rPr>
          <w:rFonts w:cs="Arial Unicode MS" w:eastAsia="Arial Unicode MS"/>
          <w:rtl w:val="0"/>
        </w:rPr>
        <w:t xml:space="preserve"> </w:t>
      </w:r>
      <w:r>
        <w:rPr>
          <w:rFonts w:ascii="Times Roman" w:hAnsi="Times Roman"/>
          <w:sz w:val="24"/>
          <w:szCs w:val="24"/>
          <w:rtl w:val="0"/>
          <w:lang w:val="en-US"/>
        </w:rPr>
        <w:t>275</w:t>
      </w:r>
    </w:p>
  </w:footnote>
  <w:footnote w:id="10">
    <w:p>
      <w:pPr>
        <w:pStyle w:val="Footnote"/>
        <w:bidi w:val="0"/>
      </w:pPr>
      <w:r>
        <w:rPr>
          <w:vertAlign w:val="superscript"/>
        </w:rPr>
        <w:footnoteRef/>
      </w:r>
      <w:r>
        <w:rPr>
          <w:rFonts w:cs="Arial Unicode MS" w:eastAsia="Arial Unicode MS"/>
          <w:rtl w:val="0"/>
        </w:rPr>
        <w:t xml:space="preserve"> Tony</w:t>
      </w:r>
      <w:r>
        <w:rPr>
          <w:rFonts w:cs="Arial Unicode MS" w:eastAsia="Arial Unicode MS"/>
          <w:rtl w:val="0"/>
          <w:lang w:val="en-US"/>
        </w:rPr>
        <w:t xml:space="preserve"> </w:t>
      </w:r>
      <w:r>
        <w:rPr>
          <w:rFonts w:cs="Arial Unicode MS" w:eastAsia="Arial Unicode MS"/>
          <w:rtl w:val="0"/>
          <w:lang w:val="en-US"/>
        </w:rPr>
        <w:t xml:space="preserve">Walter and Helen Waterhouse, 'A Very Private Belief: Reincarnation in Contemporary England', </w:t>
      </w:r>
      <w:r>
        <w:rPr>
          <w:rFonts w:cs="Arial Unicode MS" w:eastAsia="Arial Unicode MS"/>
          <w:i w:val="1"/>
          <w:iCs w:val="1"/>
          <w:rtl w:val="0"/>
          <w:lang w:val="en-US"/>
        </w:rPr>
        <w:t>Sociology of Religion</w:t>
      </w:r>
      <w:r>
        <w:rPr>
          <w:rFonts w:cs="Arial Unicode MS" w:eastAsia="Arial Unicode MS"/>
          <w:rtl w:val="0"/>
        </w:rPr>
        <w:t xml:space="preserve">, 60: (1999), </w:t>
      </w:r>
      <w:r>
        <w:rPr>
          <w:rFonts w:cs="Arial Unicode MS" w:eastAsia="Arial Unicode MS"/>
          <w:rtl w:val="0"/>
          <w:lang w:val="en-US"/>
        </w:rPr>
        <w:t>p. 193</w:t>
      </w:r>
    </w:p>
  </w:footnote>
  <w:footnote w:id="11">
    <w:p>
      <w:pPr>
        <w:pStyle w:val="Footnote"/>
        <w:bidi w:val="0"/>
      </w:pPr>
      <w:r>
        <w:rPr>
          <w:vertAlign w:val="superscript"/>
        </w:rPr>
        <w:footnoteRef/>
      </w:r>
      <w:r>
        <w:rPr>
          <w:rFonts w:cs="Arial Unicode MS" w:eastAsia="Arial Unicode MS"/>
          <w:rtl w:val="0"/>
          <w:lang w:val="en-US"/>
        </w:rPr>
        <w:t xml:space="preserve"> Judith</w:t>
      </w:r>
      <w:r>
        <w:rPr>
          <w:rFonts w:cs="Arial Unicode MS" w:eastAsia="Arial Unicode MS"/>
          <w:rtl w:val="0"/>
          <w:lang w:val="en-US"/>
        </w:rPr>
        <w:t xml:space="preserve"> </w:t>
      </w:r>
      <w:r>
        <w:rPr>
          <w:rFonts w:cs="Arial Unicode MS" w:eastAsia="Arial Unicode MS"/>
          <w:rtl w:val="0"/>
          <w:lang w:val="en-US"/>
        </w:rPr>
        <w:t>Bell, Doing Your Research Project: A Guide for First-Time Researchers (McGraw-Hill Education (UK), 2014)</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p. 161</w:t>
      </w:r>
    </w:p>
  </w:footnote>
  <w:footnote w:id="12">
    <w:p>
      <w:pPr>
        <w:pStyle w:val="Footnote"/>
        <w:bidi w:val="0"/>
      </w:pPr>
      <w:r>
        <w:rPr>
          <w:vertAlign w:val="superscript"/>
        </w:rPr>
        <w:footnoteRef/>
      </w:r>
      <w:r>
        <w:rPr>
          <w:rFonts w:cs="Arial Unicode MS" w:eastAsia="Arial Unicode MS"/>
          <w:rtl w:val="0"/>
          <w:lang w:val="de-DE"/>
        </w:rPr>
        <w:t xml:space="preserve"> Walter, </w:t>
      </w:r>
      <w:r>
        <w:rPr>
          <w:rFonts w:cs="Arial Unicode MS" w:eastAsia="Arial Unicode MS" w:hint="default"/>
          <w:rtl w:val="1"/>
        </w:rPr>
        <w:t>‘</w:t>
      </w:r>
      <w:r>
        <w:rPr>
          <w:rFonts w:cs="Arial Unicode MS" w:eastAsia="Arial Unicode MS"/>
          <w:rtl w:val="0"/>
        </w:rPr>
        <w:t>Private</w:t>
      </w:r>
      <w:r>
        <w:rPr>
          <w:rFonts w:cs="Arial Unicode MS" w:eastAsia="Arial Unicode MS" w:hint="default"/>
          <w:rtl w:val="1"/>
        </w:rPr>
        <w:t>’</w:t>
      </w:r>
      <w:r>
        <w:rPr>
          <w:rFonts w:cs="Arial Unicode MS" w:eastAsia="Arial Unicode MS"/>
          <w:rtl w:val="0"/>
        </w:rPr>
        <w:t>, p. 189</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Walter, </w:t>
      </w:r>
      <w:r>
        <w:rPr>
          <w:rFonts w:cs="Arial Unicode MS" w:eastAsia="Arial Unicode MS" w:hint="default"/>
          <w:rtl w:val="0"/>
          <w:lang w:val="en-US"/>
        </w:rPr>
        <w:t>‘</w:t>
      </w:r>
      <w:r>
        <w:rPr>
          <w:rFonts w:cs="Arial Unicode MS" w:eastAsia="Arial Unicode MS"/>
          <w:rtl w:val="0"/>
          <w:lang w:val="en-US"/>
        </w:rPr>
        <w:t>Private</w:t>
      </w:r>
      <w:r>
        <w:rPr>
          <w:rFonts w:cs="Arial Unicode MS" w:eastAsia="Arial Unicode MS" w:hint="default"/>
          <w:rtl w:val="0"/>
          <w:lang w:val="en-US"/>
        </w:rPr>
        <w:t>’</w:t>
      </w:r>
      <w:r>
        <w:rPr>
          <w:rFonts w:cs="Arial Unicode MS" w:eastAsia="Arial Unicode MS"/>
          <w:rtl w:val="0"/>
          <w:lang w:val="en-US"/>
        </w:rPr>
        <w:t>, p. 189</w:t>
      </w:r>
    </w:p>
  </w:footnote>
  <w:footnote w:id="14">
    <w:p>
      <w:pPr>
        <w:pStyle w:val="Footnote"/>
        <w:bidi w:val="0"/>
      </w:pPr>
      <w:r>
        <w:rPr>
          <w:vertAlign w:val="superscript"/>
        </w:rPr>
        <w:footnoteRef/>
      </w:r>
      <w:r>
        <w:rPr>
          <w:rFonts w:cs="Arial Unicode MS" w:eastAsia="Arial Unicode MS"/>
          <w:rtl w:val="0"/>
          <w:lang w:val="en-US"/>
        </w:rPr>
        <w:t xml:space="preserve"> Brink, </w:t>
      </w:r>
      <w:r>
        <w:rPr>
          <w:rFonts w:cs="Arial Unicode MS" w:eastAsia="Arial Unicode MS" w:hint="default"/>
          <w:rtl w:val="1"/>
        </w:rPr>
        <w:t>‘</w:t>
      </w:r>
      <w:r>
        <w:rPr>
          <w:rFonts w:cs="Arial Unicode MS" w:eastAsia="Arial Unicode MS"/>
          <w:rtl w:val="0"/>
          <w:lang w:val="en-US"/>
        </w:rPr>
        <w:t>Inconsistency</w:t>
      </w:r>
      <w:r>
        <w:rPr>
          <w:rFonts w:cs="Arial Unicode MS" w:eastAsia="Arial Unicode MS" w:hint="default"/>
          <w:rtl w:val="1"/>
        </w:rPr>
        <w:t>’</w:t>
      </w:r>
      <w:r>
        <w:rPr>
          <w:rFonts w:cs="Arial Unicode MS" w:eastAsia="Arial Unicode MS"/>
          <w:rtl w:val="0"/>
        </w:rPr>
        <w:t>, p</w:t>
      </w:r>
      <w:r>
        <w:rPr>
          <w:rFonts w:cs="Arial Unicode MS" w:eastAsia="Arial Unicode MS"/>
          <w:rtl w:val="0"/>
          <w:lang w:val="en-US"/>
        </w:rPr>
        <w:t>p</w:t>
      </w:r>
      <w:r>
        <w:rPr>
          <w:rFonts w:cs="Arial Unicode MS" w:eastAsia="Arial Unicode MS"/>
          <w:rtl w:val="0"/>
        </w:rPr>
        <w:t xml:space="preserve">. 82 </w:t>
      </w:r>
      <w:r>
        <w:rPr>
          <w:rFonts w:cs="Arial Unicode MS" w:eastAsia="Arial Unicode MS"/>
          <w:rtl w:val="0"/>
          <w:lang w:val="en-US"/>
        </w:rPr>
        <w:t xml:space="preserve"> and 84</w:t>
      </w:r>
    </w:p>
  </w:footnote>
  <w:footnote w:id="15">
    <w:p>
      <w:pPr>
        <w:pStyle w:val="Footnote"/>
        <w:bidi w:val="0"/>
      </w:pPr>
      <w:r>
        <w:rPr>
          <w:vertAlign w:val="superscript"/>
        </w:rPr>
        <w:footnoteRef/>
      </w:r>
      <w:r>
        <w:rPr>
          <w:rFonts w:cs="Arial Unicode MS" w:eastAsia="Arial Unicode MS"/>
          <w:rtl w:val="0"/>
          <w:lang w:val="en-US"/>
        </w:rPr>
        <w:t xml:space="preserve"> Brink, </w:t>
      </w:r>
      <w:r>
        <w:rPr>
          <w:rFonts w:cs="Arial Unicode MS" w:eastAsia="Arial Unicode MS" w:hint="default"/>
          <w:rtl w:val="1"/>
        </w:rPr>
        <w:t>‘</w:t>
      </w:r>
      <w:r>
        <w:rPr>
          <w:rFonts w:cs="Arial Unicode MS" w:eastAsia="Arial Unicode MS"/>
          <w:rtl w:val="0"/>
          <w:lang w:val="en-US"/>
        </w:rPr>
        <w:t>Inconsistency</w:t>
      </w:r>
      <w:r>
        <w:rPr>
          <w:rFonts w:cs="Arial Unicode MS" w:eastAsia="Arial Unicode MS" w:hint="default"/>
          <w:rtl w:val="1"/>
        </w:rPr>
        <w:t>’</w:t>
      </w:r>
      <w:r>
        <w:rPr>
          <w:rFonts w:cs="Arial Unicode MS" w:eastAsia="Arial Unicode MS"/>
          <w:rtl w:val="0"/>
        </w:rPr>
        <w:t>, p. 84</w:t>
      </w:r>
    </w:p>
  </w:footnote>
  <w:footnote w:id="16">
    <w:p>
      <w:pPr>
        <w:pStyle w:val="Footnote"/>
        <w:bidi w:val="0"/>
      </w:pPr>
      <w:r>
        <w:rPr>
          <w:vertAlign w:val="superscript"/>
        </w:rPr>
        <w:footnoteRef/>
      </w:r>
      <w:r>
        <w:rPr>
          <w:rFonts w:cs="Arial Unicode MS" w:eastAsia="Arial Unicode MS"/>
          <w:rtl w:val="0"/>
          <w:lang w:val="de-DE"/>
        </w:rPr>
        <w:t xml:space="preserve"> Theodor W</w:t>
      </w:r>
      <w:r>
        <w:rPr>
          <w:rFonts w:cs="Arial Unicode MS" w:eastAsia="Arial Unicode MS"/>
          <w:rtl w:val="0"/>
          <w:lang w:val="en-US"/>
        </w:rPr>
        <w:t xml:space="preserve">. </w:t>
      </w:r>
      <w:r>
        <w:rPr>
          <w:rFonts w:cs="Arial Unicode MS" w:eastAsia="Arial Unicode MS"/>
          <w:rtl w:val="0"/>
          <w:lang w:val="en-US"/>
        </w:rPr>
        <w:t>Adorno, The Stars Down to Earth and Other Essays on the Irrational in Culture (Psychology Press, 2001)</w:t>
      </w:r>
      <w:r>
        <w:rPr>
          <w:rFonts w:cs="Arial Unicode MS" w:eastAsia="Arial Unicode MS"/>
          <w:rtl w:val="0"/>
          <w:lang w:val="en-US"/>
        </w:rPr>
        <w:t>, p. 13</w:t>
      </w:r>
    </w:p>
  </w:footnote>
  <w:footnote w:id="17">
    <w:p>
      <w:pPr>
        <w:pStyle w:val="Footnote"/>
        <w:bidi w:val="0"/>
      </w:pPr>
      <w:r>
        <w:rPr>
          <w:vertAlign w:val="superscript"/>
        </w:rPr>
        <w:footnoteRef/>
      </w:r>
      <w:r>
        <w:rPr>
          <w:rFonts w:cs="Arial Unicode MS" w:eastAsia="Arial Unicode MS"/>
          <w:rtl w:val="0"/>
          <w:lang w:val="en-US"/>
        </w:rPr>
        <w:t xml:space="preserve"> Brink, </w:t>
      </w:r>
      <w:r>
        <w:rPr>
          <w:rFonts w:cs="Arial Unicode MS" w:eastAsia="Arial Unicode MS" w:hint="default"/>
          <w:rtl w:val="1"/>
        </w:rPr>
        <w:t>‘</w:t>
      </w:r>
      <w:r>
        <w:rPr>
          <w:rFonts w:cs="Arial Unicode MS" w:eastAsia="Arial Unicode MS"/>
          <w:rtl w:val="0"/>
          <w:lang w:val="en-US"/>
        </w:rPr>
        <w:t>Inconsistency</w:t>
      </w:r>
      <w:r>
        <w:rPr>
          <w:rFonts w:cs="Arial Unicode MS" w:eastAsia="Arial Unicode MS" w:hint="default"/>
          <w:rtl w:val="1"/>
        </w:rPr>
        <w:t>’</w:t>
      </w:r>
      <w:r>
        <w:rPr>
          <w:rFonts w:cs="Arial Unicode MS" w:eastAsia="Arial Unicode MS"/>
          <w:rtl w:val="0"/>
        </w:rPr>
        <w:t>, p. 84</w:t>
      </w:r>
    </w:p>
  </w:footnote>
  <w:footnote w:id="18">
    <w:p>
      <w:pPr>
        <w:pStyle w:val="Footnote"/>
        <w:bidi w:val="0"/>
      </w:pPr>
      <w:r>
        <w:rPr>
          <w:vertAlign w:val="superscript"/>
        </w:rPr>
        <w:footnoteRef/>
      </w:r>
      <w:r>
        <w:rPr>
          <w:rFonts w:cs="Arial Unicode MS" w:eastAsia="Arial Unicode MS"/>
          <w:rtl w:val="0"/>
          <w:lang w:val="de-DE"/>
        </w:rPr>
        <w:t xml:space="preserve"> Walter, </w:t>
      </w:r>
      <w:r>
        <w:rPr>
          <w:rFonts w:cs="Arial Unicode MS" w:eastAsia="Arial Unicode MS" w:hint="default"/>
          <w:rtl w:val="1"/>
        </w:rPr>
        <w:t>‘</w:t>
      </w:r>
      <w:r>
        <w:rPr>
          <w:rFonts w:cs="Arial Unicode MS" w:eastAsia="Arial Unicode MS"/>
          <w:rtl w:val="0"/>
        </w:rPr>
        <w:t>Private</w:t>
      </w:r>
      <w:r>
        <w:rPr>
          <w:rFonts w:cs="Arial Unicode MS" w:eastAsia="Arial Unicode MS" w:hint="default"/>
          <w:rtl w:val="1"/>
        </w:rPr>
        <w:t>’</w:t>
      </w:r>
      <w:r>
        <w:rPr>
          <w:rFonts w:cs="Arial Unicode MS" w:eastAsia="Arial Unicode MS"/>
          <w:rtl w:val="0"/>
        </w:rPr>
        <w:t>, p. 18</w:t>
      </w:r>
      <w:r>
        <w:rPr>
          <w:rFonts w:cs="Arial Unicode MS" w:eastAsia="Arial Unicode MS"/>
          <w:rtl w:val="0"/>
          <w:lang w:val="en-US"/>
        </w:rPr>
        <w:t>7</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s>
      <w:jc w:val="left"/>
    </w:pPr>
    <w:r>
      <w:rPr>
        <w:outline w:val="0"/>
        <w:color w:val="7a7a7a"/>
        <w:rtl w:val="0"/>
        <w:lang w:val="en-US"/>
        <w14:textFill>
          <w14:solidFill>
            <w14:srgbClr w14:val="7A7A7A"/>
          </w14:solidFill>
        </w14:textFill>
      </w:rPr>
      <w:t xml:space="preserve">Alessandro berio </w:t>
    </w:r>
    <w:r>
      <w:rPr>
        <w:outline w:val="0"/>
        <w:color w:val="7a7a7a"/>
        <w:rtl w:val="0"/>
        <w14:textFill>
          <w14:solidFill>
            <w14:srgbClr w14:val="7A7A7A"/>
          </w14:solidFill>
        </w14:textFill>
      </w:rPr>
      <w:t>1907991</w:t>
      <w:tab/>
      <w:tab/>
    </w:r>
    <w:r>
      <w:rPr>
        <w:outline w:val="0"/>
        <w:color w:val="434343"/>
        <w:rtl w:val="0"/>
        <w:lang w:val="en-US"/>
        <w14:textFill>
          <w14:solidFill>
            <w14:srgbClr w14:val="444444"/>
          </w14:solidFill>
        </w14:textFill>
      </w:rPr>
      <w:t xml:space="preserve">Page </w:t>
    </w:r>
    <w:r>
      <w:rPr>
        <w:outline w:val="0"/>
        <w:color w:val="434343"/>
        <w14:textFill>
          <w14:solidFill>
            <w14:srgbClr w14:val="444444"/>
          </w14:solidFill>
        </w14:textFill>
      </w:rPr>
      <w:fldChar w:fldCharType="begin" w:fldLock="0"/>
    </w:r>
    <w:r>
      <w:rPr>
        <w:outline w:val="0"/>
        <w:color w:val="434343"/>
        <w14:textFill>
          <w14:solidFill>
            <w14:srgbClr w14:val="444444"/>
          </w14:solidFill>
        </w14:textFill>
      </w:rPr>
      <w:instrText xml:space="preserve"> PAGE </w:instrText>
    </w:r>
    <w:r>
      <w:rPr>
        <w:outline w:val="0"/>
        <w:color w:val="434343"/>
        <w14:textFill>
          <w14:solidFill>
            <w14:srgbClr w14:val="444444"/>
          </w14:solidFill>
        </w14:textFill>
      </w:rPr>
      <w:fldChar w:fldCharType="separate" w:fldLock="0"/>
    </w:r>
    <w:r>
      <w:rPr>
        <w:outline w:val="0"/>
        <w:color w:val="434343"/>
        <w14:textFill>
          <w14:solidFill>
            <w14:srgbClr w14:val="444444"/>
          </w14:solidFill>
        </w14:textFill>
      </w:rPr>
    </w:r>
    <w:r>
      <w:rPr>
        <w:outline w:val="0"/>
        <w:color w:val="434343"/>
        <w14:textFill>
          <w14:solidFill>
            <w14:srgbClr w14:val="444444"/>
          </w14:solidFill>
        </w14:textFill>
      </w:rPr>
      <w:fldChar w:fldCharType="end" w:fldLock="0"/>
    </w:r>
    <w:r>
      <w:rPr>
        <w:outline w:val="0"/>
        <w:color w:val="434343"/>
        <w:rtl w:val="0"/>
        <w:lang w:val="en-US"/>
        <w14:textFill>
          <w14:solidFill>
            <w14:srgbClr w14:val="444444"/>
          </w14:solidFill>
        </w14:textFill>
      </w:rPr>
      <w:t xml:space="preserve"> of </w:t>
    </w:r>
    <w:r>
      <w:rPr>
        <w:outline w:val="0"/>
        <w:color w:val="434343"/>
        <w14:textFill>
          <w14:solidFill>
            <w14:srgbClr w14:val="444444"/>
          </w14:solidFill>
        </w14:textFill>
      </w:rPr>
      <w:fldChar w:fldCharType="begin" w:fldLock="0"/>
    </w:r>
    <w:r>
      <w:rPr>
        <w:outline w:val="0"/>
        <w:color w:val="434343"/>
        <w14:textFill>
          <w14:solidFill>
            <w14:srgbClr w14:val="444444"/>
          </w14:solidFill>
        </w14:textFill>
      </w:rPr>
      <w:instrText xml:space="preserve"> NUMPAGES </w:instrText>
    </w:r>
    <w:r>
      <w:rPr>
        <w:outline w:val="0"/>
        <w:color w:val="434343"/>
        <w14:textFill>
          <w14:solidFill>
            <w14:srgbClr w14:val="444444"/>
          </w14:solidFill>
        </w14:textFill>
      </w:rPr>
      <w:fldChar w:fldCharType="separate" w:fldLock="0"/>
    </w:r>
    <w:r>
      <w:rPr>
        <w:outline w:val="0"/>
        <w:color w:val="434343"/>
        <w14:textFill>
          <w14:solidFill>
            <w14:srgbClr w14:val="444444"/>
          </w14:solidFill>
        </w14:textFill>
      </w:rPr>
    </w:r>
    <w:r>
      <w:rPr>
        <w:outline w:val="0"/>
        <w:color w:val="434343"/>
        <w14:textFill>
          <w14:solidFill>
            <w14:srgbClr w14:val="444444"/>
          </w14:solidFill>
        </w14:textFill>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Lora Regular" w:cs="Arial Unicode MS" w:hAnsi="Lora Regular"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lang w:val="en-US"/>
      <w14:textOutline>
        <w14:noFill/>
      </w14:textOutline>
      <w14:textFill>
        <w14:solidFill>
          <w14:srgbClr w14:val="000000"/>
        </w14:solidFill>
      </w14:textFill>
    </w:rPr>
  </w:style>
  <w:style w:type="paragraph" w:styleId="Body 2">
    <w:name w:val="Body 2"/>
    <w:next w:val="Body 2"/>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34343"/>
      <w:spacing w:val="0"/>
      <w:kern w:val="0"/>
      <w:position w:val="0"/>
      <w:sz w:val="24"/>
      <w:szCs w:val="24"/>
      <w:u w:val="none"/>
      <w:shd w:val="nil" w:color="auto" w:fill="auto"/>
      <w:vertAlign w:val="baseline"/>
      <w14:textOutline>
        <w14:noFill/>
      </w14:textOutline>
      <w14:textFill>
        <w14:solidFill>
          <w14:srgbClr w14:val="444444"/>
        </w14:solidFill>
      </w14:textFill>
    </w:rPr>
  </w:style>
  <w:style w:type="paragraph" w:styleId="Subtitle">
    <w:name w:val="Subtitle"/>
    <w:next w:val="Body 2"/>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Lora Regular" w:cs="Lora Regular" w:hAnsi="Lora Regular" w:eastAsia="Lora Regular"/>
      <w:b w:val="0"/>
      <w:bCs w:val="0"/>
      <w:i w:val="0"/>
      <w:iCs w:val="0"/>
      <w:caps w:val="0"/>
      <w:smallCaps w:val="0"/>
      <w:strike w:val="0"/>
      <w:dstrike w:val="0"/>
      <w:outline w:val="0"/>
      <w:color w:val="dc5921"/>
      <w:spacing w:val="6"/>
      <w:kern w:val="0"/>
      <w:position w:val="0"/>
      <w:sz w:val="64"/>
      <w:szCs w:val="64"/>
      <w:u w:val="none"/>
      <w:shd w:val="nil" w:color="auto" w:fill="auto"/>
      <w:vertAlign w:val="baseline"/>
      <w14:textOutline>
        <w14:noFill/>
      </w14:textOutline>
      <w14:textFill>
        <w14:solidFill>
          <w14:srgbClr w14:val="DC5922"/>
        </w14:solidFill>
      </w14:textFill>
    </w:rPr>
  </w:style>
  <w:style w:type="character" w:styleId="Hyperlink.0">
    <w:name w:val="Hyperlink.0"/>
    <w:basedOn w:val="Hyperlink"/>
    <w:next w:val="Hyperlink.0"/>
    <w:rPr>
      <w:u w:val="single"/>
    </w:rPr>
  </w:style>
  <w:style w:type="paragraph" w:styleId="Subheading">
    <w:name w:val="Subheading"/>
    <w:next w:val="Body 2"/>
    <w:pPr>
      <w:keepNext w:val="0"/>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Lora Regular" w:hAnsi="Lora Regular" w:eastAsia="Lora Regular"/>
      <w:b w:val="0"/>
      <w:bCs w:val="0"/>
      <w:i w:val="0"/>
      <w:iCs w:val="0"/>
      <w:caps w:val="0"/>
      <w:smallCaps w:val="0"/>
      <w:strike w:val="0"/>
      <w:dstrike w:val="0"/>
      <w:outline w:val="0"/>
      <w:color w:val="5b422a"/>
      <w:spacing w:val="0"/>
      <w:kern w:val="0"/>
      <w:position w:val="0"/>
      <w:sz w:val="36"/>
      <w:szCs w:val="36"/>
      <w:u w:val="none"/>
      <w:shd w:val="nil" w:color="auto" w:fill="auto"/>
      <w:vertAlign w:val="baseline"/>
      <w14:textOutline>
        <w14:noFill/>
      </w14:textOutline>
      <w14:textFill>
        <w14:solidFill>
          <w14:srgbClr w14:val="5C432B"/>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540"/>
      <w:jc w:val="left"/>
      <w:outlineLvl w:val="9"/>
    </w:pPr>
    <w:rPr>
      <w:rFonts w:ascii="Lora Regular" w:cs="Arial Unicode MS" w:hAnsi="Lora Regular"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34343"/>
      <w:spacing w:val="0"/>
      <w:kern w:val="0"/>
      <w:position w:val="0"/>
      <w:sz w:val="20"/>
      <w:szCs w:val="20"/>
      <w:u w:val="none"/>
      <w:shd w:val="nil" w:color="auto" w:fill="auto"/>
      <w:vertAlign w:val="baseline"/>
      <w14:textOutline>
        <w14:noFill/>
      </w14:textOutline>
      <w14:textFill>
        <w14:solidFill>
          <w14:srgbClr w14:val="444444"/>
        </w14:solidFill>
      </w14:textFill>
    </w:rPr>
  </w:style>
  <w:style w:type="paragraph" w:styleId="Heading 2">
    <w:name w:val="Heading 2"/>
    <w:next w:val="Body 2"/>
    <w:pPr>
      <w:keepNext w:val="1"/>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Arial Unicode MS" w:hAnsi="Lora Regular" w:eastAsia="Arial Unicode MS"/>
      <w:b w:val="0"/>
      <w:bCs w:val="0"/>
      <w:i w:val="0"/>
      <w:iCs w:val="0"/>
      <w:caps w:val="0"/>
      <w:smallCaps w:val="0"/>
      <w:strike w:val="0"/>
      <w:dstrike w:val="0"/>
      <w:outline w:val="0"/>
      <w:color w:val="5a5754"/>
      <w:spacing w:val="0"/>
      <w:kern w:val="0"/>
      <w:position w:val="0"/>
      <w:sz w:val="36"/>
      <w:szCs w:val="36"/>
      <w:u w:val="none"/>
      <w:shd w:val="nil" w:color="auto" w:fill="auto"/>
      <w:vertAlign w:val="baseline"/>
      <w:lang w:val="fr-FR"/>
      <w14:textOutline>
        <w14:noFill/>
      </w14:textOutline>
      <w14:textFill>
        <w14:solidFill>
          <w14:srgbClr w14:val="5B5854"/>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4_Essay">
  <a:themeElements>
    <a:clrScheme name="04_Essay">
      <a:dk1>
        <a:srgbClr val="000000"/>
      </a:dk1>
      <a:lt1>
        <a:srgbClr val="FFFFFF"/>
      </a:lt1>
      <a:dk2>
        <a:srgbClr val="444444"/>
      </a:dk2>
      <a:lt2>
        <a:srgbClr val="AAAAAA"/>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Lora Regular"/>
        <a:ea typeface="Lora Regular"/>
        <a:cs typeface="Lora Regular"/>
      </a:majorFont>
      <a:minorFont>
        <a:latin typeface="Lora Bold"/>
        <a:ea typeface="Lora Bold"/>
        <a:cs typeface="Lora Bold"/>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2">
            <a:hueOff val="304431"/>
            <a:satOff val="14136"/>
            <a:lumOff val="-27777"/>
          </a:schemeClr>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FFFFFF"/>
            </a:solidFill>
            <a:effectLst/>
            <a:uFillTx/>
            <a:latin typeface="+mj-lt"/>
            <a:ea typeface="+mj-ea"/>
            <a:cs typeface="+mj-cs"/>
            <a:sym typeface="Lora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AAAAAA"/>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20000"/>
          </a:lnSpc>
          <a:spcBef>
            <a:spcPts val="400"/>
          </a:spcBef>
          <a:spcAft>
            <a:spcPts val="0"/>
          </a:spcAft>
          <a:buClrTx/>
          <a:buSzTx/>
          <a:buFontTx/>
          <a:buNone/>
          <a:tabLst/>
          <a:defRPr b="0" baseline="0" cap="none" i="0" spc="0" strike="noStrike" sz="1200" u="none" kumimoji="0" normalizeH="0">
            <a:ln>
              <a:noFill/>
            </a:ln>
            <a:solidFill>
              <a:srgbClr val="444444"/>
            </a:solidFill>
            <a:effectLst/>
            <a:uFillTx/>
            <a:latin typeface="+mj-lt"/>
            <a:ea typeface="+mj-ea"/>
            <a:cs typeface="+mj-cs"/>
            <a:sym typeface="Lora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