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52579" w:rsidRPr="00CE2C2E" w:rsidRDefault="00C52579" w:rsidP="0045416B">
      <w:pPr>
        <w:pStyle w:val="Title"/>
        <w:spacing w:line="360" w:lineRule="auto"/>
        <w:jc w:val="center"/>
        <w:rPr>
          <w:rFonts w:ascii="Arial" w:hAnsi="Arial" w:cs="Arial"/>
          <w:iCs/>
          <w:sz w:val="52"/>
          <w:szCs w:val="52"/>
        </w:rPr>
      </w:pPr>
      <w:r w:rsidRPr="00CE2C2E">
        <w:rPr>
          <w:rFonts w:ascii="Arial" w:hAnsi="Arial" w:cs="Arial"/>
          <w:iCs/>
          <w:sz w:val="52"/>
          <w:szCs w:val="52"/>
        </w:rPr>
        <w:t>Assessment 2</w:t>
      </w:r>
    </w:p>
    <w:p w:rsidR="00422F7C" w:rsidRPr="00CE2C2E" w:rsidRDefault="00C52579" w:rsidP="0045416B">
      <w:pPr>
        <w:pStyle w:val="Title"/>
        <w:spacing w:line="360" w:lineRule="auto"/>
        <w:jc w:val="center"/>
        <w:rPr>
          <w:rStyle w:val="SubtitleChar"/>
          <w:rFonts w:ascii="Arial" w:hAnsi="Arial" w:cs="Arial"/>
          <w:iCs/>
          <w:sz w:val="52"/>
          <w:szCs w:val="52"/>
        </w:rPr>
      </w:pPr>
      <w:r w:rsidRPr="00CE2C2E">
        <w:rPr>
          <w:rStyle w:val="SubtitleChar"/>
          <w:rFonts w:ascii="Arial" w:hAnsi="Arial" w:cs="Arial"/>
          <w:iCs/>
          <w:sz w:val="52"/>
          <w:szCs w:val="52"/>
        </w:rPr>
        <w:t>Community Engagement</w:t>
      </w:r>
    </w:p>
    <w:p w:rsidR="00D644FB" w:rsidRPr="00CE2C2E" w:rsidRDefault="00D644FB" w:rsidP="00D644FB">
      <w:pPr>
        <w:rPr>
          <w:rFonts w:ascii="Arial" w:eastAsiaTheme="minorEastAsia" w:hAnsi="Arial" w:cs="Arial"/>
          <w:sz w:val="52"/>
          <w:szCs w:val="52"/>
        </w:rPr>
      </w:pPr>
    </w:p>
    <w:p w:rsidR="00D644FB" w:rsidRPr="00CE2C2E" w:rsidRDefault="00D644FB" w:rsidP="00D644FB">
      <w:pPr>
        <w:rPr>
          <w:rFonts w:ascii="Arial" w:eastAsiaTheme="minorEastAsia" w:hAnsi="Arial" w:cs="Arial"/>
          <w:sz w:val="28"/>
          <w:szCs w:val="28"/>
        </w:rPr>
      </w:pPr>
      <w:r w:rsidRPr="00CE2C2E">
        <w:rPr>
          <w:rFonts w:ascii="Arial" w:eastAsiaTheme="minorEastAsia" w:hAnsi="Arial" w:cs="Arial"/>
          <w:sz w:val="28"/>
          <w:szCs w:val="28"/>
        </w:rPr>
        <w:t xml:space="preserve">Name: Alexandra </w:t>
      </w:r>
      <w:proofErr w:type="spellStart"/>
      <w:r w:rsidRPr="00CE2C2E">
        <w:rPr>
          <w:rFonts w:ascii="Arial" w:eastAsiaTheme="minorEastAsia" w:hAnsi="Arial" w:cs="Arial"/>
          <w:sz w:val="28"/>
          <w:szCs w:val="28"/>
        </w:rPr>
        <w:t>Elisaveta</w:t>
      </w:r>
      <w:proofErr w:type="spellEnd"/>
      <w:r w:rsidRPr="00CE2C2E">
        <w:rPr>
          <w:rFonts w:ascii="Arial" w:eastAsiaTheme="minorEastAsia" w:hAnsi="Arial" w:cs="Arial"/>
          <w:sz w:val="28"/>
          <w:szCs w:val="28"/>
        </w:rPr>
        <w:t xml:space="preserve"> </w:t>
      </w:r>
      <w:proofErr w:type="spellStart"/>
      <w:r w:rsidRPr="00CE2C2E">
        <w:rPr>
          <w:rFonts w:ascii="Arial" w:eastAsiaTheme="minorEastAsia" w:hAnsi="Arial" w:cs="Arial"/>
          <w:sz w:val="28"/>
          <w:szCs w:val="28"/>
        </w:rPr>
        <w:t>Strajeriu</w:t>
      </w:r>
      <w:proofErr w:type="spellEnd"/>
      <w:r w:rsidRPr="00CE2C2E">
        <w:rPr>
          <w:rFonts w:ascii="Arial" w:eastAsiaTheme="minorEastAsia" w:hAnsi="Arial" w:cs="Arial"/>
          <w:sz w:val="28"/>
          <w:szCs w:val="28"/>
        </w:rPr>
        <w:t xml:space="preserve"> </w:t>
      </w:r>
    </w:p>
    <w:p w:rsidR="00D644FB" w:rsidRPr="00CE2C2E" w:rsidRDefault="00D644FB" w:rsidP="00D644FB">
      <w:pPr>
        <w:rPr>
          <w:rFonts w:ascii="Arial" w:eastAsiaTheme="minorEastAsia" w:hAnsi="Arial" w:cs="Arial"/>
          <w:sz w:val="28"/>
          <w:szCs w:val="28"/>
        </w:rPr>
      </w:pPr>
    </w:p>
    <w:p w:rsidR="00D644FB" w:rsidRPr="00CE2C2E" w:rsidRDefault="00D644FB" w:rsidP="00D644FB">
      <w:pPr>
        <w:rPr>
          <w:rFonts w:ascii="Arial" w:eastAsiaTheme="minorEastAsia" w:hAnsi="Arial" w:cs="Arial"/>
          <w:sz w:val="28"/>
          <w:szCs w:val="28"/>
        </w:rPr>
      </w:pPr>
      <w:r w:rsidRPr="00CE2C2E">
        <w:rPr>
          <w:rFonts w:ascii="Arial" w:eastAsiaTheme="minorEastAsia" w:hAnsi="Arial" w:cs="Arial"/>
          <w:sz w:val="28"/>
          <w:szCs w:val="28"/>
        </w:rPr>
        <w:t>Student id: 2214913</w:t>
      </w:r>
    </w:p>
    <w:p w:rsidR="00D644FB" w:rsidRPr="00CE2C2E" w:rsidRDefault="00D644FB" w:rsidP="00D644FB">
      <w:pPr>
        <w:rPr>
          <w:rFonts w:ascii="Arial" w:eastAsiaTheme="minorEastAsia" w:hAnsi="Arial" w:cs="Arial"/>
          <w:sz w:val="28"/>
          <w:szCs w:val="28"/>
        </w:rPr>
      </w:pPr>
    </w:p>
    <w:p w:rsidR="00D644FB" w:rsidRPr="00CE2C2E" w:rsidRDefault="00D644FB" w:rsidP="00D644FB">
      <w:pPr>
        <w:rPr>
          <w:rFonts w:ascii="Arial" w:eastAsiaTheme="minorEastAsia" w:hAnsi="Arial" w:cs="Arial"/>
          <w:sz w:val="28"/>
          <w:szCs w:val="28"/>
        </w:rPr>
      </w:pPr>
      <w:r w:rsidRPr="00CE2C2E">
        <w:rPr>
          <w:rFonts w:ascii="Arial" w:eastAsiaTheme="minorEastAsia" w:hAnsi="Arial" w:cs="Arial"/>
          <w:sz w:val="28"/>
          <w:szCs w:val="28"/>
        </w:rPr>
        <w:t>Module: LCBB4002</w:t>
      </w:r>
    </w:p>
    <w:p w:rsidR="00D644FB" w:rsidRPr="00CE2C2E" w:rsidRDefault="00D644FB" w:rsidP="00D644FB">
      <w:pPr>
        <w:rPr>
          <w:rFonts w:ascii="Arial" w:eastAsiaTheme="minorEastAsia" w:hAnsi="Arial" w:cs="Arial"/>
          <w:sz w:val="28"/>
          <w:szCs w:val="28"/>
        </w:rPr>
      </w:pPr>
    </w:p>
    <w:p w:rsidR="00D644FB" w:rsidRPr="00CE2C2E" w:rsidRDefault="00D644FB" w:rsidP="00D644FB">
      <w:pPr>
        <w:rPr>
          <w:rFonts w:ascii="Arial" w:eastAsiaTheme="minorEastAsia" w:hAnsi="Arial" w:cs="Arial"/>
          <w:sz w:val="28"/>
          <w:szCs w:val="28"/>
        </w:rPr>
      </w:pPr>
      <w:r w:rsidRPr="00CE2C2E">
        <w:rPr>
          <w:rFonts w:ascii="Arial" w:eastAsiaTheme="minorEastAsia" w:hAnsi="Arial" w:cs="Arial"/>
          <w:sz w:val="28"/>
          <w:szCs w:val="28"/>
        </w:rPr>
        <w:t xml:space="preserve">Lecturer: </w:t>
      </w:r>
      <w:proofErr w:type="spellStart"/>
      <w:r w:rsidRPr="00CE2C2E">
        <w:rPr>
          <w:rFonts w:ascii="Arial" w:eastAsiaTheme="minorEastAsia" w:hAnsi="Arial" w:cs="Arial"/>
          <w:sz w:val="28"/>
          <w:szCs w:val="28"/>
        </w:rPr>
        <w:t>Dr.</w:t>
      </w:r>
      <w:proofErr w:type="spellEnd"/>
      <w:r w:rsidRPr="00CE2C2E">
        <w:rPr>
          <w:rFonts w:ascii="Arial" w:eastAsiaTheme="minorEastAsia" w:hAnsi="Arial" w:cs="Arial"/>
          <w:sz w:val="28"/>
          <w:szCs w:val="28"/>
        </w:rPr>
        <w:t xml:space="preserve"> Nadeem Mirza</w:t>
      </w:r>
    </w:p>
    <w:p w:rsidR="00D644FB" w:rsidRPr="00CE2C2E" w:rsidRDefault="00D644FB" w:rsidP="00D644FB">
      <w:pPr>
        <w:rPr>
          <w:rFonts w:ascii="Arial" w:eastAsiaTheme="minorEastAsia" w:hAnsi="Arial" w:cs="Arial"/>
          <w:sz w:val="28"/>
          <w:szCs w:val="28"/>
        </w:rPr>
      </w:pPr>
    </w:p>
    <w:p w:rsidR="00D644FB" w:rsidRPr="00CE2C2E" w:rsidRDefault="00D644FB" w:rsidP="00D644FB">
      <w:pPr>
        <w:rPr>
          <w:rFonts w:ascii="Arial" w:eastAsiaTheme="minorEastAsia" w:hAnsi="Arial" w:cs="Arial"/>
          <w:sz w:val="28"/>
          <w:szCs w:val="28"/>
        </w:rPr>
      </w:pPr>
    </w:p>
    <w:p w:rsidR="00D644FB" w:rsidRPr="00CE2C2E" w:rsidRDefault="00D644FB" w:rsidP="00D644FB">
      <w:pPr>
        <w:rPr>
          <w:rFonts w:ascii="Arial" w:eastAsiaTheme="minorEastAsia" w:hAnsi="Arial" w:cs="Arial"/>
          <w:sz w:val="28"/>
          <w:szCs w:val="28"/>
        </w:rPr>
      </w:pPr>
    </w:p>
    <w:p w:rsidR="00D644FB" w:rsidRPr="00CE2C2E" w:rsidRDefault="00D644FB" w:rsidP="00D644FB">
      <w:pPr>
        <w:rPr>
          <w:rFonts w:ascii="Arial" w:eastAsiaTheme="minorEastAsia" w:hAnsi="Arial" w:cs="Arial"/>
          <w:sz w:val="28"/>
          <w:szCs w:val="28"/>
        </w:rPr>
      </w:pPr>
    </w:p>
    <w:p w:rsidR="00D644FB" w:rsidRPr="00CE2C2E" w:rsidRDefault="00D644FB" w:rsidP="00D644FB">
      <w:pPr>
        <w:rPr>
          <w:rFonts w:ascii="Arial" w:eastAsiaTheme="minorEastAsia" w:hAnsi="Arial" w:cs="Arial"/>
          <w:sz w:val="28"/>
          <w:szCs w:val="28"/>
        </w:rPr>
      </w:pPr>
    </w:p>
    <w:p w:rsidR="00C52579" w:rsidRPr="00CE2C2E" w:rsidRDefault="00C52579" w:rsidP="0045416B">
      <w:pPr>
        <w:pStyle w:val="Title"/>
        <w:spacing w:line="360" w:lineRule="auto"/>
        <w:jc w:val="center"/>
        <w:rPr>
          <w:rFonts w:ascii="Arial" w:hAnsi="Arial" w:cs="Arial"/>
          <w:b/>
          <w:bCs/>
          <w:color w:val="2F5496"/>
          <w:kern w:val="36"/>
          <w:sz w:val="28"/>
          <w:szCs w:val="28"/>
        </w:rPr>
      </w:pPr>
      <w:r w:rsidRPr="00CE2C2E">
        <w:rPr>
          <w:rFonts w:ascii="Arial" w:hAnsi="Arial" w:cs="Arial"/>
          <w:sz w:val="28"/>
          <w:szCs w:val="28"/>
        </w:rPr>
        <w:br w:type="page"/>
      </w:r>
    </w:p>
    <w:sdt>
      <w:sdtPr>
        <w:rPr>
          <w:rFonts w:ascii="Arial" w:eastAsia="Times New Roman" w:hAnsi="Arial" w:cs="Arial"/>
          <w:color w:val="auto"/>
          <w:sz w:val="28"/>
          <w:szCs w:val="28"/>
        </w:rPr>
        <w:id w:val="1945966384"/>
        <w:docPartObj>
          <w:docPartGallery w:val="Table of Contents"/>
          <w:docPartUnique/>
        </w:docPartObj>
      </w:sdtPr>
      <w:sdtEndPr>
        <w:rPr>
          <w:b/>
          <w:bCs/>
          <w:noProof/>
        </w:rPr>
      </w:sdtEndPr>
      <w:sdtContent>
        <w:p w:rsidR="00C52579" w:rsidRPr="00CE2C2E" w:rsidRDefault="00C52579" w:rsidP="0045416B">
          <w:pPr>
            <w:pStyle w:val="TOCHeading"/>
            <w:spacing w:line="360" w:lineRule="auto"/>
            <w:jc w:val="both"/>
            <w:rPr>
              <w:rFonts w:ascii="Arial" w:hAnsi="Arial" w:cs="Arial"/>
              <w:sz w:val="28"/>
              <w:szCs w:val="28"/>
            </w:rPr>
          </w:pPr>
          <w:r w:rsidRPr="00CE2C2E">
            <w:rPr>
              <w:rFonts w:ascii="Arial" w:hAnsi="Arial" w:cs="Arial"/>
              <w:sz w:val="28"/>
              <w:szCs w:val="28"/>
            </w:rPr>
            <w:t>TABLE OF CONTENTS</w:t>
          </w:r>
        </w:p>
        <w:p w:rsidR="00C52579" w:rsidRPr="00CE2C2E" w:rsidRDefault="00BA2D0C" w:rsidP="0045416B">
          <w:pPr>
            <w:pStyle w:val="TOC1"/>
            <w:tabs>
              <w:tab w:val="right" w:leader="dot" w:pos="9350"/>
            </w:tabs>
            <w:spacing w:line="360" w:lineRule="auto"/>
            <w:jc w:val="both"/>
            <w:rPr>
              <w:rFonts w:ascii="Arial" w:eastAsiaTheme="minorEastAsia" w:hAnsi="Arial" w:cs="Arial"/>
              <w:noProof/>
              <w:sz w:val="28"/>
              <w:szCs w:val="28"/>
              <w:lang w:eastAsia="en-GB"/>
            </w:rPr>
          </w:pPr>
          <w:r w:rsidRPr="00CE2C2E">
            <w:rPr>
              <w:rFonts w:ascii="Arial" w:hAnsi="Arial" w:cs="Arial"/>
              <w:sz w:val="28"/>
              <w:szCs w:val="28"/>
            </w:rPr>
            <w:fldChar w:fldCharType="begin"/>
          </w:r>
          <w:r w:rsidR="00C52579" w:rsidRPr="00CE2C2E">
            <w:rPr>
              <w:rFonts w:ascii="Arial" w:hAnsi="Arial" w:cs="Arial"/>
              <w:sz w:val="28"/>
              <w:szCs w:val="28"/>
            </w:rPr>
            <w:instrText xml:space="preserve"> TOC \o "1-3" \h \z \u </w:instrText>
          </w:r>
          <w:r w:rsidRPr="00CE2C2E">
            <w:rPr>
              <w:rFonts w:ascii="Arial" w:hAnsi="Arial" w:cs="Arial"/>
              <w:sz w:val="28"/>
              <w:szCs w:val="28"/>
            </w:rPr>
            <w:fldChar w:fldCharType="separate"/>
          </w:r>
          <w:hyperlink w:anchor="_Toc133240995" w:history="1">
            <w:r w:rsidR="00C52579" w:rsidRPr="00CE2C2E">
              <w:rPr>
                <w:rStyle w:val="Hyperlink"/>
                <w:rFonts w:ascii="Arial" w:hAnsi="Arial" w:cs="Arial"/>
                <w:noProof/>
                <w:sz w:val="28"/>
                <w:szCs w:val="28"/>
              </w:rPr>
              <w:t>INTRODUCTION</w:t>
            </w:r>
            <w:r w:rsidR="00C52579" w:rsidRPr="00CE2C2E">
              <w:rPr>
                <w:rFonts w:ascii="Arial" w:hAnsi="Arial" w:cs="Arial"/>
                <w:noProof/>
                <w:webHidden/>
                <w:sz w:val="28"/>
                <w:szCs w:val="28"/>
              </w:rPr>
              <w:tab/>
            </w:r>
            <w:r w:rsidRPr="00CE2C2E">
              <w:rPr>
                <w:rFonts w:ascii="Arial" w:hAnsi="Arial" w:cs="Arial"/>
                <w:noProof/>
                <w:webHidden/>
                <w:sz w:val="28"/>
                <w:szCs w:val="28"/>
              </w:rPr>
              <w:fldChar w:fldCharType="begin"/>
            </w:r>
            <w:r w:rsidR="00C52579" w:rsidRPr="00CE2C2E">
              <w:rPr>
                <w:rFonts w:ascii="Arial" w:hAnsi="Arial" w:cs="Arial"/>
                <w:noProof/>
                <w:webHidden/>
                <w:sz w:val="28"/>
                <w:szCs w:val="28"/>
              </w:rPr>
              <w:instrText xml:space="preserve"> PAGEREF _Toc133240995 \h </w:instrText>
            </w:r>
            <w:r w:rsidRPr="00CE2C2E">
              <w:rPr>
                <w:rFonts w:ascii="Arial" w:hAnsi="Arial" w:cs="Arial"/>
                <w:noProof/>
                <w:webHidden/>
                <w:sz w:val="28"/>
                <w:szCs w:val="28"/>
              </w:rPr>
            </w:r>
            <w:r w:rsidRPr="00CE2C2E">
              <w:rPr>
                <w:rFonts w:ascii="Arial" w:hAnsi="Arial" w:cs="Arial"/>
                <w:noProof/>
                <w:webHidden/>
                <w:sz w:val="28"/>
                <w:szCs w:val="28"/>
              </w:rPr>
              <w:fldChar w:fldCharType="separate"/>
            </w:r>
            <w:r w:rsidR="00C52579" w:rsidRPr="00CE2C2E">
              <w:rPr>
                <w:rFonts w:ascii="Arial" w:hAnsi="Arial" w:cs="Arial"/>
                <w:noProof/>
                <w:webHidden/>
                <w:sz w:val="28"/>
                <w:szCs w:val="28"/>
              </w:rPr>
              <w:t>3</w:t>
            </w:r>
            <w:r w:rsidRPr="00CE2C2E">
              <w:rPr>
                <w:rFonts w:ascii="Arial" w:hAnsi="Arial" w:cs="Arial"/>
                <w:noProof/>
                <w:webHidden/>
                <w:sz w:val="28"/>
                <w:szCs w:val="28"/>
              </w:rPr>
              <w:fldChar w:fldCharType="end"/>
            </w:r>
          </w:hyperlink>
        </w:p>
        <w:p w:rsidR="00C52579" w:rsidRPr="00CE2C2E" w:rsidRDefault="00CC7478" w:rsidP="00B50E81">
          <w:pPr>
            <w:pStyle w:val="TOC2"/>
            <w:tabs>
              <w:tab w:val="right" w:leader="dot" w:pos="9350"/>
            </w:tabs>
            <w:spacing w:line="360" w:lineRule="auto"/>
            <w:ind w:left="0"/>
            <w:jc w:val="both"/>
            <w:rPr>
              <w:rFonts w:ascii="Arial" w:eastAsiaTheme="minorEastAsia" w:hAnsi="Arial" w:cs="Arial"/>
              <w:noProof/>
              <w:sz w:val="28"/>
              <w:szCs w:val="28"/>
              <w:lang w:eastAsia="en-GB"/>
            </w:rPr>
          </w:pPr>
          <w:hyperlink w:anchor="_Toc133240996" w:history="1">
            <w:r w:rsidR="00C52579" w:rsidRPr="00CE2C2E">
              <w:rPr>
                <w:rStyle w:val="Hyperlink"/>
                <w:rFonts w:ascii="Arial" w:hAnsi="Arial" w:cs="Arial"/>
                <w:noProof/>
                <w:sz w:val="28"/>
                <w:szCs w:val="28"/>
              </w:rPr>
              <w:t>COMMUNITY ENGAGEMENT PRINCIPLES</w:t>
            </w:r>
            <w:r w:rsidR="00C52579" w:rsidRPr="00CE2C2E">
              <w:rPr>
                <w:rFonts w:ascii="Arial" w:hAnsi="Arial" w:cs="Arial"/>
                <w:noProof/>
                <w:webHidden/>
                <w:sz w:val="28"/>
                <w:szCs w:val="28"/>
              </w:rPr>
              <w:tab/>
            </w:r>
            <w:r w:rsidR="00BA2D0C" w:rsidRPr="00CE2C2E">
              <w:rPr>
                <w:rFonts w:ascii="Arial" w:hAnsi="Arial" w:cs="Arial"/>
                <w:noProof/>
                <w:webHidden/>
                <w:sz w:val="28"/>
                <w:szCs w:val="28"/>
              </w:rPr>
              <w:fldChar w:fldCharType="begin"/>
            </w:r>
            <w:r w:rsidR="00C52579" w:rsidRPr="00CE2C2E">
              <w:rPr>
                <w:rFonts w:ascii="Arial" w:hAnsi="Arial" w:cs="Arial"/>
                <w:noProof/>
                <w:webHidden/>
                <w:sz w:val="28"/>
                <w:szCs w:val="28"/>
              </w:rPr>
              <w:instrText xml:space="preserve"> PAGEREF _Toc133240996 \h </w:instrText>
            </w:r>
            <w:r w:rsidR="00BA2D0C" w:rsidRPr="00CE2C2E">
              <w:rPr>
                <w:rFonts w:ascii="Arial" w:hAnsi="Arial" w:cs="Arial"/>
                <w:noProof/>
                <w:webHidden/>
                <w:sz w:val="28"/>
                <w:szCs w:val="28"/>
              </w:rPr>
            </w:r>
            <w:r w:rsidR="00BA2D0C" w:rsidRPr="00CE2C2E">
              <w:rPr>
                <w:rFonts w:ascii="Arial" w:hAnsi="Arial" w:cs="Arial"/>
                <w:noProof/>
                <w:webHidden/>
                <w:sz w:val="28"/>
                <w:szCs w:val="28"/>
              </w:rPr>
              <w:fldChar w:fldCharType="separate"/>
            </w:r>
            <w:r w:rsidR="00C52579" w:rsidRPr="00CE2C2E">
              <w:rPr>
                <w:rFonts w:ascii="Arial" w:hAnsi="Arial" w:cs="Arial"/>
                <w:noProof/>
                <w:webHidden/>
                <w:sz w:val="28"/>
                <w:szCs w:val="28"/>
              </w:rPr>
              <w:t>4</w:t>
            </w:r>
            <w:r w:rsidR="00BA2D0C" w:rsidRPr="00CE2C2E">
              <w:rPr>
                <w:rFonts w:ascii="Arial" w:hAnsi="Arial" w:cs="Arial"/>
                <w:noProof/>
                <w:webHidden/>
                <w:sz w:val="28"/>
                <w:szCs w:val="28"/>
              </w:rPr>
              <w:fldChar w:fldCharType="end"/>
            </w:r>
          </w:hyperlink>
        </w:p>
        <w:p w:rsidR="00C52579" w:rsidRPr="00CE2C2E" w:rsidRDefault="00CC7478" w:rsidP="00B50E81">
          <w:pPr>
            <w:pStyle w:val="TOC2"/>
            <w:tabs>
              <w:tab w:val="right" w:leader="dot" w:pos="9350"/>
            </w:tabs>
            <w:spacing w:line="360" w:lineRule="auto"/>
            <w:ind w:left="0"/>
            <w:jc w:val="both"/>
            <w:rPr>
              <w:rFonts w:ascii="Arial" w:eastAsiaTheme="minorEastAsia" w:hAnsi="Arial" w:cs="Arial"/>
              <w:noProof/>
              <w:sz w:val="28"/>
              <w:szCs w:val="28"/>
              <w:lang w:eastAsia="en-GB"/>
            </w:rPr>
          </w:pPr>
          <w:hyperlink w:anchor="_Toc133240997" w:history="1">
            <w:r w:rsidR="00C52579" w:rsidRPr="00CE2C2E">
              <w:rPr>
                <w:rStyle w:val="Hyperlink"/>
                <w:rFonts w:ascii="Arial" w:hAnsi="Arial" w:cs="Arial"/>
                <w:noProof/>
                <w:sz w:val="28"/>
                <w:szCs w:val="28"/>
              </w:rPr>
              <w:t>STAKEHOLDER INVOLVEMENT</w:t>
            </w:r>
            <w:r w:rsidR="00C52579" w:rsidRPr="00CE2C2E">
              <w:rPr>
                <w:rFonts w:ascii="Arial" w:hAnsi="Arial" w:cs="Arial"/>
                <w:noProof/>
                <w:webHidden/>
                <w:sz w:val="28"/>
                <w:szCs w:val="28"/>
              </w:rPr>
              <w:tab/>
            </w:r>
            <w:r w:rsidR="00BA2D0C" w:rsidRPr="00CE2C2E">
              <w:rPr>
                <w:rFonts w:ascii="Arial" w:hAnsi="Arial" w:cs="Arial"/>
                <w:noProof/>
                <w:webHidden/>
                <w:sz w:val="28"/>
                <w:szCs w:val="28"/>
              </w:rPr>
              <w:fldChar w:fldCharType="begin"/>
            </w:r>
            <w:r w:rsidR="00C52579" w:rsidRPr="00CE2C2E">
              <w:rPr>
                <w:rFonts w:ascii="Arial" w:hAnsi="Arial" w:cs="Arial"/>
                <w:noProof/>
                <w:webHidden/>
                <w:sz w:val="28"/>
                <w:szCs w:val="28"/>
              </w:rPr>
              <w:instrText xml:space="preserve"> PAGEREF _Toc133240997 \h </w:instrText>
            </w:r>
            <w:r w:rsidR="00BA2D0C" w:rsidRPr="00CE2C2E">
              <w:rPr>
                <w:rFonts w:ascii="Arial" w:hAnsi="Arial" w:cs="Arial"/>
                <w:noProof/>
                <w:webHidden/>
                <w:sz w:val="28"/>
                <w:szCs w:val="28"/>
              </w:rPr>
            </w:r>
            <w:r w:rsidR="00BA2D0C" w:rsidRPr="00CE2C2E">
              <w:rPr>
                <w:rFonts w:ascii="Arial" w:hAnsi="Arial" w:cs="Arial"/>
                <w:noProof/>
                <w:webHidden/>
                <w:sz w:val="28"/>
                <w:szCs w:val="28"/>
              </w:rPr>
              <w:fldChar w:fldCharType="separate"/>
            </w:r>
            <w:r w:rsidR="00C52579" w:rsidRPr="00CE2C2E">
              <w:rPr>
                <w:rFonts w:ascii="Arial" w:hAnsi="Arial" w:cs="Arial"/>
                <w:noProof/>
                <w:webHidden/>
                <w:sz w:val="28"/>
                <w:szCs w:val="28"/>
              </w:rPr>
              <w:t>6</w:t>
            </w:r>
            <w:r w:rsidR="00BA2D0C" w:rsidRPr="00CE2C2E">
              <w:rPr>
                <w:rFonts w:ascii="Arial" w:hAnsi="Arial" w:cs="Arial"/>
                <w:noProof/>
                <w:webHidden/>
                <w:sz w:val="28"/>
                <w:szCs w:val="28"/>
              </w:rPr>
              <w:fldChar w:fldCharType="end"/>
            </w:r>
          </w:hyperlink>
        </w:p>
        <w:p w:rsidR="00C52579" w:rsidRPr="00CE2C2E" w:rsidRDefault="00CC7478" w:rsidP="00B50E81">
          <w:pPr>
            <w:pStyle w:val="TOC2"/>
            <w:tabs>
              <w:tab w:val="right" w:leader="dot" w:pos="9350"/>
            </w:tabs>
            <w:spacing w:line="360" w:lineRule="auto"/>
            <w:ind w:left="0"/>
            <w:jc w:val="both"/>
            <w:rPr>
              <w:rFonts w:ascii="Arial" w:eastAsiaTheme="minorEastAsia" w:hAnsi="Arial" w:cs="Arial"/>
              <w:noProof/>
              <w:sz w:val="28"/>
              <w:szCs w:val="28"/>
              <w:lang w:eastAsia="en-GB"/>
            </w:rPr>
          </w:pPr>
          <w:hyperlink w:anchor="_Toc133240998" w:history="1">
            <w:r w:rsidR="00C52579" w:rsidRPr="00CE2C2E">
              <w:rPr>
                <w:rStyle w:val="Hyperlink"/>
                <w:rFonts w:ascii="Arial" w:hAnsi="Arial" w:cs="Arial"/>
                <w:noProof/>
                <w:sz w:val="28"/>
                <w:szCs w:val="28"/>
              </w:rPr>
              <w:t>DIVERSITY</w:t>
            </w:r>
            <w:r w:rsidR="00C52579" w:rsidRPr="00CE2C2E">
              <w:rPr>
                <w:rFonts w:ascii="Arial" w:hAnsi="Arial" w:cs="Arial"/>
                <w:noProof/>
                <w:webHidden/>
                <w:sz w:val="28"/>
                <w:szCs w:val="28"/>
              </w:rPr>
              <w:tab/>
            </w:r>
            <w:r w:rsidR="00BA2D0C" w:rsidRPr="00CE2C2E">
              <w:rPr>
                <w:rFonts w:ascii="Arial" w:hAnsi="Arial" w:cs="Arial"/>
                <w:noProof/>
                <w:webHidden/>
                <w:sz w:val="28"/>
                <w:szCs w:val="28"/>
              </w:rPr>
              <w:fldChar w:fldCharType="begin"/>
            </w:r>
            <w:r w:rsidR="00C52579" w:rsidRPr="00CE2C2E">
              <w:rPr>
                <w:rFonts w:ascii="Arial" w:hAnsi="Arial" w:cs="Arial"/>
                <w:noProof/>
                <w:webHidden/>
                <w:sz w:val="28"/>
                <w:szCs w:val="28"/>
              </w:rPr>
              <w:instrText xml:space="preserve"> PAGEREF _Toc133240998 \h </w:instrText>
            </w:r>
            <w:r w:rsidR="00BA2D0C" w:rsidRPr="00CE2C2E">
              <w:rPr>
                <w:rFonts w:ascii="Arial" w:hAnsi="Arial" w:cs="Arial"/>
                <w:noProof/>
                <w:webHidden/>
                <w:sz w:val="28"/>
                <w:szCs w:val="28"/>
              </w:rPr>
            </w:r>
            <w:r w:rsidR="00BA2D0C" w:rsidRPr="00CE2C2E">
              <w:rPr>
                <w:rFonts w:ascii="Arial" w:hAnsi="Arial" w:cs="Arial"/>
                <w:noProof/>
                <w:webHidden/>
                <w:sz w:val="28"/>
                <w:szCs w:val="28"/>
              </w:rPr>
              <w:fldChar w:fldCharType="separate"/>
            </w:r>
            <w:r w:rsidR="00C52579" w:rsidRPr="00CE2C2E">
              <w:rPr>
                <w:rFonts w:ascii="Arial" w:hAnsi="Arial" w:cs="Arial"/>
                <w:noProof/>
                <w:webHidden/>
                <w:sz w:val="28"/>
                <w:szCs w:val="28"/>
              </w:rPr>
              <w:t>7</w:t>
            </w:r>
            <w:r w:rsidR="00BA2D0C" w:rsidRPr="00CE2C2E">
              <w:rPr>
                <w:rFonts w:ascii="Arial" w:hAnsi="Arial" w:cs="Arial"/>
                <w:noProof/>
                <w:webHidden/>
                <w:sz w:val="28"/>
                <w:szCs w:val="28"/>
              </w:rPr>
              <w:fldChar w:fldCharType="end"/>
            </w:r>
          </w:hyperlink>
        </w:p>
        <w:p w:rsidR="00C52579" w:rsidRPr="00CE2C2E" w:rsidRDefault="00CC7478" w:rsidP="00B50E81">
          <w:pPr>
            <w:pStyle w:val="TOC2"/>
            <w:tabs>
              <w:tab w:val="right" w:leader="dot" w:pos="9350"/>
            </w:tabs>
            <w:spacing w:line="360" w:lineRule="auto"/>
            <w:ind w:left="0"/>
            <w:jc w:val="both"/>
            <w:rPr>
              <w:rFonts w:ascii="Arial" w:eastAsiaTheme="minorEastAsia" w:hAnsi="Arial" w:cs="Arial"/>
              <w:noProof/>
              <w:sz w:val="28"/>
              <w:szCs w:val="28"/>
              <w:lang w:eastAsia="en-GB"/>
            </w:rPr>
          </w:pPr>
          <w:hyperlink w:anchor="_Toc133240999" w:history="1">
            <w:r w:rsidR="00C52579" w:rsidRPr="00CE2C2E">
              <w:rPr>
                <w:rStyle w:val="Hyperlink"/>
                <w:rFonts w:ascii="Arial" w:hAnsi="Arial" w:cs="Arial"/>
                <w:noProof/>
                <w:sz w:val="28"/>
                <w:szCs w:val="28"/>
              </w:rPr>
              <w:t>ORGANISATIONAL SUPPORT</w:t>
            </w:r>
            <w:r w:rsidR="00C52579" w:rsidRPr="00CE2C2E">
              <w:rPr>
                <w:rFonts w:ascii="Arial" w:hAnsi="Arial" w:cs="Arial"/>
                <w:noProof/>
                <w:webHidden/>
                <w:sz w:val="28"/>
                <w:szCs w:val="28"/>
              </w:rPr>
              <w:tab/>
            </w:r>
            <w:r w:rsidR="00BA2D0C" w:rsidRPr="00CE2C2E">
              <w:rPr>
                <w:rFonts w:ascii="Arial" w:hAnsi="Arial" w:cs="Arial"/>
                <w:noProof/>
                <w:webHidden/>
                <w:sz w:val="28"/>
                <w:szCs w:val="28"/>
              </w:rPr>
              <w:fldChar w:fldCharType="begin"/>
            </w:r>
            <w:r w:rsidR="00C52579" w:rsidRPr="00CE2C2E">
              <w:rPr>
                <w:rFonts w:ascii="Arial" w:hAnsi="Arial" w:cs="Arial"/>
                <w:noProof/>
                <w:webHidden/>
                <w:sz w:val="28"/>
                <w:szCs w:val="28"/>
              </w:rPr>
              <w:instrText xml:space="preserve"> PAGEREF _Toc133240999 \h </w:instrText>
            </w:r>
            <w:r w:rsidR="00BA2D0C" w:rsidRPr="00CE2C2E">
              <w:rPr>
                <w:rFonts w:ascii="Arial" w:hAnsi="Arial" w:cs="Arial"/>
                <w:noProof/>
                <w:webHidden/>
                <w:sz w:val="28"/>
                <w:szCs w:val="28"/>
              </w:rPr>
            </w:r>
            <w:r w:rsidR="00BA2D0C" w:rsidRPr="00CE2C2E">
              <w:rPr>
                <w:rFonts w:ascii="Arial" w:hAnsi="Arial" w:cs="Arial"/>
                <w:noProof/>
                <w:webHidden/>
                <w:sz w:val="28"/>
                <w:szCs w:val="28"/>
              </w:rPr>
              <w:fldChar w:fldCharType="separate"/>
            </w:r>
            <w:r w:rsidR="00C52579" w:rsidRPr="00CE2C2E">
              <w:rPr>
                <w:rFonts w:ascii="Arial" w:hAnsi="Arial" w:cs="Arial"/>
                <w:noProof/>
                <w:webHidden/>
                <w:sz w:val="28"/>
                <w:szCs w:val="28"/>
              </w:rPr>
              <w:t>9</w:t>
            </w:r>
            <w:r w:rsidR="00BA2D0C" w:rsidRPr="00CE2C2E">
              <w:rPr>
                <w:rFonts w:ascii="Arial" w:hAnsi="Arial" w:cs="Arial"/>
                <w:noProof/>
                <w:webHidden/>
                <w:sz w:val="28"/>
                <w:szCs w:val="28"/>
              </w:rPr>
              <w:fldChar w:fldCharType="end"/>
            </w:r>
          </w:hyperlink>
        </w:p>
        <w:p w:rsidR="00C52579" w:rsidRPr="00CE2C2E" w:rsidRDefault="00CC7478" w:rsidP="0045416B">
          <w:pPr>
            <w:pStyle w:val="TOC1"/>
            <w:tabs>
              <w:tab w:val="right" w:leader="dot" w:pos="9350"/>
            </w:tabs>
            <w:spacing w:line="360" w:lineRule="auto"/>
            <w:jc w:val="both"/>
            <w:rPr>
              <w:rFonts w:ascii="Arial" w:eastAsiaTheme="minorEastAsia" w:hAnsi="Arial" w:cs="Arial"/>
              <w:noProof/>
              <w:sz w:val="28"/>
              <w:szCs w:val="28"/>
              <w:lang w:eastAsia="en-GB"/>
            </w:rPr>
          </w:pPr>
          <w:hyperlink w:anchor="_Toc133241000" w:history="1">
            <w:r w:rsidR="00C52579" w:rsidRPr="00CE2C2E">
              <w:rPr>
                <w:rStyle w:val="Hyperlink"/>
                <w:rFonts w:ascii="Arial" w:hAnsi="Arial" w:cs="Arial"/>
                <w:noProof/>
                <w:sz w:val="28"/>
                <w:szCs w:val="28"/>
              </w:rPr>
              <w:t>CONCLUSION</w:t>
            </w:r>
            <w:r w:rsidR="00C52579" w:rsidRPr="00CE2C2E">
              <w:rPr>
                <w:rFonts w:ascii="Arial" w:hAnsi="Arial" w:cs="Arial"/>
                <w:noProof/>
                <w:webHidden/>
                <w:sz w:val="28"/>
                <w:szCs w:val="28"/>
              </w:rPr>
              <w:tab/>
            </w:r>
            <w:r w:rsidR="00BA2D0C" w:rsidRPr="00CE2C2E">
              <w:rPr>
                <w:rFonts w:ascii="Arial" w:hAnsi="Arial" w:cs="Arial"/>
                <w:noProof/>
                <w:webHidden/>
                <w:sz w:val="28"/>
                <w:szCs w:val="28"/>
              </w:rPr>
              <w:fldChar w:fldCharType="begin"/>
            </w:r>
            <w:r w:rsidR="00C52579" w:rsidRPr="00CE2C2E">
              <w:rPr>
                <w:rFonts w:ascii="Arial" w:hAnsi="Arial" w:cs="Arial"/>
                <w:noProof/>
                <w:webHidden/>
                <w:sz w:val="28"/>
                <w:szCs w:val="28"/>
              </w:rPr>
              <w:instrText xml:space="preserve"> PAGEREF _Toc133241000 \h </w:instrText>
            </w:r>
            <w:r w:rsidR="00BA2D0C" w:rsidRPr="00CE2C2E">
              <w:rPr>
                <w:rFonts w:ascii="Arial" w:hAnsi="Arial" w:cs="Arial"/>
                <w:noProof/>
                <w:webHidden/>
                <w:sz w:val="28"/>
                <w:szCs w:val="28"/>
              </w:rPr>
            </w:r>
            <w:r w:rsidR="00BA2D0C" w:rsidRPr="00CE2C2E">
              <w:rPr>
                <w:rFonts w:ascii="Arial" w:hAnsi="Arial" w:cs="Arial"/>
                <w:noProof/>
                <w:webHidden/>
                <w:sz w:val="28"/>
                <w:szCs w:val="28"/>
              </w:rPr>
              <w:fldChar w:fldCharType="separate"/>
            </w:r>
            <w:r w:rsidR="00C52579" w:rsidRPr="00CE2C2E">
              <w:rPr>
                <w:rFonts w:ascii="Arial" w:hAnsi="Arial" w:cs="Arial"/>
                <w:noProof/>
                <w:webHidden/>
                <w:sz w:val="28"/>
                <w:szCs w:val="28"/>
              </w:rPr>
              <w:t>10</w:t>
            </w:r>
            <w:r w:rsidR="00BA2D0C" w:rsidRPr="00CE2C2E">
              <w:rPr>
                <w:rFonts w:ascii="Arial" w:hAnsi="Arial" w:cs="Arial"/>
                <w:noProof/>
                <w:webHidden/>
                <w:sz w:val="28"/>
                <w:szCs w:val="28"/>
              </w:rPr>
              <w:fldChar w:fldCharType="end"/>
            </w:r>
          </w:hyperlink>
        </w:p>
        <w:p w:rsidR="00C52579" w:rsidRPr="00CE2C2E" w:rsidRDefault="00CC7478" w:rsidP="0045416B">
          <w:pPr>
            <w:pStyle w:val="TOC1"/>
            <w:tabs>
              <w:tab w:val="right" w:leader="dot" w:pos="9350"/>
            </w:tabs>
            <w:spacing w:line="360" w:lineRule="auto"/>
            <w:jc w:val="both"/>
            <w:rPr>
              <w:rFonts w:ascii="Arial" w:eastAsiaTheme="minorEastAsia" w:hAnsi="Arial" w:cs="Arial"/>
              <w:noProof/>
              <w:sz w:val="28"/>
              <w:szCs w:val="28"/>
              <w:lang w:eastAsia="en-GB"/>
            </w:rPr>
          </w:pPr>
          <w:hyperlink w:anchor="_Toc133241001" w:history="1">
            <w:r w:rsidR="00C52579" w:rsidRPr="00CE2C2E">
              <w:rPr>
                <w:rStyle w:val="Hyperlink"/>
                <w:rFonts w:ascii="Arial" w:hAnsi="Arial" w:cs="Arial"/>
                <w:noProof/>
                <w:sz w:val="28"/>
                <w:szCs w:val="28"/>
              </w:rPr>
              <w:t>RECOMMENDATIONS</w:t>
            </w:r>
            <w:r w:rsidR="00C52579" w:rsidRPr="00CE2C2E">
              <w:rPr>
                <w:rFonts w:ascii="Arial" w:hAnsi="Arial" w:cs="Arial"/>
                <w:noProof/>
                <w:webHidden/>
                <w:sz w:val="28"/>
                <w:szCs w:val="28"/>
              </w:rPr>
              <w:tab/>
            </w:r>
            <w:r w:rsidR="00BA2D0C" w:rsidRPr="00CE2C2E">
              <w:rPr>
                <w:rFonts w:ascii="Arial" w:hAnsi="Arial" w:cs="Arial"/>
                <w:noProof/>
                <w:webHidden/>
                <w:sz w:val="28"/>
                <w:szCs w:val="28"/>
              </w:rPr>
              <w:fldChar w:fldCharType="begin"/>
            </w:r>
            <w:r w:rsidR="00C52579" w:rsidRPr="00CE2C2E">
              <w:rPr>
                <w:rFonts w:ascii="Arial" w:hAnsi="Arial" w:cs="Arial"/>
                <w:noProof/>
                <w:webHidden/>
                <w:sz w:val="28"/>
                <w:szCs w:val="28"/>
              </w:rPr>
              <w:instrText xml:space="preserve"> PAGEREF _Toc133241001 \h </w:instrText>
            </w:r>
            <w:r w:rsidR="00BA2D0C" w:rsidRPr="00CE2C2E">
              <w:rPr>
                <w:rFonts w:ascii="Arial" w:hAnsi="Arial" w:cs="Arial"/>
                <w:noProof/>
                <w:webHidden/>
                <w:sz w:val="28"/>
                <w:szCs w:val="28"/>
              </w:rPr>
            </w:r>
            <w:r w:rsidR="00BA2D0C" w:rsidRPr="00CE2C2E">
              <w:rPr>
                <w:rFonts w:ascii="Arial" w:hAnsi="Arial" w:cs="Arial"/>
                <w:noProof/>
                <w:webHidden/>
                <w:sz w:val="28"/>
                <w:szCs w:val="28"/>
              </w:rPr>
              <w:fldChar w:fldCharType="separate"/>
            </w:r>
            <w:r w:rsidR="00C52579" w:rsidRPr="00CE2C2E">
              <w:rPr>
                <w:rFonts w:ascii="Arial" w:hAnsi="Arial" w:cs="Arial"/>
                <w:noProof/>
                <w:webHidden/>
                <w:sz w:val="28"/>
                <w:szCs w:val="28"/>
              </w:rPr>
              <w:t>11</w:t>
            </w:r>
            <w:r w:rsidR="00BA2D0C" w:rsidRPr="00CE2C2E">
              <w:rPr>
                <w:rFonts w:ascii="Arial" w:hAnsi="Arial" w:cs="Arial"/>
                <w:noProof/>
                <w:webHidden/>
                <w:sz w:val="28"/>
                <w:szCs w:val="28"/>
              </w:rPr>
              <w:fldChar w:fldCharType="end"/>
            </w:r>
          </w:hyperlink>
        </w:p>
        <w:p w:rsidR="00C52579" w:rsidRPr="00CE2C2E" w:rsidRDefault="00CC7478" w:rsidP="0045416B">
          <w:pPr>
            <w:pStyle w:val="TOC1"/>
            <w:tabs>
              <w:tab w:val="right" w:leader="dot" w:pos="9350"/>
            </w:tabs>
            <w:spacing w:line="360" w:lineRule="auto"/>
            <w:jc w:val="both"/>
            <w:rPr>
              <w:rFonts w:ascii="Arial" w:eastAsiaTheme="minorEastAsia" w:hAnsi="Arial" w:cs="Arial"/>
              <w:noProof/>
              <w:sz w:val="28"/>
              <w:szCs w:val="28"/>
              <w:lang w:eastAsia="en-GB"/>
            </w:rPr>
          </w:pPr>
          <w:hyperlink w:anchor="_Toc133241002" w:history="1">
            <w:r w:rsidR="00C52579" w:rsidRPr="00CE2C2E">
              <w:rPr>
                <w:rStyle w:val="Hyperlink"/>
                <w:rFonts w:ascii="Arial" w:hAnsi="Arial" w:cs="Arial"/>
                <w:noProof/>
                <w:sz w:val="28"/>
                <w:szCs w:val="28"/>
              </w:rPr>
              <w:t>REFERENCES</w:t>
            </w:r>
            <w:r w:rsidR="00C52579" w:rsidRPr="00CE2C2E">
              <w:rPr>
                <w:rFonts w:ascii="Arial" w:hAnsi="Arial" w:cs="Arial"/>
                <w:noProof/>
                <w:webHidden/>
                <w:sz w:val="28"/>
                <w:szCs w:val="28"/>
              </w:rPr>
              <w:tab/>
            </w:r>
            <w:r w:rsidR="00BA2D0C" w:rsidRPr="00CE2C2E">
              <w:rPr>
                <w:rFonts w:ascii="Arial" w:hAnsi="Arial" w:cs="Arial"/>
                <w:noProof/>
                <w:webHidden/>
                <w:sz w:val="28"/>
                <w:szCs w:val="28"/>
              </w:rPr>
              <w:fldChar w:fldCharType="begin"/>
            </w:r>
            <w:r w:rsidR="00C52579" w:rsidRPr="00CE2C2E">
              <w:rPr>
                <w:rFonts w:ascii="Arial" w:hAnsi="Arial" w:cs="Arial"/>
                <w:noProof/>
                <w:webHidden/>
                <w:sz w:val="28"/>
                <w:szCs w:val="28"/>
              </w:rPr>
              <w:instrText xml:space="preserve"> PAGEREF _Toc133241002 \h </w:instrText>
            </w:r>
            <w:r w:rsidR="00BA2D0C" w:rsidRPr="00CE2C2E">
              <w:rPr>
                <w:rFonts w:ascii="Arial" w:hAnsi="Arial" w:cs="Arial"/>
                <w:noProof/>
                <w:webHidden/>
                <w:sz w:val="28"/>
                <w:szCs w:val="28"/>
              </w:rPr>
            </w:r>
            <w:r w:rsidR="00BA2D0C" w:rsidRPr="00CE2C2E">
              <w:rPr>
                <w:rFonts w:ascii="Arial" w:hAnsi="Arial" w:cs="Arial"/>
                <w:noProof/>
                <w:webHidden/>
                <w:sz w:val="28"/>
                <w:szCs w:val="28"/>
              </w:rPr>
              <w:fldChar w:fldCharType="separate"/>
            </w:r>
            <w:r w:rsidR="00C52579" w:rsidRPr="00CE2C2E">
              <w:rPr>
                <w:rFonts w:ascii="Arial" w:hAnsi="Arial" w:cs="Arial"/>
                <w:noProof/>
                <w:webHidden/>
                <w:sz w:val="28"/>
                <w:szCs w:val="28"/>
              </w:rPr>
              <w:t>12</w:t>
            </w:r>
            <w:r w:rsidR="00BA2D0C" w:rsidRPr="00CE2C2E">
              <w:rPr>
                <w:rFonts w:ascii="Arial" w:hAnsi="Arial" w:cs="Arial"/>
                <w:noProof/>
                <w:webHidden/>
                <w:sz w:val="28"/>
                <w:szCs w:val="28"/>
              </w:rPr>
              <w:fldChar w:fldCharType="end"/>
            </w:r>
          </w:hyperlink>
        </w:p>
        <w:p w:rsidR="00C52579" w:rsidRPr="00CE2C2E" w:rsidRDefault="00BA2D0C" w:rsidP="0045416B">
          <w:pPr>
            <w:spacing w:line="360" w:lineRule="auto"/>
            <w:jc w:val="both"/>
            <w:rPr>
              <w:rFonts w:ascii="Arial" w:hAnsi="Arial" w:cs="Arial"/>
              <w:sz w:val="28"/>
              <w:szCs w:val="28"/>
            </w:rPr>
          </w:pPr>
          <w:r w:rsidRPr="00CE2C2E">
            <w:rPr>
              <w:rFonts w:ascii="Arial" w:hAnsi="Arial" w:cs="Arial"/>
              <w:b/>
              <w:bCs/>
              <w:noProof/>
              <w:sz w:val="28"/>
              <w:szCs w:val="28"/>
            </w:rPr>
            <w:fldChar w:fldCharType="end"/>
          </w:r>
        </w:p>
      </w:sdtContent>
    </w:sdt>
    <w:p w:rsidR="00C52579" w:rsidRPr="00CE2C2E" w:rsidRDefault="00C52579" w:rsidP="0045416B">
      <w:pPr>
        <w:spacing w:line="360" w:lineRule="auto"/>
        <w:jc w:val="both"/>
        <w:rPr>
          <w:rFonts w:ascii="Arial" w:hAnsi="Arial" w:cs="Arial"/>
          <w:b/>
          <w:bCs/>
          <w:color w:val="2F5496"/>
          <w:kern w:val="36"/>
          <w:sz w:val="28"/>
          <w:szCs w:val="28"/>
        </w:rPr>
      </w:pPr>
      <w:r w:rsidRPr="00CE2C2E">
        <w:rPr>
          <w:rFonts w:ascii="Arial" w:hAnsi="Arial" w:cs="Arial"/>
          <w:sz w:val="28"/>
          <w:szCs w:val="28"/>
        </w:rPr>
        <w:br w:type="page"/>
      </w:r>
    </w:p>
    <w:p w:rsidR="00DC4CE5" w:rsidRPr="00CE2C2E" w:rsidRDefault="0083023C" w:rsidP="0045416B">
      <w:pPr>
        <w:pStyle w:val="Heading1"/>
        <w:spacing w:line="360" w:lineRule="auto"/>
        <w:jc w:val="both"/>
        <w:rPr>
          <w:rFonts w:ascii="Arial" w:hAnsi="Arial" w:cs="Arial"/>
          <w:sz w:val="28"/>
          <w:szCs w:val="28"/>
        </w:rPr>
      </w:pPr>
      <w:bookmarkStart w:id="0" w:name="_Toc133240995"/>
      <w:r w:rsidRPr="00CE2C2E">
        <w:rPr>
          <w:rFonts w:ascii="Arial" w:hAnsi="Arial" w:cs="Arial"/>
          <w:sz w:val="28"/>
          <w:szCs w:val="28"/>
        </w:rPr>
        <w:lastRenderedPageBreak/>
        <w:t>INTRODUCTION</w:t>
      </w:r>
      <w:bookmarkEnd w:id="0"/>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The report will be a reflective evaluation of the above module based on the community engagement of the Bromley Council which is situated in London, United Kingdom. As Bromley Council is a public services company which was engaged in the community in the jurisdiction. In recent times the council was facing some issues and challenges such as community engagement difficulties, involvement of stakeholders and diversity in the city. The council was responsible for a population of 3,29,000 people</w:t>
      </w:r>
      <w:r w:rsidR="00C52579" w:rsidRPr="00CE2C2E">
        <w:rPr>
          <w:rFonts w:ascii="Arial" w:hAnsi="Arial" w:cs="Arial"/>
          <w:sz w:val="28"/>
          <w:szCs w:val="28"/>
        </w:rPr>
        <w:t xml:space="preserve"> (</w:t>
      </w:r>
      <w:r w:rsidR="00C52579" w:rsidRPr="00CE2C2E">
        <w:rPr>
          <w:rFonts w:ascii="Arial" w:hAnsi="Arial" w:cs="Arial"/>
          <w:color w:val="222222"/>
          <w:sz w:val="28"/>
          <w:szCs w:val="28"/>
          <w:shd w:val="clear" w:color="auto" w:fill="FFFFFF"/>
        </w:rPr>
        <w:t>Redman, 2022</w:t>
      </w:r>
      <w:r w:rsidR="00C52579" w:rsidRPr="00CE2C2E">
        <w:rPr>
          <w:rFonts w:ascii="Arial" w:hAnsi="Arial" w:cs="Arial"/>
          <w:sz w:val="28"/>
          <w:szCs w:val="28"/>
        </w:rPr>
        <w:t>)</w:t>
      </w:r>
      <w:r w:rsidRPr="00CE2C2E">
        <w:rPr>
          <w:rFonts w:ascii="Arial" w:hAnsi="Arial" w:cs="Arial"/>
          <w:sz w:val="28"/>
          <w:szCs w:val="28"/>
        </w:rPr>
        <w:t xml:space="preserve">. The council maintains peace among the people and communities around the city community engagement makes sure that the problems and issues of populations was able to reach the council and helps the council in making a decision. This reflective assessment will be done to evaluate the principles, standards and strategies which have been taken and adopted by the council. The community can give better services to customers after resolving several issues. </w:t>
      </w:r>
    </w:p>
    <w:p w:rsidR="00C52579" w:rsidRPr="00CE2C2E" w:rsidRDefault="00C52579" w:rsidP="0045416B">
      <w:pPr>
        <w:spacing w:line="360" w:lineRule="auto"/>
        <w:jc w:val="both"/>
        <w:rPr>
          <w:rFonts w:ascii="Arial" w:hAnsi="Arial" w:cs="Arial"/>
          <w:b/>
          <w:bCs/>
          <w:color w:val="2F5496"/>
          <w:sz w:val="28"/>
          <w:szCs w:val="28"/>
        </w:rPr>
      </w:pPr>
      <w:r w:rsidRPr="00CE2C2E">
        <w:rPr>
          <w:rFonts w:ascii="Arial" w:hAnsi="Arial" w:cs="Arial"/>
          <w:sz w:val="28"/>
          <w:szCs w:val="28"/>
        </w:rPr>
        <w:br w:type="page"/>
      </w:r>
    </w:p>
    <w:p w:rsidR="00DC4CE5" w:rsidRPr="00CE2C2E" w:rsidRDefault="0083023C" w:rsidP="0045416B">
      <w:pPr>
        <w:pStyle w:val="Heading2"/>
        <w:spacing w:line="360" w:lineRule="auto"/>
        <w:jc w:val="both"/>
        <w:rPr>
          <w:rFonts w:ascii="Arial" w:hAnsi="Arial" w:cs="Arial"/>
          <w:sz w:val="28"/>
          <w:szCs w:val="28"/>
        </w:rPr>
      </w:pPr>
      <w:bookmarkStart w:id="1" w:name="_Toc133240996"/>
      <w:r w:rsidRPr="00CE2C2E">
        <w:rPr>
          <w:rFonts w:ascii="Arial" w:hAnsi="Arial" w:cs="Arial"/>
          <w:sz w:val="28"/>
          <w:szCs w:val="28"/>
        </w:rPr>
        <w:lastRenderedPageBreak/>
        <w:t>COMMUNITY ENGAGEMENT PRINCIPLES</w:t>
      </w:r>
      <w:bookmarkEnd w:id="1"/>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In the council, the community council was responsible for all types of services for the people of the United Kingdom such as encouraging people the participation in civic activities, building the trust of people and making sure that the services of the public are developed modified and developed according to the needs of the community and people. The Community engagement was facing some challenges regarding the different perspectives, interests and priorities of the different kinds of stakeholders. The council made some of the principles to overcome this challenge of community engagement. These principles help in better communication understanding and the growth of full collaboration among the community and the council and these principles are given below:</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Accountability – The council which is serving the country's people is accountable for the people and communities they are serving. The council have to be ensured about the services which have to be delivered effectively and efficiently. This principle of accountability clearly states that the council have to be accountable for any cause or the well-being of the communities</w:t>
      </w:r>
      <w:r w:rsidR="00C52579" w:rsidRPr="00CE2C2E">
        <w:rPr>
          <w:rFonts w:ascii="Arial" w:hAnsi="Arial" w:cs="Arial"/>
          <w:sz w:val="28"/>
          <w:szCs w:val="28"/>
        </w:rPr>
        <w:t xml:space="preserve"> (</w:t>
      </w:r>
      <w:r w:rsidR="00C52579" w:rsidRPr="00CE2C2E">
        <w:rPr>
          <w:rFonts w:ascii="Arial" w:hAnsi="Arial" w:cs="Arial"/>
          <w:color w:val="222222"/>
          <w:sz w:val="28"/>
          <w:szCs w:val="28"/>
          <w:shd w:val="clear" w:color="auto" w:fill="FFFFFF"/>
        </w:rPr>
        <w:t>Osborne, Mayo and Bussey,2021</w:t>
      </w:r>
      <w:r w:rsidR="00C52579" w:rsidRPr="00CE2C2E">
        <w:rPr>
          <w:rFonts w:ascii="Arial" w:hAnsi="Arial" w:cs="Arial"/>
          <w:sz w:val="28"/>
          <w:szCs w:val="28"/>
        </w:rPr>
        <w:t>)</w:t>
      </w:r>
      <w:r w:rsidRPr="00CE2C2E">
        <w:rPr>
          <w:rFonts w:ascii="Arial" w:hAnsi="Arial" w:cs="Arial"/>
          <w:sz w:val="28"/>
          <w:szCs w:val="28"/>
        </w:rPr>
        <w:t xml:space="preserve">. </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Collaboration – for effective community engagement the collaboration between the communities and the councils is most important. When the council and communities work in partnership for the interest of both leads to more effective collaboration. It will lead to easy work in efficiency for the benefit of both parties in the partnership and collaboration.</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Transparency – The councils have to be transparent with the population and the people whom they are serving. Maintaining transparency among the communities and council help in assessing the trust of communities, which helps in other decision-making process and the communities are also ensured that they have the access to know the information for what they are doing</w:t>
      </w:r>
      <w:r w:rsidR="00C52579" w:rsidRPr="00CE2C2E">
        <w:rPr>
          <w:rFonts w:ascii="Arial" w:hAnsi="Arial" w:cs="Arial"/>
          <w:sz w:val="28"/>
          <w:szCs w:val="28"/>
        </w:rPr>
        <w:t xml:space="preserve"> (</w:t>
      </w:r>
      <w:r w:rsidR="00C52579" w:rsidRPr="00CE2C2E">
        <w:rPr>
          <w:rFonts w:ascii="Arial" w:hAnsi="Arial" w:cs="Arial"/>
          <w:color w:val="222222"/>
          <w:sz w:val="28"/>
          <w:szCs w:val="28"/>
          <w:shd w:val="clear" w:color="auto" w:fill="FFFFFF"/>
        </w:rPr>
        <w:t xml:space="preserve">Kim,  </w:t>
      </w:r>
      <w:proofErr w:type="spellStart"/>
      <w:r w:rsidR="00C52579" w:rsidRPr="00CE2C2E">
        <w:rPr>
          <w:rFonts w:ascii="Arial" w:hAnsi="Arial" w:cs="Arial"/>
          <w:color w:val="222222"/>
          <w:sz w:val="28"/>
          <w:szCs w:val="28"/>
          <w:shd w:val="clear" w:color="auto" w:fill="FFFFFF"/>
        </w:rPr>
        <w:t>Newmanand</w:t>
      </w:r>
      <w:proofErr w:type="spellEnd"/>
      <w:r w:rsidR="00C52579" w:rsidRPr="00CE2C2E">
        <w:rPr>
          <w:rFonts w:ascii="Arial" w:hAnsi="Arial" w:cs="Arial"/>
          <w:color w:val="222222"/>
          <w:sz w:val="28"/>
          <w:szCs w:val="28"/>
          <w:shd w:val="clear" w:color="auto" w:fill="FFFFFF"/>
        </w:rPr>
        <w:t xml:space="preserve"> Jiang, 2020</w:t>
      </w:r>
      <w:r w:rsidR="00C52579" w:rsidRPr="00CE2C2E">
        <w:rPr>
          <w:rFonts w:ascii="Arial" w:hAnsi="Arial" w:cs="Arial"/>
          <w:sz w:val="28"/>
          <w:szCs w:val="28"/>
        </w:rPr>
        <w:t>)</w:t>
      </w:r>
      <w:r w:rsidRPr="00CE2C2E">
        <w:rPr>
          <w:rFonts w:ascii="Arial" w:hAnsi="Arial" w:cs="Arial"/>
          <w:sz w:val="28"/>
          <w:szCs w:val="28"/>
        </w:rPr>
        <w:t>.</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 xml:space="preserve">Participations – The councils and communities have to ensure that the people of communities are participating in the decision-making processes. The council have to encourage the people and different stakeholders in the community to participate which </w:t>
      </w:r>
      <w:r w:rsidRPr="00CE2C2E">
        <w:rPr>
          <w:rFonts w:ascii="Arial" w:hAnsi="Arial" w:cs="Arial"/>
          <w:sz w:val="28"/>
          <w:szCs w:val="28"/>
        </w:rPr>
        <w:lastRenderedPageBreak/>
        <w:t>helps in further stimulation of feedback and review which provides valuable details to make changes in the decision for any kind of work.</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Rather from these principles if the communities are still facing problems and challenges related to community engagement such as involvement of stakeholders, diversity among the communities and ensuring that the council will obey and adhere to the principles. So, for overcoming these challenges the principles, standards and strategies have to be adopted by the council. It helps in getting better and providing the best services to the people</w:t>
      </w:r>
      <w:r w:rsidR="00C52579" w:rsidRPr="00CE2C2E">
        <w:rPr>
          <w:rFonts w:ascii="Arial" w:hAnsi="Arial" w:cs="Arial"/>
          <w:sz w:val="28"/>
          <w:szCs w:val="28"/>
        </w:rPr>
        <w:t xml:space="preserve"> (</w:t>
      </w:r>
      <w:proofErr w:type="spellStart"/>
      <w:r w:rsidR="00C52579" w:rsidRPr="00CE2C2E">
        <w:rPr>
          <w:rFonts w:ascii="Arial" w:hAnsi="Arial" w:cs="Arial"/>
          <w:color w:val="222222"/>
          <w:sz w:val="28"/>
          <w:szCs w:val="28"/>
          <w:shd w:val="clear" w:color="auto" w:fill="FFFFFF"/>
        </w:rPr>
        <w:t>Adhikari</w:t>
      </w:r>
      <w:proofErr w:type="spellEnd"/>
      <w:r w:rsidR="00C52579" w:rsidRPr="00CE2C2E">
        <w:rPr>
          <w:rFonts w:ascii="Arial" w:hAnsi="Arial" w:cs="Arial"/>
          <w:color w:val="222222"/>
          <w:sz w:val="28"/>
          <w:szCs w:val="28"/>
          <w:shd w:val="clear" w:color="auto" w:fill="FFFFFF"/>
        </w:rPr>
        <w:t xml:space="preserve">, Pell, and </w:t>
      </w:r>
      <w:proofErr w:type="spellStart"/>
      <w:r w:rsidR="00C52579" w:rsidRPr="00CE2C2E">
        <w:rPr>
          <w:rFonts w:ascii="Arial" w:hAnsi="Arial" w:cs="Arial"/>
          <w:color w:val="222222"/>
          <w:sz w:val="28"/>
          <w:szCs w:val="28"/>
          <w:shd w:val="clear" w:color="auto" w:fill="FFFFFF"/>
        </w:rPr>
        <w:t>Cheah</w:t>
      </w:r>
      <w:proofErr w:type="spellEnd"/>
      <w:r w:rsidR="00C52579" w:rsidRPr="00CE2C2E">
        <w:rPr>
          <w:rFonts w:ascii="Arial" w:hAnsi="Arial" w:cs="Arial"/>
          <w:color w:val="222222"/>
          <w:sz w:val="28"/>
          <w:szCs w:val="28"/>
          <w:shd w:val="clear" w:color="auto" w:fill="FFFFFF"/>
        </w:rPr>
        <w:t>, 2020</w:t>
      </w:r>
      <w:r w:rsidR="00C52579" w:rsidRPr="00CE2C2E">
        <w:rPr>
          <w:rFonts w:ascii="Arial" w:hAnsi="Arial" w:cs="Arial"/>
          <w:sz w:val="28"/>
          <w:szCs w:val="28"/>
        </w:rPr>
        <w:t>)</w:t>
      </w:r>
      <w:r w:rsidRPr="00CE2C2E">
        <w:rPr>
          <w:rFonts w:ascii="Arial" w:hAnsi="Arial" w:cs="Arial"/>
          <w:sz w:val="28"/>
          <w:szCs w:val="28"/>
        </w:rPr>
        <w:t xml:space="preserve">. </w:t>
      </w:r>
    </w:p>
    <w:p w:rsidR="00C52579" w:rsidRPr="00CE2C2E" w:rsidRDefault="00C52579" w:rsidP="0045416B">
      <w:pPr>
        <w:spacing w:line="360" w:lineRule="auto"/>
        <w:jc w:val="both"/>
        <w:rPr>
          <w:rFonts w:ascii="Arial" w:hAnsi="Arial" w:cs="Arial"/>
          <w:sz w:val="28"/>
          <w:szCs w:val="28"/>
        </w:rPr>
      </w:pPr>
      <w:r w:rsidRPr="00CE2C2E">
        <w:rPr>
          <w:rFonts w:ascii="Arial" w:hAnsi="Arial" w:cs="Arial"/>
          <w:sz w:val="28"/>
          <w:szCs w:val="28"/>
        </w:rPr>
        <w:br w:type="page"/>
      </w:r>
    </w:p>
    <w:p w:rsidR="00DC4CE5" w:rsidRPr="00CE2C2E" w:rsidRDefault="0083023C" w:rsidP="0045416B">
      <w:pPr>
        <w:pStyle w:val="Heading2"/>
        <w:spacing w:line="360" w:lineRule="auto"/>
        <w:jc w:val="both"/>
        <w:rPr>
          <w:rFonts w:ascii="Arial" w:hAnsi="Arial" w:cs="Arial"/>
          <w:sz w:val="28"/>
          <w:szCs w:val="28"/>
        </w:rPr>
      </w:pPr>
      <w:bookmarkStart w:id="2" w:name="_Toc133240997"/>
      <w:r w:rsidRPr="00CE2C2E">
        <w:rPr>
          <w:rFonts w:ascii="Arial" w:hAnsi="Arial" w:cs="Arial"/>
          <w:sz w:val="28"/>
          <w:szCs w:val="28"/>
        </w:rPr>
        <w:t>STAKEHOLDER INVOLVEMENT</w:t>
      </w:r>
      <w:bookmarkEnd w:id="2"/>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In the council, the involvement of stakeholders is the most important part in which the stakeholders are being able to help the council in any form of collaboration, consultation and partnership for the benefit of communities. The stakeholders can help the council by collaborating between the councils and the communities in the decision-making process and taking feedback and reviews from them also helps in delivering better services to the communities</w:t>
      </w:r>
      <w:r w:rsidR="00C52579" w:rsidRPr="00CE2C2E">
        <w:rPr>
          <w:rFonts w:ascii="Arial" w:hAnsi="Arial" w:cs="Arial"/>
          <w:sz w:val="28"/>
          <w:szCs w:val="28"/>
        </w:rPr>
        <w:t xml:space="preserve"> (</w:t>
      </w:r>
      <w:proofErr w:type="spellStart"/>
      <w:r w:rsidR="00C52579" w:rsidRPr="00CE2C2E">
        <w:rPr>
          <w:rFonts w:ascii="Arial" w:hAnsi="Arial" w:cs="Arial"/>
          <w:color w:val="222222"/>
          <w:sz w:val="28"/>
          <w:szCs w:val="28"/>
          <w:shd w:val="clear" w:color="auto" w:fill="FFFFFF"/>
        </w:rPr>
        <w:t>Kagan</w:t>
      </w:r>
      <w:proofErr w:type="spellEnd"/>
      <w:r w:rsidR="00C52579" w:rsidRPr="00CE2C2E">
        <w:rPr>
          <w:rFonts w:ascii="Arial" w:hAnsi="Arial" w:cs="Arial"/>
          <w:color w:val="222222"/>
          <w:sz w:val="28"/>
          <w:szCs w:val="28"/>
          <w:shd w:val="clear" w:color="auto" w:fill="FFFFFF"/>
        </w:rPr>
        <w:t xml:space="preserve">, C., Diamond, </w:t>
      </w:r>
      <w:proofErr w:type="spellStart"/>
      <w:r w:rsidR="00C52579" w:rsidRPr="00CE2C2E">
        <w:rPr>
          <w:rFonts w:ascii="Arial" w:hAnsi="Arial" w:cs="Arial"/>
          <w:color w:val="222222"/>
          <w:sz w:val="28"/>
          <w:szCs w:val="28"/>
          <w:shd w:val="clear" w:color="auto" w:fill="FFFFFF"/>
        </w:rPr>
        <w:t>Kagan</w:t>
      </w:r>
      <w:proofErr w:type="spellEnd"/>
      <w:r w:rsidR="00C52579" w:rsidRPr="00CE2C2E">
        <w:rPr>
          <w:rFonts w:ascii="Arial" w:hAnsi="Arial" w:cs="Arial"/>
          <w:color w:val="222222"/>
          <w:sz w:val="28"/>
          <w:szCs w:val="28"/>
          <w:shd w:val="clear" w:color="auto" w:fill="FFFFFF"/>
        </w:rPr>
        <w:t xml:space="preserve"> and Diamond, 2019</w:t>
      </w:r>
      <w:r w:rsidR="00C52579" w:rsidRPr="00CE2C2E">
        <w:rPr>
          <w:rFonts w:ascii="Arial" w:hAnsi="Arial" w:cs="Arial"/>
          <w:sz w:val="28"/>
          <w:szCs w:val="28"/>
        </w:rPr>
        <w:t>)</w:t>
      </w:r>
      <w:r w:rsidRPr="00CE2C2E">
        <w:rPr>
          <w:rFonts w:ascii="Arial" w:hAnsi="Arial" w:cs="Arial"/>
          <w:sz w:val="28"/>
          <w:szCs w:val="28"/>
        </w:rPr>
        <w:t xml:space="preserve">. </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 xml:space="preserve">The main challenge the council was facing is with the engagement of stakeholders in the meetings and work of councils. The stakeholders are underrepresented among the communities and the city and who do have very less access to any kind of public service or are a very marginalised community. These issues can be resolved by making different targeted stakeholders' engagement strategies which carry the needs of different stakeholders. </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Another challenge the council was facing was the involvement of stakeholders in the process of decisions making. The councils are responsible for the engagement of the stakeholders in the process of decision-making. For the engagement of the stakeholders in decision making the councils have to ensure that the council will maintain the transparency of any information in the councils</w:t>
      </w:r>
      <w:r w:rsidR="00C52579" w:rsidRPr="00CE2C2E">
        <w:rPr>
          <w:rFonts w:ascii="Arial" w:hAnsi="Arial" w:cs="Arial"/>
          <w:sz w:val="28"/>
          <w:szCs w:val="28"/>
        </w:rPr>
        <w:t xml:space="preserve"> (</w:t>
      </w:r>
      <w:proofErr w:type="spellStart"/>
      <w:r w:rsidR="00C52579" w:rsidRPr="00CE2C2E">
        <w:rPr>
          <w:rFonts w:ascii="Arial" w:hAnsi="Arial" w:cs="Arial"/>
          <w:color w:val="222222"/>
          <w:sz w:val="28"/>
          <w:szCs w:val="28"/>
          <w:shd w:val="clear" w:color="auto" w:fill="FFFFFF"/>
        </w:rPr>
        <w:t>Dupen</w:t>
      </w:r>
      <w:proofErr w:type="spellEnd"/>
      <w:r w:rsidR="00C52579" w:rsidRPr="00CE2C2E">
        <w:rPr>
          <w:rFonts w:ascii="Arial" w:hAnsi="Arial" w:cs="Arial"/>
          <w:color w:val="222222"/>
          <w:sz w:val="28"/>
          <w:szCs w:val="28"/>
          <w:shd w:val="clear" w:color="auto" w:fill="FFFFFF"/>
        </w:rPr>
        <w:t xml:space="preserve">, </w:t>
      </w:r>
      <w:proofErr w:type="spellStart"/>
      <w:r w:rsidR="00C52579" w:rsidRPr="00CE2C2E">
        <w:rPr>
          <w:rFonts w:ascii="Arial" w:hAnsi="Arial" w:cs="Arial"/>
          <w:color w:val="222222"/>
          <w:sz w:val="28"/>
          <w:szCs w:val="28"/>
          <w:shd w:val="clear" w:color="auto" w:fill="FFFFFF"/>
        </w:rPr>
        <w:t>Castilla</w:t>
      </w:r>
      <w:proofErr w:type="spellEnd"/>
      <w:r w:rsidR="00C52579" w:rsidRPr="00CE2C2E">
        <w:rPr>
          <w:rFonts w:ascii="Arial" w:hAnsi="Arial" w:cs="Arial"/>
          <w:color w:val="222222"/>
          <w:sz w:val="28"/>
          <w:szCs w:val="28"/>
          <w:shd w:val="clear" w:color="auto" w:fill="FFFFFF"/>
        </w:rPr>
        <w:t xml:space="preserve"> Rho and </w:t>
      </w:r>
      <w:proofErr w:type="spellStart"/>
      <w:r w:rsidR="00C52579" w:rsidRPr="00CE2C2E">
        <w:rPr>
          <w:rFonts w:ascii="Arial" w:hAnsi="Arial" w:cs="Arial"/>
          <w:color w:val="222222"/>
          <w:sz w:val="28"/>
          <w:szCs w:val="28"/>
          <w:shd w:val="clear" w:color="auto" w:fill="FFFFFF"/>
        </w:rPr>
        <w:t>Voinov</w:t>
      </w:r>
      <w:proofErr w:type="spellEnd"/>
      <w:r w:rsidR="00C52579" w:rsidRPr="00CE2C2E">
        <w:rPr>
          <w:rFonts w:ascii="Arial" w:hAnsi="Arial" w:cs="Arial"/>
          <w:color w:val="222222"/>
          <w:sz w:val="28"/>
          <w:szCs w:val="28"/>
          <w:shd w:val="clear" w:color="auto" w:fill="FFFFFF"/>
        </w:rPr>
        <w:t>, 2019</w:t>
      </w:r>
      <w:r w:rsidR="00C52579" w:rsidRPr="00CE2C2E">
        <w:rPr>
          <w:rFonts w:ascii="Arial" w:hAnsi="Arial" w:cs="Arial"/>
          <w:sz w:val="28"/>
          <w:szCs w:val="28"/>
        </w:rPr>
        <w:t>)</w:t>
      </w:r>
      <w:r w:rsidRPr="00CE2C2E">
        <w:rPr>
          <w:rFonts w:ascii="Arial" w:hAnsi="Arial" w:cs="Arial"/>
          <w:sz w:val="28"/>
          <w:szCs w:val="28"/>
        </w:rPr>
        <w:t>.</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For the enhancement of stakeholder engagement, the council can accomplish a variety of procedures. These measures consist of crafting targeted engagement approaches that are customized to the distinct requirements and outlooks of individual stakeholder factions. Moreover, the council can lay down explicit channels for stakeholder feedback and input and ensure that said feedback is fused into its decision-making processes. In addition, the council can allocate resources towards stakeholder training and skill development to empower stakeholders to effectively interact with the council and become proactive participants in shaping public services</w:t>
      </w:r>
      <w:r w:rsidR="00C52579" w:rsidRPr="00CE2C2E">
        <w:rPr>
          <w:rFonts w:ascii="Arial" w:hAnsi="Arial" w:cs="Arial"/>
          <w:sz w:val="28"/>
          <w:szCs w:val="28"/>
        </w:rPr>
        <w:t xml:space="preserve"> (</w:t>
      </w:r>
      <w:r w:rsidR="00C52579" w:rsidRPr="00CE2C2E">
        <w:rPr>
          <w:rFonts w:ascii="Arial" w:hAnsi="Arial" w:cs="Arial"/>
          <w:color w:val="222222"/>
          <w:sz w:val="28"/>
          <w:szCs w:val="28"/>
          <w:shd w:val="clear" w:color="auto" w:fill="FFFFFF"/>
        </w:rPr>
        <w:t>Kumar and Kumar,2020</w:t>
      </w:r>
      <w:r w:rsidR="00C52579" w:rsidRPr="00CE2C2E">
        <w:rPr>
          <w:rFonts w:ascii="Arial" w:hAnsi="Arial" w:cs="Arial"/>
          <w:sz w:val="28"/>
          <w:szCs w:val="28"/>
        </w:rPr>
        <w:t>)</w:t>
      </w:r>
      <w:r w:rsidRPr="00CE2C2E">
        <w:rPr>
          <w:rFonts w:ascii="Arial" w:hAnsi="Arial" w:cs="Arial"/>
          <w:sz w:val="28"/>
          <w:szCs w:val="28"/>
        </w:rPr>
        <w:t>.</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In general, the efficacy of stakeholder engagement is vital in tailoring public services to the community's needs. By embracing targeted engagement methods, instituting clear channels for feedback and input, and investing in stakeholder training and skill development, the council can surmount the predicaments of stakeholder involvement and ascertain that it engages effectively with all stakeholders.</w:t>
      </w:r>
    </w:p>
    <w:p w:rsidR="00DC4CE5" w:rsidRPr="00CE2C2E" w:rsidRDefault="0083023C" w:rsidP="0045416B">
      <w:pPr>
        <w:pStyle w:val="Heading2"/>
        <w:spacing w:line="360" w:lineRule="auto"/>
        <w:jc w:val="both"/>
        <w:rPr>
          <w:rFonts w:ascii="Arial" w:hAnsi="Arial" w:cs="Arial"/>
          <w:sz w:val="28"/>
          <w:szCs w:val="28"/>
        </w:rPr>
      </w:pPr>
      <w:bookmarkStart w:id="3" w:name="_Toc133240998"/>
      <w:r w:rsidRPr="00CE2C2E">
        <w:rPr>
          <w:rFonts w:ascii="Arial" w:hAnsi="Arial" w:cs="Arial"/>
          <w:sz w:val="28"/>
          <w:szCs w:val="28"/>
        </w:rPr>
        <w:t>DIVERSITY</w:t>
      </w:r>
      <w:bookmarkEnd w:id="3"/>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The diversity in the communities and the councils was the most critical part of community engagement. The diversity reflects the various ranges of the wants, needs and experiences of the communities. The council must ensure that any activities present in the councils and represented by the council are always inclusive as they do not disrespect and promotes any kind of inequality among the people of communities</w:t>
      </w:r>
      <w:r w:rsidR="00C52579" w:rsidRPr="00CE2C2E">
        <w:rPr>
          <w:rFonts w:ascii="Arial" w:hAnsi="Arial" w:cs="Arial"/>
          <w:sz w:val="28"/>
          <w:szCs w:val="28"/>
        </w:rPr>
        <w:t xml:space="preserve"> (</w:t>
      </w:r>
      <w:r w:rsidR="00C52579" w:rsidRPr="00CE2C2E">
        <w:rPr>
          <w:rFonts w:ascii="Arial" w:hAnsi="Arial" w:cs="Arial"/>
          <w:color w:val="222222"/>
          <w:sz w:val="28"/>
          <w:szCs w:val="28"/>
          <w:shd w:val="clear" w:color="auto" w:fill="FFFFFF"/>
        </w:rPr>
        <w:t>Mach et al., 2020</w:t>
      </w:r>
      <w:r w:rsidR="00C52579" w:rsidRPr="00CE2C2E">
        <w:rPr>
          <w:rFonts w:ascii="Arial" w:hAnsi="Arial" w:cs="Arial"/>
          <w:sz w:val="28"/>
          <w:szCs w:val="28"/>
        </w:rPr>
        <w:t>)</w:t>
      </w:r>
      <w:r w:rsidRPr="00CE2C2E">
        <w:rPr>
          <w:rFonts w:ascii="Arial" w:hAnsi="Arial" w:cs="Arial"/>
          <w:sz w:val="28"/>
          <w:szCs w:val="28"/>
        </w:rPr>
        <w:t xml:space="preserve">. </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To promote diversity among the communities and people from different stakeholder groups. The councils have to promote diversity by encouraging different kinds of people by colour, age, gender or background to engage in any type of activity and decision-making process. The councils promote activities which brings the people of the different community together and close which can remove the barriers between the people and communities. The member of community when taking part in any kind of inclusive activity it helps in changing the perspective and views of the people in different communities</w:t>
      </w:r>
      <w:r w:rsidR="00C52579" w:rsidRPr="00CE2C2E">
        <w:rPr>
          <w:rFonts w:ascii="Arial" w:hAnsi="Arial" w:cs="Arial"/>
          <w:sz w:val="28"/>
          <w:szCs w:val="28"/>
        </w:rPr>
        <w:t xml:space="preserve"> (</w:t>
      </w:r>
      <w:r w:rsidR="00C52579" w:rsidRPr="00CE2C2E">
        <w:rPr>
          <w:rFonts w:ascii="Arial" w:hAnsi="Arial" w:cs="Arial"/>
          <w:color w:val="222222"/>
          <w:sz w:val="28"/>
          <w:szCs w:val="28"/>
          <w:shd w:val="clear" w:color="auto" w:fill="FFFFFF"/>
        </w:rPr>
        <w:t>Pollock et al., 2019</w:t>
      </w:r>
      <w:r w:rsidR="00C52579" w:rsidRPr="00CE2C2E">
        <w:rPr>
          <w:rFonts w:ascii="Arial" w:hAnsi="Arial" w:cs="Arial"/>
          <w:sz w:val="28"/>
          <w:szCs w:val="28"/>
        </w:rPr>
        <w:t>)</w:t>
      </w:r>
      <w:r w:rsidRPr="00CE2C2E">
        <w:rPr>
          <w:rFonts w:ascii="Arial" w:hAnsi="Arial" w:cs="Arial"/>
          <w:sz w:val="28"/>
          <w:szCs w:val="28"/>
        </w:rPr>
        <w:t>.</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 xml:space="preserve">The council may face a great challenge in its efforts to advance diversity, which is to ensure effective engagement with a diminished group of local people. This task requires engaging with communities that are downgraded or can be said to be marginalised, including those addressing from marginal ethnic backgrounds, those with any kind of </w:t>
      </w:r>
      <w:proofErr w:type="spellStart"/>
      <w:r w:rsidRPr="00CE2C2E">
        <w:rPr>
          <w:rFonts w:ascii="Arial" w:hAnsi="Arial" w:cs="Arial"/>
          <w:sz w:val="28"/>
          <w:szCs w:val="28"/>
        </w:rPr>
        <w:t>deformative</w:t>
      </w:r>
      <w:proofErr w:type="spellEnd"/>
      <w:r w:rsidRPr="00CE2C2E">
        <w:rPr>
          <w:rFonts w:ascii="Arial" w:hAnsi="Arial" w:cs="Arial"/>
          <w:sz w:val="28"/>
          <w:szCs w:val="28"/>
        </w:rPr>
        <w:t xml:space="preserve"> functions, and those from lower socioeconomic backgrounds or classes. To overcome these challenges and issues the council must develop and strategy of engagement which are targeted and accommodate the specific needs and perspectives of these groups.</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The other challenge which is faced by the council is the need to ensure that its engagement actions of activities are culturally sensitive and respectful in any step of the activity of different beliefs and values. This command imposes the council's investment in cultural competence training and ensuring that its people and other associates which are knowing of the cultural inequalities and emotional responses of the people they cooperate with</w:t>
      </w:r>
      <w:r w:rsidR="00C52579" w:rsidRPr="00CE2C2E">
        <w:rPr>
          <w:rFonts w:ascii="Arial" w:hAnsi="Arial" w:cs="Arial"/>
          <w:sz w:val="28"/>
          <w:szCs w:val="28"/>
        </w:rPr>
        <w:t xml:space="preserve"> (</w:t>
      </w:r>
      <w:r w:rsidR="00C52579" w:rsidRPr="00CE2C2E">
        <w:rPr>
          <w:rFonts w:ascii="Arial" w:hAnsi="Arial" w:cs="Arial"/>
          <w:color w:val="222222"/>
          <w:sz w:val="28"/>
          <w:szCs w:val="28"/>
          <w:shd w:val="clear" w:color="auto" w:fill="FFFFFF"/>
        </w:rPr>
        <w:t>Medina, Cosby and Grim, 2019</w:t>
      </w:r>
      <w:r w:rsidR="00C52579" w:rsidRPr="00CE2C2E">
        <w:rPr>
          <w:rFonts w:ascii="Arial" w:hAnsi="Arial" w:cs="Arial"/>
          <w:sz w:val="28"/>
          <w:szCs w:val="28"/>
        </w:rPr>
        <w:t>)</w:t>
      </w:r>
      <w:r w:rsidRPr="00CE2C2E">
        <w:rPr>
          <w:rFonts w:ascii="Arial" w:hAnsi="Arial" w:cs="Arial"/>
          <w:sz w:val="28"/>
          <w:szCs w:val="28"/>
        </w:rPr>
        <w:t>.</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For promoting diversity in community involvement, the council may undertake a range of measures. These actions have the formulation of specific participation strategies which are developed and designed to meet the different needs and observing stages of diverse stakeholder clusters. The council may also provide cultural competency education to its personnel and associates, ensuring that the activities of involvement are penetrating different beliefs and values. Furthermore, the council can make partnerships with different institutions and leaders to substitute diversity in community appointments and guarantee that the council's participation activities have been comprehensive and open to all members of the community</w:t>
      </w:r>
      <w:r w:rsidR="00C52579" w:rsidRPr="00CE2C2E">
        <w:rPr>
          <w:rFonts w:ascii="Arial" w:hAnsi="Arial" w:cs="Arial"/>
          <w:sz w:val="28"/>
          <w:szCs w:val="28"/>
        </w:rPr>
        <w:t xml:space="preserve"> (</w:t>
      </w:r>
      <w:r w:rsidR="00C52579" w:rsidRPr="00CE2C2E">
        <w:rPr>
          <w:rFonts w:ascii="Arial" w:hAnsi="Arial" w:cs="Arial"/>
          <w:color w:val="222222"/>
          <w:sz w:val="28"/>
          <w:szCs w:val="28"/>
          <w:shd w:val="clear" w:color="auto" w:fill="FFFFFF"/>
        </w:rPr>
        <w:t>Burgess et al., 2021</w:t>
      </w:r>
      <w:r w:rsidR="00C52579" w:rsidRPr="00CE2C2E">
        <w:rPr>
          <w:rFonts w:ascii="Arial" w:hAnsi="Arial" w:cs="Arial"/>
          <w:sz w:val="28"/>
          <w:szCs w:val="28"/>
        </w:rPr>
        <w:t>)</w:t>
      </w:r>
      <w:r w:rsidRPr="00CE2C2E">
        <w:rPr>
          <w:rFonts w:ascii="Arial" w:hAnsi="Arial" w:cs="Arial"/>
          <w:sz w:val="28"/>
          <w:szCs w:val="28"/>
        </w:rPr>
        <w:t xml:space="preserve">. </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At last, their promotion of diversity in community engagement standards is crucial for ensuring that the different civic activities and actions will satisfy the demands of the communities and also their expectations. By integrating personalised activities of involvement, investing in cultural proficiency training, and partnering with community institutions and leaders, the council can overcome the challenges of fostering diversity in community involvement and make certain that it occupies all associates of the community professionally</w:t>
      </w:r>
      <w:r w:rsidR="00C52579" w:rsidRPr="00CE2C2E">
        <w:rPr>
          <w:rFonts w:ascii="Arial" w:hAnsi="Arial" w:cs="Arial"/>
          <w:sz w:val="28"/>
          <w:szCs w:val="28"/>
        </w:rPr>
        <w:t xml:space="preserve"> (</w:t>
      </w:r>
      <w:r w:rsidR="00C52579" w:rsidRPr="00CE2C2E">
        <w:rPr>
          <w:rFonts w:ascii="Arial" w:hAnsi="Arial" w:cs="Arial"/>
          <w:color w:val="222222"/>
          <w:sz w:val="28"/>
          <w:szCs w:val="28"/>
          <w:shd w:val="clear" w:color="auto" w:fill="FFFFFF"/>
        </w:rPr>
        <w:t>Ryan, Johnston, Taylor and McAndrew, 2020</w:t>
      </w:r>
      <w:r w:rsidR="00C52579" w:rsidRPr="00CE2C2E">
        <w:rPr>
          <w:rFonts w:ascii="Arial" w:hAnsi="Arial" w:cs="Arial"/>
          <w:sz w:val="28"/>
          <w:szCs w:val="28"/>
        </w:rPr>
        <w:t>)</w:t>
      </w:r>
      <w:r w:rsidRPr="00CE2C2E">
        <w:rPr>
          <w:rFonts w:ascii="Arial" w:hAnsi="Arial" w:cs="Arial"/>
          <w:sz w:val="28"/>
          <w:szCs w:val="28"/>
        </w:rPr>
        <w:t>.</w:t>
      </w:r>
    </w:p>
    <w:p w:rsidR="00C52579" w:rsidRPr="00CE2C2E" w:rsidRDefault="00C52579" w:rsidP="0045416B">
      <w:pPr>
        <w:spacing w:line="360" w:lineRule="auto"/>
        <w:jc w:val="both"/>
        <w:rPr>
          <w:rFonts w:ascii="Arial" w:hAnsi="Arial" w:cs="Arial"/>
          <w:sz w:val="28"/>
          <w:szCs w:val="28"/>
        </w:rPr>
      </w:pPr>
      <w:r w:rsidRPr="00CE2C2E">
        <w:rPr>
          <w:rFonts w:ascii="Arial" w:hAnsi="Arial" w:cs="Arial"/>
          <w:sz w:val="28"/>
          <w:szCs w:val="28"/>
        </w:rPr>
        <w:br w:type="page"/>
      </w:r>
    </w:p>
    <w:p w:rsidR="00DC4CE5" w:rsidRPr="00CE2C2E" w:rsidRDefault="0083023C" w:rsidP="0045416B">
      <w:pPr>
        <w:pStyle w:val="Heading2"/>
        <w:spacing w:line="360" w:lineRule="auto"/>
        <w:jc w:val="both"/>
        <w:rPr>
          <w:rFonts w:ascii="Arial" w:hAnsi="Arial" w:cs="Arial"/>
          <w:sz w:val="28"/>
          <w:szCs w:val="28"/>
        </w:rPr>
      </w:pPr>
      <w:bookmarkStart w:id="4" w:name="_Toc133240999"/>
      <w:r w:rsidRPr="00CE2C2E">
        <w:rPr>
          <w:rFonts w:ascii="Arial" w:hAnsi="Arial" w:cs="Arial"/>
          <w:sz w:val="28"/>
          <w:szCs w:val="28"/>
        </w:rPr>
        <w:t>ORGANISATIONAL SUPPORT</w:t>
      </w:r>
      <w:bookmarkEnd w:id="4"/>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Organisational support is the most essential factor in the achievement of any public involvement events, programs and activities. The council depends and leans on the reassurance of diverse formations, such as governmental entities, communal groups and parties with other invested parties for the accomplishment of the council activities. These establishments help in providing the council with different expertise and practical life knowledge it requires to construct effective interaction routines and helps in providing an effective relationship.</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One major aspect of organisational support is the help of the council through financial support. The public activities routines can be more costly and labour-intensive, challenging the council to distribute its resources to the worker's subordinates and the resources needed. The External financial keys and resources from government entities or private institutions can provide a huge help for the council in the procurement of the resources it needs to develop and execute efficient engagement operations</w:t>
      </w:r>
      <w:r w:rsidR="00C52579" w:rsidRPr="00CE2C2E">
        <w:rPr>
          <w:rFonts w:ascii="Arial" w:hAnsi="Arial" w:cs="Arial"/>
          <w:sz w:val="28"/>
          <w:szCs w:val="28"/>
        </w:rPr>
        <w:t xml:space="preserve"> (</w:t>
      </w:r>
      <w:r w:rsidR="00C52579" w:rsidRPr="00CE2C2E">
        <w:rPr>
          <w:rFonts w:ascii="Arial" w:hAnsi="Arial" w:cs="Arial"/>
          <w:color w:val="222222"/>
          <w:sz w:val="28"/>
          <w:szCs w:val="28"/>
          <w:shd w:val="clear" w:color="auto" w:fill="FFFFFF"/>
        </w:rPr>
        <w:t>Burgess et al., 2021</w:t>
      </w:r>
      <w:r w:rsidR="00C52579" w:rsidRPr="00CE2C2E">
        <w:rPr>
          <w:rFonts w:ascii="Arial" w:hAnsi="Arial" w:cs="Arial"/>
          <w:sz w:val="28"/>
          <w:szCs w:val="28"/>
        </w:rPr>
        <w:t>)</w:t>
      </w:r>
      <w:r w:rsidRPr="00CE2C2E">
        <w:rPr>
          <w:rFonts w:ascii="Arial" w:hAnsi="Arial" w:cs="Arial"/>
          <w:sz w:val="28"/>
          <w:szCs w:val="28"/>
        </w:rPr>
        <w:t xml:space="preserve">. </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 xml:space="preserve">The partnerships and the collaborations among the community groups and other parties which are providing financial resources are also important for achieving the objectives of public involvement activities. Such partnerships can provide assistance and help in connecting with the different populations which are been difficulty influencing and engaging with the different stakeholders who can question the council's motives. Engaging with leaders of communities which are dependable and establishments can establish trustworthiness, heighten participation, and accomplish momentous consequences. </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To optimize the benefits of organisational support, the council must adopt a methodical and cooperative approach. This incorporates recognizing critical partners and stakeholders, constructing collaborative bonds, and assuring that the council's involvement routines are consistent with the goals and priorities of its partners. The council must also ensure that its involvement undertakings are unambiguous, accountable, and responsive to the requirements and expectations of its partners and stakeholders</w:t>
      </w:r>
      <w:r w:rsidR="00C52579" w:rsidRPr="00CE2C2E">
        <w:rPr>
          <w:rFonts w:ascii="Arial" w:hAnsi="Arial" w:cs="Arial"/>
          <w:sz w:val="28"/>
          <w:szCs w:val="28"/>
        </w:rPr>
        <w:t xml:space="preserve"> (</w:t>
      </w:r>
      <w:proofErr w:type="spellStart"/>
      <w:r w:rsidR="00C52579" w:rsidRPr="00CE2C2E">
        <w:rPr>
          <w:rFonts w:ascii="Arial" w:hAnsi="Arial" w:cs="Arial"/>
          <w:color w:val="222222"/>
          <w:sz w:val="28"/>
          <w:szCs w:val="28"/>
          <w:shd w:val="clear" w:color="auto" w:fill="FFFFFF"/>
        </w:rPr>
        <w:t>Attree</w:t>
      </w:r>
      <w:proofErr w:type="spellEnd"/>
      <w:r w:rsidR="00C52579" w:rsidRPr="00CE2C2E">
        <w:rPr>
          <w:rFonts w:ascii="Arial" w:hAnsi="Arial" w:cs="Arial"/>
          <w:color w:val="222222"/>
          <w:sz w:val="28"/>
          <w:szCs w:val="28"/>
          <w:shd w:val="clear" w:color="auto" w:fill="FFFFFF"/>
        </w:rPr>
        <w:t xml:space="preserve"> et al., 2021</w:t>
      </w:r>
      <w:r w:rsidR="00C52579" w:rsidRPr="00CE2C2E">
        <w:rPr>
          <w:rFonts w:ascii="Arial" w:hAnsi="Arial" w:cs="Arial"/>
          <w:sz w:val="28"/>
          <w:szCs w:val="28"/>
        </w:rPr>
        <w:t>)</w:t>
      </w:r>
      <w:r w:rsidRPr="00CE2C2E">
        <w:rPr>
          <w:rFonts w:ascii="Arial" w:hAnsi="Arial" w:cs="Arial"/>
          <w:sz w:val="28"/>
          <w:szCs w:val="28"/>
        </w:rPr>
        <w:t>.</w:t>
      </w:r>
    </w:p>
    <w:p w:rsidR="00DC4CE5" w:rsidRPr="00CE2C2E" w:rsidRDefault="00DC4CE5" w:rsidP="0045416B">
      <w:pPr>
        <w:spacing w:before="240" w:after="240" w:line="360" w:lineRule="auto"/>
        <w:jc w:val="both"/>
        <w:rPr>
          <w:rFonts w:ascii="Arial" w:hAnsi="Arial" w:cs="Arial"/>
          <w:sz w:val="28"/>
          <w:szCs w:val="28"/>
        </w:rPr>
      </w:pPr>
    </w:p>
    <w:p w:rsidR="00C52579" w:rsidRPr="00CE2C2E" w:rsidRDefault="00C52579" w:rsidP="0045416B">
      <w:pPr>
        <w:spacing w:line="360" w:lineRule="auto"/>
        <w:jc w:val="both"/>
        <w:rPr>
          <w:rFonts w:ascii="Arial" w:hAnsi="Arial" w:cs="Arial"/>
          <w:sz w:val="28"/>
          <w:szCs w:val="28"/>
        </w:rPr>
      </w:pPr>
      <w:r w:rsidRPr="00CE2C2E">
        <w:rPr>
          <w:rFonts w:ascii="Arial" w:hAnsi="Arial" w:cs="Arial"/>
          <w:sz w:val="28"/>
          <w:szCs w:val="28"/>
        </w:rPr>
        <w:br w:type="page"/>
      </w:r>
    </w:p>
    <w:p w:rsidR="00DC4CE5" w:rsidRPr="00CE2C2E" w:rsidRDefault="0083023C" w:rsidP="0045416B">
      <w:pPr>
        <w:pStyle w:val="Heading1"/>
        <w:spacing w:line="360" w:lineRule="auto"/>
        <w:jc w:val="both"/>
        <w:rPr>
          <w:rFonts w:ascii="Arial" w:hAnsi="Arial" w:cs="Arial"/>
          <w:sz w:val="28"/>
          <w:szCs w:val="28"/>
        </w:rPr>
      </w:pPr>
      <w:bookmarkStart w:id="5" w:name="_Toc133241000"/>
      <w:r w:rsidRPr="00CE2C2E">
        <w:rPr>
          <w:rFonts w:ascii="Arial" w:hAnsi="Arial" w:cs="Arial"/>
          <w:sz w:val="28"/>
          <w:szCs w:val="28"/>
        </w:rPr>
        <w:t>CONCLUSION</w:t>
      </w:r>
      <w:bookmarkEnd w:id="5"/>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The purpose of this report is to give some solutions for the challenges and issues faced by the Bromley Council London, United Kingdom. The council, a public service entity, was imbued with the onus of catering to societal needs within its purview. The council, in recent times, come through some issues which are related to community engagement, stakeholder involvement, and diversity and inclusion among the communities. The council have been accountable for the population of over 329,000 people and nurtured agreement and peacefulness among the various cultural groups and communities within the city. Community engagement facilitated the transmission of the problems and concerns of the population to the council, thus facilitating sound decision-making. This evaluative appraisal assesses the tenets, principles, and methodologies that were formulated and implemented by the council. In the aftermath of the successful resolution of several issues, the community was able to avail of improved amenities and services.</w:t>
      </w:r>
    </w:p>
    <w:p w:rsidR="00DC4CE5" w:rsidRPr="00CE2C2E" w:rsidRDefault="00DC4CE5" w:rsidP="0045416B">
      <w:pPr>
        <w:spacing w:before="240" w:after="240" w:line="360" w:lineRule="auto"/>
        <w:jc w:val="both"/>
        <w:rPr>
          <w:rFonts w:ascii="Arial" w:hAnsi="Arial" w:cs="Arial"/>
          <w:sz w:val="28"/>
          <w:szCs w:val="28"/>
        </w:rPr>
      </w:pPr>
    </w:p>
    <w:p w:rsidR="00C52579" w:rsidRPr="00CE2C2E" w:rsidRDefault="00C52579" w:rsidP="0045416B">
      <w:pPr>
        <w:spacing w:line="360" w:lineRule="auto"/>
        <w:jc w:val="both"/>
        <w:rPr>
          <w:rFonts w:ascii="Arial" w:hAnsi="Arial" w:cs="Arial"/>
          <w:sz w:val="28"/>
          <w:szCs w:val="28"/>
        </w:rPr>
      </w:pPr>
      <w:r w:rsidRPr="00CE2C2E">
        <w:rPr>
          <w:rFonts w:ascii="Arial" w:hAnsi="Arial" w:cs="Arial"/>
          <w:sz w:val="28"/>
          <w:szCs w:val="28"/>
        </w:rPr>
        <w:br w:type="page"/>
      </w:r>
    </w:p>
    <w:p w:rsidR="00DC4CE5" w:rsidRPr="00CE2C2E" w:rsidRDefault="0083023C" w:rsidP="0045416B">
      <w:pPr>
        <w:pStyle w:val="Heading1"/>
        <w:spacing w:line="360" w:lineRule="auto"/>
        <w:jc w:val="both"/>
        <w:rPr>
          <w:rFonts w:ascii="Arial" w:hAnsi="Arial" w:cs="Arial"/>
          <w:sz w:val="28"/>
          <w:szCs w:val="28"/>
        </w:rPr>
      </w:pPr>
      <w:bookmarkStart w:id="6" w:name="_Toc133241001"/>
      <w:r w:rsidRPr="00CE2C2E">
        <w:rPr>
          <w:rFonts w:ascii="Arial" w:hAnsi="Arial" w:cs="Arial"/>
          <w:sz w:val="28"/>
          <w:szCs w:val="28"/>
        </w:rPr>
        <w:t>RECOMMENDATIONS</w:t>
      </w:r>
      <w:bookmarkEnd w:id="6"/>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Taking steps for diversity and inclusion which would be a primary focus in the council's community involvement actions. This includes the representation of diverse groups in decision-making bodies and the tailoring of engagement activities to meet the needs of varied communities.</w:t>
      </w:r>
    </w:p>
    <w:p w:rsidR="00DC4CE5"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A synchronized approach to community engagement should be developed. This involves identifying essential partners and stakeholders, fostering cooperative relationships, and ensuring that engagement activities align with partners' objectives and priorities.</w:t>
      </w:r>
    </w:p>
    <w:p w:rsidR="00C52579" w:rsidRPr="00CE2C2E" w:rsidRDefault="0083023C" w:rsidP="0045416B">
      <w:pPr>
        <w:spacing w:before="240" w:after="240" w:line="360" w:lineRule="auto"/>
        <w:jc w:val="both"/>
        <w:rPr>
          <w:rFonts w:ascii="Arial" w:hAnsi="Arial" w:cs="Arial"/>
          <w:sz w:val="28"/>
          <w:szCs w:val="28"/>
        </w:rPr>
      </w:pPr>
      <w:r w:rsidRPr="00CE2C2E">
        <w:rPr>
          <w:rFonts w:ascii="Arial" w:hAnsi="Arial" w:cs="Arial"/>
          <w:sz w:val="28"/>
          <w:szCs w:val="28"/>
        </w:rPr>
        <w:t>Additional funding and technical assistance from external organizations should be pursued by the council to support community engagement. This could cover resources for staff, infrastructure, and materials, as well as technical assistance for training and capacity building.</w:t>
      </w:r>
    </w:p>
    <w:p w:rsidR="00C52579" w:rsidRPr="00CE2C2E" w:rsidRDefault="00C52579" w:rsidP="0045416B">
      <w:pPr>
        <w:spacing w:line="360" w:lineRule="auto"/>
        <w:jc w:val="both"/>
        <w:rPr>
          <w:rFonts w:ascii="Arial" w:hAnsi="Arial" w:cs="Arial"/>
          <w:sz w:val="28"/>
          <w:szCs w:val="28"/>
        </w:rPr>
      </w:pPr>
      <w:r w:rsidRPr="00CE2C2E">
        <w:rPr>
          <w:rFonts w:ascii="Arial" w:hAnsi="Arial" w:cs="Arial"/>
          <w:sz w:val="28"/>
          <w:szCs w:val="28"/>
        </w:rPr>
        <w:br w:type="page"/>
      </w:r>
    </w:p>
    <w:p w:rsidR="00DC4CE5" w:rsidRPr="00CE2C2E" w:rsidRDefault="00C52579" w:rsidP="0045416B">
      <w:pPr>
        <w:pStyle w:val="Heading1"/>
        <w:spacing w:line="360" w:lineRule="auto"/>
        <w:jc w:val="both"/>
        <w:rPr>
          <w:rFonts w:ascii="Arial" w:hAnsi="Arial" w:cs="Arial"/>
          <w:sz w:val="28"/>
          <w:szCs w:val="28"/>
        </w:rPr>
      </w:pPr>
      <w:bookmarkStart w:id="7" w:name="_Toc133241002"/>
      <w:r w:rsidRPr="00CE2C2E">
        <w:rPr>
          <w:rFonts w:ascii="Arial" w:hAnsi="Arial" w:cs="Arial"/>
          <w:sz w:val="28"/>
          <w:szCs w:val="28"/>
        </w:rPr>
        <w:t>REFERENCES</w:t>
      </w:r>
      <w:bookmarkEnd w:id="7"/>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8" w:name="_Hlk133240708"/>
      <w:proofErr w:type="spellStart"/>
      <w:r w:rsidRPr="00CE2C2E">
        <w:rPr>
          <w:rFonts w:ascii="Arial" w:hAnsi="Arial" w:cs="Arial"/>
          <w:color w:val="222222"/>
          <w:sz w:val="28"/>
          <w:szCs w:val="28"/>
          <w:shd w:val="clear" w:color="auto" w:fill="FFFFFF"/>
        </w:rPr>
        <w:t>Adhikari</w:t>
      </w:r>
      <w:proofErr w:type="spellEnd"/>
      <w:r w:rsidRPr="00CE2C2E">
        <w:rPr>
          <w:rFonts w:ascii="Arial" w:hAnsi="Arial" w:cs="Arial"/>
          <w:color w:val="222222"/>
          <w:sz w:val="28"/>
          <w:szCs w:val="28"/>
          <w:shd w:val="clear" w:color="auto" w:fill="FFFFFF"/>
        </w:rPr>
        <w:t xml:space="preserve">, B., Pell, C. and </w:t>
      </w:r>
      <w:proofErr w:type="spellStart"/>
      <w:r w:rsidRPr="00CE2C2E">
        <w:rPr>
          <w:rFonts w:ascii="Arial" w:hAnsi="Arial" w:cs="Arial"/>
          <w:color w:val="222222"/>
          <w:sz w:val="28"/>
          <w:szCs w:val="28"/>
          <w:shd w:val="clear" w:color="auto" w:fill="FFFFFF"/>
        </w:rPr>
        <w:t>Cheah</w:t>
      </w:r>
      <w:proofErr w:type="spellEnd"/>
      <w:r w:rsidRPr="00CE2C2E">
        <w:rPr>
          <w:rFonts w:ascii="Arial" w:hAnsi="Arial" w:cs="Arial"/>
          <w:color w:val="222222"/>
          <w:sz w:val="28"/>
          <w:szCs w:val="28"/>
          <w:shd w:val="clear" w:color="auto" w:fill="FFFFFF"/>
        </w:rPr>
        <w:t>, P.Y.</w:t>
      </w:r>
      <w:bookmarkEnd w:id="8"/>
      <w:r w:rsidRPr="00CE2C2E">
        <w:rPr>
          <w:rFonts w:ascii="Arial" w:hAnsi="Arial" w:cs="Arial"/>
          <w:color w:val="222222"/>
          <w:sz w:val="28"/>
          <w:szCs w:val="28"/>
          <w:shd w:val="clear" w:color="auto" w:fill="FFFFFF"/>
        </w:rPr>
        <w:t xml:space="preserve"> (2020) Community engagement and ethical global health research. </w:t>
      </w:r>
      <w:r w:rsidRPr="00CE2C2E">
        <w:rPr>
          <w:rFonts w:ascii="Arial" w:hAnsi="Arial" w:cs="Arial"/>
          <w:i/>
          <w:iCs/>
          <w:color w:val="222222"/>
          <w:sz w:val="28"/>
          <w:szCs w:val="28"/>
          <w:shd w:val="clear" w:color="auto" w:fill="FFFFFF"/>
        </w:rPr>
        <w:t>Global Bioethics</w:t>
      </w:r>
      <w:r w:rsidRPr="00CE2C2E">
        <w:rPr>
          <w:rFonts w:ascii="Arial" w:hAnsi="Arial" w:cs="Arial"/>
          <w:color w:val="222222"/>
          <w:sz w:val="28"/>
          <w:szCs w:val="28"/>
          <w:shd w:val="clear" w:color="auto" w:fill="FFFFFF"/>
        </w:rPr>
        <w:t>, </w:t>
      </w:r>
      <w:r w:rsidRPr="00CE2C2E">
        <w:rPr>
          <w:rFonts w:ascii="Arial" w:hAnsi="Arial" w:cs="Arial"/>
          <w:i/>
          <w:iCs/>
          <w:color w:val="222222"/>
          <w:sz w:val="28"/>
          <w:szCs w:val="28"/>
          <w:shd w:val="clear" w:color="auto" w:fill="FFFFFF"/>
        </w:rPr>
        <w:t>31</w:t>
      </w:r>
      <w:r w:rsidRPr="00CE2C2E">
        <w:rPr>
          <w:rFonts w:ascii="Arial" w:hAnsi="Arial" w:cs="Arial"/>
          <w:color w:val="222222"/>
          <w:sz w:val="28"/>
          <w:szCs w:val="28"/>
          <w:shd w:val="clear" w:color="auto" w:fill="FFFFFF"/>
        </w:rPr>
        <w:t>(1), pp.1-12.</w:t>
      </w:r>
    </w:p>
    <w:p w:rsidR="00C52579" w:rsidRPr="00CE2C2E" w:rsidRDefault="00C52579" w:rsidP="0045416B">
      <w:pPr>
        <w:spacing w:after="240" w:line="360" w:lineRule="auto"/>
        <w:jc w:val="both"/>
        <w:rPr>
          <w:rFonts w:ascii="Arial" w:hAnsi="Arial" w:cs="Arial"/>
          <w:color w:val="222222"/>
          <w:sz w:val="28"/>
          <w:szCs w:val="28"/>
          <w:shd w:val="clear" w:color="auto" w:fill="FFFFFF"/>
          <w:lang w:val="en-US"/>
        </w:rPr>
      </w:pPr>
      <w:bookmarkStart w:id="9" w:name="_Hlk133240887"/>
      <w:proofErr w:type="spellStart"/>
      <w:r w:rsidRPr="00CE2C2E">
        <w:rPr>
          <w:rFonts w:ascii="Arial" w:hAnsi="Arial" w:cs="Arial"/>
          <w:color w:val="222222"/>
          <w:sz w:val="28"/>
          <w:szCs w:val="28"/>
          <w:shd w:val="clear" w:color="auto" w:fill="FFFFFF"/>
        </w:rPr>
        <w:t>Attree</w:t>
      </w:r>
      <w:proofErr w:type="spellEnd"/>
      <w:r w:rsidRPr="00CE2C2E">
        <w:rPr>
          <w:rFonts w:ascii="Arial" w:hAnsi="Arial" w:cs="Arial"/>
          <w:color w:val="222222"/>
          <w:sz w:val="28"/>
          <w:szCs w:val="28"/>
          <w:shd w:val="clear" w:color="auto" w:fill="FFFFFF"/>
        </w:rPr>
        <w:t xml:space="preserve">, </w:t>
      </w:r>
      <w:bookmarkEnd w:id="9"/>
      <w:r w:rsidRPr="00CE2C2E">
        <w:rPr>
          <w:rFonts w:ascii="Arial" w:hAnsi="Arial" w:cs="Arial"/>
          <w:color w:val="222222"/>
          <w:sz w:val="28"/>
          <w:szCs w:val="28"/>
          <w:shd w:val="clear" w:color="auto" w:fill="FFFFFF"/>
        </w:rPr>
        <w:t xml:space="preserve">P., French, B., Milton, B., </w:t>
      </w:r>
      <w:proofErr w:type="spellStart"/>
      <w:r w:rsidRPr="00CE2C2E">
        <w:rPr>
          <w:rFonts w:ascii="Arial" w:hAnsi="Arial" w:cs="Arial"/>
          <w:color w:val="222222"/>
          <w:sz w:val="28"/>
          <w:szCs w:val="28"/>
          <w:shd w:val="clear" w:color="auto" w:fill="FFFFFF"/>
        </w:rPr>
        <w:t>Povall</w:t>
      </w:r>
      <w:proofErr w:type="spellEnd"/>
      <w:r w:rsidRPr="00CE2C2E">
        <w:rPr>
          <w:rFonts w:ascii="Arial" w:hAnsi="Arial" w:cs="Arial"/>
          <w:color w:val="222222"/>
          <w:sz w:val="28"/>
          <w:szCs w:val="28"/>
          <w:shd w:val="clear" w:color="auto" w:fill="FFFFFF"/>
        </w:rPr>
        <w:t xml:space="preserve">, S., Whitehead, M. and </w:t>
      </w:r>
      <w:proofErr w:type="spellStart"/>
      <w:r w:rsidRPr="00CE2C2E">
        <w:rPr>
          <w:rFonts w:ascii="Arial" w:hAnsi="Arial" w:cs="Arial"/>
          <w:color w:val="222222"/>
          <w:sz w:val="28"/>
          <w:szCs w:val="28"/>
          <w:shd w:val="clear" w:color="auto" w:fill="FFFFFF"/>
        </w:rPr>
        <w:t>Popay</w:t>
      </w:r>
      <w:proofErr w:type="spellEnd"/>
      <w:r w:rsidRPr="00CE2C2E">
        <w:rPr>
          <w:rFonts w:ascii="Arial" w:hAnsi="Arial" w:cs="Arial"/>
          <w:color w:val="222222"/>
          <w:sz w:val="28"/>
          <w:szCs w:val="28"/>
          <w:shd w:val="clear" w:color="auto" w:fill="FFFFFF"/>
        </w:rPr>
        <w:t>, J. (2021) The experience of community engagement for individuals: a rapid review of evidence. </w:t>
      </w:r>
      <w:r w:rsidRPr="00CE2C2E">
        <w:rPr>
          <w:rFonts w:ascii="Arial" w:hAnsi="Arial" w:cs="Arial"/>
          <w:i/>
          <w:iCs/>
          <w:color w:val="222222"/>
          <w:sz w:val="28"/>
          <w:szCs w:val="28"/>
          <w:shd w:val="clear" w:color="auto" w:fill="FFFFFF"/>
        </w:rPr>
        <w:t>Health &amp; social care in the community</w:t>
      </w:r>
      <w:r w:rsidRPr="00CE2C2E">
        <w:rPr>
          <w:rFonts w:ascii="Arial" w:hAnsi="Arial" w:cs="Arial"/>
          <w:color w:val="222222"/>
          <w:sz w:val="28"/>
          <w:szCs w:val="28"/>
          <w:shd w:val="clear" w:color="auto" w:fill="FFFFFF"/>
        </w:rPr>
        <w:t>, </w:t>
      </w:r>
      <w:r w:rsidRPr="00CE2C2E">
        <w:rPr>
          <w:rFonts w:ascii="Arial" w:hAnsi="Arial" w:cs="Arial"/>
          <w:i/>
          <w:iCs/>
          <w:color w:val="222222"/>
          <w:sz w:val="28"/>
          <w:szCs w:val="28"/>
          <w:shd w:val="clear" w:color="auto" w:fill="FFFFFF"/>
        </w:rPr>
        <w:t>19</w:t>
      </w:r>
      <w:r w:rsidRPr="00CE2C2E">
        <w:rPr>
          <w:rFonts w:ascii="Arial" w:hAnsi="Arial" w:cs="Arial"/>
          <w:color w:val="222222"/>
          <w:sz w:val="28"/>
          <w:szCs w:val="28"/>
          <w:shd w:val="clear" w:color="auto" w:fill="FFFFFF"/>
        </w:rPr>
        <w:t>(3), pp.250-260.</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10" w:name="_Hlk133240835"/>
      <w:r w:rsidRPr="00CE2C2E">
        <w:rPr>
          <w:rFonts w:ascii="Arial" w:hAnsi="Arial" w:cs="Arial"/>
          <w:color w:val="222222"/>
          <w:sz w:val="28"/>
          <w:szCs w:val="28"/>
          <w:shd w:val="clear" w:color="auto" w:fill="FFFFFF"/>
        </w:rPr>
        <w:t>Burgess</w:t>
      </w:r>
      <w:bookmarkEnd w:id="10"/>
      <w:r w:rsidRPr="00CE2C2E">
        <w:rPr>
          <w:rFonts w:ascii="Arial" w:hAnsi="Arial" w:cs="Arial"/>
          <w:color w:val="222222"/>
          <w:sz w:val="28"/>
          <w:szCs w:val="28"/>
          <w:shd w:val="clear" w:color="auto" w:fill="FFFFFF"/>
        </w:rPr>
        <w:t xml:space="preserve">, R.A., Osborne, R.H., </w:t>
      </w:r>
      <w:proofErr w:type="spellStart"/>
      <w:r w:rsidRPr="00CE2C2E">
        <w:rPr>
          <w:rFonts w:ascii="Arial" w:hAnsi="Arial" w:cs="Arial"/>
          <w:color w:val="222222"/>
          <w:sz w:val="28"/>
          <w:szCs w:val="28"/>
          <w:shd w:val="clear" w:color="auto" w:fill="FFFFFF"/>
        </w:rPr>
        <w:t>Yongabi</w:t>
      </w:r>
      <w:proofErr w:type="spellEnd"/>
      <w:r w:rsidRPr="00CE2C2E">
        <w:rPr>
          <w:rFonts w:ascii="Arial" w:hAnsi="Arial" w:cs="Arial"/>
          <w:color w:val="222222"/>
          <w:sz w:val="28"/>
          <w:szCs w:val="28"/>
          <w:shd w:val="clear" w:color="auto" w:fill="FFFFFF"/>
        </w:rPr>
        <w:t xml:space="preserve">, K.A., </w:t>
      </w:r>
      <w:proofErr w:type="spellStart"/>
      <w:r w:rsidRPr="00CE2C2E">
        <w:rPr>
          <w:rFonts w:ascii="Arial" w:hAnsi="Arial" w:cs="Arial"/>
          <w:color w:val="222222"/>
          <w:sz w:val="28"/>
          <w:szCs w:val="28"/>
          <w:shd w:val="clear" w:color="auto" w:fill="FFFFFF"/>
        </w:rPr>
        <w:t>Greenhalgh</w:t>
      </w:r>
      <w:proofErr w:type="spellEnd"/>
      <w:r w:rsidRPr="00CE2C2E">
        <w:rPr>
          <w:rFonts w:ascii="Arial" w:hAnsi="Arial" w:cs="Arial"/>
          <w:color w:val="222222"/>
          <w:sz w:val="28"/>
          <w:szCs w:val="28"/>
          <w:shd w:val="clear" w:color="auto" w:fill="FFFFFF"/>
        </w:rPr>
        <w:t xml:space="preserve">, T., </w:t>
      </w:r>
      <w:proofErr w:type="spellStart"/>
      <w:r w:rsidRPr="00CE2C2E">
        <w:rPr>
          <w:rFonts w:ascii="Arial" w:hAnsi="Arial" w:cs="Arial"/>
          <w:color w:val="222222"/>
          <w:sz w:val="28"/>
          <w:szCs w:val="28"/>
          <w:shd w:val="clear" w:color="auto" w:fill="FFFFFF"/>
        </w:rPr>
        <w:t>Gurdasani</w:t>
      </w:r>
      <w:proofErr w:type="spellEnd"/>
      <w:r w:rsidRPr="00CE2C2E">
        <w:rPr>
          <w:rFonts w:ascii="Arial" w:hAnsi="Arial" w:cs="Arial"/>
          <w:color w:val="222222"/>
          <w:sz w:val="28"/>
          <w:szCs w:val="28"/>
          <w:shd w:val="clear" w:color="auto" w:fill="FFFFFF"/>
        </w:rPr>
        <w:t xml:space="preserve">, D., Kang, G., </w:t>
      </w:r>
      <w:proofErr w:type="spellStart"/>
      <w:r w:rsidRPr="00CE2C2E">
        <w:rPr>
          <w:rFonts w:ascii="Arial" w:hAnsi="Arial" w:cs="Arial"/>
          <w:color w:val="222222"/>
          <w:sz w:val="28"/>
          <w:szCs w:val="28"/>
          <w:shd w:val="clear" w:color="auto" w:fill="FFFFFF"/>
        </w:rPr>
        <w:t>Falade</w:t>
      </w:r>
      <w:proofErr w:type="spellEnd"/>
      <w:r w:rsidRPr="00CE2C2E">
        <w:rPr>
          <w:rFonts w:ascii="Arial" w:hAnsi="Arial" w:cs="Arial"/>
          <w:color w:val="222222"/>
          <w:sz w:val="28"/>
          <w:szCs w:val="28"/>
          <w:shd w:val="clear" w:color="auto" w:fill="FFFFFF"/>
        </w:rPr>
        <w:t xml:space="preserve">, A.G., </w:t>
      </w:r>
      <w:proofErr w:type="spellStart"/>
      <w:r w:rsidRPr="00CE2C2E">
        <w:rPr>
          <w:rFonts w:ascii="Arial" w:hAnsi="Arial" w:cs="Arial"/>
          <w:color w:val="222222"/>
          <w:sz w:val="28"/>
          <w:szCs w:val="28"/>
          <w:shd w:val="clear" w:color="auto" w:fill="FFFFFF"/>
        </w:rPr>
        <w:t>Odone</w:t>
      </w:r>
      <w:proofErr w:type="spellEnd"/>
      <w:r w:rsidRPr="00CE2C2E">
        <w:rPr>
          <w:rFonts w:ascii="Arial" w:hAnsi="Arial" w:cs="Arial"/>
          <w:color w:val="222222"/>
          <w:sz w:val="28"/>
          <w:szCs w:val="28"/>
          <w:shd w:val="clear" w:color="auto" w:fill="FFFFFF"/>
        </w:rPr>
        <w:t xml:space="preserve">, A., </w:t>
      </w:r>
      <w:proofErr w:type="spellStart"/>
      <w:r w:rsidRPr="00CE2C2E">
        <w:rPr>
          <w:rFonts w:ascii="Arial" w:hAnsi="Arial" w:cs="Arial"/>
          <w:color w:val="222222"/>
          <w:sz w:val="28"/>
          <w:szCs w:val="28"/>
          <w:shd w:val="clear" w:color="auto" w:fill="FFFFFF"/>
        </w:rPr>
        <w:t>Busse</w:t>
      </w:r>
      <w:proofErr w:type="spellEnd"/>
      <w:r w:rsidRPr="00CE2C2E">
        <w:rPr>
          <w:rFonts w:ascii="Arial" w:hAnsi="Arial" w:cs="Arial"/>
          <w:color w:val="222222"/>
          <w:sz w:val="28"/>
          <w:szCs w:val="28"/>
          <w:shd w:val="clear" w:color="auto" w:fill="FFFFFF"/>
        </w:rPr>
        <w:t xml:space="preserve">, R., Martin-Moreno, J.M. and </w:t>
      </w:r>
      <w:proofErr w:type="spellStart"/>
      <w:r w:rsidRPr="00CE2C2E">
        <w:rPr>
          <w:rFonts w:ascii="Arial" w:hAnsi="Arial" w:cs="Arial"/>
          <w:color w:val="222222"/>
          <w:sz w:val="28"/>
          <w:szCs w:val="28"/>
          <w:shd w:val="clear" w:color="auto" w:fill="FFFFFF"/>
        </w:rPr>
        <w:t>Reicher</w:t>
      </w:r>
      <w:proofErr w:type="spellEnd"/>
      <w:r w:rsidRPr="00CE2C2E">
        <w:rPr>
          <w:rFonts w:ascii="Arial" w:hAnsi="Arial" w:cs="Arial"/>
          <w:color w:val="222222"/>
          <w:sz w:val="28"/>
          <w:szCs w:val="28"/>
          <w:shd w:val="clear" w:color="auto" w:fill="FFFFFF"/>
        </w:rPr>
        <w:t>, S. (2021) The COVID-19 vaccines rush: participatory community engagement matters more than ever. </w:t>
      </w:r>
      <w:r w:rsidRPr="00CE2C2E">
        <w:rPr>
          <w:rFonts w:ascii="Arial" w:hAnsi="Arial" w:cs="Arial"/>
          <w:i/>
          <w:iCs/>
          <w:color w:val="222222"/>
          <w:sz w:val="28"/>
          <w:szCs w:val="28"/>
          <w:shd w:val="clear" w:color="auto" w:fill="FFFFFF"/>
        </w:rPr>
        <w:t>The Lancet</w:t>
      </w:r>
      <w:r w:rsidRPr="00CE2C2E">
        <w:rPr>
          <w:rFonts w:ascii="Arial" w:hAnsi="Arial" w:cs="Arial"/>
          <w:color w:val="222222"/>
          <w:sz w:val="28"/>
          <w:szCs w:val="28"/>
          <w:shd w:val="clear" w:color="auto" w:fill="FFFFFF"/>
        </w:rPr>
        <w:t>, </w:t>
      </w:r>
      <w:r w:rsidRPr="00CE2C2E">
        <w:rPr>
          <w:rFonts w:ascii="Arial" w:hAnsi="Arial" w:cs="Arial"/>
          <w:i/>
          <w:iCs/>
          <w:color w:val="222222"/>
          <w:sz w:val="28"/>
          <w:szCs w:val="28"/>
          <w:shd w:val="clear" w:color="auto" w:fill="FFFFFF"/>
        </w:rPr>
        <w:t>397</w:t>
      </w:r>
      <w:r w:rsidRPr="00CE2C2E">
        <w:rPr>
          <w:rFonts w:ascii="Arial" w:hAnsi="Arial" w:cs="Arial"/>
          <w:color w:val="222222"/>
          <w:sz w:val="28"/>
          <w:szCs w:val="28"/>
          <w:shd w:val="clear" w:color="auto" w:fill="FFFFFF"/>
        </w:rPr>
        <w:t>(10268), pp.8-10.</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11" w:name="_Hlk133240873"/>
      <w:r w:rsidRPr="00CE2C2E">
        <w:rPr>
          <w:rFonts w:ascii="Arial" w:hAnsi="Arial" w:cs="Arial"/>
          <w:color w:val="222222"/>
          <w:sz w:val="28"/>
          <w:szCs w:val="28"/>
          <w:shd w:val="clear" w:color="auto" w:fill="FFFFFF"/>
        </w:rPr>
        <w:t>Burgess, R.A</w:t>
      </w:r>
      <w:bookmarkEnd w:id="11"/>
      <w:r w:rsidRPr="00CE2C2E">
        <w:rPr>
          <w:rFonts w:ascii="Arial" w:hAnsi="Arial" w:cs="Arial"/>
          <w:color w:val="222222"/>
          <w:sz w:val="28"/>
          <w:szCs w:val="28"/>
          <w:shd w:val="clear" w:color="auto" w:fill="FFFFFF"/>
        </w:rPr>
        <w:t xml:space="preserve">., Osborne, R.H., </w:t>
      </w:r>
      <w:proofErr w:type="spellStart"/>
      <w:r w:rsidRPr="00CE2C2E">
        <w:rPr>
          <w:rFonts w:ascii="Arial" w:hAnsi="Arial" w:cs="Arial"/>
          <w:color w:val="222222"/>
          <w:sz w:val="28"/>
          <w:szCs w:val="28"/>
          <w:shd w:val="clear" w:color="auto" w:fill="FFFFFF"/>
        </w:rPr>
        <w:t>Yongabi</w:t>
      </w:r>
      <w:proofErr w:type="spellEnd"/>
      <w:r w:rsidRPr="00CE2C2E">
        <w:rPr>
          <w:rFonts w:ascii="Arial" w:hAnsi="Arial" w:cs="Arial"/>
          <w:color w:val="222222"/>
          <w:sz w:val="28"/>
          <w:szCs w:val="28"/>
          <w:shd w:val="clear" w:color="auto" w:fill="FFFFFF"/>
        </w:rPr>
        <w:t xml:space="preserve">, K.A., </w:t>
      </w:r>
      <w:proofErr w:type="spellStart"/>
      <w:r w:rsidRPr="00CE2C2E">
        <w:rPr>
          <w:rFonts w:ascii="Arial" w:hAnsi="Arial" w:cs="Arial"/>
          <w:color w:val="222222"/>
          <w:sz w:val="28"/>
          <w:szCs w:val="28"/>
          <w:shd w:val="clear" w:color="auto" w:fill="FFFFFF"/>
        </w:rPr>
        <w:t>Greenhalgh</w:t>
      </w:r>
      <w:proofErr w:type="spellEnd"/>
      <w:r w:rsidRPr="00CE2C2E">
        <w:rPr>
          <w:rFonts w:ascii="Arial" w:hAnsi="Arial" w:cs="Arial"/>
          <w:color w:val="222222"/>
          <w:sz w:val="28"/>
          <w:szCs w:val="28"/>
          <w:shd w:val="clear" w:color="auto" w:fill="FFFFFF"/>
        </w:rPr>
        <w:t xml:space="preserve">, T., </w:t>
      </w:r>
      <w:proofErr w:type="spellStart"/>
      <w:r w:rsidRPr="00CE2C2E">
        <w:rPr>
          <w:rFonts w:ascii="Arial" w:hAnsi="Arial" w:cs="Arial"/>
          <w:color w:val="222222"/>
          <w:sz w:val="28"/>
          <w:szCs w:val="28"/>
          <w:shd w:val="clear" w:color="auto" w:fill="FFFFFF"/>
        </w:rPr>
        <w:t>Gurdasani</w:t>
      </w:r>
      <w:proofErr w:type="spellEnd"/>
      <w:r w:rsidRPr="00CE2C2E">
        <w:rPr>
          <w:rFonts w:ascii="Arial" w:hAnsi="Arial" w:cs="Arial"/>
          <w:color w:val="222222"/>
          <w:sz w:val="28"/>
          <w:szCs w:val="28"/>
          <w:shd w:val="clear" w:color="auto" w:fill="FFFFFF"/>
        </w:rPr>
        <w:t xml:space="preserve">, D., Kang, G., </w:t>
      </w:r>
      <w:proofErr w:type="spellStart"/>
      <w:r w:rsidRPr="00CE2C2E">
        <w:rPr>
          <w:rFonts w:ascii="Arial" w:hAnsi="Arial" w:cs="Arial"/>
          <w:color w:val="222222"/>
          <w:sz w:val="28"/>
          <w:szCs w:val="28"/>
          <w:shd w:val="clear" w:color="auto" w:fill="FFFFFF"/>
        </w:rPr>
        <w:t>Falade</w:t>
      </w:r>
      <w:proofErr w:type="spellEnd"/>
      <w:r w:rsidRPr="00CE2C2E">
        <w:rPr>
          <w:rFonts w:ascii="Arial" w:hAnsi="Arial" w:cs="Arial"/>
          <w:color w:val="222222"/>
          <w:sz w:val="28"/>
          <w:szCs w:val="28"/>
          <w:shd w:val="clear" w:color="auto" w:fill="FFFFFF"/>
        </w:rPr>
        <w:t xml:space="preserve">, A.G., </w:t>
      </w:r>
      <w:proofErr w:type="spellStart"/>
      <w:r w:rsidRPr="00CE2C2E">
        <w:rPr>
          <w:rFonts w:ascii="Arial" w:hAnsi="Arial" w:cs="Arial"/>
          <w:color w:val="222222"/>
          <w:sz w:val="28"/>
          <w:szCs w:val="28"/>
          <w:shd w:val="clear" w:color="auto" w:fill="FFFFFF"/>
        </w:rPr>
        <w:t>Odone</w:t>
      </w:r>
      <w:proofErr w:type="spellEnd"/>
      <w:r w:rsidRPr="00CE2C2E">
        <w:rPr>
          <w:rFonts w:ascii="Arial" w:hAnsi="Arial" w:cs="Arial"/>
          <w:color w:val="222222"/>
          <w:sz w:val="28"/>
          <w:szCs w:val="28"/>
          <w:shd w:val="clear" w:color="auto" w:fill="FFFFFF"/>
        </w:rPr>
        <w:t xml:space="preserve">, A., </w:t>
      </w:r>
      <w:proofErr w:type="spellStart"/>
      <w:r w:rsidRPr="00CE2C2E">
        <w:rPr>
          <w:rFonts w:ascii="Arial" w:hAnsi="Arial" w:cs="Arial"/>
          <w:color w:val="222222"/>
          <w:sz w:val="28"/>
          <w:szCs w:val="28"/>
          <w:shd w:val="clear" w:color="auto" w:fill="FFFFFF"/>
        </w:rPr>
        <w:t>Busse</w:t>
      </w:r>
      <w:proofErr w:type="spellEnd"/>
      <w:r w:rsidRPr="00CE2C2E">
        <w:rPr>
          <w:rFonts w:ascii="Arial" w:hAnsi="Arial" w:cs="Arial"/>
          <w:color w:val="222222"/>
          <w:sz w:val="28"/>
          <w:szCs w:val="28"/>
          <w:shd w:val="clear" w:color="auto" w:fill="FFFFFF"/>
        </w:rPr>
        <w:t xml:space="preserve">, R., Martin-Moreno, J.M. and </w:t>
      </w:r>
      <w:proofErr w:type="spellStart"/>
      <w:r w:rsidRPr="00CE2C2E">
        <w:rPr>
          <w:rFonts w:ascii="Arial" w:hAnsi="Arial" w:cs="Arial"/>
          <w:color w:val="222222"/>
          <w:sz w:val="28"/>
          <w:szCs w:val="28"/>
          <w:shd w:val="clear" w:color="auto" w:fill="FFFFFF"/>
        </w:rPr>
        <w:t>Reicher</w:t>
      </w:r>
      <w:proofErr w:type="spellEnd"/>
      <w:r w:rsidRPr="00CE2C2E">
        <w:rPr>
          <w:rFonts w:ascii="Arial" w:hAnsi="Arial" w:cs="Arial"/>
          <w:color w:val="222222"/>
          <w:sz w:val="28"/>
          <w:szCs w:val="28"/>
          <w:shd w:val="clear" w:color="auto" w:fill="FFFFFF"/>
        </w:rPr>
        <w:t>, S. (2021) The COVID-19 vaccines rush: participatory community engagement matters more than ever. </w:t>
      </w:r>
      <w:r w:rsidRPr="00CE2C2E">
        <w:rPr>
          <w:rFonts w:ascii="Arial" w:hAnsi="Arial" w:cs="Arial"/>
          <w:i/>
          <w:iCs/>
          <w:color w:val="222222"/>
          <w:sz w:val="28"/>
          <w:szCs w:val="28"/>
          <w:shd w:val="clear" w:color="auto" w:fill="FFFFFF"/>
        </w:rPr>
        <w:t>The Lancet</w:t>
      </w:r>
      <w:r w:rsidRPr="00CE2C2E">
        <w:rPr>
          <w:rFonts w:ascii="Arial" w:hAnsi="Arial" w:cs="Arial"/>
          <w:color w:val="222222"/>
          <w:sz w:val="28"/>
          <w:szCs w:val="28"/>
          <w:shd w:val="clear" w:color="auto" w:fill="FFFFFF"/>
        </w:rPr>
        <w:t>, </w:t>
      </w:r>
      <w:r w:rsidRPr="00CE2C2E">
        <w:rPr>
          <w:rFonts w:ascii="Arial" w:hAnsi="Arial" w:cs="Arial"/>
          <w:i/>
          <w:iCs/>
          <w:color w:val="222222"/>
          <w:sz w:val="28"/>
          <w:szCs w:val="28"/>
          <w:shd w:val="clear" w:color="auto" w:fill="FFFFFF"/>
        </w:rPr>
        <w:t>397</w:t>
      </w:r>
      <w:r w:rsidRPr="00CE2C2E">
        <w:rPr>
          <w:rFonts w:ascii="Arial" w:hAnsi="Arial" w:cs="Arial"/>
          <w:color w:val="222222"/>
          <w:sz w:val="28"/>
          <w:szCs w:val="28"/>
          <w:shd w:val="clear" w:color="auto" w:fill="FFFFFF"/>
        </w:rPr>
        <w:t>(10268), pp.8-10.</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12" w:name="_Hlk133240754"/>
      <w:proofErr w:type="spellStart"/>
      <w:r w:rsidRPr="00CE2C2E">
        <w:rPr>
          <w:rFonts w:ascii="Arial" w:hAnsi="Arial" w:cs="Arial"/>
          <w:color w:val="222222"/>
          <w:sz w:val="28"/>
          <w:szCs w:val="28"/>
          <w:shd w:val="clear" w:color="auto" w:fill="FFFFFF"/>
        </w:rPr>
        <w:t>Dupen</w:t>
      </w:r>
      <w:proofErr w:type="spellEnd"/>
      <w:r w:rsidRPr="00CE2C2E">
        <w:rPr>
          <w:rFonts w:ascii="Arial" w:hAnsi="Arial" w:cs="Arial"/>
          <w:color w:val="222222"/>
          <w:sz w:val="28"/>
          <w:szCs w:val="28"/>
          <w:shd w:val="clear" w:color="auto" w:fill="FFFFFF"/>
        </w:rPr>
        <w:t xml:space="preserve">, P., </w:t>
      </w:r>
      <w:proofErr w:type="spellStart"/>
      <w:r w:rsidRPr="00CE2C2E">
        <w:rPr>
          <w:rFonts w:ascii="Arial" w:hAnsi="Arial" w:cs="Arial"/>
          <w:color w:val="222222"/>
          <w:sz w:val="28"/>
          <w:szCs w:val="28"/>
          <w:shd w:val="clear" w:color="auto" w:fill="FFFFFF"/>
        </w:rPr>
        <w:t>Castilla</w:t>
      </w:r>
      <w:proofErr w:type="spellEnd"/>
      <w:r w:rsidRPr="00CE2C2E">
        <w:rPr>
          <w:rFonts w:ascii="Arial" w:hAnsi="Arial" w:cs="Arial"/>
          <w:color w:val="222222"/>
          <w:sz w:val="28"/>
          <w:szCs w:val="28"/>
          <w:shd w:val="clear" w:color="auto" w:fill="FFFFFF"/>
        </w:rPr>
        <w:t xml:space="preserve"> Rho, J. and </w:t>
      </w:r>
      <w:proofErr w:type="spellStart"/>
      <w:r w:rsidRPr="00CE2C2E">
        <w:rPr>
          <w:rFonts w:ascii="Arial" w:hAnsi="Arial" w:cs="Arial"/>
          <w:color w:val="222222"/>
          <w:sz w:val="28"/>
          <w:szCs w:val="28"/>
          <w:shd w:val="clear" w:color="auto" w:fill="FFFFFF"/>
        </w:rPr>
        <w:t>Voinov</w:t>
      </w:r>
      <w:proofErr w:type="spellEnd"/>
      <w:r w:rsidRPr="00CE2C2E">
        <w:rPr>
          <w:rFonts w:ascii="Arial" w:hAnsi="Arial" w:cs="Arial"/>
          <w:color w:val="222222"/>
          <w:sz w:val="28"/>
          <w:szCs w:val="28"/>
          <w:shd w:val="clear" w:color="auto" w:fill="FFFFFF"/>
        </w:rPr>
        <w:t>, A.</w:t>
      </w:r>
      <w:bookmarkEnd w:id="12"/>
      <w:r w:rsidRPr="00CE2C2E">
        <w:rPr>
          <w:rFonts w:ascii="Arial" w:hAnsi="Arial" w:cs="Arial"/>
          <w:color w:val="222222"/>
          <w:sz w:val="28"/>
          <w:szCs w:val="28"/>
          <w:shd w:val="clear" w:color="auto" w:fill="FFFFFF"/>
        </w:rPr>
        <w:t xml:space="preserve"> (2019) Model-enabled community engagement in a mining approval process. In </w:t>
      </w:r>
      <w:r w:rsidRPr="00CE2C2E">
        <w:rPr>
          <w:rFonts w:ascii="Arial" w:hAnsi="Arial" w:cs="Arial"/>
          <w:i/>
          <w:iCs/>
          <w:color w:val="222222"/>
          <w:sz w:val="28"/>
          <w:szCs w:val="28"/>
          <w:shd w:val="clear" w:color="auto" w:fill="FFFFFF"/>
        </w:rPr>
        <w:t>23rd International Congress on Modelling and Simulation</w:t>
      </w:r>
      <w:r w:rsidRPr="00CE2C2E">
        <w:rPr>
          <w:rFonts w:ascii="Arial" w:hAnsi="Arial" w:cs="Arial"/>
          <w:color w:val="222222"/>
          <w:sz w:val="28"/>
          <w:szCs w:val="28"/>
          <w:shd w:val="clear" w:color="auto" w:fill="FFFFFF"/>
        </w:rPr>
        <w:t>.</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13" w:name="_Hlk133240738"/>
      <w:proofErr w:type="spellStart"/>
      <w:r w:rsidRPr="00CE2C2E">
        <w:rPr>
          <w:rFonts w:ascii="Arial" w:hAnsi="Arial" w:cs="Arial"/>
          <w:color w:val="222222"/>
          <w:sz w:val="28"/>
          <w:szCs w:val="28"/>
          <w:shd w:val="clear" w:color="auto" w:fill="FFFFFF"/>
        </w:rPr>
        <w:t>Kagan</w:t>
      </w:r>
      <w:proofErr w:type="spellEnd"/>
      <w:r w:rsidRPr="00CE2C2E">
        <w:rPr>
          <w:rFonts w:ascii="Arial" w:hAnsi="Arial" w:cs="Arial"/>
          <w:color w:val="222222"/>
          <w:sz w:val="28"/>
          <w:szCs w:val="28"/>
          <w:shd w:val="clear" w:color="auto" w:fill="FFFFFF"/>
        </w:rPr>
        <w:t xml:space="preserve">, C., Diamond, J., </w:t>
      </w:r>
      <w:proofErr w:type="spellStart"/>
      <w:r w:rsidRPr="00CE2C2E">
        <w:rPr>
          <w:rFonts w:ascii="Arial" w:hAnsi="Arial" w:cs="Arial"/>
          <w:color w:val="222222"/>
          <w:sz w:val="28"/>
          <w:szCs w:val="28"/>
          <w:shd w:val="clear" w:color="auto" w:fill="FFFFFF"/>
        </w:rPr>
        <w:t>Kagan</w:t>
      </w:r>
      <w:proofErr w:type="spellEnd"/>
      <w:r w:rsidRPr="00CE2C2E">
        <w:rPr>
          <w:rFonts w:ascii="Arial" w:hAnsi="Arial" w:cs="Arial"/>
          <w:color w:val="222222"/>
          <w:sz w:val="28"/>
          <w:szCs w:val="28"/>
          <w:shd w:val="clear" w:color="auto" w:fill="FFFFFF"/>
        </w:rPr>
        <w:t>, C. and Diamond, J.</w:t>
      </w:r>
      <w:bookmarkEnd w:id="13"/>
      <w:r w:rsidRPr="00CE2C2E">
        <w:rPr>
          <w:rFonts w:ascii="Arial" w:hAnsi="Arial" w:cs="Arial"/>
          <w:color w:val="222222"/>
          <w:sz w:val="28"/>
          <w:szCs w:val="28"/>
          <w:shd w:val="clear" w:color="auto" w:fill="FFFFFF"/>
        </w:rPr>
        <w:t xml:space="preserve"> (2019) Foundations of university–community engagement. </w:t>
      </w:r>
      <w:r w:rsidRPr="00CE2C2E">
        <w:rPr>
          <w:rFonts w:ascii="Arial" w:hAnsi="Arial" w:cs="Arial"/>
          <w:i/>
          <w:iCs/>
          <w:color w:val="222222"/>
          <w:sz w:val="28"/>
          <w:szCs w:val="28"/>
          <w:shd w:val="clear" w:color="auto" w:fill="FFFFFF"/>
        </w:rPr>
        <w:t>University–Community Relations in the UK: Engaging Universities</w:t>
      </w:r>
      <w:r w:rsidRPr="00CE2C2E">
        <w:rPr>
          <w:rFonts w:ascii="Arial" w:hAnsi="Arial" w:cs="Arial"/>
          <w:color w:val="222222"/>
          <w:sz w:val="28"/>
          <w:szCs w:val="28"/>
          <w:shd w:val="clear" w:color="auto" w:fill="FFFFFF"/>
        </w:rPr>
        <w:t>, pp.1-23.</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14" w:name="_Hlk133240692"/>
      <w:r w:rsidRPr="00CE2C2E">
        <w:rPr>
          <w:rFonts w:ascii="Arial" w:hAnsi="Arial" w:cs="Arial"/>
          <w:color w:val="222222"/>
          <w:sz w:val="28"/>
          <w:szCs w:val="28"/>
          <w:shd w:val="clear" w:color="auto" w:fill="FFFFFF"/>
        </w:rPr>
        <w:t>Kim, G., Newman, G. and Jiang, B.</w:t>
      </w:r>
      <w:bookmarkEnd w:id="14"/>
      <w:r w:rsidRPr="00CE2C2E">
        <w:rPr>
          <w:rFonts w:ascii="Arial" w:hAnsi="Arial" w:cs="Arial"/>
          <w:color w:val="222222"/>
          <w:sz w:val="28"/>
          <w:szCs w:val="28"/>
          <w:shd w:val="clear" w:color="auto" w:fill="FFFFFF"/>
        </w:rPr>
        <w:t xml:space="preserve"> (2020) Urban regeneration: Community engagement process for vacant land in declining cities. </w:t>
      </w:r>
      <w:r w:rsidRPr="00CE2C2E">
        <w:rPr>
          <w:rFonts w:ascii="Arial" w:hAnsi="Arial" w:cs="Arial"/>
          <w:i/>
          <w:iCs/>
          <w:color w:val="222222"/>
          <w:sz w:val="28"/>
          <w:szCs w:val="28"/>
          <w:shd w:val="clear" w:color="auto" w:fill="FFFFFF"/>
        </w:rPr>
        <w:t>Cities</w:t>
      </w:r>
      <w:r w:rsidRPr="00CE2C2E">
        <w:rPr>
          <w:rFonts w:ascii="Arial" w:hAnsi="Arial" w:cs="Arial"/>
          <w:color w:val="222222"/>
          <w:sz w:val="28"/>
          <w:szCs w:val="28"/>
          <w:shd w:val="clear" w:color="auto" w:fill="FFFFFF"/>
        </w:rPr>
        <w:t>, </w:t>
      </w:r>
      <w:r w:rsidRPr="00CE2C2E">
        <w:rPr>
          <w:rFonts w:ascii="Arial" w:hAnsi="Arial" w:cs="Arial"/>
          <w:i/>
          <w:iCs/>
          <w:color w:val="222222"/>
          <w:sz w:val="28"/>
          <w:szCs w:val="28"/>
          <w:shd w:val="clear" w:color="auto" w:fill="FFFFFF"/>
        </w:rPr>
        <w:t>102</w:t>
      </w:r>
      <w:r w:rsidRPr="00CE2C2E">
        <w:rPr>
          <w:rFonts w:ascii="Arial" w:hAnsi="Arial" w:cs="Arial"/>
          <w:color w:val="222222"/>
          <w:sz w:val="28"/>
          <w:szCs w:val="28"/>
          <w:shd w:val="clear" w:color="auto" w:fill="FFFFFF"/>
        </w:rPr>
        <w:t>, p.102730.</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15" w:name="_Hlk133240769"/>
      <w:r w:rsidRPr="00CE2C2E">
        <w:rPr>
          <w:rFonts w:ascii="Arial" w:hAnsi="Arial" w:cs="Arial"/>
          <w:color w:val="222222"/>
          <w:sz w:val="28"/>
          <w:szCs w:val="28"/>
          <w:shd w:val="clear" w:color="auto" w:fill="FFFFFF"/>
        </w:rPr>
        <w:t>Kumar, J. and Kumar, V.</w:t>
      </w:r>
      <w:bookmarkEnd w:id="15"/>
      <w:r w:rsidRPr="00CE2C2E">
        <w:rPr>
          <w:rFonts w:ascii="Arial" w:hAnsi="Arial" w:cs="Arial"/>
          <w:color w:val="222222"/>
          <w:sz w:val="28"/>
          <w:szCs w:val="28"/>
          <w:shd w:val="clear" w:color="auto" w:fill="FFFFFF"/>
        </w:rPr>
        <w:t xml:space="preserve"> (2020) Drivers of brand community engagement. </w:t>
      </w:r>
      <w:r w:rsidRPr="00CE2C2E">
        <w:rPr>
          <w:rFonts w:ascii="Arial" w:hAnsi="Arial" w:cs="Arial"/>
          <w:i/>
          <w:iCs/>
          <w:color w:val="222222"/>
          <w:sz w:val="28"/>
          <w:szCs w:val="28"/>
          <w:shd w:val="clear" w:color="auto" w:fill="FFFFFF"/>
        </w:rPr>
        <w:t>Journal of Retailing and Consumer Services</w:t>
      </w:r>
      <w:r w:rsidRPr="00CE2C2E">
        <w:rPr>
          <w:rFonts w:ascii="Arial" w:hAnsi="Arial" w:cs="Arial"/>
          <w:color w:val="222222"/>
          <w:sz w:val="28"/>
          <w:szCs w:val="28"/>
          <w:shd w:val="clear" w:color="auto" w:fill="FFFFFF"/>
        </w:rPr>
        <w:t>, </w:t>
      </w:r>
      <w:r w:rsidRPr="00CE2C2E">
        <w:rPr>
          <w:rFonts w:ascii="Arial" w:hAnsi="Arial" w:cs="Arial"/>
          <w:i/>
          <w:iCs/>
          <w:color w:val="222222"/>
          <w:sz w:val="28"/>
          <w:szCs w:val="28"/>
          <w:shd w:val="clear" w:color="auto" w:fill="FFFFFF"/>
        </w:rPr>
        <w:t>54</w:t>
      </w:r>
      <w:r w:rsidRPr="00CE2C2E">
        <w:rPr>
          <w:rFonts w:ascii="Arial" w:hAnsi="Arial" w:cs="Arial"/>
          <w:color w:val="222222"/>
          <w:sz w:val="28"/>
          <w:szCs w:val="28"/>
          <w:shd w:val="clear" w:color="auto" w:fill="FFFFFF"/>
        </w:rPr>
        <w:t>, p.101949.</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16" w:name="_Hlk133240784"/>
      <w:r w:rsidRPr="00CE2C2E">
        <w:rPr>
          <w:rFonts w:ascii="Arial" w:hAnsi="Arial" w:cs="Arial"/>
          <w:color w:val="222222"/>
          <w:sz w:val="28"/>
          <w:szCs w:val="28"/>
          <w:shd w:val="clear" w:color="auto" w:fill="FFFFFF"/>
        </w:rPr>
        <w:t>Mach</w:t>
      </w:r>
      <w:bookmarkEnd w:id="16"/>
      <w:r w:rsidRPr="00CE2C2E">
        <w:rPr>
          <w:rFonts w:ascii="Arial" w:hAnsi="Arial" w:cs="Arial"/>
          <w:color w:val="222222"/>
          <w:sz w:val="28"/>
          <w:szCs w:val="28"/>
          <w:shd w:val="clear" w:color="auto" w:fill="FFFFFF"/>
        </w:rPr>
        <w:t xml:space="preserve">, K.J., </w:t>
      </w:r>
      <w:proofErr w:type="spellStart"/>
      <w:r w:rsidRPr="00CE2C2E">
        <w:rPr>
          <w:rFonts w:ascii="Arial" w:hAnsi="Arial" w:cs="Arial"/>
          <w:color w:val="222222"/>
          <w:sz w:val="28"/>
          <w:szCs w:val="28"/>
          <w:shd w:val="clear" w:color="auto" w:fill="FFFFFF"/>
        </w:rPr>
        <w:t>Lemos</w:t>
      </w:r>
      <w:proofErr w:type="spellEnd"/>
      <w:r w:rsidRPr="00CE2C2E">
        <w:rPr>
          <w:rFonts w:ascii="Arial" w:hAnsi="Arial" w:cs="Arial"/>
          <w:color w:val="222222"/>
          <w:sz w:val="28"/>
          <w:szCs w:val="28"/>
          <w:shd w:val="clear" w:color="auto" w:fill="FFFFFF"/>
        </w:rPr>
        <w:t xml:space="preserve">, M.C., Meadow, A.M., </w:t>
      </w:r>
      <w:proofErr w:type="spellStart"/>
      <w:r w:rsidRPr="00CE2C2E">
        <w:rPr>
          <w:rFonts w:ascii="Arial" w:hAnsi="Arial" w:cs="Arial"/>
          <w:color w:val="222222"/>
          <w:sz w:val="28"/>
          <w:szCs w:val="28"/>
          <w:shd w:val="clear" w:color="auto" w:fill="FFFFFF"/>
        </w:rPr>
        <w:t>Wyborn</w:t>
      </w:r>
      <w:proofErr w:type="spellEnd"/>
      <w:r w:rsidRPr="00CE2C2E">
        <w:rPr>
          <w:rFonts w:ascii="Arial" w:hAnsi="Arial" w:cs="Arial"/>
          <w:color w:val="222222"/>
          <w:sz w:val="28"/>
          <w:szCs w:val="28"/>
          <w:shd w:val="clear" w:color="auto" w:fill="FFFFFF"/>
        </w:rPr>
        <w:t xml:space="preserve">, C., </w:t>
      </w:r>
      <w:proofErr w:type="spellStart"/>
      <w:r w:rsidRPr="00CE2C2E">
        <w:rPr>
          <w:rFonts w:ascii="Arial" w:hAnsi="Arial" w:cs="Arial"/>
          <w:color w:val="222222"/>
          <w:sz w:val="28"/>
          <w:szCs w:val="28"/>
          <w:shd w:val="clear" w:color="auto" w:fill="FFFFFF"/>
        </w:rPr>
        <w:t>Klenk</w:t>
      </w:r>
      <w:proofErr w:type="spellEnd"/>
      <w:r w:rsidRPr="00CE2C2E">
        <w:rPr>
          <w:rFonts w:ascii="Arial" w:hAnsi="Arial" w:cs="Arial"/>
          <w:color w:val="222222"/>
          <w:sz w:val="28"/>
          <w:szCs w:val="28"/>
          <w:shd w:val="clear" w:color="auto" w:fill="FFFFFF"/>
        </w:rPr>
        <w:t xml:space="preserve">, N., </w:t>
      </w:r>
      <w:proofErr w:type="spellStart"/>
      <w:r w:rsidRPr="00CE2C2E">
        <w:rPr>
          <w:rFonts w:ascii="Arial" w:hAnsi="Arial" w:cs="Arial"/>
          <w:color w:val="222222"/>
          <w:sz w:val="28"/>
          <w:szCs w:val="28"/>
          <w:shd w:val="clear" w:color="auto" w:fill="FFFFFF"/>
        </w:rPr>
        <w:t>Arnott</w:t>
      </w:r>
      <w:proofErr w:type="spellEnd"/>
      <w:r w:rsidRPr="00CE2C2E">
        <w:rPr>
          <w:rFonts w:ascii="Arial" w:hAnsi="Arial" w:cs="Arial"/>
          <w:color w:val="222222"/>
          <w:sz w:val="28"/>
          <w:szCs w:val="28"/>
          <w:shd w:val="clear" w:color="auto" w:fill="FFFFFF"/>
        </w:rPr>
        <w:t xml:space="preserve">, J.C., </w:t>
      </w:r>
      <w:proofErr w:type="spellStart"/>
      <w:r w:rsidRPr="00CE2C2E">
        <w:rPr>
          <w:rFonts w:ascii="Arial" w:hAnsi="Arial" w:cs="Arial"/>
          <w:color w:val="222222"/>
          <w:sz w:val="28"/>
          <w:szCs w:val="28"/>
          <w:shd w:val="clear" w:color="auto" w:fill="FFFFFF"/>
        </w:rPr>
        <w:t>Ardoin</w:t>
      </w:r>
      <w:proofErr w:type="spellEnd"/>
      <w:r w:rsidRPr="00CE2C2E">
        <w:rPr>
          <w:rFonts w:ascii="Arial" w:hAnsi="Arial" w:cs="Arial"/>
          <w:color w:val="222222"/>
          <w:sz w:val="28"/>
          <w:szCs w:val="28"/>
          <w:shd w:val="clear" w:color="auto" w:fill="FFFFFF"/>
        </w:rPr>
        <w:t xml:space="preserve">, N.M., </w:t>
      </w:r>
      <w:proofErr w:type="spellStart"/>
      <w:r w:rsidRPr="00CE2C2E">
        <w:rPr>
          <w:rFonts w:ascii="Arial" w:hAnsi="Arial" w:cs="Arial"/>
          <w:color w:val="222222"/>
          <w:sz w:val="28"/>
          <w:szCs w:val="28"/>
          <w:shd w:val="clear" w:color="auto" w:fill="FFFFFF"/>
        </w:rPr>
        <w:t>Fieseler</w:t>
      </w:r>
      <w:proofErr w:type="spellEnd"/>
      <w:r w:rsidRPr="00CE2C2E">
        <w:rPr>
          <w:rFonts w:ascii="Arial" w:hAnsi="Arial" w:cs="Arial"/>
          <w:color w:val="222222"/>
          <w:sz w:val="28"/>
          <w:szCs w:val="28"/>
          <w:shd w:val="clear" w:color="auto" w:fill="FFFFFF"/>
        </w:rPr>
        <w:t xml:space="preserve">, C., Moss, R.H., Nichols, L. and </w:t>
      </w:r>
      <w:proofErr w:type="spellStart"/>
      <w:r w:rsidRPr="00CE2C2E">
        <w:rPr>
          <w:rFonts w:ascii="Arial" w:hAnsi="Arial" w:cs="Arial"/>
          <w:color w:val="222222"/>
          <w:sz w:val="28"/>
          <w:szCs w:val="28"/>
          <w:shd w:val="clear" w:color="auto" w:fill="FFFFFF"/>
        </w:rPr>
        <w:t>Stults</w:t>
      </w:r>
      <w:proofErr w:type="spellEnd"/>
      <w:r w:rsidRPr="00CE2C2E">
        <w:rPr>
          <w:rFonts w:ascii="Arial" w:hAnsi="Arial" w:cs="Arial"/>
          <w:color w:val="222222"/>
          <w:sz w:val="28"/>
          <w:szCs w:val="28"/>
          <w:shd w:val="clear" w:color="auto" w:fill="FFFFFF"/>
        </w:rPr>
        <w:t>, M. (2020) Actionable knowledge and the art of engagement. </w:t>
      </w:r>
      <w:r w:rsidRPr="00CE2C2E">
        <w:rPr>
          <w:rFonts w:ascii="Arial" w:hAnsi="Arial" w:cs="Arial"/>
          <w:i/>
          <w:iCs/>
          <w:color w:val="222222"/>
          <w:sz w:val="28"/>
          <w:szCs w:val="28"/>
          <w:shd w:val="clear" w:color="auto" w:fill="FFFFFF"/>
        </w:rPr>
        <w:t>Current Opinion in Environmental Sustainability</w:t>
      </w:r>
      <w:r w:rsidRPr="00CE2C2E">
        <w:rPr>
          <w:rFonts w:ascii="Arial" w:hAnsi="Arial" w:cs="Arial"/>
          <w:color w:val="222222"/>
          <w:sz w:val="28"/>
          <w:szCs w:val="28"/>
          <w:shd w:val="clear" w:color="auto" w:fill="FFFFFF"/>
        </w:rPr>
        <w:t>, </w:t>
      </w:r>
      <w:r w:rsidRPr="00CE2C2E">
        <w:rPr>
          <w:rFonts w:ascii="Arial" w:hAnsi="Arial" w:cs="Arial"/>
          <w:i/>
          <w:iCs/>
          <w:color w:val="222222"/>
          <w:sz w:val="28"/>
          <w:szCs w:val="28"/>
          <w:shd w:val="clear" w:color="auto" w:fill="FFFFFF"/>
        </w:rPr>
        <w:t>42</w:t>
      </w:r>
      <w:r w:rsidRPr="00CE2C2E">
        <w:rPr>
          <w:rFonts w:ascii="Arial" w:hAnsi="Arial" w:cs="Arial"/>
          <w:color w:val="222222"/>
          <w:sz w:val="28"/>
          <w:szCs w:val="28"/>
          <w:shd w:val="clear" w:color="auto" w:fill="FFFFFF"/>
        </w:rPr>
        <w:t>, pp.30-37.</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17" w:name="_Hlk133240817"/>
      <w:r w:rsidRPr="00CE2C2E">
        <w:rPr>
          <w:rFonts w:ascii="Arial" w:hAnsi="Arial" w:cs="Arial"/>
          <w:color w:val="222222"/>
          <w:sz w:val="28"/>
          <w:szCs w:val="28"/>
          <w:shd w:val="clear" w:color="auto" w:fill="FFFFFF"/>
        </w:rPr>
        <w:t>Medina, M.A., Cosby, G. and Grim, J.</w:t>
      </w:r>
      <w:bookmarkEnd w:id="17"/>
      <w:r w:rsidRPr="00CE2C2E">
        <w:rPr>
          <w:rFonts w:ascii="Arial" w:hAnsi="Arial" w:cs="Arial"/>
          <w:color w:val="222222"/>
          <w:sz w:val="28"/>
          <w:szCs w:val="28"/>
          <w:shd w:val="clear" w:color="auto" w:fill="FFFFFF"/>
        </w:rPr>
        <w:t xml:space="preserve"> (2019) Community engagement through partnerships: Lessons learned from a decade of full-service community school implementation. </w:t>
      </w:r>
      <w:r w:rsidRPr="00CE2C2E">
        <w:rPr>
          <w:rFonts w:ascii="Arial" w:hAnsi="Arial" w:cs="Arial"/>
          <w:i/>
          <w:iCs/>
          <w:color w:val="222222"/>
          <w:sz w:val="28"/>
          <w:szCs w:val="28"/>
          <w:shd w:val="clear" w:color="auto" w:fill="FFFFFF"/>
        </w:rPr>
        <w:t>Journal of Education for Students Placed at Risk (JESPAR)</w:t>
      </w:r>
      <w:r w:rsidRPr="00CE2C2E">
        <w:rPr>
          <w:rFonts w:ascii="Arial" w:hAnsi="Arial" w:cs="Arial"/>
          <w:color w:val="222222"/>
          <w:sz w:val="28"/>
          <w:szCs w:val="28"/>
          <w:shd w:val="clear" w:color="auto" w:fill="FFFFFF"/>
        </w:rPr>
        <w:t>, </w:t>
      </w:r>
      <w:r w:rsidRPr="00CE2C2E">
        <w:rPr>
          <w:rFonts w:ascii="Arial" w:hAnsi="Arial" w:cs="Arial"/>
          <w:i/>
          <w:iCs/>
          <w:color w:val="222222"/>
          <w:sz w:val="28"/>
          <w:szCs w:val="28"/>
          <w:shd w:val="clear" w:color="auto" w:fill="FFFFFF"/>
        </w:rPr>
        <w:t>24</w:t>
      </w:r>
      <w:r w:rsidRPr="00CE2C2E">
        <w:rPr>
          <w:rFonts w:ascii="Arial" w:hAnsi="Arial" w:cs="Arial"/>
          <w:color w:val="222222"/>
          <w:sz w:val="28"/>
          <w:szCs w:val="28"/>
          <w:shd w:val="clear" w:color="auto" w:fill="FFFFFF"/>
        </w:rPr>
        <w:t>(3), pp.272-287.</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18" w:name="_Hlk133240673"/>
      <w:r w:rsidRPr="00CE2C2E">
        <w:rPr>
          <w:rFonts w:ascii="Arial" w:hAnsi="Arial" w:cs="Arial"/>
          <w:color w:val="222222"/>
          <w:sz w:val="28"/>
          <w:szCs w:val="28"/>
          <w:shd w:val="clear" w:color="auto" w:fill="FFFFFF"/>
        </w:rPr>
        <w:t xml:space="preserve">Osborne, C., Mayo, L. and </w:t>
      </w:r>
      <w:proofErr w:type="spellStart"/>
      <w:r w:rsidRPr="00CE2C2E">
        <w:rPr>
          <w:rFonts w:ascii="Arial" w:hAnsi="Arial" w:cs="Arial"/>
          <w:color w:val="222222"/>
          <w:sz w:val="28"/>
          <w:szCs w:val="28"/>
          <w:shd w:val="clear" w:color="auto" w:fill="FFFFFF"/>
        </w:rPr>
        <w:t>Bussey</w:t>
      </w:r>
      <w:proofErr w:type="spellEnd"/>
      <w:r w:rsidRPr="00CE2C2E">
        <w:rPr>
          <w:rFonts w:ascii="Arial" w:hAnsi="Arial" w:cs="Arial"/>
          <w:color w:val="222222"/>
          <w:sz w:val="28"/>
          <w:szCs w:val="28"/>
          <w:shd w:val="clear" w:color="auto" w:fill="FFFFFF"/>
        </w:rPr>
        <w:t>, M.</w:t>
      </w:r>
      <w:bookmarkEnd w:id="18"/>
      <w:r w:rsidRPr="00CE2C2E">
        <w:rPr>
          <w:rFonts w:ascii="Arial" w:hAnsi="Arial" w:cs="Arial"/>
          <w:color w:val="222222"/>
          <w:sz w:val="28"/>
          <w:szCs w:val="28"/>
          <w:shd w:val="clear" w:color="auto" w:fill="FFFFFF"/>
        </w:rPr>
        <w:t xml:space="preserve"> (2021) New frontiers in local government community engagement: Towards transformative place-based futures. </w:t>
      </w:r>
      <w:r w:rsidRPr="00CE2C2E">
        <w:rPr>
          <w:rFonts w:ascii="Arial" w:hAnsi="Arial" w:cs="Arial"/>
          <w:i/>
          <w:iCs/>
          <w:color w:val="222222"/>
          <w:sz w:val="28"/>
          <w:szCs w:val="28"/>
          <w:shd w:val="clear" w:color="auto" w:fill="FFFFFF"/>
        </w:rPr>
        <w:t>Futures</w:t>
      </w:r>
      <w:r w:rsidRPr="00CE2C2E">
        <w:rPr>
          <w:rFonts w:ascii="Arial" w:hAnsi="Arial" w:cs="Arial"/>
          <w:color w:val="222222"/>
          <w:sz w:val="28"/>
          <w:szCs w:val="28"/>
          <w:shd w:val="clear" w:color="auto" w:fill="FFFFFF"/>
        </w:rPr>
        <w:t>, </w:t>
      </w:r>
      <w:r w:rsidRPr="00CE2C2E">
        <w:rPr>
          <w:rFonts w:ascii="Arial" w:hAnsi="Arial" w:cs="Arial"/>
          <w:i/>
          <w:iCs/>
          <w:color w:val="222222"/>
          <w:sz w:val="28"/>
          <w:szCs w:val="28"/>
          <w:shd w:val="clear" w:color="auto" w:fill="FFFFFF"/>
        </w:rPr>
        <w:t>131</w:t>
      </w:r>
      <w:r w:rsidRPr="00CE2C2E">
        <w:rPr>
          <w:rFonts w:ascii="Arial" w:hAnsi="Arial" w:cs="Arial"/>
          <w:color w:val="222222"/>
          <w:sz w:val="28"/>
          <w:szCs w:val="28"/>
          <w:shd w:val="clear" w:color="auto" w:fill="FFFFFF"/>
        </w:rPr>
        <w:t>, p.102768.</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19" w:name="_Hlk133240802"/>
      <w:r w:rsidRPr="00CE2C2E">
        <w:rPr>
          <w:rFonts w:ascii="Arial" w:hAnsi="Arial" w:cs="Arial"/>
          <w:color w:val="222222"/>
          <w:sz w:val="28"/>
          <w:szCs w:val="28"/>
          <w:shd w:val="clear" w:color="auto" w:fill="FFFFFF"/>
        </w:rPr>
        <w:t xml:space="preserve">Pollock, </w:t>
      </w:r>
      <w:bookmarkEnd w:id="19"/>
      <w:r w:rsidRPr="00CE2C2E">
        <w:rPr>
          <w:rFonts w:ascii="Arial" w:hAnsi="Arial" w:cs="Arial"/>
          <w:color w:val="222222"/>
          <w:sz w:val="28"/>
          <w:szCs w:val="28"/>
          <w:shd w:val="clear" w:color="auto" w:fill="FFFFFF"/>
        </w:rPr>
        <w:t xml:space="preserve">A., Campbell, P., Struthers, C., </w:t>
      </w:r>
      <w:proofErr w:type="spellStart"/>
      <w:r w:rsidRPr="00CE2C2E">
        <w:rPr>
          <w:rFonts w:ascii="Arial" w:hAnsi="Arial" w:cs="Arial"/>
          <w:color w:val="222222"/>
          <w:sz w:val="28"/>
          <w:szCs w:val="28"/>
          <w:shd w:val="clear" w:color="auto" w:fill="FFFFFF"/>
        </w:rPr>
        <w:t>Synnot</w:t>
      </w:r>
      <w:proofErr w:type="spellEnd"/>
      <w:r w:rsidRPr="00CE2C2E">
        <w:rPr>
          <w:rFonts w:ascii="Arial" w:hAnsi="Arial" w:cs="Arial"/>
          <w:color w:val="222222"/>
          <w:sz w:val="28"/>
          <w:szCs w:val="28"/>
          <w:shd w:val="clear" w:color="auto" w:fill="FFFFFF"/>
        </w:rPr>
        <w:t xml:space="preserve">, A., Nunn, J., Hill, S., </w:t>
      </w:r>
      <w:proofErr w:type="spellStart"/>
      <w:r w:rsidRPr="00CE2C2E">
        <w:rPr>
          <w:rFonts w:ascii="Arial" w:hAnsi="Arial" w:cs="Arial"/>
          <w:color w:val="222222"/>
          <w:sz w:val="28"/>
          <w:szCs w:val="28"/>
          <w:shd w:val="clear" w:color="auto" w:fill="FFFFFF"/>
        </w:rPr>
        <w:t>Goodare</w:t>
      </w:r>
      <w:proofErr w:type="spellEnd"/>
      <w:r w:rsidRPr="00CE2C2E">
        <w:rPr>
          <w:rFonts w:ascii="Arial" w:hAnsi="Arial" w:cs="Arial"/>
          <w:color w:val="222222"/>
          <w:sz w:val="28"/>
          <w:szCs w:val="28"/>
          <w:shd w:val="clear" w:color="auto" w:fill="FFFFFF"/>
        </w:rPr>
        <w:t>, H., Morris, J., Watts, C. and Morley, R. (2019) Development of the ACTIVE framework to describe stakeholder involvement in systematic reviews. </w:t>
      </w:r>
      <w:r w:rsidRPr="00CE2C2E">
        <w:rPr>
          <w:rFonts w:ascii="Arial" w:hAnsi="Arial" w:cs="Arial"/>
          <w:i/>
          <w:iCs/>
          <w:color w:val="222222"/>
          <w:sz w:val="28"/>
          <w:szCs w:val="28"/>
          <w:shd w:val="clear" w:color="auto" w:fill="FFFFFF"/>
        </w:rPr>
        <w:t>Journal of health services research &amp; policy</w:t>
      </w:r>
      <w:r w:rsidRPr="00CE2C2E">
        <w:rPr>
          <w:rFonts w:ascii="Arial" w:hAnsi="Arial" w:cs="Arial"/>
          <w:color w:val="222222"/>
          <w:sz w:val="28"/>
          <w:szCs w:val="28"/>
          <w:shd w:val="clear" w:color="auto" w:fill="FFFFFF"/>
        </w:rPr>
        <w:t>, </w:t>
      </w:r>
      <w:r w:rsidRPr="00CE2C2E">
        <w:rPr>
          <w:rFonts w:ascii="Arial" w:hAnsi="Arial" w:cs="Arial"/>
          <w:i/>
          <w:iCs/>
          <w:color w:val="222222"/>
          <w:sz w:val="28"/>
          <w:szCs w:val="28"/>
          <w:shd w:val="clear" w:color="auto" w:fill="FFFFFF"/>
        </w:rPr>
        <w:t>24</w:t>
      </w:r>
      <w:r w:rsidRPr="00CE2C2E">
        <w:rPr>
          <w:rFonts w:ascii="Arial" w:hAnsi="Arial" w:cs="Arial"/>
          <w:color w:val="222222"/>
          <w:sz w:val="28"/>
          <w:szCs w:val="28"/>
          <w:shd w:val="clear" w:color="auto" w:fill="FFFFFF"/>
        </w:rPr>
        <w:t>(4), pp.245-255.</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20" w:name="_Hlk133240659"/>
      <w:r w:rsidRPr="00CE2C2E">
        <w:rPr>
          <w:rFonts w:ascii="Arial" w:hAnsi="Arial" w:cs="Arial"/>
          <w:color w:val="222222"/>
          <w:sz w:val="28"/>
          <w:szCs w:val="28"/>
          <w:shd w:val="clear" w:color="auto" w:fill="FFFFFF"/>
        </w:rPr>
        <w:t>Redman, D. (2022)</w:t>
      </w:r>
      <w:bookmarkEnd w:id="20"/>
      <w:r w:rsidRPr="00CE2C2E">
        <w:rPr>
          <w:rFonts w:ascii="Arial" w:hAnsi="Arial" w:cs="Arial"/>
          <w:color w:val="222222"/>
          <w:sz w:val="28"/>
          <w:szCs w:val="28"/>
          <w:shd w:val="clear" w:color="auto" w:fill="FFFFFF"/>
        </w:rPr>
        <w:t>Bromley: Prosperity score 54.5 (134th).</w:t>
      </w:r>
    </w:p>
    <w:p w:rsidR="00C52579" w:rsidRPr="00CE2C2E" w:rsidRDefault="00C52579" w:rsidP="0045416B">
      <w:pPr>
        <w:spacing w:after="240" w:line="360" w:lineRule="auto"/>
        <w:jc w:val="both"/>
        <w:rPr>
          <w:rFonts w:ascii="Arial" w:hAnsi="Arial" w:cs="Arial"/>
          <w:color w:val="222222"/>
          <w:sz w:val="28"/>
          <w:szCs w:val="28"/>
          <w:shd w:val="clear" w:color="auto" w:fill="FFFFFF"/>
        </w:rPr>
      </w:pPr>
      <w:bookmarkStart w:id="21" w:name="_Hlk133240851"/>
      <w:r w:rsidRPr="00CE2C2E">
        <w:rPr>
          <w:rFonts w:ascii="Arial" w:hAnsi="Arial" w:cs="Arial"/>
          <w:color w:val="222222"/>
          <w:sz w:val="28"/>
          <w:szCs w:val="28"/>
          <w:shd w:val="clear" w:color="auto" w:fill="FFFFFF"/>
        </w:rPr>
        <w:t>Ryan, B., Johnston, K.A., Taylor, M. and McAndrew, R.</w:t>
      </w:r>
      <w:bookmarkEnd w:id="21"/>
      <w:r w:rsidRPr="00CE2C2E">
        <w:rPr>
          <w:rFonts w:ascii="Arial" w:hAnsi="Arial" w:cs="Arial"/>
          <w:color w:val="222222"/>
          <w:sz w:val="28"/>
          <w:szCs w:val="28"/>
          <w:shd w:val="clear" w:color="auto" w:fill="FFFFFF"/>
        </w:rPr>
        <w:t xml:space="preserve"> (2020) Community engagement for disaster preparedness: A systematic literature review. </w:t>
      </w:r>
      <w:r w:rsidRPr="00CE2C2E">
        <w:rPr>
          <w:rFonts w:ascii="Arial" w:hAnsi="Arial" w:cs="Arial"/>
          <w:i/>
          <w:iCs/>
          <w:color w:val="222222"/>
          <w:sz w:val="28"/>
          <w:szCs w:val="28"/>
          <w:shd w:val="clear" w:color="auto" w:fill="FFFFFF"/>
        </w:rPr>
        <w:t>International journal of disaster risk reduction</w:t>
      </w:r>
      <w:r w:rsidRPr="00CE2C2E">
        <w:rPr>
          <w:rFonts w:ascii="Arial" w:hAnsi="Arial" w:cs="Arial"/>
          <w:color w:val="222222"/>
          <w:sz w:val="28"/>
          <w:szCs w:val="28"/>
          <w:shd w:val="clear" w:color="auto" w:fill="FFFFFF"/>
        </w:rPr>
        <w:t>, </w:t>
      </w:r>
      <w:r w:rsidRPr="00CE2C2E">
        <w:rPr>
          <w:rFonts w:ascii="Arial" w:hAnsi="Arial" w:cs="Arial"/>
          <w:i/>
          <w:iCs/>
          <w:color w:val="222222"/>
          <w:sz w:val="28"/>
          <w:szCs w:val="28"/>
          <w:shd w:val="clear" w:color="auto" w:fill="FFFFFF"/>
        </w:rPr>
        <w:t>49</w:t>
      </w:r>
      <w:r w:rsidRPr="00CE2C2E">
        <w:rPr>
          <w:rFonts w:ascii="Arial" w:hAnsi="Arial" w:cs="Arial"/>
          <w:color w:val="222222"/>
          <w:sz w:val="28"/>
          <w:szCs w:val="28"/>
          <w:shd w:val="clear" w:color="auto" w:fill="FFFFFF"/>
        </w:rPr>
        <w:t>, p.101655.</w:t>
      </w:r>
    </w:p>
    <w:p w:rsidR="00C52579" w:rsidRPr="00CE2C2E" w:rsidRDefault="00C52579" w:rsidP="0045416B">
      <w:pPr>
        <w:spacing w:before="240" w:after="240" w:line="360" w:lineRule="auto"/>
        <w:jc w:val="both"/>
        <w:rPr>
          <w:rFonts w:ascii="Arial" w:hAnsi="Arial" w:cs="Arial"/>
          <w:sz w:val="28"/>
          <w:szCs w:val="28"/>
        </w:rPr>
      </w:pPr>
    </w:p>
    <w:p w:rsidR="00DC4CE5" w:rsidRPr="00CE2C2E" w:rsidRDefault="00DC4CE5" w:rsidP="0045416B">
      <w:pPr>
        <w:spacing w:before="240" w:after="240" w:line="360" w:lineRule="auto"/>
        <w:jc w:val="both"/>
        <w:rPr>
          <w:rFonts w:ascii="Arial" w:hAnsi="Arial" w:cs="Arial"/>
          <w:sz w:val="28"/>
          <w:szCs w:val="28"/>
        </w:rPr>
      </w:pPr>
    </w:p>
    <w:p w:rsidR="00DC4CE5" w:rsidRPr="00CE2C2E" w:rsidRDefault="00DC4CE5" w:rsidP="0045416B">
      <w:pPr>
        <w:spacing w:before="240" w:after="240" w:line="360" w:lineRule="auto"/>
        <w:jc w:val="both"/>
        <w:rPr>
          <w:rFonts w:ascii="Arial" w:hAnsi="Arial" w:cs="Arial"/>
          <w:sz w:val="28"/>
          <w:szCs w:val="28"/>
        </w:rPr>
      </w:pPr>
    </w:p>
    <w:sectPr w:rsidR="00DC4CE5" w:rsidRPr="00CE2C2E" w:rsidSect="009373AB">
      <w:footerReference w:type="default" r:id="rId7"/>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C038B" w:rsidRDefault="00CC038B" w:rsidP="00C52579">
      <w:r>
        <w:separator/>
      </w:r>
    </w:p>
  </w:endnote>
  <w:endnote w:type="continuationSeparator" w:id="0">
    <w:p w:rsidR="00CC038B" w:rsidRDefault="00CC038B" w:rsidP="00C52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68067"/>
      <w:docPartObj>
        <w:docPartGallery w:val="Page Numbers (Bottom of Page)"/>
        <w:docPartUnique/>
      </w:docPartObj>
    </w:sdtPr>
    <w:sdtEndPr>
      <w:rPr>
        <w:noProof/>
      </w:rPr>
    </w:sdtEndPr>
    <w:sdtContent>
      <w:p w:rsidR="00C52579" w:rsidRDefault="00BA2D0C">
        <w:pPr>
          <w:pStyle w:val="Footer"/>
          <w:jc w:val="center"/>
        </w:pPr>
        <w:r>
          <w:fldChar w:fldCharType="begin"/>
        </w:r>
        <w:r w:rsidR="00C52579">
          <w:instrText xml:space="preserve"> PAGE   \* MERGEFORMAT </w:instrText>
        </w:r>
        <w:r>
          <w:fldChar w:fldCharType="separate"/>
        </w:r>
        <w:r w:rsidR="0045416B">
          <w:rPr>
            <w:noProof/>
          </w:rPr>
          <w:t>6</w:t>
        </w:r>
        <w:r>
          <w:rPr>
            <w:noProof/>
          </w:rPr>
          <w:fldChar w:fldCharType="end"/>
        </w:r>
      </w:p>
    </w:sdtContent>
  </w:sdt>
  <w:p w:rsidR="00C52579" w:rsidRDefault="00C525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C038B" w:rsidRDefault="00CC038B" w:rsidP="00C52579">
      <w:r>
        <w:separator/>
      </w:r>
    </w:p>
  </w:footnote>
  <w:footnote w:type="continuationSeparator" w:id="0">
    <w:p w:rsidR="00CC038B" w:rsidRDefault="00CC038B" w:rsidP="00C525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CE5"/>
    <w:rsid w:val="000714F9"/>
    <w:rsid w:val="00204304"/>
    <w:rsid w:val="00422F7C"/>
    <w:rsid w:val="0045416B"/>
    <w:rsid w:val="0083023C"/>
    <w:rsid w:val="009373AB"/>
    <w:rsid w:val="00B50E81"/>
    <w:rsid w:val="00B514E2"/>
    <w:rsid w:val="00BA2D0C"/>
    <w:rsid w:val="00C52579"/>
    <w:rsid w:val="00CC038B"/>
    <w:rsid w:val="00CE2C2E"/>
    <w:rsid w:val="00D004C2"/>
    <w:rsid w:val="00D644FB"/>
    <w:rsid w:val="00DC4CE5"/>
    <w:rsid w:val="00E12A32"/>
    <w:rsid w:val="00EE54AE"/>
    <w:rsid w:val="00F9304E"/>
    <w:rsid w:val="00F9432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18132"/>
  <w15:docId w15:val="{1139147A-196A-0943-9D34-4E474D90B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lang w:val="en-GB"/>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TOCHeading">
    <w:name w:val="TOC Heading"/>
    <w:basedOn w:val="Heading1"/>
    <w:next w:val="Normal"/>
    <w:uiPriority w:val="39"/>
    <w:unhideWhenUsed/>
    <w:qFormat/>
    <w:rsid w:val="00C52579"/>
    <w:pPr>
      <w:spacing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C52579"/>
    <w:pPr>
      <w:spacing w:after="100"/>
    </w:pPr>
  </w:style>
  <w:style w:type="paragraph" w:styleId="TOC2">
    <w:name w:val="toc 2"/>
    <w:basedOn w:val="Normal"/>
    <w:next w:val="Normal"/>
    <w:autoRedefine/>
    <w:uiPriority w:val="39"/>
    <w:unhideWhenUsed/>
    <w:rsid w:val="00C52579"/>
    <w:pPr>
      <w:spacing w:after="100"/>
      <w:ind w:left="240"/>
    </w:pPr>
  </w:style>
  <w:style w:type="character" w:styleId="Hyperlink">
    <w:name w:val="Hyperlink"/>
    <w:basedOn w:val="DefaultParagraphFont"/>
    <w:uiPriority w:val="99"/>
    <w:unhideWhenUsed/>
    <w:rsid w:val="00C52579"/>
    <w:rPr>
      <w:color w:val="0000FF" w:themeColor="hyperlink"/>
      <w:u w:val="single"/>
    </w:rPr>
  </w:style>
  <w:style w:type="paragraph" w:styleId="Header">
    <w:name w:val="header"/>
    <w:basedOn w:val="Normal"/>
    <w:link w:val="HeaderChar"/>
    <w:uiPriority w:val="99"/>
    <w:unhideWhenUsed/>
    <w:rsid w:val="00C52579"/>
    <w:pPr>
      <w:tabs>
        <w:tab w:val="center" w:pos="4513"/>
        <w:tab w:val="right" w:pos="9026"/>
      </w:tabs>
    </w:pPr>
  </w:style>
  <w:style w:type="character" w:customStyle="1" w:styleId="HeaderChar">
    <w:name w:val="Header Char"/>
    <w:basedOn w:val="DefaultParagraphFont"/>
    <w:link w:val="Header"/>
    <w:uiPriority w:val="99"/>
    <w:rsid w:val="00C52579"/>
    <w:rPr>
      <w:sz w:val="24"/>
      <w:szCs w:val="24"/>
      <w:lang w:val="en-GB"/>
    </w:rPr>
  </w:style>
  <w:style w:type="paragraph" w:styleId="Footer">
    <w:name w:val="footer"/>
    <w:basedOn w:val="Normal"/>
    <w:link w:val="FooterChar"/>
    <w:uiPriority w:val="99"/>
    <w:unhideWhenUsed/>
    <w:rsid w:val="00C52579"/>
    <w:pPr>
      <w:tabs>
        <w:tab w:val="center" w:pos="4513"/>
        <w:tab w:val="right" w:pos="9026"/>
      </w:tabs>
    </w:pPr>
  </w:style>
  <w:style w:type="character" w:customStyle="1" w:styleId="FooterChar">
    <w:name w:val="Footer Char"/>
    <w:basedOn w:val="DefaultParagraphFont"/>
    <w:link w:val="Footer"/>
    <w:uiPriority w:val="99"/>
    <w:rsid w:val="00C52579"/>
    <w:rPr>
      <w:sz w:val="24"/>
      <w:szCs w:val="24"/>
      <w:lang w:val="en-GB"/>
    </w:rPr>
  </w:style>
  <w:style w:type="paragraph" w:styleId="Title">
    <w:name w:val="Title"/>
    <w:basedOn w:val="Normal"/>
    <w:next w:val="Normal"/>
    <w:link w:val="TitleChar"/>
    <w:uiPriority w:val="10"/>
    <w:qFormat/>
    <w:rsid w:val="00C5257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57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5257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52579"/>
    <w:rPr>
      <w:rFonts w:asciiTheme="minorHAnsi" w:eastAsiaTheme="minorEastAsia" w:hAnsiTheme="minorHAnsi" w:cstheme="minorBidi"/>
      <w:color w:val="5A5A5A" w:themeColor="text1" w:themeTint="A5"/>
      <w:spacing w:val="15"/>
      <w:sz w:val="22"/>
      <w:szCs w:val="22"/>
      <w:lang w:val="en-GB"/>
    </w:rPr>
  </w:style>
  <w:style w:type="paragraph" w:styleId="BalloonText">
    <w:name w:val="Balloon Text"/>
    <w:basedOn w:val="Normal"/>
    <w:link w:val="BalloonTextChar"/>
    <w:uiPriority w:val="99"/>
    <w:semiHidden/>
    <w:unhideWhenUsed/>
    <w:rsid w:val="0045416B"/>
    <w:rPr>
      <w:rFonts w:ascii="Tahoma" w:hAnsi="Tahoma" w:cs="Tahoma"/>
      <w:sz w:val="16"/>
      <w:szCs w:val="16"/>
    </w:rPr>
  </w:style>
  <w:style w:type="character" w:customStyle="1" w:styleId="BalloonTextChar">
    <w:name w:val="Balloon Text Char"/>
    <w:basedOn w:val="DefaultParagraphFont"/>
    <w:link w:val="BalloonText"/>
    <w:uiPriority w:val="99"/>
    <w:semiHidden/>
    <w:rsid w:val="0045416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978FF-57C0-44E6-A4A8-C5A4D6A12D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2616</Words>
  <Characters>14917</Characters>
  <Application>Microsoft Office Word</Application>
  <DocSecurity>0</DocSecurity>
  <Lines>124</Lines>
  <Paragraphs>34</Paragraphs>
  <ScaleCrop>false</ScaleCrop>
  <Company/>
  <LinksUpToDate>false</LinksUpToDate>
  <CharactersWithSpaces>17499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Alexandra Strajeriu (2214913)</cp:lastModifiedBy>
  <cp:revision>2</cp:revision>
  <dcterms:created xsi:type="dcterms:W3CDTF">2023-05-07T18:07:00Z</dcterms:created>
  <dcterms:modified xsi:type="dcterms:W3CDTF">2023-05-07T18:07:00Z</dcterms:modified>
</cp:coreProperties>
</file>