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p>
    <w:p>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Critical examination of Tesco’s CSR policies</w:t>
      </w:r>
    </w:p>
    <w:p>
      <w:pPr>
        <w:spacing w:line="360" w:lineRule="auto"/>
        <w:jc w:val="center"/>
        <w:rPr>
          <w:rFonts w:hint="default" w:ascii="Times New Roman" w:hAnsi="Times New Roman" w:cs="Times New Roman"/>
          <w:b/>
          <w:bCs/>
          <w:sz w:val="28"/>
          <w:szCs w:val="28"/>
          <w:lang w:val="en-US" w:eastAsia="zh-CN"/>
        </w:rPr>
      </w:pPr>
      <w:r>
        <w:rPr>
          <w:rFonts w:ascii="Times New Roman" w:hAnsi="Times New Roman" w:cs="Times New Roman"/>
          <w:b/>
          <w:bCs/>
          <w:sz w:val="28"/>
          <w:szCs w:val="28"/>
        </w:rPr>
        <w:t>Name of the Student</w:t>
      </w:r>
      <w:r>
        <w:rPr>
          <w:rFonts w:hint="eastAsia" w:ascii="Times New Roman" w:hAnsi="Times New Roman" w:cs="Times New Roman"/>
          <w:b/>
          <w:bCs/>
          <w:sz w:val="28"/>
          <w:szCs w:val="28"/>
          <w:lang w:eastAsia="zh-CN"/>
        </w:rPr>
        <w:t>：</w:t>
      </w:r>
      <w:r>
        <w:rPr>
          <w:rFonts w:hint="default" w:ascii="Times New Roman" w:hAnsi="Times New Roman" w:cs="Times New Roman"/>
          <w:b/>
          <w:bCs/>
          <w:sz w:val="28"/>
          <w:szCs w:val="28"/>
          <w:lang w:val="en-US" w:eastAsia="zh-CN"/>
        </w:rPr>
        <w:t>Qinhao Meng</w:t>
      </w:r>
    </w:p>
    <w:p>
      <w:pPr>
        <w:spacing w:line="360" w:lineRule="auto"/>
        <w:jc w:val="center"/>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Student</w:t>
      </w:r>
      <w:r>
        <w:rPr>
          <w:rFonts w:ascii="Times New Roman" w:hAnsi="Times New Roman" w:cs="Times New Roman"/>
          <w:b/>
          <w:bCs/>
          <w:sz w:val="28"/>
          <w:szCs w:val="28"/>
        </w:rPr>
        <w:t xml:space="preserve"> Number</w:t>
      </w:r>
      <w:r>
        <w:rPr>
          <w:rFonts w:hint="default" w:ascii="Times New Roman" w:hAnsi="Times New Roman" w:cs="Times New Roman"/>
          <w:b/>
          <w:bCs/>
          <w:sz w:val="28"/>
          <w:szCs w:val="28"/>
          <w:lang w:val="en-US"/>
        </w:rPr>
        <w:t>:1900502</w:t>
      </w:r>
    </w:p>
    <w:p>
      <w:pPr>
        <w:spacing w:line="360" w:lineRule="auto"/>
        <w:jc w:val="center"/>
        <w:rPr>
          <w:rFonts w:hint="default" w:ascii="Times New Roman" w:hAnsi="Times New Roman" w:cs="Times New Roman"/>
          <w:b/>
          <w:bCs/>
          <w:sz w:val="28"/>
          <w:szCs w:val="28"/>
          <w:lang w:val="en-US"/>
        </w:rPr>
      </w:pPr>
      <w:r>
        <w:rPr>
          <w:rFonts w:ascii="Times New Roman" w:hAnsi="Times New Roman" w:cs="Times New Roman"/>
          <w:b/>
          <w:bCs/>
          <w:sz w:val="28"/>
          <w:szCs w:val="28"/>
        </w:rPr>
        <w:t>Date</w:t>
      </w:r>
      <w:r>
        <w:rPr>
          <w:rFonts w:hint="default" w:ascii="Times New Roman" w:hAnsi="Times New Roman" w:cs="Times New Roman"/>
          <w:b/>
          <w:bCs/>
          <w:sz w:val="28"/>
          <w:szCs w:val="28"/>
          <w:lang w:val="en-US"/>
        </w:rPr>
        <w:t>:28.02.2020</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column"/>
      </w:r>
      <w:r>
        <w:rPr>
          <w:rFonts w:ascii="Times New Roman" w:hAnsi="Times New Roman" w:cs="Times New Roman"/>
          <w:b/>
          <w:bCs/>
          <w:sz w:val="24"/>
          <w:szCs w:val="24"/>
        </w:rPr>
        <w:t xml:space="preserve">Introduction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corporate social responsibility dates back to the 1950s, it is just in recent times that the concept has registered an increase in popularity and now regarded as a key part of business strategy for organisations. In the digital era where environmental and social awareness amongst customers is at a record high level, finding a cheaper product is not everything that matters for the customer, rather, they expect organisations to handle their operations in a socially considerate and responsible way (Michelon et al., 2015). This recent increase in consumer awareness comes forward as the expectation of transparency is now nearly mandatory in the business world; meaning, in this modern era, consumers are more aware and savvier compared to other generations, as and this suggests that companies have to build trust with their customers (Michelon et al., 2015). Against this backdrop, this essay critically evaluates CSR policies, aim and strategies that Tesco is focusing on in order to evaluate their development, implementation, timescale, as well as the success and transparency of the company in reporting these policies.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Plc is a British multinational general merchandise and grocery retailer, and is headquartered in Hertfordshire, England, UK. Based on gross revenues, Tesco is the third largest retailer in the world, and it has more than seven shops across Europe and Asia, and still remains the leader in UK, Hungary, Ireland as well as Thailand grocery market (Tesco, 2020). The company was founded by Jack Cohen in 1919. </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Tesco Plc’s corporate social responsibility policies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CSR has been defined by a number of authors including Carroll (2016), which is the widely utilised model in CSR studies. Based on Carroll’s (2016) study, CSR is a four-phased pyramid that embrace whole spectrum of expectations of business responsibility that the society has for the business. These responsibilities include economic, legal, ethical and philanthropic, which when combined make up the four-layers CSR pyramid. Based on Carroll’s pyramid, economic performance is the basic building block and underpins all else, and at the same time, complying to the laws and regulations is critical because the law is society’s codification of what is acceptable or unacceptable behaviour. Ethical responsibilities follow, and these basically entails obligation by businesses to be fair, right, and just in order to avoid or eliminate any harm for the stakeholders. Lastly, organisations are expected to be good citizens, and this mainly captured in their philanthropic responsibilities to the community.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Ehie (2016), CSR is an essential factor that could significantly contribute to the corporate reputation as well as brand image. Considering this, Tesco Plc sept up a CSR committee in 2012 in an effort to ensure that it paid sufficient attention to community and social responsibilities (Tesco, 2012). In addition to this, Tesco is actively implementing UN Global Compact initiatives that focus on six different areas related to health, food waste, human rights, business ethics, and the environment (Tesco, 2016). These initiatives encourage firms to adopt socially responsible and sustainable development policies. Tesco Plc has a number of CSR strategies with different aims in the long run. For instance, in regards to food, the company is committed to ensuring that no food that is safe for consumption goes to waste from UK stores. In regards to environmental policies, Tesco’s aim is to reduce absolute carbon emission by 3.1 percent per year. On the other hand, in terms of human rights and labour, Tesco Plc. aims to build a diverse workforce regardless of gender, race, or colour (Tesco, 2020).</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Critical evaluation of Tesco’s CSR policies highlighted above </w:t>
      </w:r>
    </w:p>
    <w:p>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Stopping food wastage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its conception, Tesco’s main aim has been to help customers enjoy quality of life by acting responsibly, precisely, offering them healthier products and also prioritising the interest of the surrounding community (Tesco, 2020). This has not changed, rather the focus has been strengthened in alignment with UN Global Compact goals that was enforced in 2012. In this regard, Tesco’s aim over the last eight years has been to halve per capita global food waste at consumer and retail levels and reduce food waste along the supply chain and production lines by 2030 (Tesco, 2016). The company has implemented a number of programs in order to reduce food wastage and ensure that no food good for consumption goes to waste. For example, Tesco introduced Food Surplus in stores through its Community Food Connection program at the beginning of 2012 (Tesco, 2012). Through this, Tesco’s stores across UK can alert community and charity groups to the amount of surplus food that they have at the close of business day (Jones and Comfort, 2019). The charity of community groups then picks up the food for free and turn it into meals for the needy or less fortunate people. Notably, Tesco still maintains this food surplus initiative not only in UK but also in central Europe and Asian markets. Initially, the program was only available at major stores in UK, however, over the recent years the food surplus program has expanded in Tesco’s 280 plus stores in Central Europe (Tesco, 2020). Notably, the company’s initiative has been a success because as it has helped improved the brand reputation not only in UK but across Europe as one of the socially conscious brands. Thus, has in return helped Tesco to increase its market share and revenue margins over the recent years. Precisely, according to Jones and Comfort (2019), strong brand reputation between 2018 and 2019 enabled Tesco to increase customer loyalty by more than 1.2 percent, and this in return helped the company to increase its revenues.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even though these CSR policies have played a key role in improving Tesco’s brand reputation, they still have a number of limitations attached to their implementation. For instance, BackFareShare Glasgow (2020) point out that charities and the community groups cannot adequately plan meal preparations as they only receive information on available food just a few hours before delivery. Lack of reliability negatively affects how the charities or groups operate. Even further, there is no guarantee that the charities will receive deliveries as it only depends on the available produce from manufacturers and the retailers (BackFareShare Glasgow, 2020). Subsequently, this shows that the implementation of this initiative is unperfect, and will subsequently create a gap between consumers expected and perceived value.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terms of transparency, Jones and Comfort (2019) highlight that Tesco has been transparent in reporting its CSR activities over the years. This is evident in Tesco’s annual publications on CSR reports detailing how the company intends to tackle the food wastage issue. Subsequently, this has enabled Tesco to identify areas of weakness in an effort to tackle the origin of food waste in UK.</w:t>
      </w:r>
    </w:p>
    <w:p>
      <w:pPr>
        <w:spacing w:line="360" w:lineRule="auto"/>
        <w:jc w:val="both"/>
        <w:rPr>
          <w:rFonts w:ascii="Times New Roman" w:hAnsi="Times New Roman" w:cs="Times New Roman"/>
          <w:b/>
          <w:bCs/>
          <w:i/>
          <w:sz w:val="24"/>
          <w:szCs w:val="24"/>
        </w:rPr>
      </w:pPr>
      <w:r>
        <w:rPr>
          <w:rFonts w:ascii="Times New Roman" w:hAnsi="Times New Roman" w:cs="Times New Roman"/>
          <w:b/>
          <w:bCs/>
          <w:i/>
          <w:sz w:val="24"/>
          <w:szCs w:val="24"/>
        </w:rPr>
        <w:t xml:space="preserve">Upholding human rights &amp; labour standards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Since its conception, Tesco has focused on building diverse workforce and workplace that practices appropriate labour standards to their suppliers and employees (Tesco, 2020a). The company’s focus keeps on changing to the better as a result of different factors including changing labour laws, technology, and new labour trends among others. Currently, in the midst of gender neutrality campaign across the globe, Tesco has focused on developing a workforce that reflects the diverse nature of the society regardless of gender, race, colour, beliefs and religion (Tesco, 2020). The company is committed to uphold human rights throughout their business decisions while at the same time protecting employees’ rights and improving the individual rights of the surrounding community members (Tesco, 2012). Notably, Tesco employs a team of 42 responsible sourcing experts in different countries to help the company ensure all human rights and labour standards are maintained (Wood et al., 2016). For instance, in regards to banana which is one of Tesco’s major selling items, the company realised many banana firm workers are subjected to poor working conditions. This made the company to advocate for the formation of World Banana Forum, which it uses to raise just and fair labour standards across the global industry (</w:t>
      </w:r>
      <w:r>
        <w:rPr>
          <w:rFonts w:ascii="Times New Roman" w:hAnsi="Times New Roman" w:cs="Times New Roman"/>
          <w:sz w:val="24"/>
          <w:szCs w:val="24"/>
          <w:shd w:val="clear" w:color="auto" w:fill="FFFFFF"/>
        </w:rPr>
        <w:t xml:space="preserve">Jones and Comfort, 2020). Tesco Plc still remains an active leading advocate for the human rights of banana farmers and workers across the world.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 after learning of the well documented child labour issues in the cocoa industry as well as high poverty level alongside limited access to the right to education, Tesco intensified its campaign and ambition of creating a sustainable and economically profitable economy that can improve the quality of cocoa farmers’ lives (Flynn, 2019). This has in return helped improve cocoa farmers’ quality of life. At the same time, by being the leading voice for the cocoa farmers, Tesco has benefited form the good public image as plenty of customers view it as a socially responsible company that has the community’s interest at heart. For example, in 2017, chocolate sales contributed to nearly 1.9 percent of Tesco’s market growth across UK ahead of Asda, Morrisons, and Sainsbury (Wood et al., 2017). However, with the high demand of Tesco cocoa in UK, sourcing from responsible suppliers alone could mean the company risks running out of stock (Tesco plc, 2020). Consequently, the customers could be forced to buy cocoa products from rivals in the market.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regards to transparency, Tesco is always straightforward when reporting human rights and labour related information to its stakeholders around the world. For instance, by strongly advocated for transparency in supply chain in the UK Modern Slavery Act which required suppliers to do due diligence before committing to a deal with suppliers, Tesco showed that it was actually taking the necessary measures to treat its workforce justly and fairly as embedded in its values (Flynn, 2019). </w:t>
      </w:r>
    </w:p>
    <w:p>
      <w:pPr>
        <w:spacing w:line="360" w:lineRule="auto"/>
        <w:jc w:val="both"/>
        <w:rPr>
          <w:rFonts w:ascii="Times New Roman" w:hAnsi="Times New Roman" w:cs="Times New Roman"/>
          <w:b/>
          <w:bCs/>
          <w:i/>
          <w:sz w:val="24"/>
          <w:szCs w:val="24"/>
        </w:rPr>
      </w:pPr>
      <w:r>
        <w:rPr>
          <w:rFonts w:ascii="Times New Roman" w:hAnsi="Times New Roman" w:cs="Times New Roman"/>
          <w:b/>
          <w:bCs/>
          <w:i/>
          <w:sz w:val="24"/>
          <w:szCs w:val="24"/>
        </w:rPr>
        <w:t>Environmental conservation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Criticisms that Tesco received since 2000s from different groups including trade bodies, national organisations, and watchdogs among other regulators forced the company to find ways of minimising the impact of their operations on the environment (Jones et al., 2017). Over the last 10 years, the company’s CSR strategy has refocussed on a number of critical areas including climate, forests, water, and agriculture in alignment with the UN Global Compact (Tesco, 2016). These key areas are now embedded across the company’s supply chain and business model. For instance, at the beginning of 2016, in order to reduce carbon emissions, Tesco created a 2020 target that involves halving carbon emissions per square foot across all its distribution centres and stores, and also a reduction of 25 percent in carbon emissions per case of goods delivered (Tesco plc, 2020). The emission strategy has been of significant success over the recent years. For example, Tesco attained a 39.5 percent reduction in stores and distribution centres emission alongside 17.4 percent reduction in the goods distributed (Tesco Plc, 2020). Tesco achieved this by cutting emissions in property as it learnt that mor than 70 percent of company’s emissions are from its operations caused by electricity consumption (Sullivan and Gouldson, 2016). In order to address this issue, the company invested over 700 million pounds to improve energy efficiency issues including renewable energy through on-site generation or procurement. Consequently, this performance earned Tesco a spot in the Carbon Disclosure Project Climate A List as the only retailer in 2016 and 17 (Sullivan and Gouldson, 2016)Being listed as one of the leading retailers with low carbon emissions improved the company’s brand reputation, and this was evident in the increase in revenues in 2016 and 17 as customers perceived Tesco’s products to be of high sustainability standards. Nonetheless, Sullivan and Gouldson (2016) argue that investing in energy and emissions reduction require large capital, and this can reduce net profitability of the business. Thus, it could be argued that Tesco’s policy is not perfect as it forces the company to forgo its profitability at the expense of carbon reduction initiatives.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plc also works closely with suppliers to reiterate the importance and upside of low-carbon businesses. Notably, Tesco’s major category suppliers are now on pace to surpass 30 percent reduction mark in emissions by the end of 2020 (Tidy et al., 2016). However, the company is yet to extend this kind of support to other categories. This shows that the emissions policy is not balanced, and thereby making it to be less effective towards helping the company achieve its emission target in the long run. In addition to this, Tesco is also mapping its supply chain in order to understand the company’s exposure to fresh water availability more so in the environmentally sensitive rivers (Tidy et al., 2016)). This initiative has also been a success for Tesco since its implementation. For instance, it has enabled the company to prioritise action besides developing relationships with relevant stakeholders in different locations. Tesco’s work in this area however continues to evolve as they aim to develop a resilient and sustainable supply chain. In context, the company has achieved success here by partnering with Marine Stewardship Council (MSC). The MSC label has made it easy for customers to easily identify fish that meet sustainability standards, precisely, MSC certified fish is currently available across all Tesco stores in UK, and also through a range of multiple pre-packed and frozen seafood and fish with MSC label (Jones and Comfort, 2019). However, this policy ignores other critical areas such as grocery and beverage which are also major revenue generators for Tesco in the UK and central European market.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regards to transparency, Tesco plc’s CSR reports in annual company reports over the last ten years confirm that the company has indeed been implementing initiatives aimed at helping conserve the environment as shown in various reports such as (Tesco plc, 2020). </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establishes that corporate social responsibility has increasingly gained popularity as one of the standard business practices in recent time. The essay found that CSR requires organisations to incorporate legal, ethical, economic, and philanthropic responsibilities in their day to day operations. In the case of Tesco, the essay determines that the company major policies include its aim to stop good food going to waste, reduction of carbon emissions and supply of healthier foods. The essay further determines that Tesco aims to uphold all human rights while at the same time engaging in acceptable labour standards. By assessing, the company has well implemented their CSR policies, and report them transparently even though there are some areas which can be improved. </w:t>
      </w:r>
    </w:p>
    <w:p>
      <w:pPr>
        <w:spacing w:line="360" w:lineRule="auto"/>
        <w:jc w:val="both"/>
        <w:rPr>
          <w:rFonts w:ascii="Times New Roman" w:hAnsi="Times New Roman" w:cs="Times New Roman"/>
          <w:b/>
          <w:bCs/>
          <w:sz w:val="24"/>
          <w:szCs w:val="24"/>
        </w:rPr>
      </w:pPr>
      <w:bookmarkStart w:id="0" w:name="_GoBack"/>
      <w:bookmarkEnd w:id="0"/>
      <w:r>
        <w:rPr>
          <w:rFonts w:ascii="Times New Roman" w:hAnsi="Times New Roman" w:cs="Times New Roman"/>
          <w:sz w:val="24"/>
          <w:szCs w:val="24"/>
        </w:rPr>
        <w:br w:type="column"/>
      </w:r>
      <w:r>
        <w:rPr>
          <w:rFonts w:ascii="Times New Roman" w:hAnsi="Times New Roman" w:cs="Times New Roman"/>
          <w:b/>
          <w:bCs/>
          <w:sz w:val="24"/>
          <w:szCs w:val="24"/>
        </w:rPr>
        <w:t xml:space="preserve">References </w:t>
      </w:r>
    </w:p>
    <w:p>
      <w:pPr>
        <w:numPr>
          <w:ilvl w:val="0"/>
          <w:numId w:val="1"/>
        </w:numPr>
        <w:spacing w:line="360" w:lineRule="auto"/>
        <w:ind w:left="425" w:leftChars="0" w:hanging="425" w:firstLineChars="0"/>
        <w:jc w:val="both"/>
        <w:rPr>
          <w:rFonts w:ascii="Times New Roman" w:hAnsi="Times New Roman" w:cs="Times New Roman"/>
          <w:sz w:val="24"/>
          <w:szCs w:val="24"/>
        </w:rPr>
      </w:pPr>
      <w:r>
        <w:rPr>
          <w:rFonts w:ascii="Times New Roman" w:hAnsi="Times New Roman" w:cs="Times New Roman"/>
          <w:sz w:val="24"/>
          <w:szCs w:val="24"/>
        </w:rPr>
        <w:t xml:space="preserve">BackFareShare Glasgow (2020) </w:t>
      </w:r>
      <w:r>
        <w:rPr>
          <w:rFonts w:ascii="Times New Roman" w:hAnsi="Times New Roman" w:cs="Times New Roman"/>
          <w:i/>
          <w:iCs/>
          <w:sz w:val="24"/>
          <w:szCs w:val="24"/>
        </w:rPr>
        <w:t>Redistributing quality surplus food</w:t>
      </w:r>
      <w:r>
        <w:rPr>
          <w:rFonts w:ascii="Times New Roman" w:hAnsi="Times New Roman" w:cs="Times New Roman"/>
          <w:sz w:val="24"/>
          <w:szCs w:val="24"/>
        </w:rPr>
        <w:t>. Available at https://www.sruc.ac.uk/info/120727/resources/2114/fareshare_glasgow_-_redistributing_quality_surplus_food (Accessed 19th February 2020).</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Carroll, A.B. (2016) ‘Carroll’s pyramid of CSR: taking another look,’ </w:t>
      </w:r>
      <w:r>
        <w:rPr>
          <w:rFonts w:ascii="Times New Roman" w:hAnsi="Times New Roman" w:cs="Times New Roman"/>
          <w:i/>
          <w:iCs/>
          <w:sz w:val="24"/>
          <w:szCs w:val="24"/>
          <w:shd w:val="clear" w:color="auto" w:fill="FFFFFF"/>
        </w:rPr>
        <w:t>International journal of corporate social responsibility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(1), p.3.</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Ehie, I.C. (2016) ‘Examining the corporate social responsibility orientation in developing countries: an empirical investigation of the Carroll's CSR pyramid,’ </w:t>
      </w:r>
      <w:r>
        <w:rPr>
          <w:rFonts w:ascii="Times New Roman" w:hAnsi="Times New Roman" w:cs="Times New Roman"/>
          <w:i/>
          <w:iCs/>
          <w:sz w:val="24"/>
          <w:szCs w:val="24"/>
          <w:shd w:val="clear" w:color="auto" w:fill="FFFFFF"/>
        </w:rPr>
        <w:t>International Journal of Business Governance and Ethics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11</w:t>
      </w:r>
      <w:r>
        <w:rPr>
          <w:rFonts w:ascii="Times New Roman" w:hAnsi="Times New Roman" w:cs="Times New Roman"/>
          <w:sz w:val="24"/>
          <w:szCs w:val="24"/>
          <w:shd w:val="clear" w:color="auto" w:fill="FFFFFF"/>
        </w:rPr>
        <w:t>(1), p.42755.</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Flynn, A. (2019) </w:t>
      </w:r>
      <w:r>
        <w:rPr>
          <w:rFonts w:ascii="Times New Roman" w:hAnsi="Times New Roman" w:cs="Times New Roman"/>
          <w:i/>
          <w:iCs/>
          <w:sz w:val="24"/>
          <w:szCs w:val="24"/>
          <w:shd w:val="clear" w:color="auto" w:fill="FFFFFF"/>
        </w:rPr>
        <w:t xml:space="preserve">Determinants of corporate compliance with modern slavery reporting </w:t>
      </w:r>
      <w:r>
        <w:rPr>
          <w:rFonts w:ascii="Times New Roman" w:hAnsi="Times New Roman" w:cs="Times New Roman"/>
          <w:sz w:val="24"/>
          <w:szCs w:val="24"/>
          <w:shd w:val="clear" w:color="auto" w:fill="FFFFFF"/>
        </w:rPr>
        <w:t>Supply</w:t>
      </w:r>
      <w:r>
        <w:rPr>
          <w:rFonts w:ascii="Times New Roman" w:hAnsi="Times New Roman" w:cs="Times New Roman"/>
          <w:i/>
          <w:iCs/>
          <w:sz w:val="24"/>
          <w:szCs w:val="24"/>
          <w:shd w:val="clear" w:color="auto" w:fill="FFFFFF"/>
        </w:rPr>
        <w:t xml:space="preserve"> Chain Management: An International Journal</w:t>
      </w:r>
      <w:r>
        <w:rPr>
          <w:rFonts w:ascii="Times New Roman" w:hAnsi="Times New Roman" w:cs="Times New Roman"/>
          <w:sz w:val="24"/>
          <w:szCs w:val="24"/>
          <w:shd w:val="clear" w:color="auto" w:fill="FFFFFF"/>
        </w:rPr>
        <w:t>. Available at http://orca.cf.ac.uk/125110/5/Paper_RevisionIII.pdf (Accessed 18th February 2020).</w:t>
      </w:r>
    </w:p>
    <w:p>
      <w:pPr>
        <w:numPr>
          <w:ilvl w:val="0"/>
          <w:numId w:val="1"/>
        </w:numPr>
        <w:spacing w:line="360" w:lineRule="auto"/>
        <w:ind w:left="425" w:leftChars="0" w:hanging="425" w:firstLineChars="0"/>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Jones, P. and Comfort, D. (2019) ‘Storytelling and corporate social responsibility reporting: A case study commentary on UK. food retailers,’ </w:t>
      </w:r>
      <w:r>
        <w:rPr>
          <w:rFonts w:ascii="Times New Roman" w:hAnsi="Times New Roman" w:cs="Times New Roman"/>
          <w:i/>
          <w:iCs/>
          <w:sz w:val="24"/>
          <w:szCs w:val="24"/>
          <w:shd w:val="clear" w:color="auto" w:fill="FFFFFF"/>
        </w:rPr>
        <w:t>Journal of Public Affairs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19</w:t>
      </w:r>
      <w:r>
        <w:rPr>
          <w:rFonts w:ascii="Times New Roman" w:hAnsi="Times New Roman" w:cs="Times New Roman"/>
          <w:sz w:val="24"/>
          <w:szCs w:val="24"/>
          <w:shd w:val="clear" w:color="auto" w:fill="FFFFFF"/>
        </w:rPr>
        <w:t>(4), p.e1834.</w:t>
      </w:r>
      <w:r>
        <w:rPr>
          <w:rFonts w:ascii="Times New Roman" w:hAnsi="Times New Roman" w:cs="Times New Roman"/>
          <w:sz w:val="24"/>
          <w:szCs w:val="24"/>
        </w:rPr>
        <w:t xml:space="preserve"> </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Jones, P. and Comfort, D. (2020) ‘An exploratory case study of resilience and the leading retailers in the UK,’ </w:t>
      </w:r>
      <w:r>
        <w:rPr>
          <w:rFonts w:ascii="Times New Roman" w:hAnsi="Times New Roman" w:cs="Times New Roman"/>
          <w:i/>
          <w:iCs/>
          <w:sz w:val="24"/>
          <w:szCs w:val="24"/>
          <w:shd w:val="clear" w:color="auto" w:fill="FFFFFF"/>
        </w:rPr>
        <w:t>International Journal of Management Cases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21</w:t>
      </w:r>
      <w:r>
        <w:rPr>
          <w:rFonts w:ascii="Times New Roman" w:hAnsi="Times New Roman" w:cs="Times New Roman"/>
          <w:sz w:val="24"/>
          <w:szCs w:val="24"/>
          <w:shd w:val="clear" w:color="auto" w:fill="FFFFFF"/>
        </w:rPr>
        <w:t>(4), pp.5-18.</w:t>
      </w:r>
    </w:p>
    <w:p>
      <w:pPr>
        <w:numPr>
          <w:ilvl w:val="0"/>
          <w:numId w:val="1"/>
        </w:numPr>
        <w:spacing w:line="360" w:lineRule="auto"/>
        <w:ind w:left="425" w:leftChars="0" w:hanging="425" w:firstLineChars="0"/>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Jones, P., Bown, R., Hillier, D. and Comfort, D. (2017) ‘Sustainability, Materiality and Independent External Assurance: An Exploratory Study of the UK’s Leading Food Retailers,’ </w:t>
      </w:r>
      <w:r>
        <w:rPr>
          <w:rFonts w:ascii="Times New Roman" w:hAnsi="Times New Roman" w:cs="Times New Roman"/>
          <w:i/>
          <w:iCs/>
          <w:sz w:val="24"/>
          <w:szCs w:val="24"/>
          <w:shd w:val="clear" w:color="auto" w:fill="FFFFFF"/>
        </w:rPr>
        <w:t>Sustainability challenges in the Agrofood sector</w:t>
      </w:r>
      <w:r>
        <w:rPr>
          <w:rFonts w:ascii="Times New Roman" w:hAnsi="Times New Roman" w:cs="Times New Roman"/>
          <w:sz w:val="24"/>
          <w:szCs w:val="24"/>
          <w:shd w:val="clear" w:color="auto" w:fill="FFFFFF"/>
        </w:rPr>
        <w:t>, p.227.</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Michelon, G., Pilonato, S. and Ricceri, F. (2015) ‘CSR reporting practices and the quality of disclosure: An empirical analysis,’ </w:t>
      </w:r>
      <w:r>
        <w:rPr>
          <w:rFonts w:ascii="Times New Roman" w:hAnsi="Times New Roman" w:cs="Times New Roman"/>
          <w:i/>
          <w:iCs/>
          <w:sz w:val="24"/>
          <w:szCs w:val="24"/>
          <w:shd w:val="clear" w:color="auto" w:fill="FFFFFF"/>
        </w:rPr>
        <w:t>Critical perspectives on accounting</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33</w:t>
      </w:r>
      <w:r>
        <w:rPr>
          <w:rFonts w:ascii="Times New Roman" w:hAnsi="Times New Roman" w:cs="Times New Roman"/>
          <w:sz w:val="24"/>
          <w:szCs w:val="24"/>
          <w:shd w:val="clear" w:color="auto" w:fill="FFFFFF"/>
        </w:rPr>
        <w:t>, pp.59-78.</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Sullivan, R. and Gouldson, A. (2016) ‘Comparing the climate change actions, targets and performance of UK and US retailers,’ </w:t>
      </w:r>
      <w:r>
        <w:rPr>
          <w:rFonts w:ascii="Times New Roman" w:hAnsi="Times New Roman" w:cs="Times New Roman"/>
          <w:i/>
          <w:iCs/>
          <w:sz w:val="24"/>
          <w:szCs w:val="24"/>
          <w:shd w:val="clear" w:color="auto" w:fill="FFFFFF"/>
        </w:rPr>
        <w:t>Corporate Social Responsibility and Environmental Management</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23</w:t>
      </w:r>
      <w:r>
        <w:rPr>
          <w:rFonts w:ascii="Times New Roman" w:hAnsi="Times New Roman" w:cs="Times New Roman"/>
          <w:sz w:val="24"/>
          <w:szCs w:val="24"/>
          <w:shd w:val="clear" w:color="auto" w:fill="FFFFFF"/>
        </w:rPr>
        <w:t>(3), pp.129-139.</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Tesco (2012) </w:t>
      </w:r>
      <w:r>
        <w:rPr>
          <w:rFonts w:ascii="Times New Roman" w:hAnsi="Times New Roman" w:cs="Times New Roman"/>
          <w:i/>
          <w:iCs/>
          <w:sz w:val="24"/>
          <w:szCs w:val="24"/>
          <w:shd w:val="clear" w:color="auto" w:fill="FFFFFF"/>
        </w:rPr>
        <w:t>Annual Report</w:t>
      </w:r>
      <w:r>
        <w:rPr>
          <w:rFonts w:ascii="Times New Roman" w:hAnsi="Times New Roman" w:cs="Times New Roman"/>
          <w:sz w:val="24"/>
          <w:szCs w:val="24"/>
          <w:shd w:val="clear" w:color="auto" w:fill="FFFFFF"/>
        </w:rPr>
        <w:t>. Available at https://www.tescoplc.com/media/475752/cr_report_2012.pdf (Accessed 18th February 2020).</w:t>
      </w:r>
    </w:p>
    <w:p>
      <w:pPr>
        <w:numPr>
          <w:ilvl w:val="0"/>
          <w:numId w:val="1"/>
        </w:numPr>
        <w:spacing w:line="360" w:lineRule="auto"/>
        <w:ind w:left="425" w:leftChars="0" w:hanging="425" w:firstLineChars="0"/>
        <w:jc w:val="both"/>
        <w:rPr>
          <w:rFonts w:ascii="Times New Roman" w:hAnsi="Times New Roman" w:cs="Times New Roman"/>
          <w:sz w:val="24"/>
          <w:szCs w:val="24"/>
        </w:rPr>
      </w:pPr>
      <w:r>
        <w:rPr>
          <w:rFonts w:ascii="Times New Roman" w:hAnsi="Times New Roman" w:cs="Times New Roman"/>
          <w:sz w:val="24"/>
          <w:szCs w:val="24"/>
        </w:rPr>
        <w:t xml:space="preserve">Tesco (2016) </w:t>
      </w:r>
      <w:r>
        <w:rPr>
          <w:rFonts w:ascii="Times New Roman" w:hAnsi="Times New Roman" w:cs="Times New Roman"/>
          <w:i/>
          <w:iCs/>
          <w:sz w:val="24"/>
          <w:szCs w:val="24"/>
        </w:rPr>
        <w:t>UN Global Compact</w:t>
      </w:r>
      <w:r>
        <w:rPr>
          <w:rFonts w:ascii="Times New Roman" w:hAnsi="Times New Roman" w:cs="Times New Roman"/>
          <w:sz w:val="24"/>
          <w:szCs w:val="24"/>
        </w:rPr>
        <w:t>. Available at https://www.tescoplc.com/media/475526/contributing-to-the-un-sustainable-development-goals_final.pdf (Accessed 18th February 2020).</w:t>
      </w:r>
    </w:p>
    <w:p>
      <w:pPr>
        <w:numPr>
          <w:ilvl w:val="0"/>
          <w:numId w:val="1"/>
        </w:numPr>
        <w:spacing w:line="360" w:lineRule="auto"/>
        <w:ind w:left="425" w:leftChars="0" w:hanging="425" w:firstLineChars="0"/>
        <w:jc w:val="both"/>
        <w:rPr>
          <w:rFonts w:ascii="Times New Roman" w:hAnsi="Times New Roman" w:cs="Times New Roman"/>
          <w:sz w:val="24"/>
          <w:szCs w:val="24"/>
        </w:rPr>
      </w:pPr>
      <w:r>
        <w:rPr>
          <w:rFonts w:ascii="Times New Roman" w:hAnsi="Times New Roman" w:cs="Times New Roman"/>
          <w:sz w:val="24"/>
          <w:szCs w:val="24"/>
        </w:rPr>
        <w:t xml:space="preserve">Tesco (2020a) </w:t>
      </w:r>
      <w:r>
        <w:rPr>
          <w:rFonts w:ascii="Times New Roman" w:hAnsi="Times New Roman" w:cs="Times New Roman"/>
          <w:i/>
          <w:iCs/>
          <w:sz w:val="24"/>
          <w:szCs w:val="24"/>
        </w:rPr>
        <w:t>Core purpose and values</w:t>
      </w:r>
      <w:r>
        <w:rPr>
          <w:rFonts w:ascii="Times New Roman" w:hAnsi="Times New Roman" w:cs="Times New Roman"/>
          <w:sz w:val="24"/>
          <w:szCs w:val="24"/>
        </w:rPr>
        <w:t>. Available at https://www.tescoplc.com/about/how-we-do-business/core-purpose-and-values/ (Accessed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 </w:t>
      </w:r>
    </w:p>
    <w:p>
      <w:pPr>
        <w:numPr>
          <w:ilvl w:val="0"/>
          <w:numId w:val="1"/>
        </w:numPr>
        <w:spacing w:line="360" w:lineRule="auto"/>
        <w:ind w:left="425" w:leftChars="0" w:hanging="425" w:firstLineChars="0"/>
        <w:jc w:val="both"/>
        <w:rPr>
          <w:rFonts w:ascii="Times New Roman" w:hAnsi="Times New Roman" w:cs="Times New Roman"/>
          <w:sz w:val="24"/>
          <w:szCs w:val="24"/>
        </w:rPr>
      </w:pPr>
      <w:r>
        <w:rPr>
          <w:rFonts w:ascii="Times New Roman" w:hAnsi="Times New Roman" w:cs="Times New Roman"/>
          <w:sz w:val="24"/>
          <w:szCs w:val="24"/>
        </w:rPr>
        <w:t xml:space="preserve">Tesco Plc (2020) </w:t>
      </w:r>
      <w:r>
        <w:rPr>
          <w:rFonts w:ascii="Times New Roman" w:hAnsi="Times New Roman" w:cs="Times New Roman"/>
          <w:i/>
          <w:iCs/>
          <w:sz w:val="24"/>
          <w:szCs w:val="24"/>
        </w:rPr>
        <w:t>Tesco Sustainability</w:t>
      </w:r>
      <w:r>
        <w:rPr>
          <w:rFonts w:ascii="Times New Roman" w:hAnsi="Times New Roman" w:cs="Times New Roman"/>
          <w:sz w:val="24"/>
          <w:szCs w:val="24"/>
        </w:rPr>
        <w:t>. Available at https://www.tescoplc.com/sustainability/ (Accessed 18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 </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Tidy, M., Wang, X. and Hall, M. (2016) ‘The role of Supplier Relationship Management in reducing Greenhouse Gas emissions from food supply chains: supplier engagement in the UK supermarket sector,’ </w:t>
      </w:r>
      <w:r>
        <w:rPr>
          <w:rFonts w:ascii="Times New Roman" w:hAnsi="Times New Roman" w:cs="Times New Roman"/>
          <w:i/>
          <w:iCs/>
          <w:sz w:val="24"/>
          <w:szCs w:val="24"/>
          <w:shd w:val="clear" w:color="auto" w:fill="FFFFFF"/>
        </w:rPr>
        <w:t>Journal of Cleaner Production</w:t>
      </w:r>
      <w:r>
        <w:rPr>
          <w:rFonts w:ascii="Times New Roman" w:hAnsi="Times New Roman" w:cs="Times New Roman"/>
          <w:sz w:val="24"/>
          <w:szCs w:val="24"/>
          <w:shd w:val="clear" w:color="auto" w:fill="FFFFFF"/>
        </w:rPr>
        <w:t xml:space="preserve">, </w:t>
      </w:r>
      <w:r>
        <w:rPr>
          <w:rFonts w:ascii="Times New Roman" w:hAnsi="Times New Roman" w:cs="Times New Roman"/>
          <w:iCs/>
          <w:sz w:val="24"/>
          <w:szCs w:val="24"/>
          <w:shd w:val="clear" w:color="auto" w:fill="FFFFFF"/>
        </w:rPr>
        <w:t>112</w:t>
      </w:r>
      <w:r>
        <w:rPr>
          <w:rFonts w:ascii="Times New Roman" w:hAnsi="Times New Roman" w:cs="Times New Roman"/>
          <w:sz w:val="24"/>
          <w:szCs w:val="24"/>
          <w:shd w:val="clear" w:color="auto" w:fill="FFFFFF"/>
        </w:rPr>
        <w:t>, pp.3294-3305.</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Wood, S., Coe, N.M. and Wrigley, N. (2016) ‘Multi-scalar localization and capability transference: exploring embeddedness in the Asian retail expansion of Tesco,’ </w:t>
      </w:r>
      <w:r>
        <w:rPr>
          <w:rFonts w:ascii="Times New Roman" w:hAnsi="Times New Roman" w:cs="Times New Roman"/>
          <w:i/>
          <w:iCs/>
          <w:sz w:val="24"/>
          <w:szCs w:val="24"/>
          <w:shd w:val="clear" w:color="auto" w:fill="FFFFFF"/>
        </w:rPr>
        <w:t>Regional Studies</w:t>
      </w:r>
      <w:r>
        <w:rPr>
          <w:rFonts w:ascii="Times New Roman" w:hAnsi="Times New Roman" w:cs="Times New Roman"/>
          <w:sz w:val="24"/>
          <w:szCs w:val="24"/>
          <w:shd w:val="clear" w:color="auto" w:fill="FFFFFF"/>
        </w:rPr>
        <w:t xml:space="preserve">, </w:t>
      </w:r>
      <w:r>
        <w:rPr>
          <w:rFonts w:ascii="Times New Roman" w:hAnsi="Times New Roman" w:cs="Times New Roman"/>
          <w:iCs/>
          <w:sz w:val="24"/>
          <w:szCs w:val="24"/>
          <w:shd w:val="clear" w:color="auto" w:fill="FFFFFF"/>
        </w:rPr>
        <w:t>50</w:t>
      </w:r>
      <w:r>
        <w:rPr>
          <w:rFonts w:ascii="Times New Roman" w:hAnsi="Times New Roman" w:cs="Times New Roman"/>
          <w:sz w:val="24"/>
          <w:szCs w:val="24"/>
          <w:shd w:val="clear" w:color="auto" w:fill="FFFFFF"/>
        </w:rPr>
        <w:t>(3), pp.475-495.</w:t>
      </w:r>
    </w:p>
    <w:p>
      <w:pPr>
        <w:numPr>
          <w:ilvl w:val="0"/>
          <w:numId w:val="1"/>
        </w:numPr>
        <w:spacing w:line="360" w:lineRule="auto"/>
        <w:ind w:left="425" w:leftChars="0" w:hanging="425" w:firstLineChars="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Wood, S., Wrigley, N. and Coe, N.M. (2017) ‘Capital discipline and financial market relations in retail globalization: insights from the case of Tesco plc,’ </w:t>
      </w:r>
      <w:r>
        <w:rPr>
          <w:rFonts w:ascii="Times New Roman" w:hAnsi="Times New Roman" w:cs="Times New Roman"/>
          <w:i/>
          <w:iCs/>
          <w:sz w:val="24"/>
          <w:szCs w:val="24"/>
          <w:shd w:val="clear" w:color="auto" w:fill="FFFFFF"/>
        </w:rPr>
        <w:t>Journal of Economic Geography</w:t>
      </w:r>
      <w:r>
        <w:rPr>
          <w:rFonts w:ascii="Times New Roman" w:hAnsi="Times New Roman" w:cs="Times New Roman"/>
          <w:sz w:val="24"/>
          <w:szCs w:val="24"/>
          <w:shd w:val="clear" w:color="auto" w:fill="FFFFFF"/>
        </w:rPr>
        <w:t xml:space="preserve">, </w:t>
      </w:r>
      <w:r>
        <w:rPr>
          <w:rFonts w:ascii="Times New Roman" w:hAnsi="Times New Roman" w:cs="Times New Roman"/>
          <w:iCs/>
          <w:sz w:val="24"/>
          <w:szCs w:val="24"/>
          <w:shd w:val="clear" w:color="auto" w:fill="FFFFFF"/>
        </w:rPr>
        <w:t>17</w:t>
      </w:r>
      <w:r>
        <w:rPr>
          <w:rFonts w:ascii="Times New Roman" w:hAnsi="Times New Roman" w:cs="Times New Roman"/>
          <w:sz w:val="24"/>
          <w:szCs w:val="24"/>
          <w:shd w:val="clear" w:color="auto" w:fill="FFFFFF"/>
        </w:rPr>
        <w:t>(1), pp.31-57.</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72160"/>
    <w:multiLevelType w:val="singleLevel"/>
    <w:tmpl w:val="07F72160"/>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DDB"/>
    <w:rsid w:val="0000736A"/>
    <w:rsid w:val="000141E2"/>
    <w:rsid w:val="00027B13"/>
    <w:rsid w:val="00054A08"/>
    <w:rsid w:val="00062B5E"/>
    <w:rsid w:val="00066D26"/>
    <w:rsid w:val="00076769"/>
    <w:rsid w:val="00095B26"/>
    <w:rsid w:val="000A2073"/>
    <w:rsid w:val="000A2955"/>
    <w:rsid w:val="000A3F43"/>
    <w:rsid w:val="000A6C57"/>
    <w:rsid w:val="000B285D"/>
    <w:rsid w:val="000B4FED"/>
    <w:rsid w:val="000F389F"/>
    <w:rsid w:val="001129E1"/>
    <w:rsid w:val="0011739C"/>
    <w:rsid w:val="00122DDB"/>
    <w:rsid w:val="001472C1"/>
    <w:rsid w:val="00154999"/>
    <w:rsid w:val="00164E8E"/>
    <w:rsid w:val="001711BF"/>
    <w:rsid w:val="00173F20"/>
    <w:rsid w:val="001743D9"/>
    <w:rsid w:val="001802F6"/>
    <w:rsid w:val="00187358"/>
    <w:rsid w:val="001947D1"/>
    <w:rsid w:val="001A0294"/>
    <w:rsid w:val="001A2E2A"/>
    <w:rsid w:val="001C2092"/>
    <w:rsid w:val="001E760A"/>
    <w:rsid w:val="001F0AD2"/>
    <w:rsid w:val="001F34A2"/>
    <w:rsid w:val="001F3D33"/>
    <w:rsid w:val="00200586"/>
    <w:rsid w:val="00206BEE"/>
    <w:rsid w:val="0022496F"/>
    <w:rsid w:val="00230B89"/>
    <w:rsid w:val="00264218"/>
    <w:rsid w:val="002715B7"/>
    <w:rsid w:val="0029789B"/>
    <w:rsid w:val="002B04F5"/>
    <w:rsid w:val="002B0D18"/>
    <w:rsid w:val="002B0DFB"/>
    <w:rsid w:val="002B11EC"/>
    <w:rsid w:val="002C20C3"/>
    <w:rsid w:val="002D06F1"/>
    <w:rsid w:val="002D57F4"/>
    <w:rsid w:val="002E747D"/>
    <w:rsid w:val="002F7AA7"/>
    <w:rsid w:val="00314011"/>
    <w:rsid w:val="00331B3D"/>
    <w:rsid w:val="00347AF6"/>
    <w:rsid w:val="00360E84"/>
    <w:rsid w:val="00362D0A"/>
    <w:rsid w:val="003747AA"/>
    <w:rsid w:val="00376199"/>
    <w:rsid w:val="00393BB3"/>
    <w:rsid w:val="003A0ECA"/>
    <w:rsid w:val="003C6829"/>
    <w:rsid w:val="003C7DCF"/>
    <w:rsid w:val="003D0517"/>
    <w:rsid w:val="003D7D6F"/>
    <w:rsid w:val="003E07D4"/>
    <w:rsid w:val="003E2125"/>
    <w:rsid w:val="003E2774"/>
    <w:rsid w:val="003E498B"/>
    <w:rsid w:val="003E51AE"/>
    <w:rsid w:val="004009E8"/>
    <w:rsid w:val="004030EB"/>
    <w:rsid w:val="00414C81"/>
    <w:rsid w:val="00415B46"/>
    <w:rsid w:val="00426B9E"/>
    <w:rsid w:val="00430DFD"/>
    <w:rsid w:val="00434181"/>
    <w:rsid w:val="004370AC"/>
    <w:rsid w:val="00454CE5"/>
    <w:rsid w:val="00483C3E"/>
    <w:rsid w:val="00493E2B"/>
    <w:rsid w:val="004A3D38"/>
    <w:rsid w:val="004A5BBD"/>
    <w:rsid w:val="004A7D6C"/>
    <w:rsid w:val="004B0799"/>
    <w:rsid w:val="004B4933"/>
    <w:rsid w:val="004D15E4"/>
    <w:rsid w:val="004D760F"/>
    <w:rsid w:val="004E1E26"/>
    <w:rsid w:val="004F224B"/>
    <w:rsid w:val="004F5329"/>
    <w:rsid w:val="00502B1A"/>
    <w:rsid w:val="00507E00"/>
    <w:rsid w:val="0052050F"/>
    <w:rsid w:val="00520EC2"/>
    <w:rsid w:val="00523BBF"/>
    <w:rsid w:val="0053369B"/>
    <w:rsid w:val="00535F91"/>
    <w:rsid w:val="00536B52"/>
    <w:rsid w:val="005441F4"/>
    <w:rsid w:val="00547350"/>
    <w:rsid w:val="00553FBD"/>
    <w:rsid w:val="00554AC9"/>
    <w:rsid w:val="00556818"/>
    <w:rsid w:val="005572D4"/>
    <w:rsid w:val="00557323"/>
    <w:rsid w:val="0055780C"/>
    <w:rsid w:val="00590450"/>
    <w:rsid w:val="00593A75"/>
    <w:rsid w:val="00597B09"/>
    <w:rsid w:val="005A3E59"/>
    <w:rsid w:val="005A7C1A"/>
    <w:rsid w:val="005B1503"/>
    <w:rsid w:val="005C2237"/>
    <w:rsid w:val="005C3CE2"/>
    <w:rsid w:val="005C54C6"/>
    <w:rsid w:val="005D3996"/>
    <w:rsid w:val="005D7CDA"/>
    <w:rsid w:val="005F126B"/>
    <w:rsid w:val="005F3CE9"/>
    <w:rsid w:val="00601208"/>
    <w:rsid w:val="006179D0"/>
    <w:rsid w:val="00620982"/>
    <w:rsid w:val="00624012"/>
    <w:rsid w:val="0062576C"/>
    <w:rsid w:val="00631B7B"/>
    <w:rsid w:val="00636418"/>
    <w:rsid w:val="00636895"/>
    <w:rsid w:val="00637DD4"/>
    <w:rsid w:val="00654AB3"/>
    <w:rsid w:val="00666863"/>
    <w:rsid w:val="00670C1E"/>
    <w:rsid w:val="00670CE9"/>
    <w:rsid w:val="006839B4"/>
    <w:rsid w:val="0069247E"/>
    <w:rsid w:val="00694987"/>
    <w:rsid w:val="006B140F"/>
    <w:rsid w:val="006B28CE"/>
    <w:rsid w:val="006B6203"/>
    <w:rsid w:val="006B706B"/>
    <w:rsid w:val="006C2A5F"/>
    <w:rsid w:val="006C7E25"/>
    <w:rsid w:val="006D4BD3"/>
    <w:rsid w:val="006E17E3"/>
    <w:rsid w:val="006F28A1"/>
    <w:rsid w:val="006F5DD4"/>
    <w:rsid w:val="00711E6D"/>
    <w:rsid w:val="00716E69"/>
    <w:rsid w:val="00724842"/>
    <w:rsid w:val="00725362"/>
    <w:rsid w:val="0072729C"/>
    <w:rsid w:val="00732D81"/>
    <w:rsid w:val="00744B24"/>
    <w:rsid w:val="00745705"/>
    <w:rsid w:val="00767149"/>
    <w:rsid w:val="007847DB"/>
    <w:rsid w:val="00786FB0"/>
    <w:rsid w:val="007B009F"/>
    <w:rsid w:val="007B4F04"/>
    <w:rsid w:val="007C404F"/>
    <w:rsid w:val="007D2796"/>
    <w:rsid w:val="007E2DF2"/>
    <w:rsid w:val="007E6902"/>
    <w:rsid w:val="007E7DEB"/>
    <w:rsid w:val="0080026B"/>
    <w:rsid w:val="008011FC"/>
    <w:rsid w:val="0080660A"/>
    <w:rsid w:val="008069BF"/>
    <w:rsid w:val="00811E0C"/>
    <w:rsid w:val="008121C9"/>
    <w:rsid w:val="00825AB4"/>
    <w:rsid w:val="00827D31"/>
    <w:rsid w:val="0083158F"/>
    <w:rsid w:val="00833783"/>
    <w:rsid w:val="00844A19"/>
    <w:rsid w:val="008528D7"/>
    <w:rsid w:val="00852A60"/>
    <w:rsid w:val="00861E7D"/>
    <w:rsid w:val="00872D4A"/>
    <w:rsid w:val="00890B16"/>
    <w:rsid w:val="008A339D"/>
    <w:rsid w:val="008D34F1"/>
    <w:rsid w:val="008E15BF"/>
    <w:rsid w:val="008E56A4"/>
    <w:rsid w:val="008E5E3E"/>
    <w:rsid w:val="009027AA"/>
    <w:rsid w:val="0091222C"/>
    <w:rsid w:val="0091442F"/>
    <w:rsid w:val="00920FDF"/>
    <w:rsid w:val="00922F01"/>
    <w:rsid w:val="0092454B"/>
    <w:rsid w:val="009259C6"/>
    <w:rsid w:val="00926657"/>
    <w:rsid w:val="00940F7F"/>
    <w:rsid w:val="00943950"/>
    <w:rsid w:val="00951E42"/>
    <w:rsid w:val="00974339"/>
    <w:rsid w:val="00974CFD"/>
    <w:rsid w:val="00976604"/>
    <w:rsid w:val="00976E29"/>
    <w:rsid w:val="00977776"/>
    <w:rsid w:val="00977939"/>
    <w:rsid w:val="0098634C"/>
    <w:rsid w:val="009976FF"/>
    <w:rsid w:val="009A5EDD"/>
    <w:rsid w:val="009A7B82"/>
    <w:rsid w:val="009B6ED8"/>
    <w:rsid w:val="009C122C"/>
    <w:rsid w:val="009C5F86"/>
    <w:rsid w:val="009D74AF"/>
    <w:rsid w:val="009E7E36"/>
    <w:rsid w:val="009F23B4"/>
    <w:rsid w:val="00A00060"/>
    <w:rsid w:val="00A0276E"/>
    <w:rsid w:val="00A1244D"/>
    <w:rsid w:val="00A20CC1"/>
    <w:rsid w:val="00A22E17"/>
    <w:rsid w:val="00A3418E"/>
    <w:rsid w:val="00A36705"/>
    <w:rsid w:val="00A511B2"/>
    <w:rsid w:val="00A530D5"/>
    <w:rsid w:val="00A8370D"/>
    <w:rsid w:val="00A90ED1"/>
    <w:rsid w:val="00A92908"/>
    <w:rsid w:val="00A97973"/>
    <w:rsid w:val="00AA0F7E"/>
    <w:rsid w:val="00AA589F"/>
    <w:rsid w:val="00AA767F"/>
    <w:rsid w:val="00AB0DC2"/>
    <w:rsid w:val="00AB72E4"/>
    <w:rsid w:val="00AC18A2"/>
    <w:rsid w:val="00AE220A"/>
    <w:rsid w:val="00AE3ACA"/>
    <w:rsid w:val="00B21E50"/>
    <w:rsid w:val="00B35182"/>
    <w:rsid w:val="00B35E00"/>
    <w:rsid w:val="00B43E1E"/>
    <w:rsid w:val="00B44851"/>
    <w:rsid w:val="00B4498C"/>
    <w:rsid w:val="00B44992"/>
    <w:rsid w:val="00B50749"/>
    <w:rsid w:val="00B52C8F"/>
    <w:rsid w:val="00B554E0"/>
    <w:rsid w:val="00B56D20"/>
    <w:rsid w:val="00B63B18"/>
    <w:rsid w:val="00B730BE"/>
    <w:rsid w:val="00B7448E"/>
    <w:rsid w:val="00B81ECB"/>
    <w:rsid w:val="00BB32CC"/>
    <w:rsid w:val="00BB3DA9"/>
    <w:rsid w:val="00BB7E41"/>
    <w:rsid w:val="00BC59F6"/>
    <w:rsid w:val="00BC7007"/>
    <w:rsid w:val="00BC763A"/>
    <w:rsid w:val="00BF4FC6"/>
    <w:rsid w:val="00C03D0B"/>
    <w:rsid w:val="00C2209B"/>
    <w:rsid w:val="00C33AA0"/>
    <w:rsid w:val="00C40598"/>
    <w:rsid w:val="00C43093"/>
    <w:rsid w:val="00C57A53"/>
    <w:rsid w:val="00C726B3"/>
    <w:rsid w:val="00C75871"/>
    <w:rsid w:val="00C759C7"/>
    <w:rsid w:val="00C93129"/>
    <w:rsid w:val="00C94D97"/>
    <w:rsid w:val="00C967BD"/>
    <w:rsid w:val="00C97C22"/>
    <w:rsid w:val="00CA16B2"/>
    <w:rsid w:val="00CA178C"/>
    <w:rsid w:val="00CA4D8B"/>
    <w:rsid w:val="00CA4E99"/>
    <w:rsid w:val="00CA5B83"/>
    <w:rsid w:val="00CA71D9"/>
    <w:rsid w:val="00CB7FF3"/>
    <w:rsid w:val="00CC56C8"/>
    <w:rsid w:val="00CE67F8"/>
    <w:rsid w:val="00CF35EC"/>
    <w:rsid w:val="00D046BC"/>
    <w:rsid w:val="00D04CFF"/>
    <w:rsid w:val="00D1567B"/>
    <w:rsid w:val="00D35F09"/>
    <w:rsid w:val="00D545BA"/>
    <w:rsid w:val="00D71E61"/>
    <w:rsid w:val="00D83635"/>
    <w:rsid w:val="00DA314C"/>
    <w:rsid w:val="00DA4733"/>
    <w:rsid w:val="00DA71BD"/>
    <w:rsid w:val="00DC0CB8"/>
    <w:rsid w:val="00DC1E96"/>
    <w:rsid w:val="00DC317F"/>
    <w:rsid w:val="00DD5EA7"/>
    <w:rsid w:val="00DE004A"/>
    <w:rsid w:val="00DE36DF"/>
    <w:rsid w:val="00DF3FFC"/>
    <w:rsid w:val="00E012F7"/>
    <w:rsid w:val="00E03252"/>
    <w:rsid w:val="00E426DA"/>
    <w:rsid w:val="00E47FDD"/>
    <w:rsid w:val="00E55980"/>
    <w:rsid w:val="00E6137C"/>
    <w:rsid w:val="00E64C5E"/>
    <w:rsid w:val="00E66F8A"/>
    <w:rsid w:val="00E67D43"/>
    <w:rsid w:val="00E70A95"/>
    <w:rsid w:val="00E72EDF"/>
    <w:rsid w:val="00E74902"/>
    <w:rsid w:val="00E76F35"/>
    <w:rsid w:val="00E86416"/>
    <w:rsid w:val="00E92A48"/>
    <w:rsid w:val="00EA1014"/>
    <w:rsid w:val="00ED5123"/>
    <w:rsid w:val="00EE2B42"/>
    <w:rsid w:val="00EF4CA7"/>
    <w:rsid w:val="00EF6F4D"/>
    <w:rsid w:val="00F036B3"/>
    <w:rsid w:val="00F10A18"/>
    <w:rsid w:val="00F1398C"/>
    <w:rsid w:val="00F2060D"/>
    <w:rsid w:val="00F40CB5"/>
    <w:rsid w:val="00F46D07"/>
    <w:rsid w:val="00F560E8"/>
    <w:rsid w:val="00F63F81"/>
    <w:rsid w:val="00F71DD3"/>
    <w:rsid w:val="00F775E6"/>
    <w:rsid w:val="00F91383"/>
    <w:rsid w:val="00FA1C03"/>
    <w:rsid w:val="00FA337D"/>
    <w:rsid w:val="00FA5FEA"/>
    <w:rsid w:val="00FB21DF"/>
    <w:rsid w:val="00FB4643"/>
    <w:rsid w:val="00FB6DC7"/>
    <w:rsid w:val="00FB6DFF"/>
    <w:rsid w:val="00FB776C"/>
    <w:rsid w:val="00FC5697"/>
    <w:rsid w:val="00FD1ED5"/>
    <w:rsid w:val="00FD3466"/>
    <w:rsid w:val="00FE2464"/>
    <w:rsid w:val="00FE5E0D"/>
    <w:rsid w:val="00FF2511"/>
    <w:rsid w:val="27965BA6"/>
    <w:rsid w:val="30F227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US"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spacing w:line="240" w:lineRule="auto"/>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character" w:styleId="6">
    <w:name w:val="Hyperlink"/>
    <w:basedOn w:val="5"/>
    <w:unhideWhenUsed/>
    <w:uiPriority w:val="99"/>
    <w:rPr>
      <w:color w:val="0563C1" w:themeColor="hyperlink"/>
      <w:u w:val="single"/>
      <w14:textFill>
        <w14:solidFill>
          <w14:schemeClr w14:val="hlink"/>
        </w14:solidFill>
      </w14:textFill>
    </w:rPr>
  </w:style>
  <w:style w:type="character" w:customStyle="1" w:styleId="7">
    <w:name w:val="页眉 字符"/>
    <w:basedOn w:val="5"/>
    <w:link w:val="3"/>
    <w:uiPriority w:val="99"/>
    <w:rPr>
      <w:sz w:val="18"/>
      <w:szCs w:val="18"/>
    </w:rPr>
  </w:style>
  <w:style w:type="character" w:customStyle="1" w:styleId="8">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2717</Words>
  <Characters>15492</Characters>
  <Lines>129</Lines>
  <Paragraphs>36</Paragraphs>
  <TotalTime>2</TotalTime>
  <ScaleCrop>false</ScaleCrop>
  <LinksUpToDate>false</LinksUpToDate>
  <CharactersWithSpaces>18173</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2020-02-19T13:41:00Z</dcterms:created>
  <dc:creator>Manh</dc:creator>
  <cp:lastModifiedBy>Manh</cp:lastModifiedBy>
  <dcterms:modified xsi:type="dcterms:W3CDTF">2020-03-02T18:32:27Z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