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header2.xml" ContentType="application/vnd.openxmlformats-officedocument.wordprocessingml.head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Web"/>
        <w:bidi w:val="0"/>
        <w:spacing w:before="0" w:after="0"/>
        <w:ind w:start="-180" w:end="-334"/>
        <w:jc w:val="start"/>
        <w:rPr/>
      </w:pPr>
      <w:r>
        <w:rPr/>
        <w:drawing>
          <wp:inline distT="0" distB="0" distL="0" distR="0">
            <wp:extent cx="1907540" cy="635635"/>
            <wp:effectExtent l="0" t="0" r="0" b="0"/>
            <wp:docPr id="1"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title=""/>
                    <pic:cNvPicPr>
                      <a:picLocks noChangeAspect="1" noChangeArrowheads="1"/>
                    </pic:cNvPicPr>
                  </pic:nvPicPr>
                  <pic:blipFill>
                    <a:blip r:embed="rId2"/>
                    <a:stretch>
                      <a:fillRect/>
                    </a:stretch>
                  </pic:blipFill>
                  <pic:spPr bwMode="auto">
                    <a:xfrm>
                      <a:off x="0" y="0"/>
                      <a:ext cx="1907540" cy="635635"/>
                    </a:xfrm>
                    <a:prstGeom prst="rect">
                      <a:avLst/>
                    </a:prstGeom>
                    <a:noFill/>
                    <a:ln w="19050">
                      <a:solidFill>
                        <a:srgbClr val="000000"/>
                      </a:solidFill>
                    </a:ln>
                  </pic:spPr>
                </pic:pic>
              </a:graphicData>
            </a:graphic>
          </wp:inline>
        </w:drawing>
      </w:r>
    </w:p>
    <w:p>
      <w:pPr>
        <w:pStyle w:val="NormalWeb"/>
        <w:bidi w:val="0"/>
        <w:spacing w:before="0" w:after="0"/>
        <w:ind w:start="-180" w:end="-334"/>
        <w:jc w:val="start"/>
        <w:rPr/>
      </w:pPr>
      <w:r>
        <w:rPr/>
      </w:r>
    </w:p>
    <w:p>
      <w:pPr>
        <w:pStyle w:val="NormalWeb"/>
        <w:bidi w:val="0"/>
        <w:spacing w:before="0" w:after="0"/>
        <w:ind w:start="-180" w:end="-334"/>
        <w:jc w:val="start"/>
        <w:rPr/>
      </w:pPr>
      <w:r>
        <w:rPr/>
      </w:r>
    </w:p>
    <w:p>
      <w:pPr>
        <w:pStyle w:val="NormalWeb"/>
        <w:bidi w:val="0"/>
        <w:spacing w:before="0" w:after="0"/>
        <w:ind w:start="-180" w:end="-334"/>
        <w:jc w:val="center"/>
        <w:rPr>
          <w:rFonts w:ascii="Arial" w:hAnsi="Arial" w:cs="Arial"/>
          <w:b/>
          <w:sz w:val="28"/>
          <w:szCs w:val="28"/>
          <w:lang w:val="cy-GB"/>
        </w:rPr>
      </w:pPr>
      <w:r>
        <w:rPr>
          <w:rFonts w:cs="Arial" w:ascii="Arial" w:hAnsi="Arial"/>
          <w:b/>
          <w:sz w:val="28"/>
          <w:szCs w:val="28"/>
          <w:lang w:val="cy-GB"/>
        </w:rPr>
        <w:t xml:space="preserve">Postgraduate/Distance Learning </w:t>
      </w:r>
    </w:p>
    <w:p>
      <w:pPr>
        <w:pStyle w:val="NormalWeb"/>
        <w:bidi w:val="0"/>
        <w:spacing w:before="0" w:after="0"/>
        <w:ind w:start="-180" w:end="-334"/>
        <w:jc w:val="center"/>
        <w:rPr>
          <w:rFonts w:ascii="Arial" w:hAnsi="Arial" w:cs="Arial"/>
          <w:b/>
          <w:sz w:val="28"/>
          <w:szCs w:val="28"/>
          <w:lang w:val="cy-GB"/>
        </w:rPr>
      </w:pPr>
      <w:r>
        <w:rPr>
          <w:rFonts w:cs="Arial" w:ascii="Arial" w:hAnsi="Arial"/>
          <w:b/>
          <w:sz w:val="28"/>
          <w:szCs w:val="28"/>
          <w:lang w:val="cy-GB"/>
        </w:rPr>
        <w:t>Assignment coversheet &amp; feedback form</w:t>
      </w:r>
    </w:p>
    <w:p>
      <w:pPr>
        <w:pStyle w:val="Normal"/>
        <w:bidi w:val="0"/>
        <w:jc w:val="start"/>
        <w:rPr>
          <w:rFonts w:ascii="Arial" w:hAnsi="Arial" w:cs="Arial"/>
          <w:b/>
          <w:sz w:val="28"/>
          <w:szCs w:val="28"/>
          <w:lang w:val="cy-GB"/>
        </w:rPr>
      </w:pPr>
      <w:r>
        <w:rPr>
          <w:rFonts w:cs="Arial" w:ascii="Arial" w:hAnsi="Arial"/>
          <w:b/>
          <w:sz w:val="28"/>
          <w:szCs w:val="28"/>
          <w:lang w:val="cy-GB"/>
        </w:rPr>
      </w:r>
    </w:p>
    <w:p>
      <w:pPr>
        <w:pStyle w:val="Heading3"/>
        <w:numPr>
          <w:ilvl w:val="2"/>
          <w:numId w:val="1"/>
        </w:numPr>
        <w:bidi w:val="0"/>
        <w:ind w:hanging="0" w:start="720" w:end="0"/>
        <w:jc w:val="center"/>
        <w:rPr>
          <w:lang w:val="cy-GB"/>
        </w:rPr>
      </w:pPr>
      <w:r>
        <w:rPr>
          <w:lang w:val="cy-GB"/>
        </w:rPr>
        <w:t>THIS SHEET MUST BE THE FIRST PAGE OF THE ASSIGNMENT YOU ARE SUBMITTING  (DO NOT SEND AS A SEPARATE FILE)</w:t>
      </w:r>
    </w:p>
    <w:p>
      <w:pPr>
        <w:pStyle w:val="Heading3"/>
        <w:numPr>
          <w:ilvl w:val="2"/>
          <w:numId w:val="1"/>
        </w:numPr>
        <w:bidi w:val="0"/>
        <w:ind w:hanging="0" w:start="720" w:end="0"/>
        <w:jc w:val="center"/>
        <w:rPr>
          <w:rFonts w:ascii="Trebuchet MS" w:hAnsi="Trebuchet MS" w:cs="Trebuchet MS"/>
          <w:lang w:val="cy-GB"/>
        </w:rPr>
      </w:pPr>
      <w:r>
        <w:rPr>
          <w:rFonts w:cs="Trebuchet MS" w:ascii="Trebuchet MS" w:hAnsi="Trebuchet MS"/>
          <w:lang w:val="cy-GB"/>
        </w:rPr>
      </w:r>
    </w:p>
    <w:tbl>
      <w:tblPr>
        <w:tblW w:w="8856" w:type="dxa"/>
        <w:jc w:val="start"/>
        <w:tblInd w:w="-113" w:type="dxa"/>
        <w:tblLayout w:type="fixed"/>
        <w:tblCellMar>
          <w:top w:w="0" w:type="dxa"/>
          <w:start w:w="108" w:type="dxa"/>
          <w:bottom w:w="0" w:type="dxa"/>
          <w:end w:w="108" w:type="dxa"/>
        </w:tblCellMar>
      </w:tblPr>
      <w:tblGrid>
        <w:gridCol w:w="4788"/>
        <w:gridCol w:w="422"/>
        <w:gridCol w:w="1557"/>
        <w:gridCol w:w="286"/>
        <w:gridCol w:w="1803"/>
      </w:tblGrid>
      <w:tr>
        <w:trPr>
          <w:trHeight w:val="614"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pPr>
            <w:r>
              <w:rPr>
                <w:rFonts w:cs="Arial" w:ascii="Arial" w:hAnsi="Arial"/>
                <w:b/>
                <w:sz w:val="22"/>
                <w:szCs w:val="22"/>
              </w:rPr>
              <w:t>For completion by the student</w:t>
            </w:r>
            <w:r>
              <w:rPr>
                <w:rFonts w:cs="Arial" w:ascii="Arial" w:hAnsi="Arial"/>
                <w:sz w:val="22"/>
                <w:szCs w:val="22"/>
              </w:rPr>
              <w:t>:</w:t>
            </w:r>
          </w:p>
        </w:tc>
      </w:tr>
      <w:tr>
        <w:trPr>
          <w:trHeight w:val="71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Student Name:</w:t>
            </w:r>
          </w:p>
          <w:p>
            <w:pPr>
              <w:pStyle w:val="NormalWeb"/>
              <w:bidi w:val="0"/>
              <w:spacing w:before="0" w:after="0"/>
              <w:ind w:end="34"/>
              <w:jc w:val="start"/>
              <w:rPr>
                <w:rFonts w:ascii="Arial" w:hAnsi="Arial" w:cs="Arial"/>
                <w:sz w:val="22"/>
                <w:szCs w:val="22"/>
              </w:rPr>
            </w:pPr>
            <w:r>
              <w:rPr>
                <w:rFonts w:cs="Arial" w:ascii="Arial" w:hAnsi="Arial"/>
                <w:sz w:val="22"/>
                <w:szCs w:val="22"/>
              </w:rPr>
              <w:t>Doris Maat</w:t>
            </w:r>
          </w:p>
        </w:tc>
      </w:tr>
      <w:tr>
        <w:trPr>
          <w:trHeight w:val="849" w:hRule="atLeast"/>
        </w:trPr>
        <w:tc>
          <w:tcPr>
            <w:tcW w:w="4788" w:type="dxa"/>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 xml:space="preserve">Module code: </w:t>
            </w:r>
            <w:r>
              <w:rPr>
                <w:rFonts w:cs="Arial" w:ascii="Arial" w:hAnsi="Arial"/>
                <w:sz w:val="22"/>
                <w:szCs w:val="22"/>
              </w:rPr>
              <w:t>HPCA 7028</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t xml:space="preserve">Module title: </w:t>
            </w:r>
            <w:r>
              <w:rPr>
                <w:rFonts w:cs="Arial" w:ascii="Arial" w:hAnsi="Arial"/>
                <w:sz w:val="22"/>
                <w:szCs w:val="22"/>
              </w:rPr>
              <w:t>Sacred Skies</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r>
          </w:p>
        </w:tc>
        <w:tc>
          <w:tcPr>
            <w:tcW w:w="2265"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 xml:space="preserve">Student ID number: </w:t>
            </w:r>
            <w:r>
              <w:rPr>
                <w:rFonts w:cs="Arial" w:ascii="Arial" w:hAnsi="Arial"/>
                <w:sz w:val="22"/>
                <w:szCs w:val="22"/>
              </w:rPr>
              <w:t>2322109</w:t>
            </w:r>
          </w:p>
        </w:tc>
        <w:tc>
          <w:tcPr>
            <w:tcW w:w="1803" w:type="dxa"/>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Educational support needs:</w:t>
            </w:r>
          </w:p>
          <w:p>
            <w:pPr>
              <w:pStyle w:val="NormalWeb"/>
              <w:bidi w:val="0"/>
              <w:spacing w:before="0" w:after="0"/>
              <w:ind w:end="34"/>
              <w:jc w:val="start"/>
              <w:rPr>
                <w:rFonts w:ascii="Arial" w:hAnsi="Arial" w:cs="Arial"/>
                <w:sz w:val="22"/>
                <w:szCs w:val="22"/>
              </w:rPr>
            </w:pPr>
            <w:r>
              <w:rPr>
                <w:rFonts w:cs="Arial" w:ascii="Arial" w:hAnsi="Arial"/>
                <w:sz w:val="22"/>
                <w:szCs w:val="22"/>
              </w:rPr>
              <w:t>Yes/No</w:t>
            </w:r>
          </w:p>
        </w:tc>
      </w:tr>
      <w:tr>
        <w:trPr>
          <w:trHeight w:val="1139"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4"/>
              <w:jc w:val="start"/>
              <w:rPr>
                <w:rFonts w:ascii="Arial" w:hAnsi="Arial" w:cs="Arial"/>
                <w:sz w:val="22"/>
                <w:szCs w:val="22"/>
              </w:rPr>
            </w:pPr>
            <w:r>
              <w:rPr>
                <w:rFonts w:cs="Arial" w:ascii="Arial" w:hAnsi="Arial"/>
                <w:sz w:val="22"/>
                <w:szCs w:val="22"/>
              </w:rPr>
              <w:t xml:space="preserve">Module tutor: </w:t>
            </w:r>
            <w:r>
              <w:rPr>
                <w:rFonts w:cs="Arial" w:ascii="Arial" w:hAnsi="Arial"/>
                <w:sz w:val="22"/>
                <w:szCs w:val="22"/>
              </w:rPr>
              <w:t>Bernadette Brady, Darrelyn Gunzburg, Nicholas Campion</w:t>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r>
          </w:p>
          <w:p>
            <w:pPr>
              <w:pStyle w:val="NormalWeb"/>
              <w:bidi w:val="0"/>
              <w:spacing w:before="0" w:after="0"/>
              <w:ind w:end="34"/>
              <w:jc w:val="start"/>
              <w:rPr>
                <w:rFonts w:ascii="Arial" w:hAnsi="Arial" w:cs="Arial"/>
                <w:sz w:val="22"/>
                <w:szCs w:val="22"/>
              </w:rPr>
            </w:pPr>
            <w:r>
              <w:rPr>
                <w:rFonts w:cs="Arial" w:ascii="Arial" w:hAnsi="Arial"/>
                <w:sz w:val="22"/>
                <w:szCs w:val="22"/>
              </w:rPr>
              <w:t>Assignment due date:</w:t>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If your module has multiple submissions please indicate which piece of work this is.</w:t>
            </w:r>
          </w:p>
          <w:p>
            <w:pPr>
              <w:pStyle w:val="Normal"/>
              <w:bidi w:val="0"/>
              <w:jc w:val="start"/>
              <w:rPr>
                <w:rFonts w:ascii="Arial" w:hAnsi="Arial" w:cs="Arial"/>
                <w:sz w:val="22"/>
                <w:szCs w:val="22"/>
              </w:rPr>
            </w:pPr>
            <w:r>
              <w:rPr>
                <w:rFonts w:cs="Arial" w:ascii="Arial" w:hAnsi="Arial"/>
                <w:sz w:val="22"/>
                <w:szCs w:val="22"/>
              </w:rPr>
            </w:r>
          </w:p>
          <w:p>
            <w:pPr>
              <w:pStyle w:val="Normal"/>
              <w:bidi w:val="0"/>
              <w:jc w:val="start"/>
              <w:rPr/>
            </w:pPr>
            <w:r>
              <w:rPr>
                <w:rFonts w:cs="Arial" w:ascii="Arial" w:hAnsi="Arial"/>
                <w:sz w:val="22"/>
                <w:szCs w:val="22"/>
              </w:rPr>
              <w:t>1</w:t>
            </w:r>
            <w:r>
              <w:rPr>
                <w:rFonts w:cs="Arial" w:ascii="Arial" w:hAnsi="Arial"/>
                <w:sz w:val="22"/>
                <w:szCs w:val="22"/>
                <w:vertAlign w:val="superscript"/>
              </w:rPr>
              <w:t xml:space="preserve">st </w:t>
            </w:r>
            <w:r>
              <w:fldChar w:fldCharType="begin">
                <w:ffData>
                  <w:name w:val="Check13"/>
                  <w:enabled/>
                  <w:calcOnExit w:val="0"/>
                  <w:checkBox>
                    <w:sizeAuto/>
                    <w:checked/>
                  </w:checkBox>
                </w:ffData>
              </w:fldChar>
            </w:r>
            <w:r>
              <w:rPr>
                <w:vertAlign w:val="superscript"/>
                <w:sz w:val="22"/>
                <w:szCs w:val="22"/>
                <w:rFonts w:cs="Arial" w:ascii="Arial" w:hAnsi="Arial"/>
              </w:rPr>
              <w:instrText xml:space="preserve"> FORMCHECKBOX </w:instrText>
            </w:r>
            <w:r>
              <w:rPr>
                <w:vertAlign w:val="superscript"/>
                <w:sz w:val="22"/>
                <w:szCs w:val="22"/>
                <w:rFonts w:cs="Arial" w:ascii="Arial" w:hAnsi="Arial"/>
              </w:rPr>
              <w:fldChar w:fldCharType="separate"/>
            </w:r>
            <w:bookmarkStart w:id="0" w:name="Check13"/>
            <w:bookmarkStart w:id="1" w:name="Check13"/>
            <w:bookmarkEnd w:id="1"/>
            <w:r>
              <w:rPr>
                <w:rFonts w:cs="Arial" w:ascii="Arial" w:hAnsi="Arial"/>
                <w:sz w:val="22"/>
                <w:szCs w:val="22"/>
                <w:vertAlign w:val="superscript"/>
              </w:rPr>
            </w:r>
            <w:r>
              <w:rPr>
                <w:vertAlign w:val="superscript"/>
                <w:sz w:val="22"/>
                <w:szCs w:val="22"/>
                <w:rFonts w:cs="Arial" w:ascii="Arial" w:hAnsi="Arial"/>
              </w:rPr>
              <w:fldChar w:fldCharType="end"/>
            </w:r>
            <w:bookmarkStart w:id="2" w:name="Check13_Copy_1"/>
            <w:bookmarkEnd w:id="2"/>
            <w:r>
              <w:rPr>
                <w:rFonts w:cs="Arial" w:ascii="Arial" w:hAnsi="Arial"/>
                <w:sz w:val="22"/>
                <w:szCs w:val="22"/>
              </w:rPr>
              <w:t xml:space="preserve">    2</w:t>
            </w:r>
            <w:r>
              <w:rPr>
                <w:rFonts w:cs="Arial" w:ascii="Arial" w:hAnsi="Arial"/>
                <w:sz w:val="22"/>
                <w:szCs w:val="22"/>
                <w:vertAlign w:val="superscript"/>
              </w:rPr>
              <w:t>nd</w:t>
            </w:r>
            <w:r>
              <w:rPr>
                <w:rFonts w:cs="Arial" w:ascii="Arial" w:hAnsi="Arial"/>
                <w:sz w:val="22"/>
                <w:szCs w:val="22"/>
              </w:rPr>
              <w:t xml:space="preserve">  </w:t>
            </w:r>
            <w:r>
              <w:fldChar w:fldCharType="begin">
                <w:ffData>
                  <w:name w:val="Check14"/>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3" w:name="Check14"/>
            <w:bookmarkStart w:id="4" w:name="Check14"/>
            <w:bookmarkEnd w:id="4"/>
            <w:r>
              <w:rPr>
                <w:rFonts w:cs="Arial" w:ascii="Arial" w:hAnsi="Arial"/>
                <w:sz w:val="22"/>
                <w:szCs w:val="22"/>
              </w:rPr>
            </w:r>
            <w:r>
              <w:rPr>
                <w:sz w:val="22"/>
                <w:szCs w:val="22"/>
                <w:rFonts w:cs="Arial" w:ascii="Arial" w:hAnsi="Arial"/>
              </w:rPr>
              <w:fldChar w:fldCharType="end"/>
            </w:r>
            <w:bookmarkStart w:id="5" w:name="Check14_Copy_1"/>
            <w:bookmarkEnd w:id="5"/>
            <w:r>
              <w:rPr>
                <w:rFonts w:cs="Arial" w:ascii="Arial" w:hAnsi="Arial"/>
                <w:sz w:val="22"/>
                <w:szCs w:val="22"/>
              </w:rPr>
              <w:t xml:space="preserve">     3</w:t>
            </w:r>
            <w:r>
              <w:rPr>
                <w:rFonts w:cs="Arial" w:ascii="Arial" w:hAnsi="Arial"/>
                <w:sz w:val="22"/>
                <w:szCs w:val="22"/>
                <w:vertAlign w:val="superscript"/>
              </w:rPr>
              <w:t>rd</w:t>
            </w:r>
            <w:r>
              <w:rPr>
                <w:rFonts w:cs="Arial" w:ascii="Arial" w:hAnsi="Arial"/>
                <w:sz w:val="22"/>
                <w:szCs w:val="22"/>
              </w:rPr>
              <w:t xml:space="preserve">  </w:t>
            </w:r>
            <w:r>
              <w:fldChar w:fldCharType="begin">
                <w:ffData>
                  <w:name w:val="Check15"/>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6" w:name="Check15"/>
            <w:bookmarkStart w:id="7" w:name="Check15"/>
            <w:bookmarkEnd w:id="7"/>
            <w:r>
              <w:rPr>
                <w:rFonts w:cs="Arial" w:ascii="Arial" w:hAnsi="Arial"/>
                <w:sz w:val="22"/>
                <w:szCs w:val="22"/>
              </w:rPr>
            </w:r>
            <w:r>
              <w:rPr>
                <w:sz w:val="22"/>
                <w:szCs w:val="22"/>
                <w:rFonts w:cs="Arial" w:ascii="Arial" w:hAnsi="Arial"/>
              </w:rPr>
              <w:fldChar w:fldCharType="end"/>
            </w:r>
            <w:bookmarkStart w:id="8" w:name="Check15_Copy_1"/>
            <w:bookmarkEnd w:id="8"/>
            <w:r>
              <w:rPr>
                <w:rFonts w:cs="Arial" w:ascii="Arial" w:hAnsi="Arial"/>
                <w:sz w:val="22"/>
                <w:szCs w:val="22"/>
              </w:rPr>
              <w:t xml:space="preserve">      4</w:t>
            </w:r>
            <w:r>
              <w:rPr>
                <w:rFonts w:cs="Arial" w:ascii="Arial" w:hAnsi="Arial"/>
                <w:sz w:val="22"/>
                <w:szCs w:val="22"/>
                <w:vertAlign w:val="superscript"/>
              </w:rPr>
              <w:t>th</w:t>
            </w:r>
            <w:r>
              <w:rPr>
                <w:rFonts w:cs="Arial" w:ascii="Arial" w:hAnsi="Arial"/>
                <w:sz w:val="22"/>
                <w:szCs w:val="22"/>
              </w:rPr>
              <w:t xml:space="preserve"> </w:t>
            </w:r>
            <w:r>
              <w:fldChar w:fldCharType="begin">
                <w:ffData>
                  <w:name w:val="Check16"/>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9" w:name="Check16"/>
            <w:bookmarkStart w:id="10" w:name="Check16"/>
            <w:bookmarkEnd w:id="10"/>
            <w:r>
              <w:rPr>
                <w:rFonts w:cs="Arial" w:ascii="Arial" w:hAnsi="Arial"/>
                <w:sz w:val="22"/>
                <w:szCs w:val="22"/>
              </w:rPr>
            </w:r>
            <w:r>
              <w:rPr>
                <w:sz w:val="22"/>
                <w:szCs w:val="22"/>
                <w:rFonts w:cs="Arial" w:ascii="Arial" w:hAnsi="Arial"/>
              </w:rPr>
              <w:fldChar w:fldCharType="end"/>
            </w:r>
            <w:bookmarkStart w:id="11" w:name="Check16_Copy_1"/>
            <w:bookmarkEnd w:id="11"/>
            <w:r>
              <w:rPr>
                <w:rFonts w:cs="Arial" w:ascii="Arial" w:hAnsi="Arial"/>
                <w:sz w:val="22"/>
                <w:szCs w:val="22"/>
              </w:rPr>
              <w:t xml:space="preserve">      5</w:t>
            </w:r>
            <w:r>
              <w:rPr>
                <w:rFonts w:cs="Arial" w:ascii="Arial" w:hAnsi="Arial"/>
                <w:sz w:val="22"/>
                <w:szCs w:val="22"/>
                <w:vertAlign w:val="superscript"/>
              </w:rPr>
              <w:t>th</w:t>
            </w:r>
            <w:r>
              <w:rPr>
                <w:rFonts w:cs="Arial" w:ascii="Arial" w:hAnsi="Arial"/>
                <w:sz w:val="22"/>
                <w:szCs w:val="22"/>
              </w:rPr>
              <w:t xml:space="preserve"> </w:t>
            </w:r>
            <w:r>
              <w:fldChar w:fldCharType="begin">
                <w:ffData>
                  <w:name w:val="Check17"/>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2" w:name="Check17"/>
            <w:bookmarkStart w:id="13" w:name="Check17"/>
            <w:bookmarkEnd w:id="13"/>
            <w:r>
              <w:rPr>
                <w:rFonts w:cs="Arial" w:ascii="Arial" w:hAnsi="Arial"/>
                <w:sz w:val="22"/>
                <w:szCs w:val="22"/>
              </w:rPr>
            </w:r>
            <w:r>
              <w:rPr>
                <w:sz w:val="22"/>
                <w:szCs w:val="22"/>
                <w:rFonts w:cs="Arial" w:ascii="Arial" w:hAnsi="Arial"/>
              </w:rPr>
              <w:fldChar w:fldCharType="end"/>
            </w:r>
            <w:bookmarkStart w:id="14" w:name="Check17_Copy_1"/>
            <w:bookmarkEnd w:id="14"/>
            <w:r>
              <w:rPr>
                <w:rFonts w:cs="Arial" w:ascii="Arial" w:hAnsi="Arial"/>
                <w:sz w:val="22"/>
                <w:szCs w:val="22"/>
              </w:rPr>
              <w:t xml:space="preserve">      6</w:t>
            </w:r>
            <w:r>
              <w:rPr>
                <w:rFonts w:cs="Arial" w:ascii="Arial" w:hAnsi="Arial"/>
                <w:sz w:val="22"/>
                <w:szCs w:val="22"/>
                <w:vertAlign w:val="superscript"/>
              </w:rPr>
              <w:t>th</w:t>
            </w:r>
            <w:r>
              <w:rPr>
                <w:rFonts w:cs="Arial" w:ascii="Arial" w:hAnsi="Arial"/>
                <w:sz w:val="22"/>
                <w:szCs w:val="22"/>
              </w:rPr>
              <w:t xml:space="preserve"> </w:t>
            </w:r>
            <w:r>
              <w:fldChar w:fldCharType="begin">
                <w:ffData>
                  <w:name w:val="Check18"/>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5" w:name="Check18"/>
            <w:bookmarkStart w:id="16" w:name="Check18"/>
            <w:bookmarkEnd w:id="16"/>
            <w:r/>
            <w:r>
              <w:rPr>
                <w:sz w:val="22"/>
                <w:szCs w:val="22"/>
                <w:rFonts w:cs="Arial" w:ascii="Arial" w:hAnsi="Arial"/>
              </w:rPr>
              <w:fldChar w:fldCharType="end"/>
            </w:r>
            <w:r>
              <w:rPr>
                <w:rFonts w:cs="Arial" w:ascii="Arial" w:hAnsi="Arial"/>
                <w:sz w:val="22"/>
                <w:szCs w:val="22"/>
              </w:rPr>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shd w:fill="D9D9D9" w:val="clear"/>
          </w:tcPr>
          <w:p>
            <w:pPr>
              <w:pStyle w:val="NormalWeb"/>
              <w:bidi w:val="0"/>
              <w:spacing w:before="0" w:after="0"/>
              <w:ind w:end="34"/>
              <w:jc w:val="start"/>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bidi w:val="0"/>
              <w:spacing w:before="0" w:after="0"/>
              <w:ind w:end="34"/>
              <w:jc w:val="start"/>
              <w:rPr>
                <w:rFonts w:ascii="Arial" w:hAnsi="Arial" w:cs="Arial"/>
                <w:sz w:val="22"/>
                <w:szCs w:val="22"/>
              </w:rPr>
            </w:pPr>
            <w:r>
              <w:rPr>
                <w:rFonts w:cs="Arial" w:ascii="Arial" w:hAnsi="Arial"/>
                <w:sz w:val="22"/>
                <w:szCs w:val="22"/>
              </w:rPr>
              <w:t xml:space="preserve">Signed </w:t>
            </w:r>
            <w:r>
              <w:rPr>
                <w:rFonts w:cs="Arial" w:ascii="Arial" w:hAnsi="Arial"/>
                <w:sz w:val="22"/>
                <w:szCs w:val="22"/>
              </w:rPr>
              <w:t>Doris Maat</w:t>
            </w:r>
            <w:r>
              <w:rPr>
                <w:rFonts w:cs="Arial" w:ascii="Arial" w:hAnsi="Arial"/>
                <w:sz w:val="22"/>
                <w:szCs w:val="22"/>
              </w:rPr>
              <w:t>……………………………………………………………</w:t>
            </w:r>
          </w:p>
          <w:p>
            <w:pPr>
              <w:pStyle w:val="NormalWeb"/>
              <w:bidi w:val="0"/>
              <w:spacing w:before="0" w:after="0"/>
              <w:ind w:end="34"/>
              <w:jc w:val="start"/>
              <w:rPr/>
            </w:pPr>
            <w:r>
              <w:rPr>
                <w:rFonts w:cs="Tahoma" w:ascii="Calibri" w:hAnsi="Calibri"/>
                <w:b/>
                <w:sz w:val="24"/>
                <w:szCs w:val="24"/>
              </w:rPr>
              <w:t xml:space="preserve">Email submission: if you are submitting this form via email, please tick this box </w:t>
            </w:r>
            <w:r>
              <w:rPr>
                <w:rFonts w:cs="Calibri" w:ascii="Calibri" w:hAnsi="Calibri"/>
                <w:b/>
                <w:sz w:val="44"/>
                <w:szCs w:val="44"/>
              </w:rPr>
              <w:t>□</w:t>
            </w:r>
          </w:p>
          <w:p>
            <w:pPr>
              <w:pStyle w:val="NormalWeb"/>
              <w:bidi w:val="0"/>
              <w:spacing w:before="0" w:after="0"/>
              <w:ind w:end="34"/>
              <w:jc w:val="start"/>
              <w:rPr>
                <w:rFonts w:ascii="Calibri" w:hAnsi="Calibri" w:cs="Tahoma"/>
                <w:b/>
                <w:sz w:val="24"/>
                <w:szCs w:val="24"/>
              </w:rPr>
            </w:pPr>
            <w:r>
              <w:rPr>
                <w:rFonts w:cs="Tahoma" w:ascii="Calibri" w:hAnsi="Calibri"/>
                <w:b/>
                <w:sz w:val="24"/>
                <w:szCs w:val="24"/>
              </w:rPr>
              <w:t>(as a substitute for your signature) to confirm that you agree to the above declaration.</w:t>
            </w:r>
          </w:p>
        </w:tc>
      </w:tr>
      <w:tr>
        <w:trPr>
          <w:trHeight w:val="3972"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rPr>
            </w:pPr>
            <w:r>
              <w:rPr>
                <w:rFonts w:cs="Arial" w:ascii="Arial" w:hAnsi="Arial"/>
                <w:b/>
              </w:rPr>
              <w:t>Assignment Mark</w:t>
            </w:r>
          </w:p>
          <w:tbl>
            <w:tblPr>
              <w:tblW w:w="8630" w:type="dxa"/>
              <w:jc w:val="start"/>
              <w:tblInd w:w="0" w:type="dxa"/>
              <w:tblLayout w:type="fixed"/>
              <w:tblCellMar>
                <w:top w:w="0" w:type="dxa"/>
                <w:start w:w="108" w:type="dxa"/>
                <w:bottom w:w="0" w:type="dxa"/>
                <w:end w:w="108" w:type="dxa"/>
              </w:tblCellMar>
            </w:tblPr>
            <w:tblGrid>
              <w:gridCol w:w="6969"/>
              <w:gridCol w:w="1660"/>
            </w:tblGrid>
            <w:tr>
              <w:trPr/>
              <w:tc>
                <w:tcPr>
                  <w:tcW w:w="6969" w:type="dxa"/>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sz w:val="20"/>
                      <w:szCs w:val="20"/>
                    </w:rPr>
                  </w:pPr>
                  <w:r>
                    <w:rPr>
                      <w:rFonts w:cs="Arial" w:ascii="Arial" w:hAnsi="Arial"/>
                      <w:sz w:val="20"/>
                      <w:szCs w:val="20"/>
                    </w:rPr>
                  </w:r>
                </w:p>
                <w:p>
                  <w:pPr>
                    <w:pStyle w:val="Normal"/>
                    <w:bidi w:val="0"/>
                    <w:jc w:val="start"/>
                    <w:rPr>
                      <w:rFonts w:ascii="Arial" w:hAnsi="Arial" w:cs="Arial"/>
                      <w:b/>
                      <w:sz w:val="20"/>
                      <w:szCs w:val="20"/>
                    </w:rPr>
                  </w:pPr>
                  <w:r>
                    <w:rPr>
                      <w:rFonts w:cs="Arial" w:ascii="Arial" w:hAnsi="Arial"/>
                      <w:b/>
                      <w:sz w:val="20"/>
                      <w:szCs w:val="20"/>
                    </w:rPr>
                    <w:t>Final Mark</w:t>
                  </w:r>
                </w:p>
                <w:p>
                  <w:pPr>
                    <w:pStyle w:val="Normal"/>
                    <w:bidi w:val="0"/>
                    <w:jc w:val="start"/>
                    <w:rPr>
                      <w:rFonts w:ascii="Arial" w:hAnsi="Arial" w:cs="Arial"/>
                      <w:b/>
                      <w:sz w:val="20"/>
                      <w:szCs w:val="20"/>
                    </w:rPr>
                  </w:pPr>
                  <w:r>
                    <w:rPr>
                      <w:rFonts w:cs="Arial" w:ascii="Arial" w:hAnsi="Arial"/>
                      <w:b/>
                      <w:sz w:val="20"/>
                      <w:szCs w:val="20"/>
                    </w:rPr>
                  </w:r>
                </w:p>
              </w:tc>
              <w:tc>
                <w:tcPr>
                  <w:tcW w:w="1660" w:type="dxa"/>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0"/>
                      <w:szCs w:val="20"/>
                    </w:rPr>
                  </w:pPr>
                  <w:r>
                    <w:rPr>
                      <w:rFonts w:cs="Arial" w:ascii="Arial" w:hAnsi="Arial"/>
                      <w:sz w:val="20"/>
                      <w:szCs w:val="20"/>
                    </w:rPr>
                    <w:t>WILL BE GIVEN ON TURNITIN</w:t>
                  </w:r>
                </w:p>
              </w:tc>
            </w:tr>
          </w:tbl>
          <w:p>
            <w:pPr>
              <w:pStyle w:val="NormalWeb"/>
              <w:bidi w:val="0"/>
              <w:spacing w:before="0" w:after="0"/>
              <w:ind w:start="142" w:end="34"/>
              <w:jc w:val="start"/>
              <w:rPr>
                <w:rFonts w:ascii="Arial" w:hAnsi="Arial" w:cs="Arial"/>
                <w:b/>
                <w:sz w:val="22"/>
                <w:szCs w:val="22"/>
              </w:rPr>
            </w:pPr>
            <w:r>
              <w:rPr>
                <w:rFonts w:cs="Arial" w:ascii="Arial" w:hAnsi="Arial"/>
                <w:b/>
                <w:sz w:val="22"/>
                <w:szCs w:val="22"/>
              </w:rPr>
            </w:r>
          </w:p>
          <w:p>
            <w:pPr>
              <w:pStyle w:val="NormalWeb"/>
              <w:bidi w:val="0"/>
              <w:spacing w:before="0" w:after="0"/>
              <w:ind w:start="142" w:end="34"/>
              <w:jc w:val="start"/>
              <w:rPr/>
            </w:pPr>
            <w:r>
              <w:rPr>
                <w:rFonts w:cs="Arial" w:ascii="Arial" w:hAnsi="Arial"/>
                <w:b/>
                <w:sz w:val="22"/>
                <w:szCs w:val="22"/>
              </w:rPr>
              <w:t>NB.</w:t>
            </w:r>
            <w:r>
              <w:rPr>
                <w:rFonts w:cs="Arial" w:ascii="Arial" w:hAnsi="Arial"/>
                <w:sz w:val="22"/>
                <w:szCs w:val="22"/>
              </w:rPr>
              <w:t xml:space="preserve">  All marks are provisional until confirmed by the Final Examination Board.</w:t>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rFonts w:ascii="Arial" w:hAnsi="Arial" w:cs="Arial"/>
                <w:b/>
                <w:sz w:val="22"/>
                <w:szCs w:val="22"/>
              </w:rPr>
            </w:pPr>
            <w:r>
              <w:rPr>
                <w:rFonts w:cs="Arial" w:ascii="Arial" w:hAnsi="Arial"/>
                <w:b/>
                <w:sz w:val="22"/>
                <w:szCs w:val="22"/>
              </w:rPr>
              <w:t>PLEASE NOTE: ALL COMMENTS WIL BE POSTED ON TURNITIN</w:t>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rFonts w:ascii="Arial" w:hAnsi="Arial" w:cs="Arial"/>
                <w:b/>
                <w:sz w:val="22"/>
                <w:szCs w:val="22"/>
              </w:rPr>
            </w:pPr>
            <w:r>
              <w:rPr>
                <w:rFonts w:cs="Arial" w:ascii="Arial" w:hAnsi="Arial"/>
                <w:b/>
                <w:sz w:val="22"/>
                <w:szCs w:val="22"/>
              </w:rPr>
            </w:r>
          </w:p>
          <w:p>
            <w:pPr>
              <w:pStyle w:val="NormalWeb"/>
              <w:bidi w:val="0"/>
              <w:spacing w:before="0" w:after="0"/>
              <w:jc w:val="start"/>
              <w:rPr>
                <w:rFonts w:ascii="Arial" w:hAnsi="Arial" w:cs="Arial"/>
                <w:b/>
                <w:sz w:val="22"/>
                <w:szCs w:val="22"/>
              </w:rPr>
            </w:pPr>
            <w:r>
              <w:rPr>
                <w:rFonts w:cs="Arial" w:ascii="Arial" w:hAnsi="Arial"/>
                <w:b/>
                <w:sz w:val="22"/>
                <w:szCs w:val="22"/>
              </w:rPr>
              <w:t>For completion by Marker 1 :</w:t>
            </w:r>
          </w:p>
          <w:p>
            <w:pPr>
              <w:pStyle w:val="NormalWeb"/>
              <w:bidi w:val="0"/>
              <w:jc w:val="start"/>
              <w:rPr>
                <w:rFonts w:ascii="Arial" w:hAnsi="Arial" w:cs="Arial"/>
                <w:sz w:val="22"/>
                <w:szCs w:val="22"/>
              </w:rPr>
            </w:pPr>
            <w:r>
              <w:rPr>
                <w:rFonts w:cs="Arial" w:ascii="Arial" w:hAnsi="Arial"/>
                <w:sz w:val="22"/>
                <w:szCs w:val="22"/>
              </w:rPr>
              <w:t>Comments:</w:t>
            </w:r>
          </w:p>
          <w:p>
            <w:pPr>
              <w:pStyle w:val="NormalWeb"/>
              <w:bidi w:val="0"/>
              <w:spacing w:before="280" w:after="0"/>
              <w:jc w:val="start"/>
              <w:rPr>
                <w:rFonts w:ascii="Arial" w:hAnsi="Arial" w:cs="Arial"/>
                <w:sz w:val="22"/>
                <w:szCs w:val="22"/>
              </w:rPr>
            </w:pPr>
            <w:r>
              <w:rPr>
                <w:rFonts w:cs="Arial" w:ascii="Arial" w:hAnsi="Arial"/>
                <w:sz w:val="22"/>
                <w:szCs w:val="22"/>
              </w:rPr>
            </w:r>
          </w:p>
        </w:tc>
      </w:tr>
      <w:tr>
        <w:trPr>
          <w:trHeight w:val="492" w:hRule="atLeast"/>
        </w:trPr>
        <w:tc>
          <w:tcPr>
            <w:tcW w:w="6767"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280" w:after="0"/>
              <w:ind w:start="142" w:end="34"/>
              <w:jc w:val="start"/>
              <w:rPr>
                <w:rFonts w:ascii="Arial" w:hAnsi="Arial" w:cs="Arial"/>
                <w:sz w:val="22"/>
                <w:szCs w:val="22"/>
              </w:rPr>
            </w:pPr>
            <w:r>
              <w:rPr>
                <w:rFonts w:cs="Arial" w:ascii="Arial" w:hAnsi="Arial"/>
                <w:sz w:val="22"/>
                <w:szCs w:val="22"/>
              </w:rPr>
              <w:t>Marker’s signature:</w:t>
            </w:r>
          </w:p>
        </w:tc>
        <w:tc>
          <w:tcPr>
            <w:tcW w:w="2089" w:type="dxa"/>
            <w:gridSpan w:val="2"/>
            <w:tcBorders>
              <w:top w:val="single" w:sz="4" w:space="0" w:color="000000"/>
              <w:start w:val="single" w:sz="4" w:space="0" w:color="000000"/>
              <w:bottom w:val="single" w:sz="4" w:space="0" w:color="000000"/>
              <w:end w:val="single" w:sz="4" w:space="0" w:color="000000"/>
            </w:tcBorders>
          </w:tcPr>
          <w:p>
            <w:pPr>
              <w:pStyle w:val="NormalWeb"/>
              <w:bidi w:val="0"/>
              <w:spacing w:before="280" w:after="0"/>
              <w:ind w:start="142" w:end="34"/>
              <w:jc w:val="start"/>
              <w:rPr>
                <w:rFonts w:ascii="Arial" w:hAnsi="Arial" w:cs="Arial"/>
                <w:sz w:val="22"/>
                <w:szCs w:val="22"/>
              </w:rPr>
            </w:pPr>
            <w:r>
              <w:rPr>
                <w:rFonts w:cs="Arial" w:ascii="Arial" w:hAnsi="Arial"/>
                <w:sz w:val="22"/>
                <w:szCs w:val="22"/>
              </w:rPr>
              <w:t>Date:</w:t>
            </w:r>
          </w:p>
        </w:tc>
      </w:tr>
      <w:tr>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bidi w:val="0"/>
              <w:snapToGrid w:val="false"/>
              <w:spacing w:before="0" w:after="0"/>
              <w:ind w:end="-334"/>
              <w:jc w:val="start"/>
              <w:rPr>
                <w:rFonts w:ascii="Arial" w:hAnsi="Arial" w:cs="Arial"/>
                <w:bCs/>
                <w:i/>
                <w:i/>
                <w:sz w:val="22"/>
                <w:szCs w:val="22"/>
              </w:rPr>
            </w:pPr>
            <w:r>
              <w:rPr>
                <w:rFonts w:cs="Arial" w:ascii="Arial" w:hAnsi="Arial"/>
                <w:bCs/>
                <w:i/>
                <w:sz w:val="22"/>
                <w:szCs w:val="22"/>
              </w:rPr>
            </w:r>
          </w:p>
          <w:p>
            <w:pPr>
              <w:pStyle w:val="NormalWeb"/>
              <w:bidi w:val="0"/>
              <w:spacing w:before="0" w:after="0"/>
              <w:ind w:end="-334"/>
              <w:jc w:val="start"/>
              <w:rPr>
                <w:rFonts w:ascii="Arial" w:hAnsi="Arial" w:cs="Arial"/>
                <w:b/>
                <w:bCs/>
                <w:sz w:val="22"/>
                <w:szCs w:val="22"/>
              </w:rPr>
            </w:pPr>
            <w:r>
              <w:rPr>
                <w:rFonts w:cs="Arial" w:ascii="Arial" w:hAnsi="Arial"/>
                <w:b/>
                <w:bCs/>
                <w:sz w:val="22"/>
                <w:szCs w:val="22"/>
              </w:rPr>
              <w:t>For completion by Marker 2/Moderator:</w:t>
            </w:r>
          </w:p>
          <w:p>
            <w:pPr>
              <w:pStyle w:val="NormalWeb"/>
              <w:bidi w:val="0"/>
              <w:spacing w:before="0" w:after="0"/>
              <w:ind w:end="-334"/>
              <w:jc w:val="start"/>
              <w:rPr>
                <w:rFonts w:ascii="Arial" w:hAnsi="Arial" w:cs="Arial"/>
                <w:b/>
                <w:bCs/>
                <w:sz w:val="22"/>
                <w:szCs w:val="22"/>
              </w:rPr>
            </w:pPr>
            <w:r>
              <w:rPr>
                <w:rFonts w:cs="Arial" w:ascii="Arial" w:hAnsi="Arial"/>
                <w:b/>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t>Comments:</w:t>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tc>
      </w:tr>
      <w:tr>
        <w:trPr>
          <w:trHeight w:val="720" w:hRule="atLeast"/>
        </w:trPr>
        <w:tc>
          <w:tcPr>
            <w:tcW w:w="5210" w:type="dxa"/>
            <w:gridSpan w:val="2"/>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34"/>
              <w:jc w:val="start"/>
              <w:rPr>
                <w:rFonts w:ascii="Arial" w:hAnsi="Arial" w:cs="Arial"/>
                <w:bCs/>
                <w:sz w:val="22"/>
                <w:szCs w:val="22"/>
              </w:rPr>
            </w:pPr>
            <w:r>
              <w:rPr>
                <w:rFonts w:cs="Arial" w:ascii="Arial" w:hAnsi="Arial"/>
                <w:bCs/>
                <w:sz w:val="22"/>
                <w:szCs w:val="22"/>
              </w:rPr>
              <w:t>Marker’s Signature:</w:t>
            </w:r>
          </w:p>
        </w:tc>
        <w:tc>
          <w:tcPr>
            <w:tcW w:w="3646" w:type="dxa"/>
            <w:gridSpan w:val="3"/>
            <w:tcBorders>
              <w:top w:val="single" w:sz="4" w:space="0" w:color="000000"/>
              <w:start w:val="single" w:sz="4" w:space="0" w:color="000000"/>
              <w:bottom w:val="single" w:sz="4" w:space="0" w:color="000000"/>
              <w:end w:val="single" w:sz="4" w:space="0" w:color="000000"/>
            </w:tcBorders>
          </w:tcPr>
          <w:p>
            <w:pPr>
              <w:pStyle w:val="NormalWeb"/>
              <w:bidi w:val="0"/>
              <w:spacing w:before="0" w:after="0"/>
              <w:ind w:end="-334"/>
              <w:jc w:val="start"/>
              <w:rPr>
                <w:rFonts w:ascii="Arial" w:hAnsi="Arial" w:cs="Arial"/>
                <w:bCs/>
                <w:sz w:val="22"/>
                <w:szCs w:val="22"/>
              </w:rPr>
            </w:pPr>
            <w:r>
              <w:rPr>
                <w:rFonts w:cs="Arial" w:ascii="Arial" w:hAnsi="Arial"/>
                <w:bCs/>
                <w:sz w:val="22"/>
                <w:szCs w:val="22"/>
              </w:rPr>
              <w:t>Date:</w:t>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AGREED INTERNAL MARK (where necessary):</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t>Comment on process of arriving at agreed mark:</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External Examiner’s comments (if relevant)</w:t>
            </w:r>
          </w:p>
          <w:p>
            <w:pPr>
              <w:pStyle w:val="NormalWeb"/>
              <w:bidi w:val="0"/>
              <w:spacing w:before="0" w:after="0"/>
              <w:ind w:end="-334"/>
              <w:jc w:val="start"/>
              <w:rPr>
                <w:rFonts w:ascii="Arial" w:hAnsi="Arial" w:cs="Arial"/>
                <w:b/>
                <w:bCs/>
                <w:sz w:val="22"/>
                <w:szCs w:val="22"/>
              </w:rPr>
            </w:pPr>
            <w:r>
              <w:rPr>
                <w:rFonts w:cs="Arial" w:ascii="Arial" w:hAnsi="Arial"/>
                <w:b/>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p>
            <w:pPr>
              <w:pStyle w:val="NormalWeb"/>
              <w:bidi w:val="0"/>
              <w:spacing w:before="0" w:after="0"/>
              <w:ind w:end="-334"/>
              <w:jc w:val="start"/>
              <w:rPr>
                <w:rFonts w:ascii="Arial" w:hAnsi="Arial" w:cs="Arial"/>
                <w:bCs/>
                <w:sz w:val="22"/>
                <w:szCs w:val="22"/>
              </w:rPr>
            </w:pPr>
            <w:r>
              <w:rPr>
                <w:rFonts w:cs="Arial" w:ascii="Arial" w:hAnsi="Arial"/>
                <w:bCs/>
                <w:sz w:val="22"/>
                <w:szCs w:val="22"/>
              </w:rPr>
            </w:r>
          </w:p>
        </w:tc>
      </w:tr>
      <w:tr>
        <w:trPr>
          <w:trHeight w:val="720" w:hRule="atLeast"/>
        </w:trPr>
        <w:tc>
          <w:tcPr>
            <w:tcW w:w="5210" w:type="dxa"/>
            <w:gridSpan w:val="2"/>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External Examiner’s Signature:</w:t>
            </w:r>
          </w:p>
        </w:tc>
        <w:tc>
          <w:tcPr>
            <w:tcW w:w="3646" w:type="dxa"/>
            <w:gridSpan w:val="3"/>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Date:</w:t>
            </w:r>
          </w:p>
        </w:tc>
      </w:tr>
    </w:tbl>
    <w:p>
      <w:pPr>
        <w:pStyle w:val="NormalWeb"/>
        <w:bidi w:val="0"/>
        <w:spacing w:before="280" w:after="280"/>
        <w:jc w:val="start"/>
        <w:rPr/>
      </w:pPr>
      <w:r>
        <w:rPr/>
      </w:r>
      <w:r>
        <w:br w:type="page"/>
      </w:r>
    </w:p>
    <w:p>
      <w:pPr>
        <w:pStyle w:val="NormalWeb"/>
        <w:bidi w:val="0"/>
        <w:spacing w:lineRule="auto" w:line="240" w:before="0" w:after="280"/>
        <w:jc w:val="start"/>
        <w:rPr>
          <w:rFonts w:ascii="Times New Roman" w:hAnsi="Times New Roman"/>
          <w:sz w:val="24"/>
          <w:szCs w:val="24"/>
        </w:rPr>
      </w:pPr>
      <w:r>
        <w:rPr>
          <w:rFonts w:ascii="Times New Roman" w:hAnsi="Times New Roman"/>
          <w:sz w:val="24"/>
          <w:szCs w:val="24"/>
        </w:rPr>
      </w:r>
    </w:p>
    <w:p>
      <w:pPr>
        <w:pStyle w:val="NormalWeb"/>
        <w:bidi w:val="0"/>
        <w:spacing w:lineRule="auto" w:line="240" w:before="0" w:after="274"/>
        <w:contextualSpacing/>
        <w:jc w:val="center"/>
        <w:rPr>
          <w:rFonts w:ascii="Times New Roman" w:hAnsi="Times New Roman"/>
          <w:b/>
          <w:bCs/>
          <w:sz w:val="24"/>
          <w:szCs w:val="24"/>
        </w:rPr>
      </w:pPr>
      <w:r>
        <w:rPr>
          <w:rFonts w:ascii="Times New Roman" w:hAnsi="Times New Roman"/>
          <w:b/>
          <w:bCs/>
          <w:sz w:val="24"/>
          <w:szCs w:val="24"/>
        </w:rPr>
        <w:t>Explore the Cultural Significance of the Descent of Ishtar</w:t>
      </w:r>
    </w:p>
    <w:p>
      <w:pPr>
        <w:pStyle w:val="NormalWeb"/>
        <w:bidi w:val="0"/>
        <w:spacing w:lineRule="auto" w:line="240" w:before="0" w:after="274"/>
        <w:contextualSpacing/>
        <w:jc w:val="center"/>
        <w:rPr>
          <w:rFonts w:ascii="Times New Roman" w:hAnsi="Times New Roman"/>
          <w:b w:val="false"/>
          <w:bCs w:val="false"/>
          <w:sz w:val="24"/>
          <w:szCs w:val="24"/>
        </w:rPr>
      </w:pPr>
      <w:r>
        <w:rPr>
          <w:rFonts w:ascii="Times New Roman" w:hAnsi="Times New Roman"/>
          <w:b w:val="false"/>
          <w:bCs w:val="false"/>
          <w:sz w:val="24"/>
          <w:szCs w:val="24"/>
        </w:rPr>
      </w:r>
    </w:p>
    <w:p>
      <w:pPr>
        <w:pStyle w:val="NormalWeb"/>
        <w:bidi w:val="0"/>
        <w:spacing w:lineRule="auto" w:line="240" w:before="0" w:after="274"/>
        <w:contextualSpacing/>
        <w:jc w:val="center"/>
        <w:rPr>
          <w:rFonts w:ascii="Times New Roman" w:hAnsi="Times New Roman"/>
          <w:b w:val="false"/>
          <w:bCs w:val="false"/>
          <w:sz w:val="24"/>
          <w:szCs w:val="24"/>
        </w:rPr>
      </w:pPr>
      <w:r>
        <w:rPr>
          <w:rFonts w:ascii="Times New Roman" w:hAnsi="Times New Roman"/>
          <w:b w:val="false"/>
          <w:bCs w:val="false"/>
          <w:sz w:val="24"/>
          <w:szCs w:val="24"/>
        </w:rPr>
      </w:r>
    </w:p>
    <w:p>
      <w:pPr>
        <w:pStyle w:val="NormalWeb"/>
        <w:bidi w:val="0"/>
        <w:spacing w:lineRule="auto" w:line="240" w:before="0" w:after="274"/>
        <w:contextualSpacing/>
        <w:jc w:val="start"/>
        <w:rPr>
          <w:rFonts w:ascii="Times New Roman" w:hAnsi="Times New Roman"/>
          <w:b w:val="false"/>
          <w:bCs w:val="false"/>
          <w:i w:val="false"/>
          <w:i w:val="false"/>
          <w:iCs w:val="false"/>
          <w:sz w:val="24"/>
          <w:szCs w:val="24"/>
          <w:u w:val="single"/>
        </w:rPr>
      </w:pPr>
      <w:r>
        <w:rPr>
          <w:rFonts w:ascii="Times New Roman" w:hAnsi="Times New Roman"/>
          <w:b w:val="false"/>
          <w:bCs w:val="false"/>
          <w:i w:val="false"/>
          <w:iCs w:val="false"/>
          <w:sz w:val="24"/>
          <w:szCs w:val="24"/>
          <w:u w:val="single"/>
        </w:rPr>
        <w:t>Introduction</w:t>
      </w:r>
    </w:p>
    <w:p>
      <w:pPr>
        <w:pStyle w:val="NormalWeb"/>
        <w:bidi w:val="0"/>
        <w:spacing w:lineRule="auto" w:line="240" w:before="0" w:after="274"/>
        <w:contextualSpacing/>
        <w:jc w:val="start"/>
        <w:rPr>
          <w:u w:val="none"/>
        </w:rPr>
      </w:pPr>
      <w:r>
        <w:rPr>
          <w:rFonts w:ascii="Times New Roman" w:hAnsi="Times New Roman"/>
          <w:b w:val="false"/>
          <w:bCs w:val="false"/>
          <w:i w:val="false"/>
          <w:iCs w:val="false"/>
          <w:sz w:val="24"/>
          <w:szCs w:val="24"/>
          <w:u w:val="single"/>
        </w:rPr>
      </w:r>
    </w:p>
    <w:p>
      <w:pPr>
        <w:pStyle w:val="Normal"/>
        <w:bidi w:val="0"/>
        <w:jc w:val="start"/>
        <w:rPr/>
      </w:pPr>
      <w:r>
        <w:rPr>
          <w:u w:val="none"/>
        </w:rPr>
        <w:t xml:space="preserve">This essay will focus on the myth of the descent of Ishtar to the Nether World.  </w:t>
      </w:r>
      <w:r>
        <w:rPr>
          <w:u w:val="none"/>
        </w:rPr>
        <w:t xml:space="preserve">Although there are various versions of this myth (notably Sumerian, Akkadian and Babylonian), </w:t>
      </w:r>
      <w:r>
        <w:rPr>
          <w:u w:val="none"/>
        </w:rPr>
        <w:t xml:space="preserve">this essay will focus on the </w:t>
      </w:r>
      <w:r>
        <w:rPr>
          <w:u w:val="none"/>
        </w:rPr>
        <w:t>Akkadian version</w:t>
      </w:r>
      <w:r>
        <w:rPr>
          <w:rStyle w:val="FootnoteReference"/>
          <w:u w:val="none"/>
        </w:rPr>
        <w:footnoteReference w:id="2"/>
      </w:r>
      <w:r>
        <w:rPr>
          <w:u w:val="none"/>
        </w:rPr>
        <w:t xml:space="preserve"> and how it might have cultural significance in contemporary society in the realm of certain therapies.  The essay will address how some of the themes in the descent of Ishtar to the Nether World </w:t>
      </w:r>
      <w:r>
        <w:rPr>
          <w:u w:val="none"/>
        </w:rPr>
        <w:t>might</w:t>
      </w:r>
      <w:r>
        <w:rPr>
          <w:u w:val="none"/>
        </w:rPr>
        <w:t xml:space="preserve"> be seen in several p</w:t>
      </w:r>
      <w:r>
        <w:rPr>
          <w:u w:val="none"/>
        </w:rPr>
        <w:t xml:space="preserve">sychological </w:t>
      </w:r>
      <w:r>
        <w:rPr>
          <w:u w:val="none"/>
        </w:rPr>
        <w:t xml:space="preserve">treatment modalities.   </w:t>
      </w:r>
      <w:r>
        <w:rPr>
          <w:u w:val="none"/>
        </w:rPr>
        <w:t xml:space="preserve">The first treatment discussed is examining the phenomenon of near-death experiences </w:t>
      </w:r>
      <w:r>
        <w:rPr>
          <w:u w:val="none"/>
        </w:rPr>
        <w:t>or NDEs</w:t>
      </w:r>
      <w:r>
        <w:rPr>
          <w:u w:val="none"/>
        </w:rPr>
        <w:t xml:space="preserve"> </w:t>
      </w:r>
      <w:r>
        <w:rPr>
          <w:u w:val="none"/>
        </w:rPr>
        <w:t>(</w:t>
      </w:r>
      <w:r>
        <w:rPr>
          <w:u w:val="none"/>
        </w:rPr>
        <w:t>an often profound experience that has been understood to have great personal transformational potential for the person who has had one</w:t>
      </w:r>
      <w:r>
        <w:rPr>
          <w:u w:val="none"/>
        </w:rPr>
        <w:t xml:space="preserve">) </w:t>
      </w:r>
      <w:r>
        <w:rPr>
          <w:u w:val="none"/>
        </w:rPr>
        <w:t>and seeing how these could be used in a therapeutic context to help people with various psychological and general life issues.</w:t>
      </w:r>
      <w:r>
        <w:rPr>
          <w:u w:val="none"/>
        </w:rPr>
        <w:t xml:space="preserve">  The second is utilizing the belief (or even entertaining the possibility) of reincarnation as the basis for past life regression therapy.   </w:t>
      </w:r>
      <w:r>
        <w:rPr>
          <w:u w:val="none"/>
        </w:rPr>
        <w:t xml:space="preserve">Although unconventional, it has been used primarily to help resolve what the client may see as long-standing issues or difficulties.  The third approach is Psychedelic-assisted therapy.  As its name implies, it utilizes psychedelic </w:t>
      </w:r>
      <w:r>
        <w:rPr>
          <w:u w:val="none"/>
        </w:rPr>
        <w:t>drugs or plants to encourage healing.</w:t>
      </w:r>
      <w:r>
        <w:rPr>
          <w:u w:val="none"/>
        </w:rPr>
        <w:t xml:space="preserve">  </w:t>
      </w:r>
      <w:r>
        <w:rPr>
          <w:u w:val="none"/>
        </w:rPr>
        <w:t>A</w:t>
      </w:r>
      <w:r>
        <w:rPr>
          <w:u w:val="none"/>
        </w:rPr>
        <w:t xml:space="preserve">lthough all three of these modalities are not commonly used </w:t>
      </w:r>
      <w:r>
        <w:rPr>
          <w:u w:val="none"/>
        </w:rPr>
        <w:t>at this</w:t>
      </w:r>
      <w:r>
        <w:rPr>
          <w:u w:val="none"/>
        </w:rPr>
        <w:t xml:space="preserve"> point in time, they have been and continue to be researched and have b</w:t>
      </w:r>
      <w:r>
        <w:rPr>
          <w:u w:val="none"/>
        </w:rPr>
        <w:t xml:space="preserve">een </w:t>
      </w:r>
      <w:r>
        <w:rPr>
          <w:u w:val="none"/>
        </w:rPr>
        <w:t xml:space="preserve">used by many mental health professionals as a legitimate and often successful approach to healing a variety of mental health issues.  These therapies also sometimes used to </w:t>
      </w:r>
      <w:r>
        <w:rPr>
          <w:u w:val="none"/>
        </w:rPr>
        <w:t>help pati</w:t>
      </w:r>
      <w:r>
        <w:rPr>
          <w:u w:val="none"/>
        </w:rPr>
        <w:t>e</w:t>
      </w:r>
      <w:r>
        <w:rPr>
          <w:u w:val="none"/>
        </w:rPr>
        <w:t>nts or clients</w:t>
      </w:r>
      <w:r>
        <w:rPr>
          <w:u w:val="none"/>
        </w:rPr>
        <w:t xml:space="preserve"> deal with a variety of physical issues such as chronic pain.</w:t>
      </w:r>
    </w:p>
    <w:p>
      <w:pPr>
        <w:pStyle w:val="Normal"/>
        <w:bidi w:val="0"/>
        <w:jc w:val="start"/>
        <w:rPr>
          <w:u w:val="none"/>
        </w:rPr>
      </w:pPr>
      <w:r>
        <w:rPr/>
      </w:r>
    </w:p>
    <w:p>
      <w:pPr>
        <w:pStyle w:val="Normal"/>
        <w:bidi w:val="0"/>
        <w:jc w:val="start"/>
        <w:rPr>
          <w:i w:val="false"/>
          <w:i w:val="false"/>
          <w:iCs w:val="false"/>
          <w:u w:val="single"/>
        </w:rPr>
      </w:pPr>
      <w:r>
        <w:rPr>
          <w:i w:val="false"/>
          <w:iCs w:val="false"/>
          <w:u w:val="single"/>
        </w:rPr>
        <w:t>The Myth of the descent of Ishtar to the Nether World</w:t>
      </w:r>
    </w:p>
    <w:p>
      <w:pPr>
        <w:pStyle w:val="Normal"/>
        <w:bidi w:val="0"/>
        <w:jc w:val="start"/>
        <w:rPr>
          <w:u w:val="none"/>
        </w:rPr>
      </w:pPr>
      <w:r>
        <w:rPr>
          <w:i w:val="false"/>
          <w:iCs w:val="false"/>
          <w:u w:val="single"/>
        </w:rPr>
      </w:r>
    </w:p>
    <w:p>
      <w:pPr>
        <w:pStyle w:val="Normal"/>
        <w:bidi w:val="0"/>
        <w:jc w:val="start"/>
        <w:rPr>
          <w:i w:val="false"/>
          <w:i w:val="false"/>
          <w:iCs w:val="false"/>
          <w:u w:val="single"/>
        </w:rPr>
      </w:pPr>
      <w:r>
        <w:rPr>
          <w:i w:val="false"/>
          <w:iCs w:val="false"/>
          <w:u w:val="none"/>
        </w:rPr>
        <w:t>The myth begins with</w:t>
      </w:r>
      <w:r>
        <w:rPr>
          <w:i w:val="false"/>
          <w:iCs w:val="false"/>
          <w:u w:val="none"/>
        </w:rPr>
        <w:t xml:space="preserve"> Ishtar heading straight for the “Land of no Return” without hesitation. This is notable given that the “Land of No Return” is as it suggests – another term for the realm of death.  The myth makes this very clear by letting the reader/ listener know that there is no life here, no light, no way back out.  </w:t>
      </w:r>
      <w:r>
        <w:rPr>
          <w:i w:val="false"/>
          <w:iCs w:val="false"/>
          <w:u w:val="none"/>
        </w:rPr>
        <w:t>She is determined to enter this land of darkness and commands</w:t>
      </w:r>
      <w:r>
        <w:rPr>
          <w:i w:val="false"/>
          <w:iCs w:val="false"/>
          <w:u w:val="none"/>
        </w:rPr>
        <w:t xml:space="preserve"> </w:t>
      </w:r>
      <w:r>
        <w:rPr>
          <w:i w:val="false"/>
          <w:iCs w:val="false"/>
          <w:u w:val="none"/>
        </w:rPr>
        <w:t>and at times even threaten</w:t>
      </w:r>
      <w:r>
        <w:rPr>
          <w:i w:val="false"/>
          <w:iCs w:val="false"/>
          <w:u w:val="none"/>
        </w:rPr>
        <w:t>s</w:t>
      </w:r>
      <w:r>
        <w:rPr>
          <w:i w:val="false"/>
          <w:iCs w:val="false"/>
          <w:u w:val="none"/>
        </w:rPr>
        <w:t xml:space="preserve"> the gatekeeper (“I will smash the door”... raise up the dead.., etc.”) </w:t>
      </w:r>
      <w:r>
        <w:rPr>
          <w:i w:val="false"/>
          <w:iCs w:val="false"/>
          <w:u w:val="none"/>
        </w:rPr>
        <w:t xml:space="preserve">to let her in.  </w:t>
      </w:r>
      <w:r>
        <w:rPr>
          <w:i w:val="false"/>
          <w:iCs w:val="false"/>
          <w:u w:val="none"/>
        </w:rPr>
        <w:t>Th</w:t>
      </w:r>
      <w:r>
        <w:rPr>
          <w:i w:val="false"/>
          <w:iCs w:val="false"/>
          <w:u w:val="none"/>
        </w:rPr>
        <w:t>is suggests</w:t>
      </w:r>
      <w:r>
        <w:rPr>
          <w:i w:val="false"/>
          <w:iCs w:val="false"/>
          <w:u w:val="none"/>
        </w:rPr>
        <w:t xml:space="preserve"> she is quite confident of her powers, has no concerns for her safety and in fact could have eyes on taking over the Nether World from her sister (</w:t>
      </w:r>
      <w:r>
        <w:rPr>
          <w:i w:val="false"/>
          <w:iCs w:val="false"/>
          <w:u w:val="none"/>
        </w:rPr>
        <w:t xml:space="preserve">Ereshkigal, </w:t>
      </w:r>
      <w:r>
        <w:rPr>
          <w:i w:val="false"/>
          <w:iCs w:val="false"/>
          <w:u w:val="none"/>
        </w:rPr>
        <w:t xml:space="preserve">the ruler of the Nether World.)  </w:t>
      </w:r>
      <w:r>
        <w:rPr>
          <w:i w:val="false"/>
          <w:iCs w:val="false"/>
          <w:u w:val="none"/>
        </w:rPr>
        <w:t xml:space="preserve">Although angry and wondering what business Ishtar has there, her sister allows her in.  Ereshkigal commands that Ishtar be stripped 7 times </w:t>
      </w:r>
      <w:r>
        <w:rPr>
          <w:i w:val="false"/>
          <w:iCs w:val="false"/>
          <w:u w:val="none"/>
        </w:rPr>
        <w:t>from head to toe of all her jewels and clothing until she is naked.  Ishtar “flew at her” at which point her sister orders her to killed in a very detailed and torturous manner.  Her death created infertility of all things in the land of the living.  This upset the gods Papsukkal and their father, the god Sin.</w:t>
      </w:r>
      <w:r>
        <w:rPr>
          <w:i w:val="false"/>
          <w:iCs w:val="false"/>
          <w:u w:val="none"/>
        </w:rPr>
        <w:t xml:space="preserve"> They conspire to appease Ereshkigal by creating a lovely “eunuch” named Asushunamir to entice (trick?) Ereshkigal into restoring Ishtar to life and letting her leave the death realm. A deal is struck with Ereshkigal to let Ishtar go but in return, Asushunamir is cursed </w:t>
      </w:r>
      <w:r>
        <w:rPr>
          <w:i w:val="false"/>
          <w:iCs w:val="false"/>
          <w:u w:val="none"/>
        </w:rPr>
        <w:t>and Ishtar’s lover Tammuz is chosen to replace her (albeit with better treatment and amenities such as lovely garments and courtesans.)</w:t>
      </w:r>
      <w:r>
        <w:rPr>
          <w:rStyle w:val="FootnoteReference"/>
          <w:i w:val="false"/>
          <w:iCs w:val="false"/>
          <w:u w:val="none"/>
        </w:rPr>
        <w:footnoteReference w:id="3"/>
      </w:r>
      <w:r>
        <w:rPr>
          <w:i w:val="false"/>
          <w:iCs w:val="false"/>
          <w:u w:val="none"/>
        </w:rPr>
        <w:t xml:space="preserve"> </w:t>
      </w:r>
      <w:r>
        <w:rPr>
          <w:rStyle w:val="FootnoteReference"/>
          <w:i w:val="false"/>
          <w:iCs w:val="false"/>
          <w:u w:val="none"/>
        </w:rPr>
        <w:footnoteReference w:id="4"/>
      </w:r>
      <w:r>
        <w:rPr>
          <w:i w:val="false"/>
          <w:iCs w:val="false"/>
          <w:u w:val="none"/>
        </w:rPr>
        <w:t xml:space="preserve"> </w:t>
      </w:r>
    </w:p>
    <w:p>
      <w:pPr>
        <w:pStyle w:val="Normal"/>
        <w:bidi w:val="0"/>
        <w:jc w:val="start"/>
        <w:rPr>
          <w:u w:val="none"/>
        </w:rPr>
      </w:pPr>
      <w:r>
        <w:rPr>
          <w:i w:val="false"/>
          <w:iCs w:val="false"/>
          <w:u w:val="single"/>
        </w:rPr>
      </w:r>
    </w:p>
    <w:p>
      <w:pPr>
        <w:pStyle w:val="Normal"/>
        <w:bidi w:val="0"/>
        <w:jc w:val="start"/>
        <w:rPr>
          <w:b w:val="false"/>
          <w:bCs w:val="false"/>
          <w:i w:val="false"/>
          <w:i w:val="false"/>
          <w:iCs w:val="false"/>
          <w:u w:val="single"/>
        </w:rPr>
      </w:pPr>
      <w:r>
        <w:rPr>
          <w:b w:val="false"/>
          <w:bCs w:val="false"/>
          <w:i w:val="false"/>
          <w:iCs w:val="false"/>
          <w:u w:val="single"/>
        </w:rPr>
        <w:t>N</w:t>
      </w:r>
      <w:r>
        <w:rPr>
          <w:b w:val="false"/>
          <w:bCs w:val="false"/>
          <w:i w:val="false"/>
          <w:iCs w:val="false"/>
          <w:u w:val="single"/>
        </w:rPr>
        <w:t xml:space="preserve">ear-Death Experiences – </w:t>
      </w:r>
      <w:r>
        <w:rPr>
          <w:b w:val="false"/>
          <w:bCs w:val="false"/>
          <w:i w:val="false"/>
          <w:iCs w:val="false"/>
          <w:u w:val="single"/>
        </w:rPr>
        <w:t>Being compelled into the Nether World</w:t>
      </w:r>
    </w:p>
    <w:p>
      <w:pPr>
        <w:pStyle w:val="Normal"/>
        <w:bidi w:val="0"/>
        <w:jc w:val="start"/>
        <w:rPr>
          <w:u w:val="none"/>
        </w:rPr>
      </w:pPr>
      <w:r>
        <w:rPr>
          <w:b w:val="false"/>
          <w:bCs w:val="false"/>
          <w:i w:val="false"/>
          <w:iCs w:val="false"/>
          <w:u w:val="single"/>
        </w:rPr>
      </w:r>
    </w:p>
    <w:p>
      <w:pPr>
        <w:pStyle w:val="Normal"/>
        <w:bidi w:val="0"/>
        <w:jc w:val="start"/>
        <w:rPr>
          <w:b w:val="false"/>
          <w:bCs w:val="false"/>
          <w:i w:val="false"/>
          <w:i w:val="false"/>
          <w:iCs w:val="false"/>
          <w:u w:val="single"/>
        </w:rPr>
      </w:pPr>
      <w:r>
        <w:rPr>
          <w:b w:val="false"/>
          <w:bCs w:val="false"/>
          <w:i w:val="false"/>
          <w:iCs w:val="false"/>
          <w:u w:val="none"/>
        </w:rPr>
        <w:t xml:space="preserve">In Raymond Moody’s seminal work on near-death experiences (and in </w:t>
      </w:r>
      <w:r>
        <w:rPr>
          <w:b w:val="false"/>
          <w:bCs w:val="false"/>
          <w:i w:val="false"/>
          <w:iCs w:val="false"/>
          <w:u w:val="none"/>
        </w:rPr>
        <w:t>much of</w:t>
      </w:r>
      <w:r>
        <w:rPr>
          <w:b w:val="false"/>
          <w:bCs w:val="false"/>
          <w:i w:val="false"/>
          <w:iCs w:val="false"/>
          <w:u w:val="none"/>
        </w:rPr>
        <w:t xml:space="preserve"> </w:t>
      </w:r>
      <w:r>
        <w:rPr>
          <w:b w:val="false"/>
          <w:bCs w:val="false"/>
          <w:i w:val="false"/>
          <w:iCs w:val="false"/>
          <w:u w:val="none"/>
        </w:rPr>
        <w:t>the</w:t>
      </w:r>
      <w:r>
        <w:rPr>
          <w:b w:val="false"/>
          <w:bCs w:val="false"/>
          <w:i w:val="false"/>
          <w:iCs w:val="false"/>
          <w:u w:val="none"/>
        </w:rPr>
        <w:t xml:space="preserve"> research </w:t>
      </w:r>
      <w:r>
        <w:rPr>
          <w:b w:val="false"/>
          <w:bCs w:val="false"/>
          <w:i w:val="false"/>
          <w:iCs w:val="false"/>
          <w:u w:val="none"/>
        </w:rPr>
        <w:t>that followed</w:t>
      </w:r>
      <w:r>
        <w:rPr>
          <w:b w:val="false"/>
          <w:bCs w:val="false"/>
          <w:i w:val="false"/>
          <w:iCs w:val="false"/>
          <w:u w:val="none"/>
        </w:rPr>
        <w:t xml:space="preserve">), information was gathered about the experiences of people who had reported “remembering” or having vivid experiences in between the time that they died and were resuscitated, many of which had common themes.  The following are generalizations but are a sort of composite of </w:t>
      </w:r>
      <w:r>
        <w:rPr>
          <w:b w:val="false"/>
          <w:bCs w:val="false"/>
          <w:i w:val="false"/>
          <w:iCs w:val="false"/>
          <w:u w:val="none"/>
        </w:rPr>
        <w:t>some of</w:t>
      </w:r>
      <w:r>
        <w:rPr>
          <w:b w:val="false"/>
          <w:bCs w:val="false"/>
          <w:i w:val="false"/>
          <w:iCs w:val="false"/>
          <w:u w:val="none"/>
        </w:rPr>
        <w:t xml:space="preserve"> the more commonly experienced </w:t>
      </w:r>
      <w:r>
        <w:rPr>
          <w:b w:val="false"/>
          <w:bCs w:val="false"/>
          <w:i w:val="false"/>
          <w:iCs w:val="false"/>
          <w:u w:val="none"/>
        </w:rPr>
        <w:t>themes</w:t>
      </w:r>
      <w:r>
        <w:rPr>
          <w:b w:val="false"/>
          <w:bCs w:val="false"/>
          <w:i w:val="false"/>
          <w:iCs w:val="false"/>
          <w:u w:val="none"/>
        </w:rPr>
        <w:t>. First th</w:t>
      </w:r>
      <w:r>
        <w:rPr>
          <w:b w:val="false"/>
          <w:bCs w:val="false"/>
          <w:i w:val="false"/>
          <w:iCs w:val="false"/>
          <w:u w:val="none"/>
        </w:rPr>
        <w:t>e person</w:t>
      </w:r>
      <w:r>
        <w:rPr>
          <w:b w:val="false"/>
          <w:bCs w:val="false"/>
          <w:i w:val="false"/>
          <w:iCs w:val="false"/>
          <w:u w:val="none"/>
        </w:rPr>
        <w:t xml:space="preserve"> had the experience of what it felt like just before dying </w:t>
      </w:r>
      <w:r>
        <w:rPr>
          <w:b w:val="false"/>
          <w:bCs w:val="false"/>
          <w:i w:val="false"/>
          <w:iCs w:val="false"/>
          <w:u w:val="none"/>
        </w:rPr>
        <w:t xml:space="preserve">(if they were conscious.) </w:t>
      </w:r>
      <w:r>
        <w:rPr>
          <w:b w:val="false"/>
          <w:bCs w:val="false"/>
          <w:i w:val="false"/>
          <w:iCs w:val="false"/>
          <w:u w:val="none"/>
        </w:rPr>
        <w:t xml:space="preserve">There may have been discomfort, extreme pain, fear and confusion among other things.  </w:t>
      </w:r>
      <w:r>
        <w:rPr>
          <w:b w:val="false"/>
          <w:bCs w:val="false"/>
          <w:i w:val="false"/>
          <w:iCs w:val="false"/>
          <w:u w:val="none"/>
        </w:rPr>
        <w:t>He listed traits of near-death experiences that people described when dying or being declared dead: “ineffability, hearing oneself pronounced dead, overwhelming feelings of peace, hearing unusual sounds, seeing a tunnel, a sensation of being out of the body, seeing a “being of light”, meeting non-physical beings, a life review, a border or point of no return, coming back to life...”</w:t>
      </w:r>
      <w:r>
        <w:rPr>
          <w:rStyle w:val="FootnoteReference"/>
          <w:b w:val="false"/>
          <w:bCs w:val="false"/>
          <w:i w:val="false"/>
          <w:iCs w:val="false"/>
          <w:u w:val="none"/>
        </w:rPr>
        <w:footnoteReference w:id="5"/>
      </w:r>
      <w:r>
        <w:rPr>
          <w:b w:val="false"/>
          <w:bCs w:val="false"/>
          <w:i w:val="false"/>
          <w:iCs w:val="false"/>
          <w:u w:val="none"/>
        </w:rPr>
        <w:t xml:space="preserve">  After being resuscitated, there was a feeling of difficulty relating their experience to others but also a “...deepened appreciation for life, elimination of the fear of death and corroboration of out-of-body visions...”</w:t>
      </w:r>
      <w:r>
        <w:rPr>
          <w:rStyle w:val="FootnoteReference"/>
          <w:b w:val="false"/>
          <w:bCs w:val="false"/>
          <w:i w:val="false"/>
          <w:iCs w:val="false"/>
          <w:u w:val="none"/>
        </w:rPr>
        <w:footnoteReference w:id="6"/>
      </w:r>
      <w:r>
        <w:rPr>
          <w:b w:val="false"/>
          <w:bCs w:val="false"/>
          <w:i w:val="false"/>
          <w:iCs w:val="false"/>
          <w:u w:val="none"/>
        </w:rPr>
        <w:t xml:space="preserve"> (</w:t>
      </w:r>
      <w:r>
        <w:rPr>
          <w:b w:val="false"/>
          <w:bCs w:val="false"/>
          <w:i w:val="false"/>
          <w:iCs w:val="false"/>
          <w:u w:val="none"/>
        </w:rPr>
        <w:t>e.g. seeing doctors attempting to revive them).</w:t>
      </w:r>
    </w:p>
    <w:p>
      <w:pPr>
        <w:pStyle w:val="Normal"/>
        <w:bidi w:val="0"/>
        <w:jc w:val="start"/>
        <w:rPr>
          <w:u w:val="none"/>
        </w:rPr>
      </w:pPr>
      <w:r>
        <w:rPr>
          <w:b w:val="false"/>
          <w:bCs w:val="false"/>
          <w:i w:val="false"/>
          <w:iCs w:val="false"/>
          <w:u w:val="single"/>
        </w:rPr>
      </w:r>
    </w:p>
    <w:p>
      <w:pPr>
        <w:pStyle w:val="Normal"/>
        <w:bidi w:val="0"/>
        <w:jc w:val="start"/>
        <w:rPr>
          <w:b w:val="false"/>
          <w:bCs w:val="false"/>
          <w:i w:val="false"/>
          <w:i w:val="false"/>
          <w:iCs w:val="false"/>
          <w:u w:val="single"/>
        </w:rPr>
      </w:pPr>
      <w:r>
        <w:rPr>
          <w:b w:val="false"/>
          <w:bCs w:val="false"/>
          <w:i w:val="false"/>
          <w:iCs w:val="false"/>
          <w:u w:val="none"/>
        </w:rPr>
        <w:t xml:space="preserve">Ishtar seems quite determined to go headfirst into the realm of death without hesitation and with great desire.  In her case she appears confident that she can enter the Nether World without consequence.  She may even believe that she can conquer it and have dominion not only over the world of the living but of the dead as well.  At first it would seem that </w:t>
      </w:r>
      <w:r>
        <w:rPr>
          <w:b w:val="false"/>
          <w:bCs w:val="false"/>
          <w:i w:val="false"/>
          <w:iCs w:val="false"/>
          <w:u w:val="none"/>
        </w:rPr>
        <w:t xml:space="preserve">this scenario does not represent well the average human’s experience of dying and death.  Of course this is generalizing but at least on the surface, Ishtar’s approach to the land of death seems much more bold.  However, if we think of how many people, whether it is born out of their fear of death or just a need to feel a sense of control over their lives, can often approach the idea of death as if it is something we need to conquer or control.  Modern society has done a good job at “disappearing” death among the living. Most people who are sick or dying are segregated from the larger society. I remember close relatives remarking that they remembered old family members recalling when people were born, </w:t>
      </w:r>
      <w:r>
        <w:rPr>
          <w:b w:val="false"/>
          <w:bCs w:val="false"/>
          <w:i w:val="false"/>
          <w:iCs w:val="false"/>
          <w:u w:val="none"/>
        </w:rPr>
        <w:t>lived</w:t>
      </w:r>
      <w:r>
        <w:rPr>
          <w:b w:val="false"/>
          <w:bCs w:val="false"/>
          <w:i w:val="false"/>
          <w:iCs w:val="false"/>
          <w:u w:val="none"/>
        </w:rPr>
        <w:t xml:space="preserve"> and died within the same house. </w:t>
      </w:r>
      <w:r>
        <w:rPr>
          <w:b w:val="false"/>
          <w:bCs w:val="false"/>
          <w:i w:val="false"/>
          <w:iCs w:val="false"/>
          <w:u w:val="none"/>
        </w:rPr>
        <w:t>In modern society there is also a great desire (sometimes obsession) to try to stay (or at least appear to be) young.  As irrational as it might be, humans, like Ishtar seem to want to fight and conquer death.</w:t>
      </w:r>
    </w:p>
    <w:p>
      <w:pPr>
        <w:pStyle w:val="Normal"/>
        <w:bidi w:val="0"/>
        <w:jc w:val="start"/>
        <w:rPr>
          <w:b w:val="false"/>
          <w:bCs w:val="false"/>
          <w:i w:val="false"/>
          <w:i w:val="false"/>
          <w:iCs w:val="false"/>
          <w:u w:val="single"/>
        </w:rPr>
      </w:pPr>
      <w:r>
        <w:rPr>
          <w:b w:val="false"/>
          <w:bCs w:val="false"/>
          <w:i w:val="false"/>
          <w:iCs w:val="false"/>
          <w:u w:val="none"/>
        </w:rPr>
        <w:t>Like Ishtar who found herself stripped of all her finery and clothes, people who have near-death experiences describe themselves being “shed” of their body and perhaps much of what they thought they knew about themselves and life.  Like Ishtar, they die. They did not conquer death.  They are in the midst of it.</w:t>
      </w:r>
      <w:r>
        <w:rPr>
          <w:b w:val="false"/>
          <w:bCs w:val="false"/>
          <w:i w:val="false"/>
          <w:iCs w:val="false"/>
          <w:u w:val="none"/>
        </w:rPr>
        <w:t xml:space="preserve">  </w:t>
      </w:r>
      <w:r>
        <w:rPr>
          <w:b w:val="false"/>
          <w:bCs w:val="false"/>
          <w:i w:val="false"/>
          <w:iCs w:val="false"/>
          <w:u w:val="none"/>
        </w:rPr>
        <w:t>But also like her, they recall entities or people who are there to help them.</w:t>
      </w:r>
      <w:r>
        <w:rPr>
          <w:rStyle w:val="FootnoteReference"/>
          <w:b w:val="false"/>
          <w:bCs w:val="false"/>
          <w:i w:val="false"/>
          <w:iCs w:val="false"/>
          <w:u w:val="none"/>
        </w:rPr>
        <w:footnoteReference w:id="7"/>
      </w:r>
      <w:r>
        <w:rPr>
          <w:b w:val="false"/>
          <w:bCs w:val="false"/>
          <w:i w:val="false"/>
          <w:iCs w:val="false"/>
          <w:u w:val="none"/>
        </w:rPr>
        <w:t xml:space="preserve"> </w:t>
      </w:r>
      <w:r>
        <w:rPr>
          <w:b w:val="false"/>
          <w:bCs w:val="false"/>
          <w:i w:val="false"/>
          <w:iCs w:val="false"/>
          <w:u w:val="none"/>
        </w:rPr>
        <w:t>Still, they need to or decide to return to the living and “restore” or process what has happened to them.</w:t>
      </w:r>
    </w:p>
    <w:p>
      <w:pPr>
        <w:pStyle w:val="Normal"/>
        <w:bidi w:val="0"/>
        <w:jc w:val="start"/>
        <w:rPr>
          <w:b w:val="false"/>
          <w:bCs w:val="false"/>
          <w:i w:val="false"/>
          <w:i w:val="false"/>
          <w:iCs w:val="false"/>
          <w:u w:val="single"/>
        </w:rPr>
      </w:pPr>
      <w:r>
        <w:rPr>
          <w:b w:val="false"/>
          <w:bCs w:val="false"/>
          <w:i w:val="false"/>
          <w:iCs w:val="false"/>
          <w:u w:val="none"/>
        </w:rPr>
        <w:t>In a therapeutic context, it is can helpful for people who have had a near-death experince to try to fully grasp and inocorporate what they’ve “learned” or “brought back” with them.  Even just the act of the therapist or trusted friend giving witness and acknowledging what happened to them.  Their “guides” through this process, be they incarnate or otherwise seem to help.  When they have returned, people with near-death experiences share many “characteristic changes” such as the “… loss or fear of death; strengthened belief in life after death; feeling specially favored by [a] God; a new sense of purpose or mission; heightened self-esteem; increased compassion and love for others;, lessened concern for material gain, recognition or status; greater desire to serve others; increased ability to express feelings; increased focus on the present; deeper religious faith or heightened spirituality…” and a greater sense of “awe, meaning and purpose.”</w:t>
      </w:r>
      <w:r>
        <w:rPr>
          <w:rStyle w:val="FootnoteReference"/>
          <w:b w:val="false"/>
          <w:bCs w:val="false"/>
          <w:i w:val="false"/>
          <w:iCs w:val="false"/>
          <w:u w:val="none"/>
        </w:rPr>
        <w:footnoteReference w:id="8"/>
      </w:r>
      <w:r>
        <w:rPr>
          <w:b w:val="false"/>
          <w:bCs w:val="false"/>
          <w:i w:val="false"/>
          <w:iCs w:val="false"/>
          <w:u w:val="none"/>
        </w:rPr>
        <w:t xml:space="preserve">  </w:t>
      </w:r>
      <w:r>
        <w:rPr>
          <w:b w:val="false"/>
          <w:bCs w:val="false"/>
          <w:i w:val="false"/>
          <w:iCs w:val="false"/>
          <w:u w:val="none"/>
        </w:rPr>
        <w:t>Now they’ve had their “finery” and “jewels” restored to them.</w:t>
      </w:r>
    </w:p>
    <w:p>
      <w:pPr>
        <w:pStyle w:val="Normal"/>
        <w:bidi w:val="0"/>
        <w:jc w:val="start"/>
        <w:rPr>
          <w:u w:val="none"/>
        </w:rPr>
      </w:pPr>
      <w:r>
        <w:rPr>
          <w:b w:val="false"/>
          <w:bCs w:val="false"/>
          <w:i w:val="false"/>
          <w:iCs w:val="false"/>
          <w:u w:val="single"/>
        </w:rPr>
      </w:r>
    </w:p>
    <w:p>
      <w:pPr>
        <w:pStyle w:val="Normal"/>
        <w:bidi w:val="0"/>
        <w:jc w:val="start"/>
        <w:rPr>
          <w:b w:val="false"/>
          <w:bCs w:val="false"/>
          <w:i w:val="false"/>
          <w:i w:val="false"/>
          <w:iCs w:val="false"/>
          <w:u w:val="single"/>
        </w:rPr>
      </w:pPr>
      <w:r>
        <w:rPr>
          <w:b w:val="false"/>
          <w:bCs w:val="false"/>
          <w:i w:val="false"/>
          <w:iCs w:val="false"/>
          <w:u w:val="none"/>
        </w:rPr>
        <w:t>It’s also interesting to note that studies have found that even people who have not had a near-death experience</w:t>
      </w:r>
      <w:r>
        <w:rPr>
          <w:b w:val="false"/>
          <w:bCs w:val="false"/>
          <w:i w:val="false"/>
          <w:iCs w:val="false"/>
          <w:u w:val="none"/>
        </w:rPr>
        <w:t xml:space="preserve"> </w:t>
      </w:r>
      <w:r>
        <w:rPr>
          <w:b w:val="false"/>
          <w:bCs w:val="false"/>
          <w:i w:val="false"/>
          <w:iCs w:val="false"/>
          <w:u w:val="none"/>
        </w:rPr>
        <w:t xml:space="preserve">can gain “psycho-spiritual benefits” just from hearing their stories.  “Exposing suicidal clients to near-death accounts of suicide surviors… significantly reduced or eliminated suicidal ideation in clients, where traditional cognitive behavioral therapy had been previously ineffective.” </w:t>
      </w:r>
      <w:r>
        <w:rPr>
          <w:rStyle w:val="FootnoteReference"/>
          <w:b w:val="false"/>
          <w:bCs w:val="false"/>
          <w:i w:val="false"/>
          <w:iCs w:val="false"/>
          <w:u w:val="none"/>
        </w:rPr>
        <w:footnoteReference w:id="9"/>
      </w:r>
    </w:p>
    <w:p>
      <w:pPr>
        <w:pStyle w:val="Normal"/>
        <w:bidi w:val="0"/>
        <w:jc w:val="start"/>
        <w:rPr>
          <w:u w:val="none"/>
        </w:rPr>
      </w:pPr>
      <w:r>
        <w:rPr>
          <w:b w:val="false"/>
          <w:bCs w:val="false"/>
          <w:i w:val="false"/>
          <w:iCs w:val="false"/>
          <w:u w:val="single"/>
        </w:rPr>
      </w:r>
    </w:p>
    <w:p>
      <w:pPr>
        <w:pStyle w:val="Normal"/>
        <w:bidi w:val="0"/>
        <w:jc w:val="start"/>
        <w:rPr>
          <w:b w:val="false"/>
          <w:bCs w:val="false"/>
          <w:i w:val="false"/>
          <w:i w:val="false"/>
          <w:iCs w:val="false"/>
          <w:u w:val="single"/>
        </w:rPr>
      </w:pPr>
      <w:r>
        <w:rPr>
          <w:b w:val="false"/>
          <w:bCs w:val="false"/>
          <w:i w:val="false"/>
          <w:iCs w:val="false"/>
          <w:u w:val="single"/>
        </w:rPr>
        <w:t>Past-Life Regression – Returning to the Nether World</w:t>
      </w:r>
    </w:p>
    <w:p>
      <w:pPr>
        <w:pStyle w:val="Normal"/>
        <w:bidi w:val="0"/>
        <w:jc w:val="start"/>
        <w:rPr>
          <w:u w:val="none"/>
        </w:rPr>
      </w:pPr>
      <w:r>
        <w:rPr>
          <w:b w:val="false"/>
          <w:bCs w:val="false"/>
          <w:i w:val="false"/>
          <w:iCs w:val="false"/>
          <w:u w:val="single"/>
        </w:rPr>
      </w:r>
    </w:p>
    <w:p>
      <w:pPr>
        <w:pStyle w:val="Normal"/>
        <w:bidi w:val="0"/>
        <w:jc w:val="start"/>
        <w:rPr/>
      </w:pPr>
      <w:r>
        <w:rPr>
          <w:b w:val="false"/>
          <w:bCs w:val="false"/>
          <w:i w:val="false"/>
          <w:iCs w:val="false"/>
          <w:u w:val="none"/>
        </w:rPr>
        <w:t xml:space="preserve">Past-Life regression therapy is the process of, through hypnosis, meditation or other means, attempting to retrieve or recall memories experienced prior to person’s present incarnation.  This therapeutic approach is not new but it has become more popular in the last 30 years or so largely because of the work of the Psychiatrist, Dr. Brian Weiss. He bacame very interested in regression therapy when a patient who seemed to not be getting better consented to hypnosis.  When she was hypnotized she was recalling memories </w:t>
      </w:r>
      <w:r>
        <w:rPr>
          <w:b w:val="false"/>
          <w:bCs w:val="false"/>
          <w:i w:val="false"/>
          <w:iCs w:val="false"/>
          <w:u w:val="none"/>
        </w:rPr>
        <w:t>ostensibly from other lives.  He said, “I was shocked and skeptical… this had never happened before… but something unusual happened.  [The patient’s] symptoms began to improve dramatically...”</w:t>
      </w:r>
      <w:r>
        <w:rPr>
          <w:rStyle w:val="FootnoteReference"/>
          <w:b w:val="false"/>
          <w:bCs w:val="false"/>
          <w:i w:val="false"/>
          <w:iCs w:val="false"/>
          <w:u w:val="none"/>
        </w:rPr>
        <w:footnoteReference w:id="10"/>
      </w:r>
      <w:r>
        <w:rPr>
          <w:b w:val="false"/>
          <w:bCs w:val="false"/>
          <w:i w:val="false"/>
          <w:iCs w:val="false"/>
          <w:u w:val="none"/>
        </w:rPr>
        <w:t xml:space="preserve">  </w:t>
      </w:r>
      <w:r>
        <w:rPr>
          <w:b w:val="false"/>
          <w:bCs w:val="false"/>
          <w:i w:val="false"/>
          <w:iCs w:val="false"/>
          <w:u w:val="none"/>
        </w:rPr>
        <w:t xml:space="preserve">  </w:t>
      </w:r>
      <w:r>
        <w:rPr>
          <w:b w:val="false"/>
          <w:bCs w:val="false"/>
          <w:i w:val="false"/>
          <w:iCs w:val="false"/>
          <w:u w:val="none"/>
        </w:rPr>
        <w:t xml:space="preserve">In </w:t>
      </w:r>
      <w:r>
        <w:rPr>
          <w:b w:val="false"/>
          <w:bCs w:val="false"/>
          <w:i w:val="false"/>
          <w:iCs w:val="false"/>
          <w:u w:val="none"/>
        </w:rPr>
        <w:t>Dr. Weiss’s</w:t>
      </w:r>
      <w:r>
        <w:rPr>
          <w:b w:val="false"/>
          <w:bCs w:val="false"/>
          <w:i w:val="false"/>
          <w:iCs w:val="false"/>
          <w:u w:val="none"/>
        </w:rPr>
        <w:t xml:space="preserve"> past-life regression sessions he looks for patterns and meaning as he would if he were attempting to analyze a dream.  Although his personal believes reincarnation is a legitimate phenomenon and that regression my be able to recall past life memories, he feels it isn’t necessary to have such beliefs for people to benefit from it.  </w:t>
      </w:r>
      <w:r>
        <w:rPr/>
        <w:t>He “...compare[s] the content of [his] patients’ past life memories to the traditional psychoanalytic material of dreams with all their attendant distortional and metaphorical content.”</w:t>
      </w:r>
      <w:r>
        <w:rPr>
          <w:rStyle w:val="FootnoteReference"/>
        </w:rPr>
        <w:footnoteReference w:id="11"/>
      </w:r>
      <w:r>
        <w:rPr/>
        <w:t xml:space="preserve">  </w:t>
      </w:r>
      <w:r>
        <w:rPr/>
        <w:t>In that context, this therapy could still prove helpful for some whether or not</w:t>
      </w:r>
      <w:r>
        <w:rPr/>
        <w:t xml:space="preserve"> the past-life recall is actual remembering </w:t>
      </w:r>
      <w:r>
        <w:rPr/>
        <w:t xml:space="preserve">events </w:t>
      </w:r>
      <w:r>
        <w:rPr/>
        <w:t xml:space="preserve">or </w:t>
      </w:r>
      <w:r>
        <w:rPr/>
        <w:t>just</w:t>
      </w:r>
      <w:r>
        <w:rPr/>
        <w:t xml:space="preserve"> metaphors and symbols </w:t>
      </w:r>
      <w:r>
        <w:rPr/>
        <w:t xml:space="preserve">that can help a person come to a greater understanding of themselves.  Whether or not regression means going back to one’s early life (e.g. childhood) or back to previous lives – either way, the client or patient can experience it as entering a dark or buried world.  In the case of recalling past lives, people have reported that it can help them make sense of present relationships (perhaps recalling having known a person they’re close to in another life), </w:t>
      </w:r>
      <w:r>
        <w:rPr/>
        <w:t>let go of grief (given the understanding that life doesn’t end) or even coming to grips with present-life phobias</w:t>
      </w:r>
      <w:r>
        <w:rPr>
          <w:rStyle w:val="FootnoteReference"/>
        </w:rPr>
        <w:footnoteReference w:id="12"/>
      </w:r>
      <w:r>
        <w:rPr/>
        <w:t>.</w:t>
      </w:r>
    </w:p>
    <w:p>
      <w:pPr>
        <w:pStyle w:val="Normal"/>
        <w:bidi w:val="0"/>
        <w:jc w:val="start"/>
        <w:rPr/>
      </w:pPr>
      <w:r>
        <w:rPr/>
      </w:r>
    </w:p>
    <w:p>
      <w:pPr>
        <w:pStyle w:val="Normal"/>
        <w:bidi w:val="0"/>
        <w:jc w:val="start"/>
        <w:rPr/>
      </w:pPr>
      <w:r>
        <w:rPr/>
        <w:t xml:space="preserve">In terms of the Ishtar myth, like with those who have had near-death experiences, the process of regression therapy requires that clients or patient enter into the world of death – not literally but symbolically or through the remembrance of past death (and life) experiences.  People using regression therapy are “stripped” of the their present life identities.  They sometimes feel they are reliving and actual death or deaths from the past.  </w:t>
      </w:r>
      <w:r>
        <w:rPr/>
        <w:t>As with people who have had near-death experiences, they are being guided and accompanied through their experience so they can return to the land of the living and incorporate what they have learned and shed what has been restricting them.  If it’s possible that the roots of some of our problems stem from beyond the present life, this can be very helpful and insightful.  Past life regression therapy would</w:t>
      </w:r>
      <w:r>
        <w:rPr/>
        <w:t xml:space="preserve"> be mostly worthless or just a fun exercise if it didn’t also have therapeutic value to help the client make changes and experience healing through the process. </w:t>
      </w:r>
    </w:p>
    <w:p>
      <w:pPr>
        <w:pStyle w:val="Normal"/>
        <w:bidi w:val="0"/>
        <w:jc w:val="start"/>
        <w:rPr/>
      </w:pPr>
      <w:r>
        <w:rPr/>
        <w:t>Rabbi Yonassan Gershom has theorized how perhaps some souls may choose to reincarnate as a group – particularly if in the pas</w:t>
      </w:r>
      <w:r>
        <w:rPr/>
        <w:t>t</w:t>
      </w:r>
      <w:r>
        <w:rPr/>
        <w:t xml:space="preserve"> they have collectively been traumatized.  In his capacity as a spiritual advisor, he has counseled many people, Jews and non-Jews alike, who believe they perished in the Nazi Holocaust.  </w:t>
      </w:r>
      <w:r>
        <w:rPr/>
        <w:t>He believes that people just recounting their past-life stories and being acknowledged and heard goes a long way towards healing.</w:t>
      </w:r>
      <w:r>
        <w:rPr>
          <w:rStyle w:val="FootnoteReference"/>
        </w:rPr>
        <w:footnoteReference w:id="13"/>
      </w:r>
    </w:p>
    <w:p>
      <w:pPr>
        <w:pStyle w:val="Normal"/>
        <w:bidi w:val="0"/>
        <w:jc w:val="start"/>
        <w:rPr/>
      </w:pPr>
      <w:r>
        <w:rPr/>
        <w:t>In Nigeria, the Esan people believe that reincarnation happens mostly within families.  One of the ways they deal with their grief is by having the strong belief that oftentimes a beloved ancestor reincarnates as a child within the same family.  They believe there is a “vital force” that holds them together through and beyond life and death.  For example, a man’s mother died when his wife was pregnant. “After [the mother’s] burial, the wife delivered a baby girl… the daughter since birth has manifested… not only physical resemblances...but behavioral and dispositional traits [of his deceased mother.]”</w:t>
      </w:r>
      <w:r>
        <w:rPr>
          <w:rStyle w:val="FootnoteReference"/>
        </w:rPr>
        <w:footnoteReference w:id="14"/>
      </w:r>
      <w:r>
        <w:rPr/>
        <w:t xml:space="preserve">  Similar but not quite parallel with the Ishtar myth, the Esan families feel their collective vital force has the ability to reach into the Nether World and pull their  deceased loved ones back into the world of the living.</w:t>
      </w:r>
    </w:p>
    <w:p>
      <w:pPr>
        <w:pStyle w:val="Normal"/>
        <w:bidi w:val="0"/>
        <w:jc w:val="start"/>
        <w:rPr/>
      </w:pPr>
      <w:r>
        <w:rPr/>
      </w:r>
    </w:p>
    <w:p>
      <w:pPr>
        <w:pStyle w:val="Normal"/>
        <w:bidi w:val="0"/>
        <w:jc w:val="start"/>
        <w:rPr>
          <w:i w:val="false"/>
          <w:i w:val="false"/>
          <w:iCs w:val="false"/>
          <w:u w:val="single"/>
        </w:rPr>
      </w:pPr>
      <w:r>
        <w:rPr>
          <w:i w:val="false"/>
          <w:iCs w:val="false"/>
          <w:u w:val="single"/>
        </w:rPr>
        <w:t>Psychedelic Therapy – Exploring the Nether World</w:t>
      </w:r>
    </w:p>
    <w:p>
      <w:pPr>
        <w:pStyle w:val="Normal"/>
        <w:bidi w:val="0"/>
        <w:jc w:val="start"/>
        <w:rPr>
          <w:u w:val="none"/>
        </w:rPr>
      </w:pPr>
      <w:r>
        <w:rPr>
          <w:i w:val="false"/>
          <w:iCs w:val="false"/>
          <w:u w:val="single"/>
        </w:rPr>
      </w:r>
    </w:p>
    <w:p>
      <w:pPr>
        <w:pStyle w:val="Normal"/>
        <w:bidi w:val="0"/>
        <w:jc w:val="start"/>
        <w:rPr>
          <w:i w:val="false"/>
          <w:i w:val="false"/>
          <w:iCs w:val="false"/>
          <w:u w:val="single"/>
        </w:rPr>
      </w:pPr>
      <w:r>
        <w:rPr>
          <w:i w:val="false"/>
          <w:iCs w:val="false"/>
          <w:u w:val="none"/>
        </w:rPr>
        <w:t xml:space="preserve">Like with the previously discussed therapies, the use of psychedelic drugs or plants has the potential to enable the patient or client to access inner realms that are normally not accessible.  Although many people might experience blissful “trips”, oftentimes psychedelic therapy can assist in opening up old wounds and confronting traumatic and depressing memories or mindsets. One woman writes about her experiences with psychedelics and even compares her experience to the descent of Ishtar (in this case referred to by her Sumerian name, Inanna.)  The author argues that one shouldn’t necessarily just hope for a “good trip” but asserts that there is much to be gained and learned when one encounter difficult emotions or states of mind during this process. </w:t>
      </w:r>
      <w:r>
        <w:rPr>
          <w:i w:val="false"/>
          <w:iCs w:val="false"/>
          <w:u w:val="none"/>
        </w:rPr>
        <w:t xml:space="preserve"> She says, “She [Inanna/Ishtar] took along riches and possessions from the world above not knowing they would do her no good below….Inanna was stripped of all this, and of her earthly form… in a classic shamanic dismemberment… a psychic process in which old ego structures fall apart… Like Inanna, one is made anew… [but] has to submit to the dismemberment to get these gifts...”</w:t>
      </w:r>
      <w:r>
        <w:rPr>
          <w:rStyle w:val="FootnoteReference"/>
          <w:i w:val="false"/>
          <w:iCs w:val="false"/>
          <w:u w:val="none"/>
        </w:rPr>
        <w:footnoteReference w:id="15"/>
      </w:r>
    </w:p>
    <w:p>
      <w:pPr>
        <w:pStyle w:val="Normal"/>
        <w:bidi w:val="0"/>
        <w:jc w:val="start"/>
        <w:rPr>
          <w:i w:val="false"/>
          <w:i w:val="false"/>
          <w:iCs w:val="false"/>
          <w:u w:val="single"/>
        </w:rPr>
      </w:pPr>
      <w:r>
        <w:rPr>
          <w:i w:val="false"/>
          <w:iCs w:val="false"/>
          <w:u w:val="none"/>
        </w:rPr>
        <w:t xml:space="preserve">Psychedelic therapy has been shown to be very helpful for those with PTSD,  depression, those dealing with terminal illness, anxiety and even chronic pain. </w:t>
      </w:r>
      <w:r>
        <w:rPr>
          <w:rStyle w:val="FootnoteReference"/>
          <w:i w:val="false"/>
          <w:iCs w:val="false"/>
          <w:u w:val="none"/>
        </w:rPr>
        <w:footnoteReference w:id="16"/>
      </w:r>
      <w:r>
        <w:rPr>
          <w:i w:val="false"/>
          <w:iCs w:val="false"/>
          <w:u w:val="none"/>
        </w:rPr>
        <w:t xml:space="preserve"> </w:t>
      </w:r>
      <w:r>
        <w:rPr>
          <w:rStyle w:val="FootnoteReference"/>
          <w:i w:val="false"/>
          <w:iCs w:val="false"/>
          <w:u w:val="none"/>
        </w:rPr>
        <w:footnoteReference w:id="17"/>
      </w:r>
      <w:r>
        <w:rPr>
          <w:i w:val="false"/>
          <w:iCs w:val="false"/>
          <w:u w:val="none"/>
        </w:rPr>
        <w:t xml:space="preserve"> </w:t>
      </w:r>
      <w:r>
        <w:rPr>
          <w:rStyle w:val="FootnoteReference"/>
          <w:i w:val="false"/>
          <w:iCs w:val="false"/>
          <w:u w:val="none"/>
        </w:rPr>
        <w:footnoteReference w:id="18"/>
      </w:r>
    </w:p>
    <w:p>
      <w:pPr>
        <w:pStyle w:val="Normal"/>
        <w:bidi w:val="0"/>
        <w:jc w:val="start"/>
        <w:rPr/>
      </w:pPr>
      <w:r>
        <w:rPr/>
        <w:t>One researcher stated, “The immersive and intense nature of the [psychedelic] treatment appeared to empower patients to confront rather than avoid both negative and positive emotions, and somatic reactions to the treatment.”</w:t>
      </w:r>
      <w:r>
        <w:rPr>
          <w:rStyle w:val="FootnoteReference"/>
        </w:rPr>
        <w:footnoteReference w:id="19"/>
      </w:r>
      <w:r>
        <w:rPr/>
        <w:t xml:space="preserve">  (It should be noted that the person getting psychedelic therapy does so with a guide or guides such as a therapist or counselor in order to help “walk them through” these powerful experiences.)  Similar to Ishtar’s descent, they must deal with a stripping down and sometimes very painful processes. But as the researcher above noted, these experiences help to empower the client person involved rather than make them more avoidant. They can then make their ascent to the living world more whole.</w:t>
      </w:r>
    </w:p>
    <w:p>
      <w:pPr>
        <w:pStyle w:val="Normal"/>
        <w:bidi w:val="0"/>
        <w:jc w:val="start"/>
        <w:rPr/>
      </w:pPr>
      <w:r>
        <w:rPr/>
      </w:r>
    </w:p>
    <w:p>
      <w:pPr>
        <w:pStyle w:val="Normal"/>
        <w:bidi w:val="0"/>
        <w:jc w:val="start"/>
        <w:rPr>
          <w:u w:val="single"/>
        </w:rPr>
      </w:pPr>
      <w:r>
        <w:rPr>
          <w:u w:val="single"/>
        </w:rPr>
        <w:t>Conclusion</w:t>
      </w:r>
    </w:p>
    <w:p>
      <w:pPr>
        <w:pStyle w:val="Normal"/>
        <w:bidi w:val="0"/>
        <w:jc w:val="start"/>
        <w:rPr/>
      </w:pPr>
      <w:r>
        <w:rPr/>
      </w:r>
    </w:p>
    <w:p>
      <w:pPr>
        <w:pStyle w:val="Normal"/>
        <w:bidi w:val="0"/>
        <w:jc w:val="start"/>
        <w:rPr/>
      </w:pPr>
      <w:r>
        <w:rPr>
          <w:u w:val="none"/>
        </w:rPr>
        <w:t>This essay discussed the myth of the descent of Ishtar likening it to several contemporary therapies in use today.  Although the three therapies mentioned were all different there had much in common. All required the patient or client to enter emotional, mental, psychic or spiritual realms that could be experienced as frightening or intimidating.  They all carried the theme of death – either literally or figuratively as a means towards healing.  All three therapies were similar in their processes to the process that Ishtar experienced in her descent  and also her eventual ascent back to the world of the living.</w:t>
      </w:r>
    </w:p>
    <w:sectPr>
      <w:headerReference w:type="even" r:id="rId3"/>
      <w:headerReference w:type="default" r:id="rId4"/>
      <w:footnotePr>
        <w:numFmt w:val="decimal"/>
      </w:footnotePr>
      <w:type w:val="nextPage"/>
      <w:pgSz w:w="12240" w:h="15840"/>
      <w:pgMar w:left="1134" w:right="1134" w:gutter="0" w:header="1134" w:top="1927" w:footer="0" w:bottom="1134"/>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Tahoma">
    <w:charset w:val="00" w:characterSet="windows-1252"/>
    <w:family w:val="swiss"/>
    <w:pitch w:val="variable"/>
  </w:font>
  <w:font w:name="Trebuchet MS">
    <w:charset w:val="00" w:characterSet="windows-1252"/>
    <w:family w:val="swiss"/>
    <w:pitch w:val="variable"/>
  </w:font>
  <w:font w:name="Symbol">
    <w:charset w:val="00" w:characterSet="windows-1252"/>
    <w:family w:val="roman"/>
    <w:pitch w:val="variable"/>
  </w:font>
  <w:font w:name="Wingdings">
    <w:charset w:val="00" w:characterSet="windows-1252"/>
    <w:family w:val="auto"/>
    <w:pitch w:val="variable"/>
  </w:font>
  <w:font w:name="Courier New">
    <w:charset w:val="00" w:characterSet="windows-1252"/>
    <w:family w:val="auto"/>
    <w:pitch w:val="variable"/>
  </w:font>
  <w:font w:name="Albertus">
    <w:charset w:val="00" w:characterSet="windows-1252"/>
    <w:family w:val="roman"/>
    <w:pitch w:val="variable"/>
  </w:font>
  <w:font w:name="Liberation Sans">
    <w:altName w:val="Arial"/>
    <w:charset w:val="00" w:characterSet="windows-1252"/>
    <w:family w:val="swiss"/>
    <w:pitch w:val="variable"/>
  </w:font>
  <w:font w:name="Georgia">
    <w:charset w:val="00" w:characterSet="windows-1252"/>
    <w:family w:val="roman"/>
    <w:pitch w:val="variable"/>
  </w:font>
  <w:font w:name="Calibri">
    <w:charset w:val="00" w:characterSet="windows-1252"/>
    <w:family w:val="swiss"/>
    <w:pitch w:val="variable"/>
  </w:font>
  <w:font w:name="Times New Roman">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r>
        <w:separator/>
      </w:r>
    </w:p>
  </w:footnote>
  <w:footnote w:id="1" w:type="continuationSeparator">
    <w:p>
      <w:r>
        <w:continuationSeparator/>
      </w:r>
    </w:p>
  </w:footnote>
  <w:footnote w:id="2">
    <w:p>
      <w:pPr>
        <w:pStyle w:val="Normal"/>
        <w:tabs>
          <w:tab w:val="clear" w:pos="709"/>
          <w:tab w:val="left" w:pos="3264" w:leader="none"/>
        </w:tabs>
        <w:bidi w:val="0"/>
        <w:jc w:val="start"/>
        <w:rPr>
          <w:b w:val="false"/>
          <w:bCs w:val="false"/>
          <w:u w:val="single"/>
        </w:rPr>
      </w:pPr>
      <w:r>
        <w:rPr>
          <w:rStyle w:val="FootnoteCharacters"/>
        </w:rPr>
        <w:footnoteRef/>
      </w:r>
      <w:r>
        <w:rPr>
          <w:b w:val="false"/>
          <w:bCs w:val="false"/>
          <w:u w:val="none"/>
        </w:rPr>
        <w:t xml:space="preserve"> </w:t>
      </w:r>
      <w:r>
        <w:rPr>
          <w:b w:val="false"/>
          <w:bCs w:val="false"/>
          <w:sz w:val="20"/>
          <w:szCs w:val="20"/>
          <w:u w:val="none"/>
        </w:rPr>
        <w:t xml:space="preserve">Speiser, E.A. (trans.), “Descent of Ishtar into the Nether World”, </w:t>
      </w:r>
      <w:r>
        <w:rPr>
          <w:b w:val="false"/>
          <w:bCs w:val="false"/>
          <w:i/>
          <w:iCs/>
          <w:sz w:val="20"/>
          <w:szCs w:val="20"/>
          <w:u w:val="none"/>
        </w:rPr>
        <w:t>Ancient Near Eastern Texts Relating to the Old Testament</w:t>
      </w:r>
      <w:r>
        <w:rPr>
          <w:b w:val="false"/>
          <w:bCs w:val="false"/>
          <w:i w:val="false"/>
          <w:iCs w:val="false"/>
          <w:sz w:val="20"/>
          <w:szCs w:val="20"/>
          <w:u w:val="none"/>
        </w:rPr>
        <w:t>, James Pritchard, editor, Princeton, Princeton University Press, 1969.</w:t>
      </w:r>
    </w:p>
  </w:footnote>
  <w:footnote w:id="3">
    <w:p>
      <w:pPr>
        <w:pStyle w:val="Normal"/>
        <w:tabs>
          <w:tab w:val="clear" w:pos="709"/>
          <w:tab w:val="left" w:pos="3264" w:leader="none"/>
        </w:tabs>
        <w:bidi w:val="0"/>
        <w:jc w:val="start"/>
        <w:rPr>
          <w:b w:val="false"/>
          <w:bCs w:val="false"/>
          <w:u w:val="single"/>
        </w:rPr>
      </w:pPr>
      <w:r>
        <w:rPr>
          <w:rStyle w:val="FootnoteCharacters"/>
        </w:rPr>
        <w:footnoteRef/>
      </w:r>
      <w:r>
        <w:rPr>
          <w:b w:val="false"/>
          <w:bCs w:val="false"/>
          <w:u w:val="none"/>
        </w:rPr>
        <w:t xml:space="preserve"> </w:t>
      </w:r>
      <w:r>
        <w:rPr>
          <w:b w:val="false"/>
          <w:bCs w:val="false"/>
          <w:sz w:val="20"/>
          <w:szCs w:val="20"/>
          <w:u w:val="none"/>
        </w:rPr>
        <w:t xml:space="preserve">Speiser, E.A. (trans.), “Descent of Ishtar into the Nether World”, </w:t>
      </w:r>
      <w:r>
        <w:rPr>
          <w:b w:val="false"/>
          <w:bCs w:val="false"/>
          <w:i/>
          <w:iCs/>
          <w:sz w:val="20"/>
          <w:szCs w:val="20"/>
          <w:u w:val="none"/>
        </w:rPr>
        <w:t>Ancient Near Eastern Texts Relating to the Old Testament</w:t>
      </w:r>
      <w:r>
        <w:rPr>
          <w:b w:val="false"/>
          <w:bCs w:val="false"/>
          <w:i w:val="false"/>
          <w:iCs w:val="false"/>
          <w:sz w:val="20"/>
          <w:szCs w:val="20"/>
          <w:u w:val="none"/>
        </w:rPr>
        <w:t>, James Pritchard, editor, Princeton, Princeton University Press, 1969.</w:t>
      </w:r>
    </w:p>
  </w:footnote>
  <w:footnote w:id="4">
    <w:p>
      <w:pPr>
        <w:pStyle w:val="FootnoteText"/>
        <w:rPr/>
      </w:pPr>
      <w:r>
        <w:rPr>
          <w:rStyle w:val="FootnoteCharacters"/>
        </w:rPr>
        <w:footnoteRef/>
      </w:r>
      <w:r>
        <w:rPr>
          <w:b w:val="false"/>
          <w:bCs w:val="false"/>
          <w:i w:val="false"/>
          <w:iCs w:val="false"/>
        </w:rPr>
        <w:tab/>
        <w:t xml:space="preserve"> </w:t>
      </w:r>
      <w:r>
        <w:rPr>
          <w:b w:val="false"/>
          <w:bCs w:val="false"/>
          <w:i w:val="false"/>
          <w:iCs w:val="false"/>
        </w:rPr>
        <w:t xml:space="preserve">Hays, Jeff, “Descent of Ishtar into the Netherworld: </w:t>
      </w:r>
      <w:r>
        <w:rPr>
          <w:b w:val="false"/>
          <w:bCs w:val="false"/>
          <w:i w:val="false"/>
          <w:iCs w:val="false"/>
        </w:rPr>
        <w:t>Akkadian Version</w:t>
      </w:r>
      <w:r>
        <w:rPr>
          <w:b w:val="false"/>
          <w:bCs w:val="false"/>
          <w:i w:val="false"/>
          <w:iCs w:val="false"/>
        </w:rPr>
        <w:t xml:space="preserve">”, factsanddetails.com, June 2024, </w:t>
      </w:r>
      <w:hyperlink r:id="rId1">
        <w:r>
          <w:rPr>
            <w:rStyle w:val="Hyperlink"/>
            <w:b w:val="false"/>
            <w:bCs w:val="false"/>
            <w:i w:val="false"/>
            <w:iCs w:val="false"/>
          </w:rPr>
          <w:t>https://africame.factsanddetails.com/article/entry-982.html</w:t>
        </w:r>
      </w:hyperlink>
      <w:r>
        <w:rPr>
          <w:b w:val="false"/>
          <w:bCs w:val="false"/>
          <w:i w:val="false"/>
          <w:iCs w:val="false"/>
        </w:rPr>
        <w:t>#</w:t>
      </w:r>
      <w:r>
        <w:rPr/>
        <w:t xml:space="preserve"> </w:t>
      </w:r>
    </w:p>
  </w:footnote>
  <w:footnote w:id="5">
    <w:p>
      <w:pPr>
        <w:pStyle w:val="Normal"/>
        <w:bidi w:val="0"/>
        <w:jc w:val="start"/>
        <w:rPr>
          <w:b w:val="false"/>
          <w:bCs w:val="false"/>
          <w:sz w:val="20"/>
          <w:szCs w:val="20"/>
        </w:rPr>
      </w:pPr>
      <w:r>
        <w:rPr>
          <w:rStyle w:val="FootnoteCharacters"/>
        </w:rPr>
        <w:footnoteRef/>
      </w:r>
      <w:r>
        <w:rPr>
          <w:b w:val="false"/>
          <w:bCs w:val="false"/>
          <w:i w:val="false"/>
          <w:iCs w:val="false"/>
          <w:sz w:val="20"/>
          <w:szCs w:val="20"/>
        </w:rPr>
        <w:t xml:space="preserve"> </w:t>
      </w:r>
      <w:r>
        <w:rPr>
          <w:b w:val="false"/>
          <w:bCs w:val="false"/>
          <w:i w:val="false"/>
          <w:iCs w:val="false"/>
          <w:sz w:val="20"/>
          <w:szCs w:val="20"/>
        </w:rPr>
        <w:t xml:space="preserve">Khanna, Surbhi, Greyson, Bruce, “Near-Death Experiences and Spiritual Well Being”, Journal of Religion and Health, December 2014, Vol. 53, No. 6, </w:t>
      </w:r>
      <w:r>
        <w:rPr>
          <w:b w:val="false"/>
          <w:bCs w:val="false"/>
          <w:i w:val="false"/>
          <w:iCs w:val="false"/>
          <w:sz w:val="20"/>
          <w:szCs w:val="20"/>
        </w:rPr>
        <w:t>p. 1606</w:t>
      </w:r>
    </w:p>
  </w:footnote>
  <w:footnote w:id="6">
    <w:p>
      <w:pPr>
        <w:pStyle w:val="FootnoteText"/>
        <w:rPr/>
      </w:pPr>
      <w:r>
        <w:rPr>
          <w:rStyle w:val="FootnoteCharacters"/>
        </w:rPr>
        <w:footnoteRef/>
      </w:r>
      <w:r>
        <w:rPr/>
        <w:tab/>
        <w:t xml:space="preserve"> </w:t>
      </w:r>
      <w:r>
        <w:rPr/>
        <w:t>Ibid, p. 1606</w:t>
      </w:r>
    </w:p>
  </w:footnote>
  <w:footnote w:id="7">
    <w:p>
      <w:pPr>
        <w:pStyle w:val="FootnoteText"/>
        <w:rPr/>
      </w:pPr>
      <w:r>
        <w:rPr>
          <w:rStyle w:val="FootnoteCharacters"/>
        </w:rPr>
        <w:footnoteRef/>
      </w:r>
      <w:r>
        <w:rPr>
          <w:b w:val="false"/>
          <w:bCs w:val="false"/>
          <w:i w:val="false"/>
          <w:iCs w:val="false"/>
        </w:rPr>
        <w:tab/>
        <w:t xml:space="preserve"> </w:t>
      </w:r>
      <w:r>
        <w:rPr>
          <w:b w:val="false"/>
          <w:bCs w:val="false"/>
          <w:i w:val="false"/>
          <w:iCs w:val="false"/>
        </w:rPr>
        <w:t xml:space="preserve">Nuwer, Rachel, Beyond the Veil, Scientific American, June 2024, Vol. 330, No. 6, </w:t>
      </w:r>
      <w:r>
        <w:rPr>
          <w:b w:val="false"/>
          <w:bCs w:val="false"/>
          <w:i w:val="false"/>
          <w:iCs w:val="false"/>
        </w:rPr>
        <w:t>p. 3</w:t>
      </w:r>
    </w:p>
  </w:footnote>
  <w:footnote w:id="8">
    <w:p>
      <w:pPr>
        <w:pStyle w:val="FootnoteText"/>
        <w:rPr/>
      </w:pPr>
      <w:r>
        <w:rPr>
          <w:rStyle w:val="FootnoteCharacters"/>
        </w:rPr>
        <w:footnoteRef/>
      </w:r>
      <w:r>
        <w:rPr>
          <w:b w:val="false"/>
          <w:bCs w:val="false"/>
          <w:i w:val="false"/>
          <w:iCs w:val="false"/>
        </w:rPr>
        <w:tab/>
        <w:t xml:space="preserve"> </w:t>
      </w:r>
      <w:r>
        <w:rPr>
          <w:b w:val="false"/>
          <w:bCs w:val="false"/>
          <w:i w:val="false"/>
          <w:iCs w:val="false"/>
        </w:rPr>
        <w:t xml:space="preserve">Khanna, Surbhi, Greyson, Bruce, “Near-Death Experiences and Spiritual Well Being”, Journal of Religion and Health, December 2014, Vol. 53, No. 6, </w:t>
      </w:r>
      <w:r>
        <w:rPr>
          <w:b w:val="false"/>
          <w:bCs w:val="false"/>
          <w:i w:val="false"/>
          <w:iCs w:val="false"/>
        </w:rPr>
        <w:t xml:space="preserve">p. 1606 </w:t>
      </w:r>
    </w:p>
  </w:footnote>
  <w:footnote w:id="9">
    <w:p>
      <w:pPr>
        <w:pStyle w:val="FootnoteText"/>
        <w:rPr/>
      </w:pPr>
      <w:r>
        <w:rPr>
          <w:rStyle w:val="FootnoteCharacters"/>
        </w:rPr>
        <w:footnoteRef/>
      </w:r>
      <w:r>
        <w:rPr>
          <w:b w:val="false"/>
          <w:bCs w:val="false"/>
          <w:i w:val="false"/>
          <w:iCs w:val="false"/>
        </w:rPr>
        <w:tab/>
        <w:t xml:space="preserve"> </w:t>
      </w:r>
      <w:r>
        <w:rPr>
          <w:b w:val="false"/>
          <w:bCs w:val="false"/>
          <w:i w:val="false"/>
          <w:iCs w:val="false"/>
        </w:rPr>
        <w:t>Tassel-Matamua, Lindsay, Nicole, Bennett, Simon, Valentine, Hukarere, Pahina, John, “Does Learning about Near Death Experiences Promote Psycho-Spiritual Benefits in Those Who Have Not Had a Near Death Experience?”, Journal of Spirituality in Mental Health, 2017, Vol. 19, No. 2,</w:t>
      </w:r>
      <w:r>
        <w:rPr/>
        <w:t xml:space="preserve"> </w:t>
      </w:r>
      <w:r>
        <w:rPr/>
        <w:t>p.97</w:t>
      </w:r>
    </w:p>
  </w:footnote>
  <w:footnote w:id="10">
    <w:p>
      <w:pPr>
        <w:pStyle w:val="FootnoteText"/>
        <w:rPr/>
      </w:pPr>
      <w:r>
        <w:rPr>
          <w:rStyle w:val="FootnoteCharacters"/>
        </w:rPr>
        <w:footnoteRef/>
      </w:r>
      <w:r>
        <w:rPr>
          <w:b w:val="false"/>
          <w:bCs w:val="false"/>
          <w:i w:val="false"/>
          <w:iCs w:val="false"/>
        </w:rPr>
        <w:tab/>
        <w:t xml:space="preserve"> </w:t>
      </w:r>
      <w:r>
        <w:rPr>
          <w:b w:val="false"/>
          <w:bCs w:val="false"/>
          <w:i w:val="false"/>
          <w:iCs w:val="false"/>
        </w:rPr>
        <w:t xml:space="preserve">Weiss, Brian L. </w:t>
      </w:r>
      <w:r>
        <w:rPr>
          <w:b w:val="false"/>
          <w:bCs w:val="false"/>
          <w:i/>
          <w:iCs/>
        </w:rPr>
        <w:t>Through Time into Healing</w:t>
      </w:r>
      <w:r>
        <w:rPr>
          <w:b w:val="false"/>
          <w:bCs w:val="false"/>
          <w:i w:val="false"/>
          <w:iCs w:val="false"/>
        </w:rPr>
        <w:t xml:space="preserve">, New York, Fireside, </w:t>
      </w:r>
      <w:r>
        <w:rPr>
          <w:b w:val="false"/>
          <w:bCs w:val="false"/>
          <w:i w:val="false"/>
          <w:iCs w:val="false"/>
        </w:rPr>
        <w:t>1992</w:t>
      </w:r>
      <w:r>
        <w:rPr/>
        <w:t xml:space="preserve"> , </w:t>
      </w:r>
      <w:r>
        <w:rPr/>
        <w:t>p.19</w:t>
      </w:r>
    </w:p>
  </w:footnote>
  <w:footnote w:id="11">
    <w:p>
      <w:pPr>
        <w:pStyle w:val="FootnoteText"/>
        <w:rPr/>
      </w:pPr>
      <w:r>
        <w:rPr>
          <w:rStyle w:val="FootnoteCharacters"/>
        </w:rPr>
        <w:footnoteRef/>
      </w:r>
      <w:r>
        <w:rPr/>
        <w:tab/>
        <w:t xml:space="preserve"> </w:t>
      </w:r>
      <w:r>
        <w:rPr/>
        <w:t>Ibid, p. 54</w:t>
      </w:r>
    </w:p>
  </w:footnote>
  <w:footnote w:id="12">
    <w:p>
      <w:pPr>
        <w:pStyle w:val="FootnoteText"/>
        <w:rPr/>
      </w:pPr>
      <w:r>
        <w:rPr>
          <w:rStyle w:val="FootnoteCharacters"/>
        </w:rPr>
        <w:footnoteRef/>
      </w:r>
      <w:r>
        <w:rPr/>
        <w:tab/>
        <w:t xml:space="preserve"> </w:t>
      </w:r>
      <w:r>
        <w:rPr/>
        <w:t>Ibid, 36-37</w:t>
      </w:r>
    </w:p>
  </w:footnote>
  <w:footnote w:id="13">
    <w:p>
      <w:pPr>
        <w:pStyle w:val="Normal"/>
        <w:bidi w:val="0"/>
        <w:jc w:val="start"/>
        <w:rPr>
          <w:b w:val="false"/>
          <w:bCs w:val="false"/>
        </w:rPr>
      </w:pPr>
      <w:r>
        <w:rPr>
          <w:rStyle w:val="FootnoteCharacters"/>
        </w:rPr>
        <w:footnoteRef/>
      </w:r>
      <w:r>
        <w:rPr>
          <w:b w:val="false"/>
          <w:bCs w:val="false"/>
        </w:rPr>
        <w:t xml:space="preserve"> </w:t>
      </w:r>
      <w:r>
        <w:rPr>
          <w:b w:val="false"/>
          <w:bCs w:val="false"/>
        </w:rPr>
        <w:t xml:space="preserve">Gershom, Yonassan, </w:t>
      </w:r>
      <w:r>
        <w:rPr>
          <w:b w:val="false"/>
          <w:bCs w:val="false"/>
          <w:i/>
          <w:iCs/>
        </w:rPr>
        <w:t>Beyond the Ashes</w:t>
      </w:r>
      <w:r>
        <w:rPr>
          <w:b w:val="false"/>
          <w:bCs w:val="false"/>
          <w:i w:val="false"/>
          <w:iCs w:val="false"/>
        </w:rPr>
        <w:t>, Virginia Beach, A.R.E. Press, 1992</w:t>
      </w:r>
    </w:p>
  </w:footnote>
  <w:footnote w:id="14">
    <w:p>
      <w:pPr>
        <w:pStyle w:val="FootnoteText"/>
        <w:rPr/>
      </w:pPr>
      <w:r>
        <w:rPr>
          <w:rStyle w:val="FootnoteCharacters"/>
        </w:rPr>
        <w:footnoteRef/>
      </w:r>
      <w:r>
        <w:rPr>
          <w:b w:val="false"/>
          <w:bCs w:val="false"/>
          <w:i w:val="false"/>
          <w:iCs w:val="false"/>
        </w:rPr>
        <w:tab/>
        <w:t xml:space="preserve"> </w:t>
      </w:r>
      <w:r>
        <w:rPr>
          <w:b w:val="false"/>
          <w:bCs w:val="false"/>
          <w:i w:val="false"/>
          <w:iCs w:val="false"/>
        </w:rPr>
        <w:t>Ukpokolo, Isaac, “Mem</w:t>
      </w:r>
      <w:r>
        <w:rPr>
          <w:b w:val="false"/>
          <w:bCs w:val="false"/>
          <w:i w:val="false"/>
          <w:iCs w:val="false"/>
        </w:rPr>
        <w:t xml:space="preserve">ories in Photography and Rebirth: Toward a Psychosocial Therapy of the Metaphysics of Reincarnation Among Traditional Esan People of Southern Nigeria”, Journal of Black Studies, April 2012, Vol. 43,(3) , </w:t>
      </w:r>
      <w:r>
        <w:rPr>
          <w:b w:val="false"/>
          <w:bCs w:val="false"/>
          <w:i w:val="false"/>
          <w:iCs w:val="false"/>
        </w:rPr>
        <w:t>p. 299</w:t>
      </w:r>
    </w:p>
  </w:footnote>
  <w:footnote w:id="15">
    <w:p>
      <w:pPr>
        <w:pStyle w:val="FootnoteText"/>
        <w:rPr/>
      </w:pPr>
      <w:r>
        <w:rPr>
          <w:rStyle w:val="FootnoteCharacters"/>
        </w:rPr>
        <w:footnoteRef/>
      </w:r>
      <w:r>
        <w:rPr>
          <w:b w:val="false"/>
          <w:bCs w:val="false"/>
          <w:i w:val="false"/>
          <w:iCs w:val="false"/>
        </w:rPr>
        <w:tab/>
        <w:t xml:space="preserve"> </w:t>
      </w:r>
      <w:r>
        <w:rPr>
          <w:b w:val="false"/>
          <w:bCs w:val="false"/>
          <w:i w:val="false"/>
          <w:iCs w:val="false"/>
        </w:rPr>
        <w:t>Lucas, Maura, “Inanna: Goddess of Bad Trips”, ReVision, Winter 2003, Vol. 25, No. 3</w:t>
      </w:r>
      <w:r>
        <w:rPr/>
        <w:t xml:space="preserve"> </w:t>
      </w:r>
    </w:p>
  </w:footnote>
  <w:footnote w:id="16">
    <w:p>
      <w:pPr>
        <w:pStyle w:val="FootnoteText"/>
        <w:rPr/>
      </w:pPr>
      <w:r>
        <w:rPr>
          <w:rStyle w:val="FootnoteCharacters"/>
        </w:rPr>
        <w:footnoteRef/>
      </w:r>
      <w:r>
        <w:rPr>
          <w:b w:val="false"/>
          <w:bCs w:val="false"/>
          <w:i w:val="false"/>
          <w:iCs w:val="false"/>
        </w:rPr>
        <w:tab/>
        <w:t xml:space="preserve"> </w:t>
      </w:r>
      <w:r>
        <w:rPr>
          <w:b w:val="false"/>
          <w:bCs w:val="false"/>
          <w:i w:val="false"/>
          <w:iCs w:val="false"/>
        </w:rPr>
        <w:t>Maia, Lucas, Beaussant, Yvan, Garcia, Anna, “The Therapeutic Potential of Psychedelic-assisted Therapies for Symptom Control in Patients with Serious Illness: A Systemic Review”, Journal of Pain and Symptom Management, June 2022, Vol. 63, No. 6, 725-736</w:t>
      </w:r>
      <w:r>
        <w:rPr/>
        <w:t xml:space="preserve"> </w:t>
      </w:r>
    </w:p>
  </w:footnote>
  <w:footnote w:id="17">
    <w:p>
      <w:pPr>
        <w:pStyle w:val="FootnoteText"/>
        <w:rPr/>
      </w:pPr>
      <w:r>
        <w:rPr>
          <w:rStyle w:val="FootnoteCharacters"/>
        </w:rPr>
        <w:footnoteRef/>
      </w:r>
      <w:r>
        <w:rPr>
          <w:b w:val="false"/>
          <w:bCs w:val="false"/>
          <w:i w:val="false"/>
          <w:iCs w:val="false"/>
        </w:rPr>
        <w:tab/>
        <w:t xml:space="preserve"> </w:t>
      </w:r>
      <w:r>
        <w:rPr>
          <w:b w:val="false"/>
          <w:bCs w:val="false"/>
          <w:i w:val="false"/>
          <w:iCs w:val="false"/>
        </w:rPr>
        <w:t>Modlin, Nadav, Creed, Michael, Sarang, Maria, Maggio, Carolina, Rucker, James, Williamson, Victoria, “Trauma-Informed Care in Psychedelic Therapy Research: A Qualitative Literature Review of Evidence-Based Psychotherapy Interventions in PTSD and Psychadelic Therapy Across Conditions”, Neuropsychiatric Disease and Treatment, 2024:20, 109-135</w:t>
      </w:r>
      <w:r>
        <w:rPr/>
        <w:t xml:space="preserve"> </w:t>
      </w:r>
    </w:p>
  </w:footnote>
  <w:footnote w:id="18">
    <w:p>
      <w:pPr>
        <w:pStyle w:val="FootnoteText"/>
        <w:rPr/>
      </w:pPr>
      <w:r>
        <w:rPr>
          <w:rStyle w:val="FootnoteCharacters"/>
        </w:rPr>
        <w:footnoteRef/>
      </w:r>
      <w:r>
        <w:rPr>
          <w:b w:val="false"/>
          <w:bCs w:val="false"/>
          <w:i w:val="false"/>
          <w:iCs w:val="false"/>
        </w:rPr>
        <w:tab/>
        <w:t xml:space="preserve"> </w:t>
      </w:r>
      <w:r>
        <w:rPr>
          <w:b w:val="false"/>
          <w:bCs w:val="false"/>
          <w:i w:val="false"/>
          <w:iCs w:val="false"/>
        </w:rPr>
        <w:t>W</w:t>
      </w:r>
      <w:r>
        <w:rPr>
          <w:b w:val="false"/>
          <w:bCs w:val="false"/>
          <w:i w:val="false"/>
          <w:iCs w:val="false"/>
        </w:rPr>
        <w:t>olff, Max, Evens, Ricarda, Mertens, Lea, Koslowski, Michael, Betzler, Felix, Grunder, Gerhard, Jungberle, Henrik, Learning to Let Go: “A Cognitive-Behavioral Model of How Psych</w:t>
      </w:r>
      <w:r>
        <w:rPr>
          <w:b w:val="false"/>
          <w:bCs w:val="false"/>
          <w:i w:val="false"/>
          <w:iCs w:val="false"/>
        </w:rPr>
        <w:t>e</w:t>
      </w:r>
      <w:r>
        <w:rPr>
          <w:b w:val="false"/>
          <w:bCs w:val="false"/>
          <w:i w:val="false"/>
          <w:iCs w:val="false"/>
        </w:rPr>
        <w:t>delic Therapy Promotes Acceptance”, Frontiers in Psychiatry, February 2020, Vol. 11, 1-13</w:t>
      </w:r>
      <w:r>
        <w:rPr/>
        <w:t xml:space="preserve"> </w:t>
      </w:r>
    </w:p>
  </w:footnote>
  <w:footnote w:id="19">
    <w:p>
      <w:pPr>
        <w:pStyle w:val="FootnoteText"/>
        <w:rPr/>
      </w:pPr>
      <w:r>
        <w:rPr>
          <w:rStyle w:val="FootnoteCharacters"/>
        </w:rPr>
        <w:footnoteRef/>
      </w:r>
      <w:r>
        <w:rPr>
          <w:b w:val="false"/>
          <w:bCs w:val="false"/>
          <w:i w:val="false"/>
          <w:iCs w:val="false"/>
        </w:rPr>
        <w:tab/>
        <w:t xml:space="preserve"> </w:t>
      </w:r>
      <w:r>
        <w:rPr>
          <w:b w:val="false"/>
          <w:bCs w:val="false"/>
          <w:i w:val="false"/>
          <w:iCs w:val="false"/>
        </w:rPr>
        <w:t>Modlin, Nadav, Creed, Michael, Sarang, Maria, Maggio, Carolina, Rucker, James, Williamson, Victoria, “Trauma-Informed Care in Psychedelic Therapy Research: A Qualitative Literature Review of Evidence-Based Psychotherapy Interventions in PTSD and Psychadelic Therapy Across Conditions”, Neuropsychiatric Disease and Treatment, 2024:20,</w:t>
      </w:r>
      <w:r>
        <w:rPr/>
        <w:t xml:space="preserve"> </w:t>
      </w:r>
      <w:r>
        <w:rPr/>
        <w:t>p. 124</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pPr>
    <w:bookmarkStart w:id="17" w:name="PageNumWizard_HEADER_Default_Page_Style2"/>
    <w:r>
      <w:rPr/>
      <w:fldChar w:fldCharType="begin"/>
    </w:r>
    <w:r>
      <w:rPr/>
      <w:instrText xml:space="preserve"> PAGE </w:instrText>
    </w:r>
    <w:r>
      <w:rPr/>
      <w:fldChar w:fldCharType="separate"/>
    </w:r>
    <w:r>
      <w:rPr/>
      <w:t>6</w:t>
    </w:r>
    <w:r>
      <w:rPr/>
      <w:fldChar w:fldCharType="end"/>
    </w:r>
    <w:bookmarkEnd w:id="17"/>
  </w:p>
  <w:p>
    <w:pPr>
      <w:pStyle w:val="Header"/>
      <w:bidi w:val="0"/>
      <w:jc w:val="start"/>
      <w:rPr/>
    </w:pPr>
    <w:r>
      <w:rPr/>
      <w:t xml:space="preserve">Doris Maat 2322109 </w:t>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pPr>
    <w:r>
      <w:rPr/>
      <w:t>\</w:t>
    </w:r>
    <w:bookmarkStart w:id="18" w:name="PageNumWizard_HEADER_Default_Page_Style1"/>
    <w:r>
      <w:rPr/>
      <w:fldChar w:fldCharType="begin"/>
    </w:r>
    <w:r>
      <w:rPr/>
      <w:instrText xml:space="preserve"> PAGE </w:instrText>
    </w:r>
    <w:r>
      <w:rPr/>
      <w:fldChar w:fldCharType="separate"/>
    </w:r>
    <w:r>
      <w:rPr/>
      <w:t>5</w:t>
    </w:r>
    <w:r>
      <w:rPr/>
      <w:fldChar w:fldCharType="end"/>
    </w:r>
    <w:bookmarkEnd w:id="18"/>
  </w:p>
  <w:p>
    <w:pPr>
      <w:pStyle w:val="Header"/>
      <w:bidi w:val="0"/>
      <w:jc w:val="start"/>
      <w:rPr/>
    </w:pPr>
    <w:r>
      <w:rPr/>
      <w:t xml:space="preserve">Doris Maat 2322109 </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autoHyphenation w:val="true"/>
  <w:hyphenationZone w:val="0"/>
  <w:evenAndOddHeaders/>
  <w:footnotePr>
    <w:numFmt w:val="decimal"/>
    <w:footnote w:id="0"/>
    <w:footnote w:id="1"/>
  </w:footnotePr>
  <w:compat>
    <w:compatSetting w:name="compatibilityMode" w:uri="http://schemas.microsoft.com/office/word" w:val="15"/>
    <w:compatSetting w:name="useWord2013TrackBottomHyphenation" w:uri="http://schemas.microsoft.com/office/word" w:val="1"/>
    <w:compatSetting w:name="allowHyphenationAtTrackBottom"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before="0" w:after="0"/>
      <w:jc w:val="start"/>
    </w:pPr>
    <w:rPr>
      <w:rFonts w:ascii="Liberation Serif" w:hAnsi="Liberation Serif" w:eastAsia="NSimSun" w:cs="Lucida Sans"/>
      <w:color w:val="auto"/>
      <w:kern w:val="2"/>
      <w:sz w:val="24"/>
      <w:szCs w:val="24"/>
      <w:lang w:val="en-US" w:eastAsia="zh-CN" w:bidi="hi-IN"/>
    </w:rPr>
  </w:style>
  <w:style w:type="paragraph" w:styleId="Heading1">
    <w:name w:val="heading 1"/>
    <w:basedOn w:val="Normal"/>
    <w:next w:val="Normal"/>
    <w:qFormat/>
    <w:pPr>
      <w:keepNext w:val="true"/>
      <w:spacing w:before="240" w:after="60"/>
      <w:outlineLvl w:val="0"/>
    </w:pPr>
    <w:rPr>
      <w:rFonts w:ascii="Arial" w:hAnsi="Arial" w:cs="Arial"/>
      <w:b/>
      <w:bCs/>
      <w:kern w:val="2"/>
      <w:sz w:val="32"/>
      <w:szCs w:val="32"/>
    </w:rPr>
  </w:style>
  <w:style w:type="paragraph" w:styleId="Heading2">
    <w:name w:val="heading 2"/>
    <w:basedOn w:val="Normal"/>
    <w:next w:val="Normal"/>
    <w:qFormat/>
    <w:pPr>
      <w:keepNext w:val="true"/>
      <w:spacing w:before="240" w:after="60"/>
      <w:outlineLvl w:val="1"/>
    </w:pPr>
    <w:rPr>
      <w:rFonts w:ascii="Arial" w:hAnsi="Arial" w:cs="Arial"/>
      <w:b/>
      <w:bCs/>
      <w:i/>
      <w:iCs/>
      <w:sz w:val="28"/>
      <w:szCs w:val="28"/>
    </w:rPr>
  </w:style>
  <w:style w:type="paragraph" w:styleId="Heading3">
    <w:name w:val="heading 3"/>
    <w:basedOn w:val="Normal"/>
    <w:next w:val="BodyText"/>
    <w:qFormat/>
    <w:pPr>
      <w:keepNext w:val="true"/>
      <w:ind w:hanging="0" w:start="720" w:end="0"/>
      <w:jc w:val="both"/>
      <w:outlineLvl w:val="2"/>
    </w:pPr>
    <w:rPr>
      <w:rFonts w:ascii="Tahoma" w:hAnsi="Tahoma" w:cs="Tahoma"/>
      <w:b/>
      <w:bCs/>
      <w:sz w:val="20"/>
      <w:szCs w:val="20"/>
    </w:rPr>
  </w:style>
  <w:style w:type="character" w:styleId="FooterChar">
    <w:name w:val="Footer Char"/>
    <w:qFormat/>
    <w:rPr>
      <w:sz w:val="24"/>
      <w:szCs w:val="24"/>
      <w:lang w:eastAsia="zh-CN"/>
    </w:rPr>
  </w:style>
  <w:style w:type="character" w:styleId="HeaderChar">
    <w:name w:val="Header Char"/>
    <w:qFormat/>
    <w:rPr>
      <w:rFonts w:ascii="Trebuchet MS" w:hAnsi="Trebuchet MS" w:eastAsia="Calibri" w:cs="Tahoma"/>
      <w:sz w:val="22"/>
    </w:rPr>
  </w:style>
  <w:style w:type="character" w:styleId="BalloonTextChar">
    <w:name w:val="Balloon Text Char"/>
    <w:qFormat/>
    <w:rPr>
      <w:rFonts w:ascii="Tahoma" w:hAnsi="Tahoma" w:cs="Tahoma"/>
      <w:sz w:val="16"/>
      <w:szCs w:val="16"/>
      <w:lang w:eastAsia="zh-CN"/>
    </w:rPr>
  </w:style>
  <w:style w:type="character" w:styleId="CommentSubjectChar">
    <w:name w:val="Comment Subject Char"/>
    <w:qFormat/>
    <w:rPr>
      <w:b/>
      <w:bCs/>
      <w:lang w:eastAsia="zh-CN"/>
    </w:rPr>
  </w:style>
  <w:style w:type="character" w:styleId="CommentTextChar">
    <w:name w:val="Comment Text Char"/>
    <w:qFormat/>
    <w:rPr>
      <w:lang w:eastAsia="zh-CN"/>
    </w:rPr>
  </w:style>
  <w:style w:type="character" w:styleId="CommentReference">
    <w:name w:val="Comment Reference"/>
    <w:qFormat/>
    <w:rPr>
      <w:sz w:val="16"/>
      <w:szCs w:val="16"/>
    </w:rPr>
  </w:style>
  <w:style w:type="character" w:styleId="DefaultParagraphFont">
    <w:name w:val="Default Paragraph Font"/>
    <w:qFormat/>
    <w:rPr/>
  </w:style>
  <w:style w:type="character" w:styleId="WW8NumSt18z0">
    <w:name w:val="WW8NumSt18z0"/>
    <w:qFormat/>
    <w:rPr>
      <w:rFonts w:ascii="Symbol" w:hAnsi="Symbol" w:cs="Symbol"/>
    </w:rPr>
  </w:style>
  <w:style w:type="character" w:styleId="WW8NumSt16z0">
    <w:name w:val="WW8NumSt16z0"/>
    <w:qFormat/>
    <w:rPr>
      <w:rFonts w:ascii="Symbol" w:hAnsi="Symbol" w:cs="Symbol"/>
    </w:rPr>
  </w:style>
  <w:style w:type="character" w:styleId="WW8Num24z2">
    <w:name w:val="WW8Num24z2"/>
    <w:qFormat/>
    <w:rPr>
      <w:rFonts w:ascii="Wingdings" w:hAnsi="Wingdings" w:cs="Wingdings"/>
    </w:rPr>
  </w:style>
  <w:style w:type="character" w:styleId="WW8Num24z1">
    <w:name w:val="WW8Num24z1"/>
    <w:qFormat/>
    <w:rPr>
      <w:rFonts w:ascii="Courier New" w:hAnsi="Courier New" w:cs="Courier New"/>
    </w:rPr>
  </w:style>
  <w:style w:type="character" w:styleId="WW8Num24z0">
    <w:name w:val="WW8Num24z0"/>
    <w:qFormat/>
    <w:rPr>
      <w:rFonts w:ascii="Symbol" w:hAnsi="Symbol" w:cs="Symbol"/>
    </w:rPr>
  </w:style>
  <w:style w:type="character" w:styleId="WW8Num23z0">
    <w:name w:val="WW8Num23z0"/>
    <w:qFormat/>
    <w:rPr>
      <w:rFonts w:ascii="Symbol" w:hAnsi="Symbol" w:cs="Symbol"/>
    </w:rPr>
  </w:style>
  <w:style w:type="character" w:styleId="WW8Num22z2">
    <w:name w:val="WW8Num22z2"/>
    <w:qFormat/>
    <w:rPr>
      <w:rFonts w:ascii="Wingdings" w:hAnsi="Wingdings" w:cs="Wingdings"/>
    </w:rPr>
  </w:style>
  <w:style w:type="character" w:styleId="WW8Num22z1">
    <w:name w:val="WW8Num22z1"/>
    <w:qFormat/>
    <w:rPr>
      <w:rFonts w:ascii="Courier New" w:hAnsi="Courier New" w:cs="Courier New"/>
    </w:rPr>
  </w:style>
  <w:style w:type="character" w:styleId="WW8Num22z0">
    <w:name w:val="WW8Num22z0"/>
    <w:qFormat/>
    <w:rPr>
      <w:rFonts w:ascii="Symbol" w:hAnsi="Symbol" w:cs="Symbol"/>
    </w:rPr>
  </w:style>
  <w:style w:type="character" w:styleId="WW8Num21z2">
    <w:name w:val="WW8Num21z2"/>
    <w:qFormat/>
    <w:rPr>
      <w:rFonts w:ascii="Wingdings" w:hAnsi="Wingdings" w:cs="Wingdings"/>
    </w:rPr>
  </w:style>
  <w:style w:type="character" w:styleId="WW8Num21z1">
    <w:name w:val="WW8Num21z1"/>
    <w:qFormat/>
    <w:rPr>
      <w:rFonts w:ascii="Courier New" w:hAnsi="Courier New" w:cs="Courier New"/>
    </w:rPr>
  </w:style>
  <w:style w:type="character" w:styleId="WW8Num21z0">
    <w:name w:val="WW8Num21z0"/>
    <w:qFormat/>
    <w:rPr>
      <w:rFonts w:ascii="Symbol" w:hAnsi="Symbol" w:cs="Symbol"/>
    </w:rPr>
  </w:style>
  <w:style w:type="character" w:styleId="WW8Num19z3">
    <w:name w:val="WW8Num19z3"/>
    <w:qFormat/>
    <w:rPr>
      <w:rFonts w:ascii="Symbol" w:hAnsi="Symbol" w:cs="Symbol"/>
    </w:rPr>
  </w:style>
  <w:style w:type="character" w:styleId="WW8Num19z2">
    <w:name w:val="WW8Num19z2"/>
    <w:qFormat/>
    <w:rPr>
      <w:rFonts w:ascii="Wingdings" w:hAnsi="Wingdings" w:cs="Wingdings"/>
    </w:rPr>
  </w:style>
  <w:style w:type="character" w:styleId="WW8Num19z1">
    <w:name w:val="WW8Num19z1"/>
    <w:qFormat/>
    <w:rPr>
      <w:rFonts w:ascii="Courier New" w:hAnsi="Courier New" w:cs="Courier New"/>
    </w:rPr>
  </w:style>
  <w:style w:type="character" w:styleId="WW8Num19z0">
    <w:name w:val="WW8Num19z0"/>
    <w:qFormat/>
    <w:rPr>
      <w:rFonts w:ascii="Albertus" w:hAnsi="Albertus" w:cs="Albertus"/>
    </w:rPr>
  </w:style>
  <w:style w:type="character" w:styleId="WW8Num18z2">
    <w:name w:val="WW8Num18z2"/>
    <w:qFormat/>
    <w:rPr>
      <w:rFonts w:ascii="Wingdings" w:hAnsi="Wingdings" w:cs="Wingdings"/>
    </w:rPr>
  </w:style>
  <w:style w:type="character" w:styleId="WW8Num18z1">
    <w:name w:val="WW8Num18z1"/>
    <w:qFormat/>
    <w:rPr>
      <w:rFonts w:ascii="Courier New" w:hAnsi="Courier New" w:cs="Courier New"/>
    </w:rPr>
  </w:style>
  <w:style w:type="character" w:styleId="WW8Num18z0">
    <w:name w:val="WW8Num18z0"/>
    <w:qFormat/>
    <w:rPr>
      <w:rFonts w:ascii="Symbol" w:hAnsi="Symbol" w:cs="Symbol"/>
    </w:rPr>
  </w:style>
  <w:style w:type="character" w:styleId="WW8Num17z0">
    <w:name w:val="WW8Num17z0"/>
    <w:qFormat/>
    <w:rPr>
      <w:rFonts w:ascii="Symbol" w:hAnsi="Symbol" w:cs="Symbol"/>
    </w:rPr>
  </w:style>
  <w:style w:type="character" w:styleId="WW8Num16z2">
    <w:name w:val="WW8Num16z2"/>
    <w:qFormat/>
    <w:rPr>
      <w:rFonts w:ascii="Wingdings" w:hAnsi="Wingdings" w:cs="Wingdings"/>
    </w:rPr>
  </w:style>
  <w:style w:type="character" w:styleId="WW8Num16z1">
    <w:name w:val="WW8Num16z1"/>
    <w:qFormat/>
    <w:rPr>
      <w:rFonts w:ascii="Courier New" w:hAnsi="Courier New" w:cs="Courier New"/>
    </w:rPr>
  </w:style>
  <w:style w:type="character" w:styleId="WW8Num16z0">
    <w:name w:val="WW8Num16z0"/>
    <w:qFormat/>
    <w:rPr>
      <w:rFonts w:ascii="Symbol" w:hAnsi="Symbol" w:cs="Symbol"/>
    </w:rPr>
  </w:style>
  <w:style w:type="character" w:styleId="WW8Num15z0">
    <w:name w:val="WW8Num15z0"/>
    <w:qFormat/>
    <w:rPr>
      <w:rFonts w:ascii="Symbol" w:hAnsi="Symbol" w:cs="Symbol"/>
    </w:rPr>
  </w:style>
  <w:style w:type="character" w:styleId="WW8Num14z2">
    <w:name w:val="WW8Num14z2"/>
    <w:qFormat/>
    <w:rPr>
      <w:rFonts w:ascii="Wingdings" w:hAnsi="Wingdings" w:cs="Wingdings"/>
    </w:rPr>
  </w:style>
  <w:style w:type="character" w:styleId="WW8Num14z1">
    <w:name w:val="WW8Num14z1"/>
    <w:qFormat/>
    <w:rPr>
      <w:rFonts w:ascii="Courier New" w:hAnsi="Courier New" w:cs="Courier New"/>
    </w:rPr>
  </w:style>
  <w:style w:type="character" w:styleId="WW8Num14z0">
    <w:name w:val="WW8Num14z0"/>
    <w:qFormat/>
    <w:rPr>
      <w:rFonts w:ascii="Symbol" w:hAnsi="Symbol" w:cs="Symbol"/>
    </w:rPr>
  </w:style>
  <w:style w:type="character" w:styleId="WW8Num13z0">
    <w:name w:val="WW8Num13z0"/>
    <w:qFormat/>
    <w:rPr>
      <w:rFonts w:ascii="Symbol" w:hAnsi="Symbol" w:cs="Symbol"/>
    </w:rPr>
  </w:style>
  <w:style w:type="character" w:styleId="WW8Num12z0">
    <w:name w:val="WW8Num12z0"/>
    <w:qFormat/>
    <w:rPr>
      <w:rFonts w:ascii="Symbol" w:hAnsi="Symbol" w:cs="Symbol"/>
    </w:rPr>
  </w:style>
  <w:style w:type="character" w:styleId="WW8Num11z0">
    <w:name w:val="WW8Num11z0"/>
    <w:qFormat/>
    <w:rPr>
      <w:rFonts w:ascii="Symbol" w:hAnsi="Symbol" w:cs="Symbol"/>
    </w:rPr>
  </w:style>
  <w:style w:type="character" w:styleId="WW8Num10z0">
    <w:name w:val="WW8Num10z0"/>
    <w:qFormat/>
    <w:rPr>
      <w:sz w:val="20"/>
    </w:rPr>
  </w:style>
  <w:style w:type="character" w:styleId="WW8Num8z2">
    <w:name w:val="WW8Num8z2"/>
    <w:qFormat/>
    <w:rPr>
      <w:rFonts w:ascii="Wingdings" w:hAnsi="Wingdings" w:cs="Wingdings"/>
    </w:rPr>
  </w:style>
  <w:style w:type="character" w:styleId="WW8Num8z1">
    <w:name w:val="WW8Num8z1"/>
    <w:qFormat/>
    <w:rPr>
      <w:rFonts w:ascii="Courier New" w:hAnsi="Courier New" w:cs="Courier New"/>
    </w:rPr>
  </w:style>
  <w:style w:type="character" w:styleId="WW8Num8z0">
    <w:name w:val="WW8Num8z0"/>
    <w:qFormat/>
    <w:rPr>
      <w:rFonts w:ascii="Symbol" w:hAnsi="Symbol" w:cs="Symbol"/>
    </w:rPr>
  </w:style>
  <w:style w:type="character" w:styleId="WW8Num6z2">
    <w:name w:val="WW8Num6z2"/>
    <w:qFormat/>
    <w:rPr>
      <w:rFonts w:ascii="Wingdings" w:hAnsi="Wingdings" w:cs="Wingdings"/>
    </w:rPr>
  </w:style>
  <w:style w:type="character" w:styleId="WW8Num6z1">
    <w:name w:val="WW8Num6z1"/>
    <w:qFormat/>
    <w:rPr>
      <w:rFonts w:ascii="Courier New" w:hAnsi="Courier New" w:cs="Courier New"/>
    </w:rPr>
  </w:style>
  <w:style w:type="character" w:styleId="WW8Num6z0">
    <w:name w:val="WW8Num6z0"/>
    <w:qFormat/>
    <w:rPr>
      <w:rFonts w:ascii="Symbol" w:hAnsi="Symbol" w:cs="Symbol"/>
    </w:rPr>
  </w:style>
  <w:style w:type="character" w:styleId="WW8Num5z2">
    <w:name w:val="WW8Num5z2"/>
    <w:qFormat/>
    <w:rPr>
      <w:rFonts w:ascii="Wingdings" w:hAnsi="Wingdings" w:cs="Wingdings"/>
    </w:rPr>
  </w:style>
  <w:style w:type="character" w:styleId="WW8Num5z1">
    <w:name w:val="WW8Num5z1"/>
    <w:qFormat/>
    <w:rPr>
      <w:rFonts w:ascii="Courier New" w:hAnsi="Courier New" w:cs="Courier New"/>
    </w:rPr>
  </w:style>
  <w:style w:type="character" w:styleId="WW8Num5z0">
    <w:name w:val="WW8Num5z0"/>
    <w:qFormat/>
    <w:rPr>
      <w:rFonts w:ascii="Symbol" w:hAnsi="Symbol" w:cs="Symbol"/>
    </w:rPr>
  </w:style>
  <w:style w:type="character" w:styleId="WW8Num4z0">
    <w:name w:val="WW8Num4z0"/>
    <w:qFormat/>
    <w:rPr>
      <w:rFonts w:ascii="Symbol" w:hAnsi="Symbol" w:cs="Symbol"/>
    </w:rPr>
  </w:style>
  <w:style w:type="character" w:styleId="WW8Num3z2">
    <w:name w:val="WW8Num3z2"/>
    <w:qFormat/>
    <w:rPr>
      <w:rFonts w:ascii="Wingdings" w:hAnsi="Wingdings" w:cs="Wingdings"/>
    </w:rPr>
  </w:style>
  <w:style w:type="character" w:styleId="WW8Num3z1">
    <w:name w:val="WW8Num3z1"/>
    <w:qFormat/>
    <w:rPr>
      <w:rFonts w:ascii="Courier New" w:hAnsi="Courier New" w:cs="Courier New"/>
    </w:rPr>
  </w:style>
  <w:style w:type="character" w:styleId="WW8Num3z0">
    <w:name w:val="WW8Num3z0"/>
    <w:qFormat/>
    <w:rPr>
      <w:rFonts w:ascii="Symbol" w:hAnsi="Symbol" w:cs="Symbol"/>
    </w:rPr>
  </w:style>
  <w:style w:type="character" w:styleId="WW8Num2z2">
    <w:name w:val="WW8Num2z2"/>
    <w:qFormat/>
    <w:rPr>
      <w:rFonts w:ascii="Wingdings" w:hAnsi="Wingdings" w:cs="Wingdings"/>
    </w:rPr>
  </w:style>
  <w:style w:type="character" w:styleId="WW8Num2z1">
    <w:name w:val="WW8Num2z1"/>
    <w:qFormat/>
    <w:rPr>
      <w:rFonts w:ascii="Courier New" w:hAnsi="Courier New" w:cs="Courier New"/>
    </w:rPr>
  </w:style>
  <w:style w:type="character" w:styleId="WW8Num2z0">
    <w:name w:val="WW8Num2z0"/>
    <w:qFormat/>
    <w:rPr>
      <w:rFonts w:ascii="Symbol" w:hAnsi="Symbol" w:cs="Symbol"/>
    </w:rPr>
  </w:style>
  <w:style w:type="character" w:styleId="FootnoteCharacters">
    <w:name w:val="Footnote Characters"/>
    <w:qFormat/>
    <w:rPr/>
  </w:style>
  <w:style w:type="character" w:styleId="FootnoteReference">
    <w:name w:val="footnote reference"/>
    <w:rPr>
      <w:vertAlign w:val="superscript"/>
    </w:rPr>
  </w:style>
  <w:style w:type="character" w:styleId="EndnoteReference">
    <w:name w:val="endnote reference"/>
    <w:rPr>
      <w:vertAlign w:val="superscript"/>
    </w:rPr>
  </w:style>
  <w:style w:type="character" w:styleId="EndnoteCharacters">
    <w:name w:val="Endnote Characters"/>
    <w:qFormat/>
    <w:rPr/>
  </w:style>
  <w:style w:type="character" w:styleId="Hyperlink">
    <w:name w:val="Hyperlink"/>
    <w:rPr>
      <w:color w:val="000080"/>
      <w:u w:val="single"/>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HeaderandFooter">
    <w:name w:val="Header and Footer"/>
    <w:basedOn w:val="Normal"/>
    <w:qFormat/>
    <w:pPr>
      <w:suppressLineNumbers/>
      <w:tabs>
        <w:tab w:val="clear" w:pos="709"/>
        <w:tab w:val="center" w:pos="4986" w:leader="none"/>
        <w:tab w:val="right" w:pos="9972" w:leader="none"/>
      </w:tabs>
    </w:pPr>
    <w:rPr/>
  </w:style>
  <w:style w:type="paragraph" w:styleId="Footer">
    <w:name w:val="footer"/>
    <w:basedOn w:val="Normal"/>
    <w:pPr>
      <w:tabs>
        <w:tab w:val="clear" w:pos="709"/>
        <w:tab w:val="center" w:pos="4513" w:leader="none"/>
        <w:tab w:val="right" w:pos="9026" w:leader="none"/>
      </w:tabs>
    </w:pPr>
    <w:rPr>
      <w:lang w:val="en-US"/>
    </w:rPr>
  </w:style>
  <w:style w:type="paragraph" w:styleId="Header">
    <w:name w:val="header"/>
    <w:basedOn w:val="Normal"/>
    <w:pPr>
      <w:tabs>
        <w:tab w:val="clear" w:pos="709"/>
        <w:tab w:val="center" w:pos="4513" w:leader="none"/>
        <w:tab w:val="right" w:pos="9026" w:leader="none"/>
      </w:tabs>
    </w:pPr>
    <w:rPr>
      <w:rFonts w:ascii="Trebuchet MS" w:hAnsi="Trebuchet MS" w:eastAsia="Calibri" w:cs="Trebuchet MS"/>
      <w:sz w:val="22"/>
      <w:szCs w:val="20"/>
      <w:lang w:val="en-US"/>
    </w:rPr>
  </w:style>
  <w:style w:type="paragraph" w:styleId="BalloonText">
    <w:name w:val="Balloon Text"/>
    <w:basedOn w:val="Normal"/>
    <w:qFormat/>
    <w:pPr/>
    <w:rPr>
      <w:rFonts w:ascii="Tahoma" w:hAnsi="Tahoma" w:cs="Tahoma"/>
      <w:sz w:val="16"/>
      <w:szCs w:val="16"/>
      <w:lang w:val="en-US"/>
    </w:rPr>
  </w:style>
  <w:style w:type="paragraph" w:styleId="CommentSubject">
    <w:name w:val="Comment Subject"/>
    <w:basedOn w:val="CommentText"/>
    <w:next w:val="CommentText"/>
    <w:qFormat/>
    <w:pPr/>
    <w:rPr>
      <w:b/>
      <w:bCs/>
    </w:rPr>
  </w:style>
  <w:style w:type="paragraph" w:styleId="CommentText">
    <w:name w:val="Comment Text"/>
    <w:basedOn w:val="Normal"/>
    <w:qFormat/>
    <w:pPr/>
    <w:rPr>
      <w:sz w:val="20"/>
      <w:szCs w:val="20"/>
      <w:lang w:val="en-US"/>
    </w:rPr>
  </w:style>
  <w:style w:type="paragraph" w:styleId="NormalWeb">
    <w:name w:val="Normal (Web)"/>
    <w:basedOn w:val="Normal"/>
    <w:qFormat/>
    <w:pPr>
      <w:spacing w:before="280" w:after="280"/>
    </w:pPr>
    <w:rPr>
      <w:rFonts w:ascii="Georgia" w:hAnsi="Georgia" w:cs="Georgia"/>
      <w:color w:val="000000"/>
      <w:sz w:val="21"/>
      <w:szCs w:val="21"/>
    </w:rPr>
  </w:style>
  <w:style w:type="paragraph" w:styleId="FootnoteText">
    <w:name w:val="footnote text"/>
    <w:basedOn w:val="Normal"/>
    <w:pPr>
      <w:suppressLineNumbers/>
      <w:ind w:hanging="340" w:start="340"/>
    </w:pPr>
    <w:rPr>
      <w:sz w:val="20"/>
      <w:szCs w:val="20"/>
    </w:rPr>
  </w:style>
  <w:style w:type="numbering" w:styleId="WW8Num1">
    <w:name w:val="WW8Num1"/>
    <w:qFormat/>
  </w:style>
  <w:style w:type="numbering" w:styleId="WW8Num2">
    <w:name w:val="WW8Num2"/>
    <w:qFormat/>
  </w:style>
  <w:style w:type="numbering" w:styleId="WW8Num3">
    <w:name w:val="WW8Num3"/>
    <w:qFormat/>
  </w:style>
  <w:style w:type="numbering" w:styleId="WW8Num4">
    <w:name w:val="WW8Num4"/>
    <w:qFormat/>
  </w:style>
  <w:style w:type="numbering" w:styleId="WW8Num5">
    <w:name w:val="WW8Num5"/>
    <w:qFormat/>
  </w:style>
  <w:style w:type="numbering" w:styleId="WW8Num6">
    <w:name w:val="WW8Num6"/>
    <w:qFormat/>
  </w:style>
  <w:style w:type="numbering" w:styleId="WW8Num7">
    <w:name w:val="WW8Num7"/>
    <w:qFormat/>
  </w:style>
  <w:style w:type="numbering" w:styleId="WW8Num8">
    <w:name w:val="WW8Num8"/>
    <w:qFormat/>
  </w:style>
  <w:style w:type="numbering" w:styleId="WW8Num9">
    <w:name w:val="WW8Num9"/>
    <w:qFormat/>
  </w:style>
  <w:style w:type="numbering" w:styleId="WW8Num10">
    <w:name w:val="WW8Num10"/>
    <w:qFormat/>
  </w:style>
  <w:style w:type="numbering" w:styleId="WW8Num11">
    <w:name w:val="WW8Num11"/>
    <w:qFormat/>
  </w:style>
  <w:style w:type="numbering" w:styleId="WW8Num12">
    <w:name w:val="WW8Num12"/>
    <w:qFormat/>
  </w:style>
  <w:style w:type="numbering" w:styleId="WW8Num13">
    <w:name w:val="WW8Num13"/>
    <w:qFormat/>
  </w:style>
  <w:style w:type="numbering" w:styleId="WW8Num14">
    <w:name w:val="WW8Num14"/>
    <w:qFormat/>
  </w:style>
  <w:style w:type="numbering" w:styleId="WW8Num15">
    <w:name w:val="WW8Num15"/>
    <w:qFormat/>
  </w:style>
  <w:style w:type="numbering" w:styleId="WW8Num16">
    <w:name w:val="WW8Num16"/>
    <w:qFormat/>
  </w:style>
  <w:style w:type="numbering" w:styleId="WW8Num17">
    <w:name w:val="WW8Num17"/>
    <w:qFormat/>
  </w:style>
  <w:style w:type="numbering" w:styleId="WW8Num18">
    <w:name w:val="WW8Num18"/>
    <w:qFormat/>
  </w:style>
  <w:style w:type="numbering" w:styleId="WW8Num19">
    <w:name w:val="WW8Num19"/>
    <w:qFormat/>
  </w:style>
  <w:style w:type="numbering" w:styleId="WW8Num20">
    <w:name w:val="WW8Num20"/>
    <w:qFormat/>
  </w:style>
  <w:style w:type="numbering" w:styleId="WW8Num21">
    <w:name w:val="WW8Num21"/>
    <w:qFormat/>
  </w:style>
  <w:style w:type="numbering" w:styleId="WW8Num22">
    <w:name w:val="WW8Num22"/>
    <w:qFormat/>
  </w:style>
  <w:style w:type="numbering" w:styleId="WW8Num23">
    <w:name w:val="WW8Num23"/>
    <w:qFormat/>
  </w:style>
  <w:style w:type="numbering" w:styleId="WW8Num24">
    <w:name w:val="WW8Num24"/>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header" Target="header2.xml"/><Relationship Id="rId5" Type="http://schemas.openxmlformats.org/officeDocument/2006/relationships/footnotes" Target="footnotes.xm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africame.factsanddetails.com/article/entry-982.html" TargetMode="Externa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30</TotalTime>
  <Application>LibreOffice/24.8.5.2$Windows_X86_64 LibreOffice_project/fddf2685c70b461e7832239a0162a77216259f22</Application>
  <AppVersion>15.0000</AppVersion>
  <Pages>7</Pages>
  <Words>3044</Words>
  <Characters>16188</Characters>
  <CharactersWithSpaces>19285</CharactersWithSpaces>
  <Paragraphs>82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2025-04-03T07:44:53Z</dcterms:created>
  <dc:creator/>
  <dc:description/>
  <dc:language>en-US</dc:language>
  <cp:lastModifiedBy/>
  <dcterms:modified xsi:type="dcterms:W3CDTF">2025-04-03T18:42:36Z</dcterms:modified>
  <cp:revision>9</cp:revision>
  <dc:subject/>
  <dc:title/>
</cp:coreProperties>
</file>

<file path=docProps/custom.xml><?xml version="1.0" encoding="utf-8"?>
<Properties xmlns="http://schemas.openxmlformats.org/officeDocument/2006/custom-properties" xmlns:vt="http://schemas.openxmlformats.org/officeDocument/2006/docPropsVTypes"/>
</file>