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12447784"/>
        <w:docPartObj>
          <w:docPartGallery w:val="Cover Pages"/>
          <w:docPartUnique/>
        </w:docPartObj>
      </w:sdtPr>
      <w:sdtEndPr>
        <w:rPr>
          <w:rFonts w:asciiTheme="minorBidi" w:hAnsiTheme="minorBidi" w:cstheme="minorBidi"/>
          <w:color w:val="auto"/>
        </w:rPr>
      </w:sdtEndPr>
      <w:sdtContent>
        <w:p w14:paraId="11D3A2A8" w14:textId="1A395EB0" w:rsidR="00045E53" w:rsidRDefault="00045E53">
          <w:r>
            <w:rPr>
              <w:noProof/>
            </w:rPr>
            <mc:AlternateContent>
              <mc:Choice Requires="wpg">
                <w:drawing>
                  <wp:anchor distT="0" distB="0" distL="114300" distR="114300" simplePos="0" relativeHeight="251662336" behindDoc="0" locked="0" layoutInCell="1" allowOverlap="1" wp14:anchorId="7F13C90A" wp14:editId="351485C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E38EB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F5E35BB" wp14:editId="0C40377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89D3C7" w14:textId="51F48CC9" w:rsidR="00045E53" w:rsidRDefault="00045E53">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F5E35B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C89D3C7" w14:textId="51F48CC9" w:rsidR="00045E53" w:rsidRDefault="00045E53">
                          <w:pPr>
                            <w:pStyle w:val="NoSpacing"/>
                            <w:jc w:val="right"/>
                            <w:rPr>
                              <w:color w:val="595959" w:themeColor="text1" w:themeTint="A6"/>
                              <w:sz w:val="18"/>
                              <w:szCs w:val="18"/>
                            </w:rPr>
                          </w:pPr>
                        </w:p>
                      </w:txbxContent>
                    </v:textbox>
                    <w10:wrap type="square" anchorx="page" anchory="page"/>
                  </v:shape>
                </w:pict>
              </mc:Fallback>
            </mc:AlternateContent>
          </w:r>
        </w:p>
        <w:p w14:paraId="0E1A9DD7" w14:textId="0022D0E4" w:rsidR="009A0202" w:rsidRPr="00C33C8C" w:rsidRDefault="000442CD" w:rsidP="00C33C8C">
          <w:pPr>
            <w:rPr>
              <w:rFonts w:asciiTheme="minorBidi" w:hAnsiTheme="minorBidi" w:cstheme="minorBidi"/>
              <w:color w:val="auto"/>
            </w:rPr>
          </w:pPr>
          <w:r>
            <w:rPr>
              <w:noProof/>
            </w:rPr>
            <mc:AlternateContent>
              <mc:Choice Requires="wps">
                <w:drawing>
                  <wp:anchor distT="0" distB="0" distL="114300" distR="114300" simplePos="0" relativeHeight="251665408" behindDoc="0" locked="0" layoutInCell="1" allowOverlap="1" wp14:anchorId="66C3D3C4" wp14:editId="13F76168">
                    <wp:simplePos x="0" y="0"/>
                    <wp:positionH relativeFrom="column">
                      <wp:posOffset>1388714</wp:posOffset>
                    </wp:positionH>
                    <wp:positionV relativeFrom="paragraph">
                      <wp:posOffset>3583448</wp:posOffset>
                    </wp:positionV>
                    <wp:extent cx="2899553" cy="2210207"/>
                    <wp:effectExtent l="0" t="0" r="15240" b="19050"/>
                    <wp:wrapNone/>
                    <wp:docPr id="1217129695" name="Text Box 3"/>
                    <wp:cNvGraphicFramePr/>
                    <a:graphic xmlns:a="http://schemas.openxmlformats.org/drawingml/2006/main">
                      <a:graphicData uri="http://schemas.microsoft.com/office/word/2010/wordprocessingShape">
                        <wps:wsp>
                          <wps:cNvSpPr txBox="1"/>
                          <wps:spPr>
                            <a:xfrm>
                              <a:off x="0" y="0"/>
                              <a:ext cx="2899553" cy="2210207"/>
                            </a:xfrm>
                            <a:prstGeom prst="rect">
                              <a:avLst/>
                            </a:prstGeom>
                            <a:solidFill>
                              <a:schemeClr val="lt1"/>
                            </a:solidFill>
                            <a:ln w="6350">
                              <a:solidFill>
                                <a:prstClr val="black"/>
                              </a:solidFill>
                            </a:ln>
                          </wps:spPr>
                          <wps:txbx>
                            <w:txbxContent>
                              <w:p w14:paraId="72CC5955" w14:textId="7C51EF66" w:rsidR="000442CD" w:rsidRPr="006B39E8" w:rsidRDefault="00017152">
                                <w:pPr>
                                  <w:rPr>
                                    <w:rFonts w:asciiTheme="minorBidi" w:hAnsiTheme="minorBidi" w:cstheme="minorBidi"/>
                                    <w:color w:val="000000" w:themeColor="text1"/>
                                  </w:rPr>
                                </w:pPr>
                                <w:r w:rsidRPr="006B39E8">
                                  <w:rPr>
                                    <w:rFonts w:asciiTheme="minorBidi" w:hAnsiTheme="minorBidi" w:cstheme="minorBidi"/>
                                    <w:color w:val="000000" w:themeColor="text1"/>
                                  </w:rPr>
                                  <w:t>STUDENT NAME: RABAB MOHAMED</w:t>
                                </w:r>
                              </w:p>
                              <w:p w14:paraId="6DD53788" w14:textId="03AE52CA" w:rsidR="002D4DF8" w:rsidRPr="006B39E8" w:rsidRDefault="002D4DF8">
                                <w:pPr>
                                  <w:rPr>
                                    <w:rFonts w:asciiTheme="minorBidi" w:hAnsiTheme="minorBidi" w:cstheme="minorBidi"/>
                                    <w:color w:val="000000" w:themeColor="text1"/>
                                  </w:rPr>
                                </w:pPr>
                                <w:r w:rsidRPr="006B39E8">
                                  <w:rPr>
                                    <w:rFonts w:asciiTheme="minorBidi" w:hAnsiTheme="minorBidi" w:cstheme="minorBidi"/>
                                    <w:color w:val="000000" w:themeColor="text1"/>
                                  </w:rPr>
                                  <w:t>STUDENT NO: 2528253</w:t>
                                </w:r>
                              </w:p>
                              <w:p w14:paraId="48368B0F" w14:textId="1630E9D6" w:rsidR="002D4DF8" w:rsidRPr="006B39E8" w:rsidRDefault="00511F30">
                                <w:pPr>
                                  <w:rPr>
                                    <w:rFonts w:asciiTheme="minorBidi" w:hAnsiTheme="minorBidi" w:cstheme="minorBidi"/>
                                    <w:color w:val="000000" w:themeColor="text1"/>
                                  </w:rPr>
                                </w:pPr>
                                <w:r w:rsidRPr="006B39E8">
                                  <w:rPr>
                                    <w:rFonts w:asciiTheme="minorBidi" w:hAnsiTheme="minorBidi" w:cstheme="minorBidi"/>
                                    <w:color w:val="000000" w:themeColor="text1"/>
                                  </w:rPr>
                                  <w:t>MODULE TITLE:</w:t>
                                </w:r>
                                <w:r w:rsidR="00356B12" w:rsidRPr="006B39E8">
                                  <w:rPr>
                                    <w:rFonts w:asciiTheme="minorBidi" w:hAnsiTheme="minorBidi" w:cstheme="minorBidi"/>
                                    <w:color w:val="000000" w:themeColor="text1"/>
                                  </w:rPr>
                                  <w:t xml:space="preserve"> INTRODUCTION TO HEALTH </w:t>
                                </w:r>
                                <w:r w:rsidR="00DC6086" w:rsidRPr="006B39E8">
                                  <w:rPr>
                                    <w:rFonts w:asciiTheme="minorBidi" w:hAnsiTheme="minorBidi" w:cstheme="minorBidi"/>
                                    <w:color w:val="000000" w:themeColor="text1"/>
                                  </w:rPr>
                                  <w:t>&amp; SOCIAL CARE</w:t>
                                </w:r>
                              </w:p>
                              <w:p w14:paraId="1FE62F15" w14:textId="400ED1BE" w:rsidR="00DC6086" w:rsidRPr="006B39E8" w:rsidRDefault="00DC6086" w:rsidP="00DC6086">
                                <w:pPr>
                                  <w:rPr>
                                    <w:rFonts w:asciiTheme="minorBidi" w:hAnsiTheme="minorBidi" w:cstheme="minorBidi"/>
                                    <w:color w:val="000000" w:themeColor="text1"/>
                                  </w:rPr>
                                </w:pPr>
                                <w:r w:rsidRPr="006B39E8">
                                  <w:rPr>
                                    <w:rFonts w:asciiTheme="minorBidi" w:hAnsiTheme="minorBidi" w:cstheme="minorBidi"/>
                                    <w:color w:val="000000" w:themeColor="text1"/>
                                  </w:rPr>
                                  <w:t>MODULE CODE: LCHS4003</w:t>
                                </w:r>
                                <w:r w:rsidR="002A339E">
                                  <w:rPr>
                                    <w:rFonts w:asciiTheme="minorBidi" w:hAnsiTheme="minorBidi" w:cstheme="minorBidi"/>
                                    <w:color w:val="000000" w:themeColor="text1"/>
                                  </w:rPr>
                                  <w:t>S</w:t>
                                </w:r>
                              </w:p>
                              <w:p w14:paraId="77925030" w14:textId="5892510C" w:rsidR="00DC6086" w:rsidRDefault="006B39E8" w:rsidP="006B39E8">
                                <w:pPr>
                                  <w:rPr>
                                    <w:rFonts w:asciiTheme="minorBidi" w:hAnsiTheme="minorBidi" w:cstheme="minorBidi"/>
                                    <w:color w:val="000000" w:themeColor="text1"/>
                                  </w:rPr>
                                </w:pPr>
                                <w:r w:rsidRPr="006B39E8">
                                  <w:rPr>
                                    <w:rFonts w:asciiTheme="minorBidi" w:hAnsiTheme="minorBidi" w:cstheme="minorBidi"/>
                                    <w:color w:val="000000" w:themeColor="text1"/>
                                  </w:rPr>
                                  <w:t>MODULE LEADER</w:t>
                                </w:r>
                                <w:r w:rsidR="00BA1E56" w:rsidRPr="006B39E8">
                                  <w:rPr>
                                    <w:rFonts w:asciiTheme="minorBidi" w:hAnsiTheme="minorBidi" w:cstheme="minorBidi"/>
                                    <w:color w:val="000000" w:themeColor="text1"/>
                                  </w:rPr>
                                  <w:t xml:space="preserve">: </w:t>
                                </w:r>
                                <w:r w:rsidRPr="006B39E8">
                                  <w:rPr>
                                    <w:rFonts w:asciiTheme="minorBidi" w:hAnsiTheme="minorBidi" w:cstheme="minorBidi"/>
                                    <w:color w:val="000000" w:themeColor="text1"/>
                                  </w:rPr>
                                  <w:t>Dr Helen Parsons </w:t>
                                </w:r>
                              </w:p>
                              <w:p w14:paraId="66C4F8D2" w14:textId="43A1A151" w:rsidR="006B39E8" w:rsidRPr="006B39E8" w:rsidRDefault="00A014B6" w:rsidP="006B39E8">
                                <w:pPr>
                                  <w:rPr>
                                    <w:rFonts w:asciiTheme="minorBidi" w:hAnsiTheme="minorBidi" w:cstheme="minorBidi"/>
                                    <w:color w:val="000000" w:themeColor="text1"/>
                                  </w:rPr>
                                </w:pPr>
                                <w:r>
                                  <w:rPr>
                                    <w:rFonts w:asciiTheme="minorBidi" w:hAnsiTheme="minorBidi" w:cstheme="minorBidi"/>
                                    <w:color w:val="000000" w:themeColor="text1"/>
                                  </w:rPr>
                                  <w:t>SUBMISSION DATE: 0</w:t>
                                </w:r>
                                <w:r w:rsidR="0009684D">
                                  <w:rPr>
                                    <w:rFonts w:asciiTheme="minorBidi" w:hAnsiTheme="minorBidi" w:cstheme="minorBidi"/>
                                    <w:color w:val="000000" w:themeColor="text1"/>
                                  </w:rPr>
                                  <w:t>9</w:t>
                                </w:r>
                                <w:r>
                                  <w:rPr>
                                    <w:rFonts w:asciiTheme="minorBidi" w:hAnsiTheme="minorBidi" w:cstheme="minorBidi"/>
                                    <w:color w:val="000000" w:themeColor="text1"/>
                                  </w:rPr>
                                  <w:t>/07/2026</w:t>
                                </w:r>
                              </w:p>
                              <w:p w14:paraId="7E508008" w14:textId="5CA90D4C" w:rsidR="00DC6086" w:rsidRPr="00017152" w:rsidRDefault="00DC6086">
                                <w:pPr>
                                  <w:rPr>
                                    <w:rFonts w:asciiTheme="minorBidi" w:hAnsiTheme="minorBidi" w:cstheme="minorBidi"/>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6C3D3C4" id="Text Box 3" o:spid="_x0000_s1027" type="#_x0000_t202" style="position:absolute;margin-left:109.35pt;margin-top:282.15pt;width:228.3pt;height:174.0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" fillcolor="white [3201]" strokeweight=".5pt">
                    <v:textbox>
                      <w:txbxContent>
                        <w:p w14:paraId="72CC5955" w14:textId="7C51EF66" w:rsidR="000442CD" w:rsidRPr="006B39E8" w:rsidRDefault="00017152">
                          <w:pPr>
                            <w:rPr>
                              <w:rFonts w:asciiTheme="minorBidi" w:hAnsiTheme="minorBidi" w:cstheme="minorBidi"/>
                              <w:color w:val="000000" w:themeColor="text1"/>
                            </w:rPr>
                          </w:pPr>
                          <w:r w:rsidRPr="006B39E8">
                            <w:rPr>
                              <w:rFonts w:asciiTheme="minorBidi" w:hAnsiTheme="minorBidi" w:cstheme="minorBidi"/>
                              <w:color w:val="000000" w:themeColor="text1"/>
                            </w:rPr>
                            <w:t>STUDENT NAME: RABAB MOHAMED</w:t>
                          </w:r>
                        </w:p>
                        <w:p w14:paraId="6DD53788" w14:textId="03AE52CA" w:rsidR="002D4DF8" w:rsidRPr="006B39E8" w:rsidRDefault="002D4DF8">
                          <w:pPr>
                            <w:rPr>
                              <w:rFonts w:asciiTheme="minorBidi" w:hAnsiTheme="minorBidi" w:cstheme="minorBidi"/>
                              <w:color w:val="000000" w:themeColor="text1"/>
                            </w:rPr>
                          </w:pPr>
                          <w:r w:rsidRPr="006B39E8">
                            <w:rPr>
                              <w:rFonts w:asciiTheme="minorBidi" w:hAnsiTheme="minorBidi" w:cstheme="minorBidi"/>
                              <w:color w:val="000000" w:themeColor="text1"/>
                            </w:rPr>
                            <w:t>STUDENT NO: 2528253</w:t>
                          </w:r>
                        </w:p>
                        <w:p w14:paraId="48368B0F" w14:textId="1630E9D6" w:rsidR="002D4DF8" w:rsidRPr="006B39E8" w:rsidRDefault="00511F30">
                          <w:pPr>
                            <w:rPr>
                              <w:rFonts w:asciiTheme="minorBidi" w:hAnsiTheme="minorBidi" w:cstheme="minorBidi"/>
                              <w:color w:val="000000" w:themeColor="text1"/>
                            </w:rPr>
                          </w:pPr>
                          <w:r w:rsidRPr="006B39E8">
                            <w:rPr>
                              <w:rFonts w:asciiTheme="minorBidi" w:hAnsiTheme="minorBidi" w:cstheme="minorBidi"/>
                              <w:color w:val="000000" w:themeColor="text1"/>
                            </w:rPr>
                            <w:t>MODULE TITLE:</w:t>
                          </w:r>
                          <w:r w:rsidR="00356B12" w:rsidRPr="006B39E8">
                            <w:rPr>
                              <w:rFonts w:asciiTheme="minorBidi" w:hAnsiTheme="minorBidi" w:cstheme="minorBidi"/>
                              <w:color w:val="000000" w:themeColor="text1"/>
                            </w:rPr>
                            <w:t xml:space="preserve"> INTRODUCTION TO HEALTH </w:t>
                          </w:r>
                          <w:r w:rsidR="00DC6086" w:rsidRPr="006B39E8">
                            <w:rPr>
                              <w:rFonts w:asciiTheme="minorBidi" w:hAnsiTheme="minorBidi" w:cstheme="minorBidi"/>
                              <w:color w:val="000000" w:themeColor="text1"/>
                            </w:rPr>
                            <w:t>&amp; SOCIAL CARE</w:t>
                          </w:r>
                        </w:p>
                        <w:p w14:paraId="1FE62F15" w14:textId="400ED1BE" w:rsidR="00DC6086" w:rsidRPr="006B39E8" w:rsidRDefault="00DC6086" w:rsidP="00DC6086">
                          <w:pPr>
                            <w:rPr>
                              <w:rFonts w:asciiTheme="minorBidi" w:hAnsiTheme="minorBidi" w:cstheme="minorBidi"/>
                              <w:color w:val="000000" w:themeColor="text1"/>
                            </w:rPr>
                          </w:pPr>
                          <w:r w:rsidRPr="006B39E8">
                            <w:rPr>
                              <w:rFonts w:asciiTheme="minorBidi" w:hAnsiTheme="minorBidi" w:cstheme="minorBidi"/>
                              <w:color w:val="000000" w:themeColor="text1"/>
                            </w:rPr>
                            <w:t>MODULE CODE: LCHS4003</w:t>
                          </w:r>
                          <w:r w:rsidR="002A339E">
                            <w:rPr>
                              <w:rFonts w:asciiTheme="minorBidi" w:hAnsiTheme="minorBidi" w:cstheme="minorBidi"/>
                              <w:color w:val="000000" w:themeColor="text1"/>
                            </w:rPr>
                            <w:t>S</w:t>
                          </w:r>
                        </w:p>
                        <w:p w14:paraId="77925030" w14:textId="5892510C" w:rsidR="00DC6086" w:rsidRDefault="006B39E8" w:rsidP="006B39E8">
                          <w:pPr>
                            <w:rPr>
                              <w:rFonts w:asciiTheme="minorBidi" w:hAnsiTheme="minorBidi" w:cstheme="minorBidi"/>
                              <w:color w:val="000000" w:themeColor="text1"/>
                            </w:rPr>
                          </w:pPr>
                          <w:r w:rsidRPr="006B39E8">
                            <w:rPr>
                              <w:rFonts w:asciiTheme="minorBidi" w:hAnsiTheme="minorBidi" w:cstheme="minorBidi"/>
                              <w:color w:val="000000" w:themeColor="text1"/>
                            </w:rPr>
                            <w:t>MODULE LEADER</w:t>
                          </w:r>
                          <w:r w:rsidR="00BA1E56" w:rsidRPr="006B39E8">
                            <w:rPr>
                              <w:rFonts w:asciiTheme="minorBidi" w:hAnsiTheme="minorBidi" w:cstheme="minorBidi"/>
                              <w:color w:val="000000" w:themeColor="text1"/>
                            </w:rPr>
                            <w:t xml:space="preserve">: </w:t>
                          </w:r>
                          <w:r w:rsidRPr="006B39E8">
                            <w:rPr>
                              <w:rFonts w:asciiTheme="minorBidi" w:hAnsiTheme="minorBidi" w:cstheme="minorBidi"/>
                              <w:color w:val="000000" w:themeColor="text1"/>
                            </w:rPr>
                            <w:t>Dr Helen Parsons </w:t>
                          </w:r>
                        </w:p>
                        <w:p w14:paraId="66C4F8D2" w14:textId="43A1A151" w:rsidR="006B39E8" w:rsidRPr="006B39E8" w:rsidRDefault="00A014B6" w:rsidP="006B39E8">
                          <w:pPr>
                            <w:rPr>
                              <w:rFonts w:asciiTheme="minorBidi" w:hAnsiTheme="minorBidi" w:cstheme="minorBidi"/>
                              <w:color w:val="000000" w:themeColor="text1"/>
                            </w:rPr>
                          </w:pPr>
                          <w:r>
                            <w:rPr>
                              <w:rFonts w:asciiTheme="minorBidi" w:hAnsiTheme="minorBidi" w:cstheme="minorBidi"/>
                              <w:color w:val="000000" w:themeColor="text1"/>
                            </w:rPr>
                            <w:t>SUBMISSION DATE: 0</w:t>
                          </w:r>
                          <w:r w:rsidR="0009684D">
                            <w:rPr>
                              <w:rFonts w:asciiTheme="minorBidi" w:hAnsiTheme="minorBidi" w:cstheme="minorBidi"/>
                              <w:color w:val="000000" w:themeColor="text1"/>
                            </w:rPr>
                            <w:t>9</w:t>
                          </w:r>
                          <w:r>
                            <w:rPr>
                              <w:rFonts w:asciiTheme="minorBidi" w:hAnsiTheme="minorBidi" w:cstheme="minorBidi"/>
                              <w:color w:val="000000" w:themeColor="text1"/>
                            </w:rPr>
                            <w:t>/07/2026</w:t>
                          </w:r>
                        </w:p>
                        <w:p w14:paraId="7E508008" w14:textId="5CA90D4C" w:rsidR="00DC6086" w:rsidRPr="00017152" w:rsidRDefault="00DC6086">
                          <w:pPr>
                            <w:rPr>
                              <w:rFonts w:asciiTheme="minorBidi" w:hAnsiTheme="minorBidi" w:cstheme="minorBidi"/>
                              <w:color w:val="000000" w:themeColor="text1"/>
                            </w:rPr>
                          </w:pP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C1A50B0" wp14:editId="64FC122A">
                    <wp:simplePos x="0" y="0"/>
                    <wp:positionH relativeFrom="page">
                      <wp:posOffset>224933</wp:posOffset>
                    </wp:positionH>
                    <wp:positionV relativeFrom="page">
                      <wp:posOffset>1672325</wp:posOffset>
                    </wp:positionV>
                    <wp:extent cx="7315200" cy="5589087"/>
                    <wp:effectExtent l="0" t="0" r="0" b="12065"/>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55890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929940" w14:textId="592C79D6" w:rsidR="00045E53" w:rsidRDefault="00045E53">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C1A50B0" id="Text Box 163" o:spid="_x0000_s1028" type="#_x0000_t202" style="position:absolute;margin-left:17.7pt;margin-top:131.7pt;width:8in;height:440.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" filled="f" stroked="f" strokeweight=".5pt">
                    <v:textbox inset="126pt,0,54pt,0">
                      <w:txbxContent>
                        <w:p w14:paraId="2A929940" w14:textId="592C79D6" w:rsidR="00045E53" w:rsidRDefault="00045E53">
                          <w:pPr>
                            <w:jc w:val="right"/>
                            <w:rPr>
                              <w:smallCaps/>
                              <w:color w:val="404040" w:themeColor="text1" w:themeTint="BF"/>
                              <w:sz w:val="36"/>
                              <w:szCs w:val="36"/>
                            </w:rPr>
                          </w:pPr>
                        </w:p>
                      </w:txbxContent>
                    </v:textbox>
                    <w10:wrap type="square" anchorx="page" anchory="page"/>
                  </v:shape>
                </w:pict>
              </mc:Fallback>
            </mc:AlternateContent>
          </w:r>
          <w:r w:rsidR="00C63965">
            <w:rPr>
              <w:noProof/>
            </w:rPr>
            <mc:AlternateContent>
              <mc:Choice Requires="wps">
                <w:drawing>
                  <wp:anchor distT="0" distB="0" distL="114300" distR="114300" simplePos="0" relativeHeight="251664384" behindDoc="0" locked="0" layoutInCell="1" allowOverlap="1" wp14:anchorId="020D53C9" wp14:editId="6061EA92">
                    <wp:simplePos x="0" y="0"/>
                    <wp:positionH relativeFrom="column">
                      <wp:posOffset>1242019</wp:posOffset>
                    </wp:positionH>
                    <wp:positionV relativeFrom="paragraph">
                      <wp:posOffset>2439225</wp:posOffset>
                    </wp:positionV>
                    <wp:extent cx="3183286" cy="826383"/>
                    <wp:effectExtent l="0" t="0" r="17145" b="12065"/>
                    <wp:wrapNone/>
                    <wp:docPr id="1825401612" name="Text Box 2"/>
                    <wp:cNvGraphicFramePr/>
                    <a:graphic xmlns:a="http://schemas.openxmlformats.org/drawingml/2006/main">
                      <a:graphicData uri="http://schemas.microsoft.com/office/word/2010/wordprocessingShape">
                        <wps:wsp>
                          <wps:cNvSpPr txBox="1"/>
                          <wps:spPr>
                            <a:xfrm>
                              <a:off x="0" y="0"/>
                              <a:ext cx="3183286" cy="826383"/>
                            </a:xfrm>
                            <a:prstGeom prst="rect">
                              <a:avLst/>
                            </a:prstGeom>
                            <a:solidFill>
                              <a:schemeClr val="lt1"/>
                            </a:solidFill>
                            <a:ln w="6350">
                              <a:solidFill>
                                <a:prstClr val="black"/>
                              </a:solidFill>
                            </a:ln>
                          </wps:spPr>
                          <wps:txbx>
                            <w:txbxContent>
                              <w:p w14:paraId="3AA1E801" w14:textId="77777777" w:rsidR="00C63965" w:rsidRPr="000442CD" w:rsidRDefault="00C63965" w:rsidP="00C63965">
                                <w:pPr>
                                  <w:jc w:val="center"/>
                                  <w:rPr>
                                    <w:rFonts w:asciiTheme="minorBidi" w:hAnsiTheme="minorBidi" w:cstheme="minorBidi"/>
                                    <w:b/>
                                    <w:bCs/>
                                    <w:smallCaps/>
                                    <w:color w:val="000000" w:themeColor="text1"/>
                                    <w:sz w:val="28"/>
                                    <w:szCs w:val="28"/>
                                  </w:rPr>
                                </w:pPr>
                                <w:r w:rsidRPr="000442CD">
                                  <w:rPr>
                                    <w:rFonts w:asciiTheme="minorBidi" w:hAnsiTheme="minorBidi" w:cstheme="minorBidi"/>
                                    <w:b/>
                                    <w:bCs/>
                                    <w:smallCaps/>
                                    <w:color w:val="000000" w:themeColor="text1"/>
                                    <w:sz w:val="28"/>
                                    <w:szCs w:val="28"/>
                                  </w:rPr>
                                  <w:t>COMPONENT 2: WRITTEN ASSIGNMENT CASE STUDY (MRS THOMPSON)</w:t>
                                </w:r>
                              </w:p>
                              <w:p w14:paraId="75B27FFE" w14:textId="77777777" w:rsidR="00C63965" w:rsidRDefault="00C6396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0D53C9" id="Text Box 2" o:spid="_x0000_s1029" type="#_x0000_t202" style="position:absolute;margin-left:97.8pt;margin-top:192.05pt;width:250.65pt;height:65.0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" fillcolor="white [3201]" strokeweight=".5pt">
                    <v:textbox>
                      <w:txbxContent>
                        <w:p w14:paraId="3AA1E801" w14:textId="77777777" w:rsidR="00C63965" w:rsidRPr="000442CD" w:rsidRDefault="00C63965" w:rsidP="00C63965">
                          <w:pPr>
                            <w:jc w:val="center"/>
                            <w:rPr>
                              <w:rFonts w:asciiTheme="minorBidi" w:hAnsiTheme="minorBidi" w:cstheme="minorBidi"/>
                              <w:b/>
                              <w:bCs/>
                              <w:smallCaps/>
                              <w:color w:val="000000" w:themeColor="text1"/>
                              <w:sz w:val="28"/>
                              <w:szCs w:val="28"/>
                            </w:rPr>
                          </w:pPr>
                          <w:r w:rsidRPr="000442CD">
                            <w:rPr>
                              <w:rFonts w:asciiTheme="minorBidi" w:hAnsiTheme="minorBidi" w:cstheme="minorBidi"/>
                              <w:b/>
                              <w:bCs/>
                              <w:smallCaps/>
                              <w:color w:val="000000" w:themeColor="text1"/>
                              <w:sz w:val="28"/>
                              <w:szCs w:val="28"/>
                            </w:rPr>
                            <w:t>COMPONENT 2: WRITTEN ASSIGNMENT CASE STUDY (MRS THOMPSON)</w:t>
                          </w:r>
                        </w:p>
                        <w:p w14:paraId="75B27FFE" w14:textId="77777777" w:rsidR="00C63965" w:rsidRDefault="00C63965"/>
                      </w:txbxContent>
                    </v:textbox>
                  </v:shape>
                </w:pict>
              </mc:Fallback>
            </mc:AlternateContent>
          </w:r>
          <w:r w:rsidR="009E660F">
            <w:rPr>
              <w:noProof/>
            </w:rPr>
            <mc:AlternateContent>
              <mc:Choice Requires="wps">
                <w:drawing>
                  <wp:anchor distT="0" distB="0" distL="114300" distR="114300" simplePos="0" relativeHeight="251663360" behindDoc="0" locked="0" layoutInCell="1" allowOverlap="1" wp14:anchorId="633EE2DB" wp14:editId="5CDBB6DA">
                    <wp:simplePos x="0" y="0"/>
                    <wp:positionH relativeFrom="column">
                      <wp:posOffset>-689467</wp:posOffset>
                    </wp:positionH>
                    <wp:positionV relativeFrom="paragraph">
                      <wp:posOffset>713112</wp:posOffset>
                    </wp:positionV>
                    <wp:extent cx="7119606" cy="1334926"/>
                    <wp:effectExtent l="0" t="0" r="24765" b="17780"/>
                    <wp:wrapNone/>
                    <wp:docPr id="1307893699" name="Text Box 1"/>
                    <wp:cNvGraphicFramePr/>
                    <a:graphic xmlns:a="http://schemas.openxmlformats.org/drawingml/2006/main">
                      <a:graphicData uri="http://schemas.microsoft.com/office/word/2010/wordprocessingShape">
                        <wps:wsp>
                          <wps:cNvSpPr txBox="1"/>
                          <wps:spPr>
                            <a:xfrm>
                              <a:off x="0" y="0"/>
                              <a:ext cx="7119606" cy="1334926"/>
                            </a:xfrm>
                            <a:prstGeom prst="rect">
                              <a:avLst/>
                            </a:prstGeom>
                            <a:solidFill>
                              <a:schemeClr val="lt1"/>
                            </a:solidFill>
                            <a:ln w="6350">
                              <a:solidFill>
                                <a:prstClr val="black"/>
                              </a:solidFill>
                            </a:ln>
                          </wps:spPr>
                          <wps:txbx>
                            <w:txbxContent>
                              <w:p w14:paraId="353453FD" w14:textId="77777777" w:rsidR="009E660F" w:rsidRPr="00F3685B" w:rsidRDefault="009E660F" w:rsidP="00C63965">
                                <w:pPr>
                                  <w:spacing w:line="240" w:lineRule="auto"/>
                                  <w:jc w:val="center"/>
                                  <w:rPr>
                                    <w:rFonts w:asciiTheme="minorBidi" w:hAnsiTheme="minorBidi" w:cstheme="minorBidi"/>
                                    <w:b/>
                                    <w:caps/>
                                    <w:color w:val="000000" w:themeColor="text1"/>
                                    <w:sz w:val="80"/>
                                    <w:szCs w:val="80"/>
                                    <w:vertAlign w:val="subscript"/>
                                  </w:rPr>
                                </w:pPr>
                                <w:r w:rsidRPr="00F3685B">
                                  <w:rPr>
                                    <w:rFonts w:asciiTheme="minorBidi" w:hAnsiTheme="minorBidi" w:cstheme="minorBidi"/>
                                    <w:b/>
                                    <w:caps/>
                                    <w:color w:val="000000" w:themeColor="text1"/>
                                    <w:sz w:val="80"/>
                                    <w:szCs w:val="80"/>
                                    <w:vertAlign w:val="subscript"/>
                                  </w:rPr>
                                  <w:t>Introduction to Health &amp; Social Care</w:t>
                                </w:r>
                              </w:p>
                              <w:p w14:paraId="0B977872" w14:textId="77777777" w:rsidR="009E660F" w:rsidRDefault="009E660F" w:rsidP="00F3685B">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3EE2DB" id="Text Box 1" o:spid="_x0000_s1030" type="#_x0000_t202" style="position:absolute;margin-left:-54.3pt;margin-top:56.15pt;width:560.6pt;height:105.1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" fillcolor="white [3201]" strokeweight=".5pt">
                    <v:textbox>
                      <w:txbxContent>
                        <w:p w14:paraId="353453FD" w14:textId="77777777" w:rsidR="009E660F" w:rsidRPr="00F3685B" w:rsidRDefault="009E660F" w:rsidP="00C63965">
                          <w:pPr>
                            <w:spacing w:line="240" w:lineRule="auto"/>
                            <w:jc w:val="center"/>
                            <w:rPr>
                              <w:rFonts w:asciiTheme="minorBidi" w:hAnsiTheme="minorBidi" w:cstheme="minorBidi"/>
                              <w:b/>
                              <w:caps/>
                              <w:color w:val="000000" w:themeColor="text1"/>
                              <w:sz w:val="80"/>
                              <w:szCs w:val="80"/>
                              <w:vertAlign w:val="subscript"/>
                            </w:rPr>
                          </w:pPr>
                          <w:r w:rsidRPr="00F3685B">
                            <w:rPr>
                              <w:rFonts w:asciiTheme="minorBidi" w:hAnsiTheme="minorBidi" w:cstheme="minorBidi"/>
                              <w:b/>
                              <w:caps/>
                              <w:color w:val="000000" w:themeColor="text1"/>
                              <w:sz w:val="80"/>
                              <w:szCs w:val="80"/>
                              <w:vertAlign w:val="subscript"/>
                            </w:rPr>
                            <w:t>Introduction to Health &amp; Social Care</w:t>
                          </w:r>
                        </w:p>
                        <w:p w14:paraId="0B977872" w14:textId="77777777" w:rsidR="009E660F" w:rsidRDefault="009E660F" w:rsidP="00F3685B">
                          <w:pPr>
                            <w:jc w:val="center"/>
                          </w:pPr>
                        </w:p>
                      </w:txbxContent>
                    </v:textbox>
                  </v:shape>
                </w:pict>
              </mc:Fallback>
            </mc:AlternateContent>
          </w:r>
        </w:p>
      </w:sdtContent>
    </w:sdt>
    <w:p w14:paraId="6C73EE1E" w14:textId="77777777" w:rsidR="009A0202" w:rsidRDefault="009A0202" w:rsidP="00163836">
      <w:pPr>
        <w:spacing w:line="360" w:lineRule="auto"/>
        <w:jc w:val="both"/>
        <w:rPr>
          <w:rFonts w:ascii="Arial" w:hAnsi="Arial" w:cs="Arial"/>
          <w:color w:val="auto"/>
        </w:rPr>
      </w:pPr>
    </w:p>
    <w:p w14:paraId="7676D8B0" w14:textId="77777777" w:rsidR="008114E3" w:rsidRDefault="008114E3" w:rsidP="00163836">
      <w:pPr>
        <w:spacing w:line="360" w:lineRule="auto"/>
        <w:jc w:val="both"/>
        <w:rPr>
          <w:rFonts w:ascii="Arial" w:hAnsi="Arial" w:cs="Arial"/>
          <w:color w:val="auto"/>
        </w:rPr>
      </w:pPr>
    </w:p>
    <w:p w14:paraId="35965ACC" w14:textId="77777777" w:rsidR="008114E3" w:rsidRDefault="008114E3" w:rsidP="00163836">
      <w:pPr>
        <w:spacing w:line="360" w:lineRule="auto"/>
        <w:jc w:val="both"/>
        <w:rPr>
          <w:rFonts w:ascii="Arial" w:hAnsi="Arial" w:cs="Arial"/>
          <w:color w:val="auto"/>
        </w:rPr>
      </w:pPr>
    </w:p>
    <w:p w14:paraId="23947941" w14:textId="77777777" w:rsidR="008114E3" w:rsidRDefault="008114E3" w:rsidP="00163836">
      <w:pPr>
        <w:spacing w:line="360" w:lineRule="auto"/>
        <w:jc w:val="both"/>
        <w:rPr>
          <w:rFonts w:ascii="Arial" w:hAnsi="Arial" w:cs="Arial"/>
          <w:color w:val="auto"/>
        </w:rPr>
      </w:pPr>
    </w:p>
    <w:p w14:paraId="1FCD7984" w14:textId="77777777" w:rsidR="008114E3" w:rsidRDefault="008114E3" w:rsidP="00163836">
      <w:pPr>
        <w:spacing w:line="360" w:lineRule="auto"/>
        <w:jc w:val="both"/>
        <w:rPr>
          <w:rFonts w:ascii="Arial" w:hAnsi="Arial" w:cs="Arial"/>
          <w:color w:val="auto"/>
        </w:rPr>
      </w:pPr>
    </w:p>
    <w:p w14:paraId="7AFC706C" w14:textId="77777777" w:rsidR="0079651F" w:rsidRPr="002C5ABB" w:rsidRDefault="0079651F" w:rsidP="0079651F">
      <w:pPr>
        <w:spacing w:line="360" w:lineRule="auto"/>
        <w:jc w:val="both"/>
        <w:rPr>
          <w:rFonts w:asciiTheme="minorBidi" w:hAnsiTheme="minorBidi" w:cstheme="minorBidi"/>
          <w:b/>
          <w:bCs/>
          <w:color w:val="auto"/>
          <w:sz w:val="32"/>
          <w:szCs w:val="32"/>
        </w:rPr>
      </w:pPr>
      <w:r w:rsidRPr="002C5ABB">
        <w:rPr>
          <w:rFonts w:asciiTheme="minorBidi" w:hAnsiTheme="minorBidi" w:cstheme="minorBidi"/>
          <w:b/>
          <w:bCs/>
          <w:color w:val="auto"/>
          <w:sz w:val="32"/>
          <w:szCs w:val="32"/>
        </w:rPr>
        <w:lastRenderedPageBreak/>
        <w:t>Case Study: Mrs Thompson</w:t>
      </w:r>
    </w:p>
    <w:p w14:paraId="4171DB64" w14:textId="77777777" w:rsidR="0079651F" w:rsidRPr="002C5ABB" w:rsidRDefault="0079651F" w:rsidP="0079651F">
      <w:pPr>
        <w:spacing w:line="360" w:lineRule="auto"/>
        <w:jc w:val="both"/>
        <w:rPr>
          <w:rFonts w:asciiTheme="minorBidi" w:hAnsiTheme="minorBidi" w:cstheme="minorBidi"/>
          <w:b/>
          <w:bCs/>
          <w:color w:val="auto"/>
          <w:sz w:val="28"/>
          <w:szCs w:val="28"/>
        </w:rPr>
      </w:pPr>
      <w:r w:rsidRPr="002C5ABB">
        <w:rPr>
          <w:rFonts w:asciiTheme="minorBidi" w:hAnsiTheme="minorBidi" w:cstheme="minorBidi"/>
          <w:b/>
          <w:bCs/>
          <w:color w:val="auto"/>
          <w:sz w:val="28"/>
          <w:szCs w:val="28"/>
        </w:rPr>
        <w:t>Introduction</w:t>
      </w:r>
    </w:p>
    <w:p w14:paraId="47FA646B"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Mrs Thompson is an 84-year-old woman who has recently returned home following hospital treatment for pneumonia. She lives alone in sheltered accommodation and receives support from care workers twice daily. Although she remains independent in many activities of daily living, she has mild dementia affecting short-term memory, decision-making and information retention. Previous missed medication has contributed to increased confusion and deterioration in cognitive functioning. More recently, she was found outside in cold weather without suitable clothing, resulting in safeguarding concerns.</w:t>
      </w:r>
    </w:p>
    <w:p w14:paraId="6BEB3595"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Supporting older adults with dementia requires balancing protection from harm with promoting independence and autonomy. Dementia can affect memory, communication and judgement, but it does not remove an individual's rights, identity or ability to participate in decisions about their care (National Institute for Health and Care Excellence (NICE), 2018). Kitwood (1997) argues that people with dementia should be recognised as individuals with unique identities, histories and relationships rather than being defined by their diagnosis.</w:t>
      </w:r>
    </w:p>
    <w:p w14:paraId="397397BB"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The Care Act 2014 emphasises wellbeing, dignity and personal control within adult social care. Therefore, professionals supporting Mrs Thompson must balance safeguarding responsibilities with her right to make choices, including choices involving some level of risk (Department of Health and Social Care (DHSC), 2014). Removing independence completely may reduce immediate risks but could negatively affect confidence, identity and quality of life.</w:t>
      </w:r>
    </w:p>
    <w:p w14:paraId="2290AB7D"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The Mental Capacity Act (MCA) 2005 reinforces this approach by requiring professionals to presume capacity unless proven otherwise and to support individuals to make decisions wherever possible (Mental Capacity Act, 2005). This report critically examines communication, record keeping and administration, and inter-professional collaboration in relation to Mrs Thompson’s care.</w:t>
      </w:r>
    </w:p>
    <w:p w14:paraId="230FA9FC" w14:textId="77777777" w:rsidR="0079651F" w:rsidRPr="002C5ABB" w:rsidRDefault="0079651F" w:rsidP="0079651F">
      <w:pPr>
        <w:spacing w:line="360" w:lineRule="auto"/>
        <w:jc w:val="both"/>
        <w:rPr>
          <w:rFonts w:asciiTheme="minorBidi" w:hAnsiTheme="minorBidi" w:cstheme="minorBidi"/>
          <w:b/>
          <w:bCs/>
          <w:color w:val="auto"/>
          <w:sz w:val="28"/>
          <w:szCs w:val="28"/>
        </w:rPr>
      </w:pPr>
      <w:r w:rsidRPr="002C5ABB">
        <w:rPr>
          <w:rFonts w:asciiTheme="minorBidi" w:hAnsiTheme="minorBidi" w:cstheme="minorBidi"/>
          <w:b/>
          <w:bCs/>
          <w:color w:val="auto"/>
          <w:sz w:val="28"/>
          <w:szCs w:val="28"/>
        </w:rPr>
        <w:t>Communication</w:t>
      </w:r>
    </w:p>
    <w:p w14:paraId="2AF8FEA4"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Effective communication is essential when supporting people with dementia because cognitive impairment can affect understanding, memory and information processing (NICE, 2018). For Mrs Thompson, communication difficulties may contribute to medication errors, confusion and increased vulnerability.</w:t>
      </w:r>
    </w:p>
    <w:p w14:paraId="2D4DA81B"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 xml:space="preserve">However, communication involves more than providing instructions. Brooker (2007) suggests that person-centred dementia care requires professionals to understand the individual behind </w:t>
      </w:r>
      <w:r w:rsidRPr="002C5ABB">
        <w:rPr>
          <w:rFonts w:asciiTheme="minorBidi" w:hAnsiTheme="minorBidi" w:cstheme="minorBidi"/>
          <w:color w:val="auto"/>
        </w:rPr>
        <w:lastRenderedPageBreak/>
        <w:t>the diagnosis and recognise their experiences and preferences. Applying this approach means involving Mrs Thompson in discussions and decisions rather than completing tasks on her behalf unnecessarily.</w:t>
      </w:r>
    </w:p>
    <w:p w14:paraId="1736D513"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Kitwood’s (1997) concept of personhood is particularly relevant because he highlights that the attitudes of others influence whether people with dementia continue to feel valued. If professionals communicate with Mrs Thompson only as someone requiring protection, her self-esteem and identity may be undermined. Conversely, involving her in care discussions promotes dignity and autonomy.</w:t>
      </w:r>
    </w:p>
    <w:p w14:paraId="2D98F566"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Practical communication strategies include using clear language, limiting complex information, allowing time for responses and repeating important messages when required (NICE, 2018). Repetition should be supportive rather than corrective, as constantly emphasising memory difficulties may increase frustration and anxiety.</w:t>
      </w:r>
    </w:p>
    <w:p w14:paraId="600B0612"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Eggenberger, Heimerl and Bennett (2013) found that dementia communication training improves interactions between staff and individuals living with dementia. This suggests that communication difficulties are not solely caused by cognitive impairment but may also result from inadequate professional skills. Therefore, organisations should provide dementia-specific training to improve care quality.</w:t>
      </w:r>
    </w:p>
    <w:p w14:paraId="21F4CD56"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Non-verbal communication is equally important. Eye contact, facial expressions, tone and body language influence whether an individual feels safe and respected (Brooker, 2007). Following Mrs Thompson’s hospital admission and increased confusion, calm and reassuring communication may help rebuild confidence and trust.</w:t>
      </w:r>
    </w:p>
    <w:p w14:paraId="47762C31"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Communication barriers such as hearing impairment, fatigue, illness and unfamiliar environments should also be considered (NICE, 2018). Mrs Thompson’s recent pneumonia may contribute to reduced concentration and tiredness, meaning professionals should avoid attributing all difficulties solely to dementia.</w:t>
      </w:r>
    </w:p>
    <w:p w14:paraId="1B8A2660"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The Equality Act 2010 requires reasonable adjustments for individuals with disabilities, including cognitive impairment. For Mrs Thompson, this may include written reminders, visual prompts and additional time during appointments (Equality Act, 2010). Providing equal care does not always mean treating everyone identically; effective care requires adapting support to individual needs.</w:t>
      </w:r>
    </w:p>
    <w:p w14:paraId="1DEEEACC"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 xml:space="preserve">Medication management demonstrates the importance of communication and patient safety. Missed medication may reflect memory difficulties rather than intentional refusal. Barber et al. (2009) highlight that adherence is influenced by cognitive ability, understanding and available </w:t>
      </w:r>
      <w:r w:rsidRPr="002C5ABB">
        <w:rPr>
          <w:rFonts w:asciiTheme="minorBidi" w:hAnsiTheme="minorBidi" w:cstheme="minorBidi"/>
          <w:color w:val="auto"/>
        </w:rPr>
        <w:lastRenderedPageBreak/>
        <w:t>support. Therefore, professionals should identify barriers rather than view missed medication as personal failure.</w:t>
      </w:r>
    </w:p>
    <w:p w14:paraId="71B2573E"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Interventions such as dosette boxes, electronic reminders or supervised medication may support both independence and safety. However, dementia is progressive, meaning support strategies require regular review (NICE, 2018). A pharmacist-led medication review may help identify safer and more effective approaches.</w:t>
      </w:r>
    </w:p>
    <w:p w14:paraId="61C9DC22"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The MCA (2005) is central to medication decisions because capacity must be assessed for specific decisions rather than assumed absent due to a dementia diagnosis. This protects Mrs Thompson’s rights while allowing proportionate intervention where necessary.</w:t>
      </w:r>
    </w:p>
    <w:p w14:paraId="180EF2E0"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Family involvement may improve communication by providing information about routines, preferences and changes in behaviour. However, confidentiality requirements under the Data Protection Act 2018 and UK GDPR mean information sharing must be lawful and proportionate (Data Protection Act, 2018). Professionals must balance respecting privacy with ensuring effective care coordination.</w:t>
      </w:r>
    </w:p>
    <w:p w14:paraId="10882BC8" w14:textId="77777777" w:rsidR="0079651F" w:rsidRPr="002C5ABB" w:rsidRDefault="0079651F" w:rsidP="0079651F">
      <w:pPr>
        <w:spacing w:line="360" w:lineRule="auto"/>
        <w:jc w:val="both"/>
        <w:rPr>
          <w:rFonts w:asciiTheme="minorBidi" w:hAnsiTheme="minorBidi" w:cstheme="minorBidi"/>
          <w:b/>
          <w:bCs/>
          <w:color w:val="auto"/>
          <w:sz w:val="28"/>
          <w:szCs w:val="28"/>
        </w:rPr>
      </w:pPr>
      <w:r w:rsidRPr="002C5ABB">
        <w:rPr>
          <w:rFonts w:asciiTheme="minorBidi" w:hAnsiTheme="minorBidi" w:cstheme="minorBidi"/>
          <w:b/>
          <w:bCs/>
          <w:color w:val="auto"/>
          <w:sz w:val="28"/>
          <w:szCs w:val="28"/>
        </w:rPr>
        <w:t>Record Keeping and Administration</w:t>
      </w:r>
    </w:p>
    <w:p w14:paraId="5304582B"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Accurate record keeping is essential for continuity, accountability and patient safety. This is particularly important for Mrs Thompson because dementia may affect her ability to remember medication changes, appointments or previous discussions.</w:t>
      </w:r>
    </w:p>
    <w:p w14:paraId="68B75285"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The Nursing and Midwifery Council (NMC) Code requires records to be clear, accurate and completed promptly because poor documentation can contribute to communication failures and clinical errors (NMC, 2018). For Mrs Thompson, incomplete records could result in repeated medication omissions or failure to recognise deterioration following pneumonia.</w:t>
      </w:r>
    </w:p>
    <w:p w14:paraId="5BE59D8B"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Dimond (2020) highlights that documentation serves both clinical and legal purposes by demonstrating professional accountability and supporting decision-making. Records should therefore include observations about cognition, behaviour and wellbeing rather than focusing only on completed tasks.</w:t>
      </w:r>
    </w:p>
    <w:p w14:paraId="12D9C68C"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Medication administration records (MAR charts) are particularly important due to Mrs Thompson’s history of missed medication. Records should identify whether medication was administered, refused or omitted and document reasons for concerns. Simply recording missed doses without exploring causes risks reducing documentation to an administrative process rather than a tool for improving care.</w:t>
      </w:r>
    </w:p>
    <w:p w14:paraId="47A2B5A9"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lastRenderedPageBreak/>
        <w:t>Barber et al. (2009) suggest that understanding patterns of non-adherence can identify practical solutions, including medication reviews and alternative approaches. Therefore, documentation should support problem-solving rather than assigning blame.</w:t>
      </w:r>
    </w:p>
    <w:p w14:paraId="481FF534"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The incident where Mrs Thompson was found outdoors without appropriate clothing should also be documented as part of safeguarding practice. Records should include the circumstances, actions taken and professionals involved. Safeguarding documentation should explore contributing factors rather than focusing only on restricting risk.</w:t>
      </w:r>
    </w:p>
    <w:p w14:paraId="0D0E9972"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Cooper, Selwood and Livingston (2009) found that cognitive impairment increases vulnerability to harm because individuals may struggle to recognise or communicate risks. However, automatically restricting Mrs Thompson’s independence would conflict with autonomy and proportionality.</w:t>
      </w:r>
    </w:p>
    <w:p w14:paraId="04215DD2"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The Care Act 2014 requires professionals to safeguard adults at risk while promoting wellbeing and independence (DHSC, 2014). Positive risk-taking provides an approach that recognises individuals’ rights to make choices while introducing reasonable safeguards.</w:t>
      </w:r>
    </w:p>
    <w:p w14:paraId="0F18E5A2"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Information governance is also essential. The Data Protection Act 2018 and UK GDPR require information to be processed securely, lawfully and only when necessary (Data Protection Act, 2018). The Caldicott Principles further emphasise sharing the minimum information required to support care (National Data Guardian, 2020).</w:t>
      </w:r>
    </w:p>
    <w:p w14:paraId="492E2F00"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However, confidentiality should not prevent appropriate communication between professionals. Failure to share concerns about medication, cognition or safeguarding risks could delay intervention and increase harm.</w:t>
      </w:r>
    </w:p>
    <w:p w14:paraId="0BCDE0DB"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Electronic records may improve communication between services and reduce fragmented care. The Care Quality Commission (2023) identifies effective information systems as important components of safe services. Nevertheless, technology depends on accurate recording and staff competence. Ultimately, records should support person-centred care rather than replace meaningful interaction.</w:t>
      </w:r>
    </w:p>
    <w:p w14:paraId="7437DA77" w14:textId="77777777" w:rsidR="0079651F" w:rsidRPr="002C5ABB" w:rsidRDefault="0079651F" w:rsidP="0079651F">
      <w:pPr>
        <w:spacing w:line="360" w:lineRule="auto"/>
        <w:jc w:val="both"/>
        <w:rPr>
          <w:rFonts w:asciiTheme="minorBidi" w:hAnsiTheme="minorBidi" w:cstheme="minorBidi"/>
          <w:b/>
          <w:bCs/>
          <w:color w:val="auto"/>
          <w:sz w:val="28"/>
          <w:szCs w:val="28"/>
        </w:rPr>
      </w:pPr>
      <w:r w:rsidRPr="002C5ABB">
        <w:rPr>
          <w:rFonts w:asciiTheme="minorBidi" w:hAnsiTheme="minorBidi" w:cstheme="minorBidi"/>
          <w:b/>
          <w:bCs/>
          <w:color w:val="auto"/>
          <w:sz w:val="28"/>
          <w:szCs w:val="28"/>
        </w:rPr>
        <w:t>Inter-Professional Collaboration</w:t>
      </w:r>
    </w:p>
    <w:p w14:paraId="1DC50E2E"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Mrs Thompson’s needs involve physical health management, dementia support, medication monitoring and safeguarding, requiring effective multidisciplinary working. No single professional can address all aspects of her care independently.</w:t>
      </w:r>
    </w:p>
    <w:p w14:paraId="2BBDB36F"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 xml:space="preserve">The multidisciplinary team may include GPs, community nurses, pharmacists, occupational therapists, physiotherapists, social workers and care staff. Each professional contributes </w:t>
      </w:r>
      <w:r w:rsidRPr="002C5ABB">
        <w:rPr>
          <w:rFonts w:asciiTheme="minorBidi" w:hAnsiTheme="minorBidi" w:cstheme="minorBidi"/>
          <w:color w:val="auto"/>
        </w:rPr>
        <w:lastRenderedPageBreak/>
        <w:t>different expertise. For example, GPs can review medication and manage health conditions, while community nurses can monitor recovery following pneumonia.</w:t>
      </w:r>
    </w:p>
    <w:p w14:paraId="2799700F"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Pharmacists can support medication optimisation and adherence, while occupational therapists may assess environmental risks and introduce interventions such as reminder systems or assistive technology. Following the safeguarding incident, an occupational therapy assessment could identify whether environmental factors, cognitive decline or reduced mobility contributed to the event.</w:t>
      </w:r>
    </w:p>
    <w:p w14:paraId="446CB4E8"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Physiotherapy may help improve strength and mobility after pneumonia, reducing falls risk and promoting independence. Preventative approaches may reduce future hospital admissions and dependence.</w:t>
      </w:r>
    </w:p>
    <w:p w14:paraId="196510BC"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Social workers have an important role in safeguarding under the Care Act 2014. However, safeguarding should not automatically result in restrictive practices. Positive risk-taking recognises that individuals have the right to make choices even when some risk exists (DHSC, 2014).</w:t>
      </w:r>
    </w:p>
    <w:p w14:paraId="553FB7B7"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Reeves et al. (2017) found that effective inter-professional collaboration improves communication, decision-making and patient outcomes. Shared discussions allow professionals to combine knowledge and develop holistic care plans.</w:t>
      </w:r>
    </w:p>
    <w:p w14:paraId="0877C2E6"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However, multidisciplinary working can involve challenges. Professionals may prioritise different outcomes; healthcare staff may focus on reducing clinical risks, whereas Mrs Thompson may prioritise maintaining independence. McCormack and McCance (2017) argue that person-centred care requires understanding what matters to the individual rather than imposing professional priorities.</w:t>
      </w:r>
    </w:p>
    <w:p w14:paraId="757C95BE"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Therefore, Mrs Thompson should remain involved in decisions wherever possible. Shared decision-making respects autonomy and ensures care reflects personal values.</w:t>
      </w:r>
    </w:p>
    <w:p w14:paraId="47898FF6"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The NHS Long Term Plan (NHS England, 2019) promotes integrated care systems to improve coordination between health and social care services. For Mrs Thompson, integrated working could support proactive planning around medication, dementia progression and future care needs.</w:t>
      </w:r>
    </w:p>
    <w:p w14:paraId="0364A69D"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Regular reviews are essential because dementia is progressive and support requirements may change over time (NICE, 2018). Early recognition of deterioration may reduce avoidable hospital admissions and help maintain independence.</w:t>
      </w:r>
    </w:p>
    <w:p w14:paraId="4B9CD8AE" w14:textId="77777777" w:rsidR="002C5ABB" w:rsidRDefault="002C5ABB" w:rsidP="0079651F">
      <w:pPr>
        <w:spacing w:line="360" w:lineRule="auto"/>
        <w:jc w:val="both"/>
        <w:rPr>
          <w:rFonts w:asciiTheme="minorBidi" w:hAnsiTheme="minorBidi" w:cstheme="minorBidi"/>
          <w:b/>
          <w:bCs/>
          <w:color w:val="auto"/>
          <w:sz w:val="28"/>
          <w:szCs w:val="28"/>
        </w:rPr>
      </w:pPr>
    </w:p>
    <w:p w14:paraId="47588B22" w14:textId="1BA95E8C" w:rsidR="0079651F" w:rsidRPr="002C5ABB" w:rsidRDefault="0079651F" w:rsidP="0079651F">
      <w:pPr>
        <w:spacing w:line="360" w:lineRule="auto"/>
        <w:jc w:val="both"/>
        <w:rPr>
          <w:rFonts w:asciiTheme="minorBidi" w:hAnsiTheme="minorBidi" w:cstheme="minorBidi"/>
          <w:b/>
          <w:bCs/>
          <w:color w:val="auto"/>
          <w:sz w:val="28"/>
          <w:szCs w:val="28"/>
        </w:rPr>
      </w:pPr>
      <w:r w:rsidRPr="002C5ABB">
        <w:rPr>
          <w:rFonts w:asciiTheme="minorBidi" w:hAnsiTheme="minorBidi" w:cstheme="minorBidi"/>
          <w:b/>
          <w:bCs/>
          <w:color w:val="auto"/>
          <w:sz w:val="28"/>
          <w:szCs w:val="28"/>
        </w:rPr>
        <w:lastRenderedPageBreak/>
        <w:t>Conclusion</w:t>
      </w:r>
    </w:p>
    <w:p w14:paraId="2ADE76BD"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Mrs Thompson’s situation demonstrates the complexity of supporting older adults with dementia who wish to remain independent. Her cognitive impairment, recent illness and safeguarding concerns increase vulnerability, but these factors should not justify unnecessary restrictions on autonomy.</w:t>
      </w:r>
    </w:p>
    <w:p w14:paraId="337DECE7"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Effective communication promotes dignity, involvement and understanding while reducing risks. Accurate documentation supports continuity, accountability and safeguarding, although records should enhance rather than replace person-centred care. Inter-professional collaboration enables coordinated support that addresses physical, cognitive and social needs.</w:t>
      </w:r>
    </w:p>
    <w:p w14:paraId="00F63542" w14:textId="77777777" w:rsidR="0079651F" w:rsidRPr="002C5ABB" w:rsidRDefault="0079651F" w:rsidP="0079651F">
      <w:pPr>
        <w:spacing w:line="360" w:lineRule="auto"/>
        <w:jc w:val="both"/>
        <w:rPr>
          <w:rFonts w:asciiTheme="minorBidi" w:hAnsiTheme="minorBidi" w:cstheme="minorBidi"/>
          <w:color w:val="auto"/>
        </w:rPr>
      </w:pPr>
      <w:r w:rsidRPr="002C5ABB">
        <w:rPr>
          <w:rFonts w:asciiTheme="minorBidi" w:hAnsiTheme="minorBidi" w:cstheme="minorBidi"/>
          <w:color w:val="auto"/>
        </w:rPr>
        <w:t>Legislation including the Care Act 2014, Mental Capacity Act 2005 and Equality Act 2010 provides a framework for balancing protection with autonomy. Ultimately, supporting Mrs Thompson requires recognising that safety and independence are not opposing goals. Through effective communication, information sharing and collaborative working, professionals can promote wellbeing while preserving dignity, identity and quality of life.</w:t>
      </w:r>
    </w:p>
    <w:p w14:paraId="4770C11E" w14:textId="77777777" w:rsidR="005201B7" w:rsidRDefault="005201B7" w:rsidP="00C33C8C">
      <w:pPr>
        <w:spacing w:line="360" w:lineRule="auto"/>
        <w:jc w:val="both"/>
        <w:rPr>
          <w:rFonts w:asciiTheme="minorBidi" w:hAnsiTheme="minorBidi" w:cstheme="minorBidi"/>
          <w:b/>
          <w:bCs/>
          <w:color w:val="auto"/>
          <w:sz w:val="28"/>
          <w:szCs w:val="28"/>
        </w:rPr>
      </w:pPr>
    </w:p>
    <w:p w14:paraId="5AE08A6E" w14:textId="77777777" w:rsidR="005201B7" w:rsidRDefault="005201B7" w:rsidP="00C33C8C">
      <w:pPr>
        <w:spacing w:line="360" w:lineRule="auto"/>
        <w:jc w:val="both"/>
        <w:rPr>
          <w:rFonts w:asciiTheme="minorBidi" w:hAnsiTheme="minorBidi" w:cstheme="minorBidi"/>
          <w:b/>
          <w:bCs/>
          <w:color w:val="auto"/>
          <w:sz w:val="28"/>
          <w:szCs w:val="28"/>
        </w:rPr>
      </w:pPr>
    </w:p>
    <w:p w14:paraId="69545A77" w14:textId="77777777" w:rsidR="005201B7" w:rsidRDefault="005201B7" w:rsidP="00C33C8C">
      <w:pPr>
        <w:spacing w:line="360" w:lineRule="auto"/>
        <w:jc w:val="both"/>
        <w:rPr>
          <w:rFonts w:asciiTheme="minorBidi" w:hAnsiTheme="minorBidi" w:cstheme="minorBidi"/>
          <w:b/>
          <w:bCs/>
          <w:color w:val="auto"/>
          <w:sz w:val="28"/>
          <w:szCs w:val="28"/>
        </w:rPr>
      </w:pPr>
    </w:p>
    <w:p w14:paraId="25F51D85" w14:textId="77777777" w:rsidR="005201B7" w:rsidRDefault="005201B7" w:rsidP="00C33C8C">
      <w:pPr>
        <w:spacing w:line="360" w:lineRule="auto"/>
        <w:jc w:val="both"/>
        <w:rPr>
          <w:rFonts w:asciiTheme="minorBidi" w:hAnsiTheme="minorBidi" w:cstheme="minorBidi"/>
          <w:b/>
          <w:bCs/>
          <w:color w:val="auto"/>
          <w:sz w:val="28"/>
          <w:szCs w:val="28"/>
        </w:rPr>
      </w:pPr>
    </w:p>
    <w:p w14:paraId="36BCA8EB" w14:textId="77777777" w:rsidR="005201B7" w:rsidRDefault="005201B7" w:rsidP="00C33C8C">
      <w:pPr>
        <w:spacing w:line="360" w:lineRule="auto"/>
        <w:jc w:val="both"/>
        <w:rPr>
          <w:rFonts w:asciiTheme="minorBidi" w:hAnsiTheme="minorBidi" w:cstheme="minorBidi"/>
          <w:b/>
          <w:bCs/>
          <w:color w:val="auto"/>
          <w:sz w:val="28"/>
          <w:szCs w:val="28"/>
        </w:rPr>
      </w:pPr>
    </w:p>
    <w:p w14:paraId="12D8C00F" w14:textId="77777777" w:rsidR="002C5ABB" w:rsidRDefault="002C5ABB" w:rsidP="00C33C8C">
      <w:pPr>
        <w:spacing w:line="360" w:lineRule="auto"/>
        <w:jc w:val="both"/>
        <w:rPr>
          <w:rFonts w:asciiTheme="minorBidi" w:hAnsiTheme="minorBidi" w:cstheme="minorBidi"/>
          <w:b/>
          <w:bCs/>
          <w:color w:val="auto"/>
          <w:sz w:val="28"/>
          <w:szCs w:val="28"/>
        </w:rPr>
      </w:pPr>
    </w:p>
    <w:p w14:paraId="3AFD0E50" w14:textId="77777777" w:rsidR="002C5ABB" w:rsidRDefault="002C5ABB" w:rsidP="00C33C8C">
      <w:pPr>
        <w:spacing w:line="360" w:lineRule="auto"/>
        <w:jc w:val="both"/>
        <w:rPr>
          <w:rFonts w:asciiTheme="minorBidi" w:hAnsiTheme="minorBidi" w:cstheme="minorBidi"/>
          <w:b/>
          <w:bCs/>
          <w:color w:val="auto"/>
          <w:sz w:val="28"/>
          <w:szCs w:val="28"/>
        </w:rPr>
      </w:pPr>
    </w:p>
    <w:p w14:paraId="360B2D9A" w14:textId="77777777" w:rsidR="002C5ABB" w:rsidRDefault="002C5ABB" w:rsidP="00C33C8C">
      <w:pPr>
        <w:spacing w:line="360" w:lineRule="auto"/>
        <w:jc w:val="both"/>
        <w:rPr>
          <w:rFonts w:asciiTheme="minorBidi" w:hAnsiTheme="minorBidi" w:cstheme="minorBidi"/>
          <w:b/>
          <w:bCs/>
          <w:color w:val="auto"/>
          <w:sz w:val="28"/>
          <w:szCs w:val="28"/>
        </w:rPr>
      </w:pPr>
    </w:p>
    <w:p w14:paraId="0FC6EECA" w14:textId="77777777" w:rsidR="002C5ABB" w:rsidRDefault="002C5ABB" w:rsidP="00C33C8C">
      <w:pPr>
        <w:spacing w:line="360" w:lineRule="auto"/>
        <w:jc w:val="both"/>
        <w:rPr>
          <w:rFonts w:asciiTheme="minorBidi" w:hAnsiTheme="minorBidi" w:cstheme="minorBidi"/>
          <w:b/>
          <w:bCs/>
          <w:color w:val="auto"/>
          <w:sz w:val="28"/>
          <w:szCs w:val="28"/>
        </w:rPr>
      </w:pPr>
    </w:p>
    <w:p w14:paraId="2C362E78" w14:textId="77777777" w:rsidR="002C5ABB" w:rsidRDefault="002C5ABB" w:rsidP="00C33C8C">
      <w:pPr>
        <w:spacing w:line="360" w:lineRule="auto"/>
        <w:jc w:val="both"/>
        <w:rPr>
          <w:rFonts w:asciiTheme="minorBidi" w:hAnsiTheme="minorBidi" w:cstheme="minorBidi"/>
          <w:b/>
          <w:bCs/>
          <w:color w:val="auto"/>
          <w:sz w:val="28"/>
          <w:szCs w:val="28"/>
        </w:rPr>
      </w:pPr>
    </w:p>
    <w:p w14:paraId="0DA63E95" w14:textId="77777777" w:rsidR="002C5ABB" w:rsidRDefault="002C5ABB" w:rsidP="00C33C8C">
      <w:pPr>
        <w:spacing w:line="360" w:lineRule="auto"/>
        <w:jc w:val="both"/>
        <w:rPr>
          <w:rFonts w:asciiTheme="minorBidi" w:hAnsiTheme="minorBidi" w:cstheme="minorBidi"/>
          <w:b/>
          <w:bCs/>
          <w:color w:val="auto"/>
          <w:sz w:val="28"/>
          <w:szCs w:val="28"/>
        </w:rPr>
      </w:pPr>
    </w:p>
    <w:p w14:paraId="604B186F" w14:textId="77777777" w:rsidR="002C5ABB" w:rsidRDefault="002C5ABB" w:rsidP="00C33C8C">
      <w:pPr>
        <w:spacing w:line="360" w:lineRule="auto"/>
        <w:jc w:val="both"/>
        <w:rPr>
          <w:rFonts w:asciiTheme="minorBidi" w:hAnsiTheme="minorBidi" w:cstheme="minorBidi"/>
          <w:b/>
          <w:bCs/>
          <w:color w:val="auto"/>
          <w:sz w:val="28"/>
          <w:szCs w:val="28"/>
        </w:rPr>
      </w:pPr>
    </w:p>
    <w:p w14:paraId="5F0CEB6E" w14:textId="477A37D4" w:rsidR="00C33C8C" w:rsidRPr="005201B7" w:rsidRDefault="00C33C8C" w:rsidP="00C33C8C">
      <w:pPr>
        <w:spacing w:line="360" w:lineRule="auto"/>
        <w:jc w:val="both"/>
        <w:rPr>
          <w:rFonts w:asciiTheme="minorBidi" w:hAnsiTheme="minorBidi" w:cstheme="minorBidi"/>
          <w:b/>
          <w:bCs/>
          <w:color w:val="auto"/>
          <w:sz w:val="28"/>
          <w:szCs w:val="28"/>
        </w:rPr>
      </w:pPr>
      <w:r w:rsidRPr="005201B7">
        <w:rPr>
          <w:rFonts w:asciiTheme="minorBidi" w:hAnsiTheme="minorBidi" w:cstheme="minorBidi"/>
          <w:b/>
          <w:bCs/>
          <w:color w:val="auto"/>
          <w:sz w:val="28"/>
          <w:szCs w:val="28"/>
        </w:rPr>
        <w:lastRenderedPageBreak/>
        <w:t>References</w:t>
      </w:r>
    </w:p>
    <w:p w14:paraId="0DB0BC85" w14:textId="4AA729E7"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Barber, N., Parsons, J., Clifford, S., Darracott, R. and Horne, R. (2009) </w:t>
      </w:r>
      <w:r w:rsidRPr="005201B7">
        <w:rPr>
          <w:rFonts w:asciiTheme="minorBidi" w:hAnsiTheme="minorBidi" w:cstheme="minorBidi"/>
          <w:i/>
          <w:iCs/>
          <w:color w:val="auto"/>
        </w:rPr>
        <w:t>Patients' problems with new medication for chronic conditions</w:t>
      </w:r>
      <w:r w:rsidRPr="005201B7">
        <w:rPr>
          <w:rFonts w:asciiTheme="minorBidi" w:hAnsiTheme="minorBidi" w:cstheme="minorBidi"/>
          <w:color w:val="auto"/>
        </w:rPr>
        <w:t>. London: Royal Pharmaceutical Society.</w:t>
      </w:r>
      <w:r w:rsidR="005201B7">
        <w:rPr>
          <w:rFonts w:asciiTheme="minorBidi" w:hAnsiTheme="minorBidi" w:cstheme="minorBidi"/>
          <w:color w:val="auto"/>
        </w:rPr>
        <w:t xml:space="preserve"> </w:t>
      </w:r>
      <w:r w:rsidR="005201B7" w:rsidRPr="00163836">
        <w:rPr>
          <w:rFonts w:ascii="Arial" w:hAnsi="Arial" w:cs="Arial"/>
          <w:color w:val="auto"/>
        </w:rPr>
        <w:t>(Accessed: 7 July 2026).</w:t>
      </w:r>
    </w:p>
    <w:p w14:paraId="503D00D3" w14:textId="2628BE0B"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Brooker, D. (2007) </w:t>
      </w:r>
      <w:r w:rsidRPr="005201B7">
        <w:rPr>
          <w:rFonts w:asciiTheme="minorBidi" w:hAnsiTheme="minorBidi" w:cstheme="minorBidi"/>
          <w:i/>
          <w:iCs/>
          <w:color w:val="auto"/>
        </w:rPr>
        <w:t>Person-centred dementia care: Making services better</w:t>
      </w:r>
      <w:r w:rsidRPr="005201B7">
        <w:rPr>
          <w:rFonts w:asciiTheme="minorBidi" w:hAnsiTheme="minorBidi" w:cstheme="minorBidi"/>
          <w:color w:val="auto"/>
        </w:rPr>
        <w:t>. London: Jessica Kingsley Publishers.</w:t>
      </w:r>
      <w:r w:rsidR="005201B7">
        <w:rPr>
          <w:rFonts w:asciiTheme="minorBidi" w:hAnsiTheme="minorBidi" w:cstheme="minorBidi"/>
          <w:color w:val="auto"/>
        </w:rPr>
        <w:t xml:space="preserve"> </w:t>
      </w:r>
      <w:r w:rsidR="005201B7" w:rsidRPr="00163836">
        <w:rPr>
          <w:rFonts w:ascii="Arial" w:hAnsi="Arial" w:cs="Arial"/>
          <w:color w:val="auto"/>
        </w:rPr>
        <w:t>(Accessed: 7 July 2026).</w:t>
      </w:r>
    </w:p>
    <w:p w14:paraId="4F557592" w14:textId="3943CCD1"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Care Quality Commission (2023) </w:t>
      </w:r>
      <w:r w:rsidRPr="005201B7">
        <w:rPr>
          <w:rFonts w:asciiTheme="minorBidi" w:hAnsiTheme="minorBidi" w:cstheme="minorBidi"/>
          <w:i/>
          <w:iCs/>
          <w:color w:val="auto"/>
        </w:rPr>
        <w:t>Safe care and treatment</w:t>
      </w:r>
      <w:r w:rsidRPr="005201B7">
        <w:rPr>
          <w:rFonts w:asciiTheme="minorBidi" w:hAnsiTheme="minorBidi" w:cstheme="minorBidi"/>
          <w:color w:val="auto"/>
        </w:rPr>
        <w:t xml:space="preserve">. Available at: </w:t>
      </w:r>
      <w:hyperlink r:id="rId9" w:history="1">
        <w:r w:rsidRPr="005201B7">
          <w:rPr>
            <w:rStyle w:val="Hyperlink"/>
            <w:rFonts w:asciiTheme="minorBidi" w:hAnsiTheme="minorBidi" w:cstheme="minorBidi"/>
          </w:rPr>
          <w:t>https://www.cqc.org.uk/guidance-providers/regulations-enforcement/regulation-12-safe-care-treatment</w:t>
        </w:r>
      </w:hyperlink>
      <w:r w:rsidRPr="005201B7">
        <w:rPr>
          <w:rFonts w:asciiTheme="minorBidi" w:hAnsiTheme="minorBidi" w:cstheme="minorBidi"/>
          <w:color w:val="auto"/>
        </w:rPr>
        <w:t xml:space="preserve"> </w:t>
      </w:r>
      <w:r w:rsidR="005201B7" w:rsidRPr="00163836">
        <w:rPr>
          <w:rFonts w:ascii="Arial" w:hAnsi="Arial" w:cs="Arial"/>
          <w:color w:val="auto"/>
        </w:rPr>
        <w:t>(Accessed: 20 June 2026).</w:t>
      </w:r>
    </w:p>
    <w:p w14:paraId="1C8C307E" w14:textId="0CB40924"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Cooper, C., Selwood, A. and Livingston, G. (2009) 'The prevalence of elder abuse and neglect in people with dementia in the UK', </w:t>
      </w:r>
      <w:r w:rsidRPr="005201B7">
        <w:rPr>
          <w:rFonts w:asciiTheme="minorBidi" w:hAnsiTheme="minorBidi" w:cstheme="minorBidi"/>
          <w:i/>
          <w:iCs/>
          <w:color w:val="auto"/>
        </w:rPr>
        <w:t>International Journal of Geriatric Psychiatry</w:t>
      </w:r>
      <w:r w:rsidRPr="005201B7">
        <w:rPr>
          <w:rFonts w:asciiTheme="minorBidi" w:hAnsiTheme="minorBidi" w:cstheme="minorBidi"/>
          <w:color w:val="auto"/>
        </w:rPr>
        <w:t>, 24(2), pp. 163–169.</w:t>
      </w:r>
      <w:r w:rsidR="005201B7">
        <w:rPr>
          <w:rFonts w:asciiTheme="minorBidi" w:hAnsiTheme="minorBidi" w:cstheme="minorBidi"/>
          <w:color w:val="auto"/>
        </w:rPr>
        <w:t xml:space="preserve"> </w:t>
      </w:r>
      <w:r w:rsidR="005201B7" w:rsidRPr="00163836">
        <w:rPr>
          <w:rFonts w:ascii="Arial" w:hAnsi="Arial" w:cs="Arial"/>
          <w:color w:val="auto"/>
        </w:rPr>
        <w:t>(Accessed: 7 July 2026).</w:t>
      </w:r>
    </w:p>
    <w:p w14:paraId="492D0C11" w14:textId="62CCB000"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Data Protection Act 2018, c.12. Available at: </w:t>
      </w:r>
      <w:hyperlink r:id="rId10" w:history="1">
        <w:r w:rsidRPr="005201B7">
          <w:rPr>
            <w:rStyle w:val="Hyperlink"/>
            <w:rFonts w:asciiTheme="minorBidi" w:hAnsiTheme="minorBidi" w:cstheme="minorBidi"/>
          </w:rPr>
          <w:t>https://www.legislation.gov.uk/ukpga/2018/12/contents/enacted</w:t>
        </w:r>
      </w:hyperlink>
      <w:r w:rsidRPr="005201B7">
        <w:rPr>
          <w:rFonts w:asciiTheme="minorBidi" w:hAnsiTheme="minorBidi" w:cstheme="minorBidi"/>
          <w:color w:val="auto"/>
        </w:rPr>
        <w:t xml:space="preserve"> </w:t>
      </w:r>
      <w:r w:rsidR="005201B7" w:rsidRPr="00163836">
        <w:rPr>
          <w:rFonts w:ascii="Arial" w:hAnsi="Arial" w:cs="Arial"/>
          <w:color w:val="auto"/>
        </w:rPr>
        <w:t>(Accessed: 8 June 2026).</w:t>
      </w:r>
    </w:p>
    <w:p w14:paraId="6034CE27" w14:textId="3DD70FC0"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Department of Health and Social Care (2014) </w:t>
      </w:r>
      <w:r w:rsidRPr="005201B7">
        <w:rPr>
          <w:rFonts w:asciiTheme="minorBidi" w:hAnsiTheme="minorBidi" w:cstheme="minorBidi"/>
          <w:i/>
          <w:iCs/>
          <w:color w:val="auto"/>
        </w:rPr>
        <w:t>Care and support statutory guidance</w:t>
      </w:r>
      <w:r w:rsidRPr="005201B7">
        <w:rPr>
          <w:rFonts w:asciiTheme="minorBidi" w:hAnsiTheme="minorBidi" w:cstheme="minorBidi"/>
          <w:color w:val="auto"/>
        </w:rPr>
        <w:t xml:space="preserve">. Available at: </w:t>
      </w:r>
      <w:hyperlink r:id="rId11" w:history="1">
        <w:r w:rsidRPr="005201B7">
          <w:rPr>
            <w:rStyle w:val="Hyperlink"/>
            <w:rFonts w:asciiTheme="minorBidi" w:hAnsiTheme="minorBidi" w:cstheme="minorBidi"/>
          </w:rPr>
          <w:t>https://www.gov.uk/government/publications/care-act-statutory-guidance/care-and-support-statutory-guidance</w:t>
        </w:r>
      </w:hyperlink>
      <w:r w:rsidRPr="005201B7">
        <w:rPr>
          <w:rFonts w:asciiTheme="minorBidi" w:hAnsiTheme="minorBidi" w:cstheme="minorBidi"/>
          <w:color w:val="auto"/>
        </w:rPr>
        <w:t xml:space="preserve"> </w:t>
      </w:r>
      <w:r w:rsidR="005201B7" w:rsidRPr="00163836">
        <w:rPr>
          <w:rFonts w:ascii="Arial" w:hAnsi="Arial" w:cs="Arial"/>
          <w:color w:val="auto"/>
        </w:rPr>
        <w:t>(Accessed: 15 June 2026).</w:t>
      </w:r>
    </w:p>
    <w:p w14:paraId="64D5902C" w14:textId="5C283ABE"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Dimond, B. (2020) </w:t>
      </w:r>
      <w:r w:rsidRPr="005201B7">
        <w:rPr>
          <w:rFonts w:asciiTheme="minorBidi" w:hAnsiTheme="minorBidi" w:cstheme="minorBidi"/>
          <w:i/>
          <w:iCs/>
          <w:color w:val="auto"/>
        </w:rPr>
        <w:t>Legal aspects of nursing</w:t>
      </w:r>
      <w:r w:rsidRPr="005201B7">
        <w:rPr>
          <w:rFonts w:asciiTheme="minorBidi" w:hAnsiTheme="minorBidi" w:cstheme="minorBidi"/>
          <w:color w:val="auto"/>
        </w:rPr>
        <w:t>. 8th edn. Harlow: Pearson.</w:t>
      </w:r>
      <w:r w:rsidR="00827025">
        <w:rPr>
          <w:rFonts w:asciiTheme="minorBidi" w:hAnsiTheme="minorBidi" w:cstheme="minorBidi"/>
          <w:color w:val="auto"/>
        </w:rPr>
        <w:t xml:space="preserve"> </w:t>
      </w:r>
      <w:r w:rsidR="00827025" w:rsidRPr="00163836">
        <w:rPr>
          <w:rFonts w:ascii="Arial" w:hAnsi="Arial" w:cs="Arial"/>
          <w:color w:val="auto"/>
        </w:rPr>
        <w:t>(Accessed: 7 July 2026).</w:t>
      </w:r>
    </w:p>
    <w:p w14:paraId="7008D84D" w14:textId="734ADB59"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Eggenberger, E., Heimerl, K. and Bennett, M.I. (2013) 'Communication skills training in dementia care: A systematic review of effectiveness, training content and didactic methods in different care settings', </w:t>
      </w:r>
      <w:r w:rsidRPr="005201B7">
        <w:rPr>
          <w:rFonts w:asciiTheme="minorBidi" w:hAnsiTheme="minorBidi" w:cstheme="minorBidi"/>
          <w:i/>
          <w:iCs/>
          <w:color w:val="auto"/>
        </w:rPr>
        <w:t>International Psychogeriatrics</w:t>
      </w:r>
      <w:r w:rsidRPr="005201B7">
        <w:rPr>
          <w:rFonts w:asciiTheme="minorBidi" w:hAnsiTheme="minorBidi" w:cstheme="minorBidi"/>
          <w:color w:val="auto"/>
        </w:rPr>
        <w:t>, 25(3), pp. 345–358.</w:t>
      </w:r>
      <w:r w:rsidR="00827025">
        <w:rPr>
          <w:rFonts w:asciiTheme="minorBidi" w:hAnsiTheme="minorBidi" w:cstheme="minorBidi"/>
          <w:color w:val="auto"/>
        </w:rPr>
        <w:t xml:space="preserve"> </w:t>
      </w:r>
      <w:r w:rsidR="00827025" w:rsidRPr="00163836">
        <w:rPr>
          <w:rFonts w:ascii="Arial" w:hAnsi="Arial" w:cs="Arial"/>
          <w:color w:val="auto"/>
        </w:rPr>
        <w:t>(Accessed: 7 July 2026).</w:t>
      </w:r>
    </w:p>
    <w:p w14:paraId="1E5EE687" w14:textId="06A73BAA"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Equality Act 2010, c.15. Available at: </w:t>
      </w:r>
      <w:hyperlink r:id="rId12" w:history="1">
        <w:r w:rsidRPr="005201B7">
          <w:rPr>
            <w:rStyle w:val="Hyperlink"/>
            <w:rFonts w:asciiTheme="minorBidi" w:hAnsiTheme="minorBidi" w:cstheme="minorBidi"/>
          </w:rPr>
          <w:t>https://www.legislation.gov.uk/ukpga/2010/15/contents</w:t>
        </w:r>
      </w:hyperlink>
      <w:r w:rsidRPr="005201B7">
        <w:rPr>
          <w:rFonts w:asciiTheme="minorBidi" w:hAnsiTheme="minorBidi" w:cstheme="minorBidi"/>
          <w:color w:val="auto"/>
        </w:rPr>
        <w:t xml:space="preserve"> </w:t>
      </w:r>
      <w:r w:rsidR="00827025" w:rsidRPr="00163836">
        <w:rPr>
          <w:rFonts w:ascii="Arial" w:hAnsi="Arial" w:cs="Arial"/>
          <w:color w:val="auto"/>
        </w:rPr>
        <w:t>(Accessed: 7 July 2026).</w:t>
      </w:r>
    </w:p>
    <w:p w14:paraId="39BE99E4" w14:textId="57701C1D"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Kitwood, T. (1997) </w:t>
      </w:r>
      <w:r w:rsidRPr="005201B7">
        <w:rPr>
          <w:rFonts w:asciiTheme="minorBidi" w:hAnsiTheme="minorBidi" w:cstheme="minorBidi"/>
          <w:i/>
          <w:iCs/>
          <w:color w:val="auto"/>
        </w:rPr>
        <w:t>Dementia reconsidered: The person comes first</w:t>
      </w:r>
      <w:r w:rsidRPr="005201B7">
        <w:rPr>
          <w:rFonts w:asciiTheme="minorBidi" w:hAnsiTheme="minorBidi" w:cstheme="minorBidi"/>
          <w:color w:val="auto"/>
        </w:rPr>
        <w:t>. Buckingham: Open University Press.</w:t>
      </w:r>
      <w:r w:rsidR="00827025">
        <w:rPr>
          <w:rFonts w:asciiTheme="minorBidi" w:hAnsiTheme="minorBidi" w:cstheme="minorBidi"/>
          <w:color w:val="auto"/>
        </w:rPr>
        <w:t xml:space="preserve"> </w:t>
      </w:r>
      <w:r w:rsidR="00827025" w:rsidRPr="00163836">
        <w:rPr>
          <w:rFonts w:ascii="Arial" w:hAnsi="Arial" w:cs="Arial"/>
          <w:color w:val="auto"/>
        </w:rPr>
        <w:t>(Accessed: 7 July 2026).</w:t>
      </w:r>
    </w:p>
    <w:p w14:paraId="6022994A" w14:textId="507D97C2"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McCormack, B. and McCance, T. (2017) </w:t>
      </w:r>
      <w:r w:rsidRPr="005201B7">
        <w:rPr>
          <w:rFonts w:asciiTheme="minorBidi" w:hAnsiTheme="minorBidi" w:cstheme="minorBidi"/>
          <w:i/>
          <w:iCs/>
          <w:color w:val="auto"/>
        </w:rPr>
        <w:t>Person-centred practice in nursing and health care: Theory and practice</w:t>
      </w:r>
      <w:r w:rsidRPr="005201B7">
        <w:rPr>
          <w:rFonts w:asciiTheme="minorBidi" w:hAnsiTheme="minorBidi" w:cstheme="minorBidi"/>
          <w:color w:val="auto"/>
        </w:rPr>
        <w:t>. 2nd edn. Oxford: Wiley-Blackwell.</w:t>
      </w:r>
      <w:r w:rsidR="00827025">
        <w:rPr>
          <w:rFonts w:asciiTheme="minorBidi" w:hAnsiTheme="minorBidi" w:cstheme="minorBidi"/>
          <w:color w:val="auto"/>
        </w:rPr>
        <w:t xml:space="preserve"> </w:t>
      </w:r>
      <w:r w:rsidR="00827025" w:rsidRPr="00163836">
        <w:rPr>
          <w:rFonts w:ascii="Arial" w:hAnsi="Arial" w:cs="Arial"/>
          <w:color w:val="auto"/>
        </w:rPr>
        <w:t>(Accessed: 7 July 2026).</w:t>
      </w:r>
    </w:p>
    <w:p w14:paraId="2A5FA771" w14:textId="291E1E26"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Mental Capacity Act 2005, c.9. Available at: </w:t>
      </w:r>
      <w:hyperlink r:id="rId13" w:history="1">
        <w:r w:rsidRPr="005201B7">
          <w:rPr>
            <w:rStyle w:val="Hyperlink"/>
            <w:rFonts w:asciiTheme="minorBidi" w:hAnsiTheme="minorBidi" w:cstheme="minorBidi"/>
          </w:rPr>
          <w:t>https://www.legislation.gov.uk/ukpga/2005/9/contents</w:t>
        </w:r>
      </w:hyperlink>
      <w:r w:rsidRPr="005201B7">
        <w:rPr>
          <w:rFonts w:asciiTheme="minorBidi" w:hAnsiTheme="minorBidi" w:cstheme="minorBidi"/>
          <w:color w:val="auto"/>
        </w:rPr>
        <w:t xml:space="preserve"> </w:t>
      </w:r>
      <w:r w:rsidR="00827025" w:rsidRPr="00163836">
        <w:rPr>
          <w:rFonts w:ascii="Arial" w:hAnsi="Arial" w:cs="Arial"/>
          <w:color w:val="auto"/>
        </w:rPr>
        <w:t>(Accessed: 8 June 2026).</w:t>
      </w:r>
    </w:p>
    <w:p w14:paraId="32A761AF" w14:textId="1CF4B4DB"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National Institute for Health and Care Excellence (2018) </w:t>
      </w:r>
      <w:r w:rsidRPr="005201B7">
        <w:rPr>
          <w:rFonts w:asciiTheme="minorBidi" w:hAnsiTheme="minorBidi" w:cstheme="minorBidi"/>
          <w:i/>
          <w:iCs/>
          <w:color w:val="auto"/>
        </w:rPr>
        <w:t>Dementia: Assessment, management and support for people living with dementia and their carers (NG97)</w:t>
      </w:r>
      <w:r w:rsidRPr="005201B7">
        <w:rPr>
          <w:rFonts w:asciiTheme="minorBidi" w:hAnsiTheme="minorBidi" w:cstheme="minorBidi"/>
          <w:color w:val="auto"/>
        </w:rPr>
        <w:t xml:space="preserve">. Available at: </w:t>
      </w:r>
      <w:hyperlink r:id="rId14" w:history="1">
        <w:r w:rsidRPr="005201B7">
          <w:rPr>
            <w:rStyle w:val="Hyperlink"/>
            <w:rFonts w:asciiTheme="minorBidi" w:hAnsiTheme="minorBidi" w:cstheme="minorBidi"/>
          </w:rPr>
          <w:t>https://www.nice.org.uk/guidance/ng97</w:t>
        </w:r>
      </w:hyperlink>
      <w:r w:rsidRPr="005201B7">
        <w:rPr>
          <w:rFonts w:asciiTheme="minorBidi" w:hAnsiTheme="minorBidi" w:cstheme="minorBidi"/>
          <w:color w:val="auto"/>
        </w:rPr>
        <w:t xml:space="preserve"> </w:t>
      </w:r>
      <w:r w:rsidR="00827025" w:rsidRPr="00163836">
        <w:rPr>
          <w:rFonts w:ascii="Arial" w:hAnsi="Arial" w:cs="Arial"/>
          <w:color w:val="auto"/>
        </w:rPr>
        <w:t>(Accessed: 24 June 2026).</w:t>
      </w:r>
    </w:p>
    <w:p w14:paraId="5A5B42ED" w14:textId="257E6014"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lastRenderedPageBreak/>
        <w:t xml:space="preserve">NHS England (2019) </w:t>
      </w:r>
      <w:r w:rsidRPr="005201B7">
        <w:rPr>
          <w:rFonts w:asciiTheme="minorBidi" w:hAnsiTheme="minorBidi" w:cstheme="minorBidi"/>
          <w:i/>
          <w:iCs/>
          <w:color w:val="auto"/>
        </w:rPr>
        <w:t>The NHS Long Term Plan</w:t>
      </w:r>
      <w:r w:rsidRPr="005201B7">
        <w:rPr>
          <w:rFonts w:asciiTheme="minorBidi" w:hAnsiTheme="minorBidi" w:cstheme="minorBidi"/>
          <w:color w:val="auto"/>
        </w:rPr>
        <w:t xml:space="preserve">. Available at: </w:t>
      </w:r>
      <w:hyperlink r:id="rId15" w:history="1">
        <w:r w:rsidRPr="005201B7">
          <w:rPr>
            <w:rStyle w:val="Hyperlink"/>
            <w:rFonts w:asciiTheme="minorBidi" w:hAnsiTheme="minorBidi" w:cstheme="minorBidi"/>
          </w:rPr>
          <w:t>https://www.longtermplan.nhs.uk</w:t>
        </w:r>
      </w:hyperlink>
      <w:r w:rsidRPr="005201B7">
        <w:rPr>
          <w:rFonts w:asciiTheme="minorBidi" w:hAnsiTheme="minorBidi" w:cstheme="minorBidi"/>
          <w:color w:val="auto"/>
        </w:rPr>
        <w:t xml:space="preserve"> </w:t>
      </w:r>
      <w:r w:rsidR="00827025" w:rsidRPr="00163836">
        <w:rPr>
          <w:rFonts w:ascii="Arial" w:hAnsi="Arial" w:cs="Arial"/>
          <w:color w:val="auto"/>
        </w:rPr>
        <w:t>(Accessed: 20 June 2026).</w:t>
      </w:r>
    </w:p>
    <w:p w14:paraId="7A235B75" w14:textId="5F70190D" w:rsidR="00C33C8C" w:rsidRPr="005201B7" w:rsidRDefault="00C33C8C" w:rsidP="005201B7">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Nursing and Midwifery Council (2018) </w:t>
      </w:r>
      <w:r w:rsidRPr="005201B7">
        <w:rPr>
          <w:rFonts w:asciiTheme="minorBidi" w:hAnsiTheme="minorBidi" w:cstheme="minorBidi"/>
          <w:i/>
          <w:iCs/>
          <w:color w:val="auto"/>
        </w:rPr>
        <w:t>The Code: Professional standards of practice and behaviour for nurses, midwives and nursing associates</w:t>
      </w:r>
      <w:r w:rsidRPr="005201B7">
        <w:rPr>
          <w:rFonts w:asciiTheme="minorBidi" w:hAnsiTheme="minorBidi" w:cstheme="minorBidi"/>
          <w:color w:val="auto"/>
        </w:rPr>
        <w:t>. London: NMC.</w:t>
      </w:r>
      <w:r w:rsidR="00827025">
        <w:rPr>
          <w:rFonts w:asciiTheme="minorBidi" w:hAnsiTheme="minorBidi" w:cstheme="minorBidi"/>
          <w:color w:val="auto"/>
        </w:rPr>
        <w:t xml:space="preserve"> </w:t>
      </w:r>
      <w:r w:rsidR="00827025" w:rsidRPr="00163836">
        <w:rPr>
          <w:rFonts w:ascii="Arial" w:hAnsi="Arial" w:cs="Arial"/>
          <w:color w:val="auto"/>
        </w:rPr>
        <w:t>(Accessed: 8 June 2026).</w:t>
      </w:r>
    </w:p>
    <w:p w14:paraId="00B770FA" w14:textId="4BDB51D9" w:rsidR="00741C65" w:rsidRPr="00E6767A" w:rsidRDefault="00C33C8C" w:rsidP="00E6767A">
      <w:pPr>
        <w:pStyle w:val="ListParagraph"/>
        <w:numPr>
          <w:ilvl w:val="0"/>
          <w:numId w:val="4"/>
        </w:numPr>
        <w:spacing w:line="360" w:lineRule="auto"/>
        <w:jc w:val="both"/>
        <w:rPr>
          <w:rFonts w:asciiTheme="minorBidi" w:hAnsiTheme="minorBidi" w:cstheme="minorBidi"/>
          <w:color w:val="auto"/>
        </w:rPr>
      </w:pPr>
      <w:r w:rsidRPr="005201B7">
        <w:rPr>
          <w:rFonts w:asciiTheme="minorBidi" w:hAnsiTheme="minorBidi" w:cstheme="minorBidi"/>
          <w:color w:val="auto"/>
        </w:rPr>
        <w:t xml:space="preserve">Reeves, S., Pelone, F., Harrison, R., Goldman, J. and Zwarenstein, M. (2017) 'Interprofessional collaboration to improve professional practice and healthcare outcomes', </w:t>
      </w:r>
      <w:r w:rsidRPr="005201B7">
        <w:rPr>
          <w:rFonts w:asciiTheme="minorBidi" w:hAnsiTheme="minorBidi" w:cstheme="minorBidi"/>
          <w:i/>
          <w:iCs/>
          <w:color w:val="auto"/>
        </w:rPr>
        <w:t>Cochrane Database of Systematic Reviews</w:t>
      </w:r>
      <w:r w:rsidRPr="005201B7">
        <w:rPr>
          <w:rFonts w:asciiTheme="minorBidi" w:hAnsiTheme="minorBidi" w:cstheme="minorBidi"/>
          <w:color w:val="auto"/>
        </w:rPr>
        <w:t>, 2017(6), CD000072.</w:t>
      </w:r>
      <w:r w:rsidR="00827025">
        <w:rPr>
          <w:rFonts w:asciiTheme="minorBidi" w:hAnsiTheme="minorBidi" w:cstheme="minorBidi"/>
          <w:color w:val="auto"/>
        </w:rPr>
        <w:t xml:space="preserve"> </w:t>
      </w:r>
      <w:r w:rsidR="00827025" w:rsidRPr="00163836">
        <w:rPr>
          <w:rFonts w:ascii="Arial" w:hAnsi="Arial" w:cs="Arial"/>
          <w:color w:val="auto"/>
        </w:rPr>
        <w:t>(Accessed: 7 July 2026).</w:t>
      </w:r>
    </w:p>
    <w:sectPr w:rsidR="00741C65" w:rsidRPr="00E6767A" w:rsidSect="00045E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CD8236" w14:textId="77777777" w:rsidR="009F595B" w:rsidRDefault="009F595B" w:rsidP="00EB1DEB">
      <w:pPr>
        <w:spacing w:after="0" w:line="240" w:lineRule="auto"/>
      </w:pPr>
      <w:r>
        <w:separator/>
      </w:r>
    </w:p>
  </w:endnote>
  <w:endnote w:type="continuationSeparator" w:id="0">
    <w:p w14:paraId="6F07B1DC" w14:textId="77777777" w:rsidR="009F595B" w:rsidRDefault="009F595B" w:rsidP="00EB1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FD9572" w14:textId="77777777" w:rsidR="009F595B" w:rsidRDefault="009F595B" w:rsidP="00EB1DEB">
      <w:pPr>
        <w:spacing w:after="0" w:line="240" w:lineRule="auto"/>
      </w:pPr>
      <w:r>
        <w:separator/>
      </w:r>
    </w:p>
  </w:footnote>
  <w:footnote w:type="continuationSeparator" w:id="0">
    <w:p w14:paraId="0482EB30" w14:textId="77777777" w:rsidR="009F595B" w:rsidRDefault="009F595B" w:rsidP="00EB1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5F1DF8"/>
    <w:multiLevelType w:val="hybridMultilevel"/>
    <w:tmpl w:val="FE965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2C3D2C"/>
    <w:multiLevelType w:val="hybridMultilevel"/>
    <w:tmpl w:val="28ACC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F41A81"/>
    <w:multiLevelType w:val="hybridMultilevel"/>
    <w:tmpl w:val="EB000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F34E59"/>
    <w:multiLevelType w:val="hybridMultilevel"/>
    <w:tmpl w:val="E20A3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6134389">
    <w:abstractNumId w:val="0"/>
  </w:num>
  <w:num w:numId="2" w16cid:durableId="1487284883">
    <w:abstractNumId w:val="3"/>
  </w:num>
  <w:num w:numId="3" w16cid:durableId="1186136248">
    <w:abstractNumId w:val="1"/>
  </w:num>
  <w:num w:numId="4" w16cid:durableId="1333781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02E"/>
    <w:rsid w:val="00017152"/>
    <w:rsid w:val="000238BC"/>
    <w:rsid w:val="000442CD"/>
    <w:rsid w:val="00045E53"/>
    <w:rsid w:val="00050687"/>
    <w:rsid w:val="00095640"/>
    <w:rsid w:val="0009684D"/>
    <w:rsid w:val="000A6990"/>
    <w:rsid w:val="000A7499"/>
    <w:rsid w:val="001030FC"/>
    <w:rsid w:val="0010569B"/>
    <w:rsid w:val="00135E99"/>
    <w:rsid w:val="00163836"/>
    <w:rsid w:val="00182F75"/>
    <w:rsid w:val="00192F70"/>
    <w:rsid w:val="00193C76"/>
    <w:rsid w:val="001C0583"/>
    <w:rsid w:val="00272C74"/>
    <w:rsid w:val="00282AE3"/>
    <w:rsid w:val="002A339E"/>
    <w:rsid w:val="002B31C8"/>
    <w:rsid w:val="002C5ABB"/>
    <w:rsid w:val="002C64B7"/>
    <w:rsid w:val="002D286C"/>
    <w:rsid w:val="002D4DF8"/>
    <w:rsid w:val="002E2CA1"/>
    <w:rsid w:val="0030449F"/>
    <w:rsid w:val="00344986"/>
    <w:rsid w:val="00347F8A"/>
    <w:rsid w:val="00356B12"/>
    <w:rsid w:val="003E6B56"/>
    <w:rsid w:val="003F762F"/>
    <w:rsid w:val="00430F92"/>
    <w:rsid w:val="004519EC"/>
    <w:rsid w:val="004521EC"/>
    <w:rsid w:val="00452D1B"/>
    <w:rsid w:val="00453735"/>
    <w:rsid w:val="004845C9"/>
    <w:rsid w:val="00511F30"/>
    <w:rsid w:val="005201B7"/>
    <w:rsid w:val="00521962"/>
    <w:rsid w:val="00580DCD"/>
    <w:rsid w:val="005B16B6"/>
    <w:rsid w:val="005C661E"/>
    <w:rsid w:val="0067224E"/>
    <w:rsid w:val="006B39E8"/>
    <w:rsid w:val="006C1293"/>
    <w:rsid w:val="006D449A"/>
    <w:rsid w:val="0070424A"/>
    <w:rsid w:val="00713BFC"/>
    <w:rsid w:val="00733B52"/>
    <w:rsid w:val="00741C65"/>
    <w:rsid w:val="00784E29"/>
    <w:rsid w:val="0079651F"/>
    <w:rsid w:val="007A401A"/>
    <w:rsid w:val="007A70FC"/>
    <w:rsid w:val="0080665B"/>
    <w:rsid w:val="008114E3"/>
    <w:rsid w:val="008116A3"/>
    <w:rsid w:val="00821806"/>
    <w:rsid w:val="00827025"/>
    <w:rsid w:val="008324BB"/>
    <w:rsid w:val="008775DC"/>
    <w:rsid w:val="00884D40"/>
    <w:rsid w:val="008875DB"/>
    <w:rsid w:val="008A2E27"/>
    <w:rsid w:val="008E27B5"/>
    <w:rsid w:val="009647B7"/>
    <w:rsid w:val="00995176"/>
    <w:rsid w:val="009961F7"/>
    <w:rsid w:val="009A0202"/>
    <w:rsid w:val="009A7C5C"/>
    <w:rsid w:val="009C2CCE"/>
    <w:rsid w:val="009D1961"/>
    <w:rsid w:val="009E660F"/>
    <w:rsid w:val="009F595B"/>
    <w:rsid w:val="00A014B6"/>
    <w:rsid w:val="00A02737"/>
    <w:rsid w:val="00A64A26"/>
    <w:rsid w:val="00A85456"/>
    <w:rsid w:val="00AA0E84"/>
    <w:rsid w:val="00AB3E14"/>
    <w:rsid w:val="00AD48E5"/>
    <w:rsid w:val="00AE6FF4"/>
    <w:rsid w:val="00AF1CED"/>
    <w:rsid w:val="00AF247F"/>
    <w:rsid w:val="00AF6B38"/>
    <w:rsid w:val="00B26E6E"/>
    <w:rsid w:val="00B76232"/>
    <w:rsid w:val="00BA1E56"/>
    <w:rsid w:val="00BA402E"/>
    <w:rsid w:val="00BA49B6"/>
    <w:rsid w:val="00BB31B5"/>
    <w:rsid w:val="00BD6BA3"/>
    <w:rsid w:val="00C232C4"/>
    <w:rsid w:val="00C33C8C"/>
    <w:rsid w:val="00C56BF5"/>
    <w:rsid w:val="00C63965"/>
    <w:rsid w:val="00C6520A"/>
    <w:rsid w:val="00C664A1"/>
    <w:rsid w:val="00C66696"/>
    <w:rsid w:val="00C826F1"/>
    <w:rsid w:val="00CA0337"/>
    <w:rsid w:val="00CB71B9"/>
    <w:rsid w:val="00D4716E"/>
    <w:rsid w:val="00D502E4"/>
    <w:rsid w:val="00D660C5"/>
    <w:rsid w:val="00DC6086"/>
    <w:rsid w:val="00DD03AC"/>
    <w:rsid w:val="00E6767A"/>
    <w:rsid w:val="00EB1DEB"/>
    <w:rsid w:val="00EB20F9"/>
    <w:rsid w:val="00F27792"/>
    <w:rsid w:val="00F3685B"/>
    <w:rsid w:val="00F67204"/>
    <w:rsid w:val="00FB6AD5"/>
    <w:rsid w:val="00FE44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9CA9A"/>
  <w15:chartTrackingRefBased/>
  <w15:docId w15:val="{2F2EFB5E-6A79-4C97-B5A5-033C879A6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color w:val="FFFFFF" w:themeColor="background1"/>
        <w:kern w:val="2"/>
        <w:sz w:val="22"/>
        <w:szCs w:val="22"/>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0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40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402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402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A402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A402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A402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A402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A402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0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40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402E"/>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402E"/>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BA402E"/>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BA402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A402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A402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A402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A402E"/>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BA402E"/>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BA402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402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A402E"/>
    <w:pPr>
      <w:spacing w:before="160"/>
      <w:jc w:val="center"/>
    </w:pPr>
    <w:rPr>
      <w:i/>
      <w:iCs/>
      <w:color w:val="404040" w:themeColor="text1" w:themeTint="BF"/>
    </w:rPr>
  </w:style>
  <w:style w:type="character" w:customStyle="1" w:styleId="QuoteChar">
    <w:name w:val="Quote Char"/>
    <w:basedOn w:val="DefaultParagraphFont"/>
    <w:link w:val="Quote"/>
    <w:uiPriority w:val="29"/>
    <w:rsid w:val="00BA402E"/>
    <w:rPr>
      <w:i/>
      <w:iCs/>
      <w:color w:val="404040" w:themeColor="text1" w:themeTint="BF"/>
    </w:rPr>
  </w:style>
  <w:style w:type="paragraph" w:styleId="ListParagraph">
    <w:name w:val="List Paragraph"/>
    <w:basedOn w:val="Normal"/>
    <w:uiPriority w:val="34"/>
    <w:qFormat/>
    <w:rsid w:val="00BA402E"/>
    <w:pPr>
      <w:ind w:left="720"/>
      <w:contextualSpacing/>
    </w:pPr>
  </w:style>
  <w:style w:type="character" w:styleId="IntenseEmphasis">
    <w:name w:val="Intense Emphasis"/>
    <w:basedOn w:val="DefaultParagraphFont"/>
    <w:uiPriority w:val="21"/>
    <w:qFormat/>
    <w:rsid w:val="00BA402E"/>
    <w:rPr>
      <w:i/>
      <w:iCs/>
      <w:color w:val="0F4761" w:themeColor="accent1" w:themeShade="BF"/>
    </w:rPr>
  </w:style>
  <w:style w:type="paragraph" w:styleId="IntenseQuote">
    <w:name w:val="Intense Quote"/>
    <w:basedOn w:val="Normal"/>
    <w:next w:val="Normal"/>
    <w:link w:val="IntenseQuoteChar"/>
    <w:uiPriority w:val="30"/>
    <w:qFormat/>
    <w:rsid w:val="00BA40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402E"/>
    <w:rPr>
      <w:i/>
      <w:iCs/>
      <w:color w:val="0F4761" w:themeColor="accent1" w:themeShade="BF"/>
    </w:rPr>
  </w:style>
  <w:style w:type="character" w:styleId="IntenseReference">
    <w:name w:val="Intense Reference"/>
    <w:basedOn w:val="DefaultParagraphFont"/>
    <w:uiPriority w:val="32"/>
    <w:qFormat/>
    <w:rsid w:val="00BA402E"/>
    <w:rPr>
      <w:b/>
      <w:bCs/>
      <w:smallCaps/>
      <w:color w:val="0F4761" w:themeColor="accent1" w:themeShade="BF"/>
      <w:spacing w:val="5"/>
    </w:rPr>
  </w:style>
  <w:style w:type="paragraph" w:styleId="NoSpacing">
    <w:name w:val="No Spacing"/>
    <w:link w:val="NoSpacingChar"/>
    <w:uiPriority w:val="1"/>
    <w:qFormat/>
    <w:rsid w:val="00045E53"/>
    <w:pPr>
      <w:spacing w:after="0" w:line="240" w:lineRule="auto"/>
    </w:pPr>
    <w:rPr>
      <w:rFonts w:asciiTheme="minorHAnsi" w:eastAsiaTheme="minorEastAsia" w:hAnsiTheme="minorHAnsi" w:cstheme="minorBidi"/>
      <w:color w:val="auto"/>
      <w:kern w:val="0"/>
      <w:lang w:val="en-US"/>
      <w14:ligatures w14:val="none"/>
    </w:rPr>
  </w:style>
  <w:style w:type="character" w:customStyle="1" w:styleId="NoSpacingChar">
    <w:name w:val="No Spacing Char"/>
    <w:basedOn w:val="DefaultParagraphFont"/>
    <w:link w:val="NoSpacing"/>
    <w:uiPriority w:val="1"/>
    <w:rsid w:val="00045E53"/>
    <w:rPr>
      <w:rFonts w:asciiTheme="minorHAnsi" w:eastAsiaTheme="minorEastAsia" w:hAnsiTheme="minorHAnsi" w:cstheme="minorBidi"/>
      <w:color w:val="auto"/>
      <w:kern w:val="0"/>
      <w:lang w:val="en-US"/>
      <w14:ligatures w14:val="none"/>
    </w:rPr>
  </w:style>
  <w:style w:type="paragraph" w:styleId="Header">
    <w:name w:val="header"/>
    <w:basedOn w:val="Normal"/>
    <w:link w:val="HeaderChar"/>
    <w:uiPriority w:val="99"/>
    <w:unhideWhenUsed/>
    <w:rsid w:val="00EB1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DEB"/>
  </w:style>
  <w:style w:type="paragraph" w:styleId="Footer">
    <w:name w:val="footer"/>
    <w:basedOn w:val="Normal"/>
    <w:link w:val="FooterChar"/>
    <w:uiPriority w:val="99"/>
    <w:unhideWhenUsed/>
    <w:rsid w:val="00EB1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DEB"/>
  </w:style>
  <w:style w:type="character" w:styleId="Hyperlink">
    <w:name w:val="Hyperlink"/>
    <w:basedOn w:val="DefaultParagraphFont"/>
    <w:uiPriority w:val="99"/>
    <w:unhideWhenUsed/>
    <w:rsid w:val="00C33C8C"/>
    <w:rPr>
      <w:color w:val="467886" w:themeColor="hyperlink"/>
      <w:u w:val="single"/>
    </w:rPr>
  </w:style>
  <w:style w:type="character" w:styleId="UnresolvedMention">
    <w:name w:val="Unresolved Mention"/>
    <w:basedOn w:val="DefaultParagraphFont"/>
    <w:uiPriority w:val="99"/>
    <w:semiHidden/>
    <w:unhideWhenUsed/>
    <w:rsid w:val="00C33C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gislation.gov.uk/ukpga/2005/9/content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ukpga/2010/15/cont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care-act-statutory-guidance/care-and-support-statutory-guidance" TargetMode="External"/><Relationship Id="rId5" Type="http://schemas.openxmlformats.org/officeDocument/2006/relationships/footnotes" Target="footnotes.xml"/><Relationship Id="rId15" Type="http://schemas.openxmlformats.org/officeDocument/2006/relationships/hyperlink" Target="https://www.longtermplan.nhs.uk" TargetMode="External"/><Relationship Id="rId10" Type="http://schemas.openxmlformats.org/officeDocument/2006/relationships/hyperlink" Target="https://www.legislation.gov.uk/ukpga/2018/12/contents/enacted" TargetMode="External"/><Relationship Id="rId4" Type="http://schemas.openxmlformats.org/officeDocument/2006/relationships/webSettings" Target="webSettings.xml"/><Relationship Id="rId9" Type="http://schemas.openxmlformats.org/officeDocument/2006/relationships/hyperlink" Target="https://www.cqc.org.uk/guidance-providers/regulations-enforcement/regulation-12-safe-care-treatment" TargetMode="External"/><Relationship Id="rId14" Type="http://schemas.openxmlformats.org/officeDocument/2006/relationships/hyperlink" Target="https://www.nice.org.uk/guidance/ng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401</TotalTime>
  <Pages>9</Pages>
  <Words>2503</Words>
  <Characters>14273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Mohamed</dc:creator>
  <cp:keywords/>
  <dc:description/>
  <cp:lastModifiedBy>R Mohamed</cp:lastModifiedBy>
  <cp:revision>106</cp:revision>
  <dcterms:created xsi:type="dcterms:W3CDTF">2026-06-30T19:03:00Z</dcterms:created>
  <dcterms:modified xsi:type="dcterms:W3CDTF">2026-07-09T12:43:00Z</dcterms:modified>
</cp:coreProperties>
</file>