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84E585" w14:textId="49D6B3CD" w:rsidR="003647B3" w:rsidRDefault="0062500F" w:rsidP="00D54131">
      <w:pPr>
        <w:pStyle w:val="Normal1"/>
        <w:pBdr>
          <w:top w:val="nil"/>
          <w:left w:val="nil"/>
          <w:bottom w:val="nil"/>
          <w:right w:val="nil"/>
          <w:between w:val="nil"/>
        </w:pBdr>
        <w:spacing w:line="360" w:lineRule="auto"/>
        <w:rPr>
          <w:rFonts w:ascii="Arial" w:eastAsia="Arial" w:hAnsi="Arial" w:cs="Arial"/>
          <w:b/>
          <w:color w:val="000000"/>
          <w:sz w:val="32"/>
          <w:szCs w:val="32"/>
        </w:rPr>
      </w:pPr>
      <w:r>
        <w:rPr>
          <w:noProof/>
          <w:sz w:val="20"/>
        </w:rPr>
        <w:drawing>
          <wp:anchor distT="0" distB="0" distL="114300" distR="114300" simplePos="0" relativeHeight="251658240" behindDoc="0" locked="0" layoutInCell="1" allowOverlap="1" wp14:anchorId="58E59288" wp14:editId="3BCDDD72">
            <wp:simplePos x="0" y="0"/>
            <wp:positionH relativeFrom="margin">
              <wp:align>center</wp:align>
            </wp:positionH>
            <wp:positionV relativeFrom="paragraph">
              <wp:posOffset>0</wp:posOffset>
            </wp:positionV>
            <wp:extent cx="3145774" cy="1065276"/>
            <wp:effectExtent l="0" t="0" r="0" b="1905"/>
            <wp:wrapSquare wrapText="bothSides"/>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45774" cy="1065276"/>
                    </a:xfrm>
                    <a:prstGeom prst="rect">
                      <a:avLst/>
                    </a:prstGeom>
                  </pic:spPr>
                </pic:pic>
              </a:graphicData>
            </a:graphic>
          </wp:anchor>
        </w:drawing>
      </w:r>
    </w:p>
    <w:p w14:paraId="116BD0B2" w14:textId="77777777" w:rsidR="0030033D" w:rsidRDefault="0030033D" w:rsidP="00D54131">
      <w:pPr>
        <w:pStyle w:val="Normal1"/>
        <w:pBdr>
          <w:top w:val="nil"/>
          <w:left w:val="nil"/>
          <w:bottom w:val="nil"/>
          <w:right w:val="nil"/>
          <w:between w:val="nil"/>
        </w:pBdr>
        <w:spacing w:line="360" w:lineRule="auto"/>
        <w:rPr>
          <w:rFonts w:ascii="Arial" w:eastAsia="Arial" w:hAnsi="Arial" w:cs="Arial"/>
          <w:b/>
          <w:color w:val="000000"/>
          <w:sz w:val="32"/>
          <w:szCs w:val="32"/>
        </w:rPr>
      </w:pPr>
    </w:p>
    <w:p w14:paraId="63B5448A" w14:textId="77777777" w:rsidR="0062500F" w:rsidRDefault="0062500F" w:rsidP="00D54131">
      <w:pPr>
        <w:pStyle w:val="Normal1"/>
        <w:pBdr>
          <w:top w:val="nil"/>
          <w:left w:val="nil"/>
          <w:bottom w:val="nil"/>
          <w:right w:val="nil"/>
          <w:between w:val="nil"/>
        </w:pBdr>
        <w:spacing w:line="360" w:lineRule="auto"/>
        <w:rPr>
          <w:rFonts w:ascii="Arial" w:eastAsia="Arial" w:hAnsi="Arial" w:cs="Arial"/>
          <w:b/>
          <w:color w:val="000000"/>
          <w:sz w:val="32"/>
          <w:szCs w:val="32"/>
        </w:rPr>
      </w:pPr>
    </w:p>
    <w:p w14:paraId="3B33B31B" w14:textId="77777777" w:rsidR="00981A15" w:rsidRPr="00C2587B" w:rsidRDefault="00981A15" w:rsidP="00D54131">
      <w:pPr>
        <w:pStyle w:val="Normal1"/>
        <w:pBdr>
          <w:top w:val="nil"/>
          <w:left w:val="nil"/>
          <w:bottom w:val="nil"/>
          <w:right w:val="nil"/>
          <w:between w:val="nil"/>
        </w:pBdr>
        <w:spacing w:line="360" w:lineRule="auto"/>
        <w:rPr>
          <w:rFonts w:ascii="Arial" w:eastAsia="Arial" w:hAnsi="Arial" w:cs="Arial"/>
          <w:b/>
          <w:color w:val="000000"/>
          <w:sz w:val="24"/>
          <w:szCs w:val="24"/>
        </w:rPr>
      </w:pPr>
    </w:p>
    <w:p w14:paraId="03540A34" w14:textId="77777777" w:rsidR="0030033D" w:rsidRPr="00C2587B" w:rsidRDefault="0030033D" w:rsidP="0030033D">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sidRPr="00C2587B">
        <w:rPr>
          <w:rFonts w:ascii="Arial" w:hAnsi="Arial" w:cs="Arial"/>
          <w:b/>
          <w:sz w:val="24"/>
          <w:szCs w:val="24"/>
        </w:rPr>
        <w:t>Programme:</w:t>
      </w:r>
      <w:r w:rsidRPr="00C2587B">
        <w:rPr>
          <w:rFonts w:ascii="Arial" w:eastAsia="Arial" w:hAnsi="Arial" w:cs="Arial"/>
          <w:b/>
          <w:color w:val="000000"/>
          <w:sz w:val="24"/>
          <w:szCs w:val="24"/>
        </w:rPr>
        <w:t xml:space="preserve"> Master</w:t>
      </w:r>
      <w:r w:rsidR="00E47889" w:rsidRPr="00C2587B">
        <w:rPr>
          <w:rFonts w:ascii="Arial" w:eastAsia="Arial" w:hAnsi="Arial" w:cs="Arial"/>
          <w:b/>
          <w:color w:val="000000"/>
          <w:sz w:val="24"/>
          <w:szCs w:val="24"/>
        </w:rPr>
        <w:t xml:space="preserve"> of Business Administration</w:t>
      </w:r>
    </w:p>
    <w:p w14:paraId="11923C7C" w14:textId="4A182563" w:rsidR="003647B3" w:rsidRPr="00C2587B" w:rsidRDefault="0030033D" w:rsidP="0030033D">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sidRPr="00C2587B">
        <w:rPr>
          <w:rFonts w:ascii="Arial" w:hAnsi="Arial" w:cs="Arial"/>
          <w:b/>
          <w:sz w:val="24"/>
          <w:szCs w:val="24"/>
        </w:rPr>
        <w:t xml:space="preserve">   Module:</w:t>
      </w:r>
      <w:r w:rsidRPr="00C2587B">
        <w:rPr>
          <w:rFonts w:ascii="Arial" w:eastAsia="Arial" w:hAnsi="Arial" w:cs="Arial"/>
          <w:b/>
          <w:color w:val="000000"/>
          <w:sz w:val="24"/>
          <w:szCs w:val="24"/>
        </w:rPr>
        <w:t xml:space="preserve"> Human</w:t>
      </w:r>
      <w:r w:rsidR="00E47889" w:rsidRPr="00C2587B">
        <w:rPr>
          <w:rFonts w:ascii="Arial" w:eastAsia="Arial" w:hAnsi="Arial" w:cs="Arial"/>
          <w:b/>
          <w:color w:val="000000"/>
          <w:sz w:val="24"/>
          <w:szCs w:val="24"/>
        </w:rPr>
        <w:t xml:space="preserve"> Capital Management</w:t>
      </w:r>
    </w:p>
    <w:p w14:paraId="32271F8A" w14:textId="14A45552" w:rsidR="003647B3" w:rsidRPr="00C2587B" w:rsidRDefault="0030033D" w:rsidP="00D54131">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sidRPr="00C2587B">
        <w:rPr>
          <w:rFonts w:ascii="Arial" w:hAnsi="Arial" w:cs="Arial"/>
          <w:b/>
          <w:sz w:val="24"/>
          <w:szCs w:val="24"/>
        </w:rPr>
        <w:t xml:space="preserve">Module code: </w:t>
      </w:r>
      <w:r w:rsidR="00E47889" w:rsidRPr="00C2587B">
        <w:rPr>
          <w:rFonts w:ascii="Arial" w:eastAsia="Arial" w:hAnsi="Arial" w:cs="Arial"/>
          <w:b/>
          <w:color w:val="000000"/>
          <w:sz w:val="24"/>
          <w:szCs w:val="24"/>
        </w:rPr>
        <w:t>LCMB7023</w:t>
      </w:r>
    </w:p>
    <w:p w14:paraId="51136603" w14:textId="5E94BB73" w:rsidR="003647B3" w:rsidRPr="00C2587B" w:rsidRDefault="0030033D" w:rsidP="00D54131">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sidRPr="00C2587B">
        <w:rPr>
          <w:rFonts w:ascii="Arial" w:hAnsi="Arial" w:cs="Arial"/>
          <w:b/>
          <w:sz w:val="24"/>
          <w:szCs w:val="24"/>
        </w:rPr>
        <w:t>Assignment Title:</w:t>
      </w:r>
      <w:r w:rsidRPr="00C2587B">
        <w:rPr>
          <w:rFonts w:ascii="Arial" w:eastAsia="Arial" w:hAnsi="Arial" w:cs="Arial"/>
          <w:b/>
          <w:color w:val="000000"/>
          <w:sz w:val="24"/>
          <w:szCs w:val="24"/>
        </w:rPr>
        <w:t xml:space="preserve"> Assessment</w:t>
      </w:r>
      <w:r w:rsidR="00E47889" w:rsidRPr="00C2587B">
        <w:rPr>
          <w:rFonts w:ascii="Arial" w:eastAsia="Arial" w:hAnsi="Arial" w:cs="Arial"/>
          <w:b/>
          <w:color w:val="000000"/>
          <w:sz w:val="24"/>
          <w:szCs w:val="24"/>
        </w:rPr>
        <w:t xml:space="preserve"> component 1: Individual report</w:t>
      </w:r>
    </w:p>
    <w:p w14:paraId="703D6005" w14:textId="79D45AD0" w:rsidR="003647B3" w:rsidRPr="00C2587B" w:rsidRDefault="00E47889" w:rsidP="00C2587B">
      <w:pPr>
        <w:pStyle w:val="Normal1"/>
        <w:pBdr>
          <w:top w:val="nil"/>
          <w:left w:val="nil"/>
          <w:bottom w:val="nil"/>
          <w:right w:val="nil"/>
          <w:between w:val="nil"/>
        </w:pBdr>
        <w:spacing w:line="360" w:lineRule="auto"/>
        <w:ind w:left="720"/>
        <w:jc w:val="center"/>
        <w:rPr>
          <w:rFonts w:ascii="Arial" w:eastAsia="Arial" w:hAnsi="Arial" w:cs="Arial"/>
          <w:b/>
          <w:color w:val="000000"/>
          <w:sz w:val="24"/>
          <w:szCs w:val="24"/>
        </w:rPr>
      </w:pPr>
      <w:r w:rsidRPr="00C2587B">
        <w:rPr>
          <w:rFonts w:ascii="Arial" w:eastAsia="Arial" w:hAnsi="Arial" w:cs="Arial"/>
          <w:b/>
          <w:color w:val="000000"/>
          <w:sz w:val="24"/>
          <w:szCs w:val="24"/>
        </w:rPr>
        <w:t>THE INFLUENCE OF NATIONAL AND INTERNATIONAL LABOUR MARKETS ON HRM AND IHRM STRATEGIES</w:t>
      </w:r>
    </w:p>
    <w:p w14:paraId="3B31B6FE" w14:textId="6E3AE8C3" w:rsidR="0030033D" w:rsidRPr="00C2587B" w:rsidRDefault="0030033D" w:rsidP="0030033D">
      <w:pPr>
        <w:pStyle w:val="Normal10"/>
        <w:pBdr>
          <w:top w:val="nil"/>
          <w:left w:val="nil"/>
          <w:bottom w:val="nil"/>
          <w:right w:val="nil"/>
          <w:between w:val="nil"/>
        </w:pBdr>
        <w:spacing w:line="360" w:lineRule="auto"/>
        <w:rPr>
          <w:rFonts w:ascii="Arial" w:eastAsia="Arial" w:hAnsi="Arial" w:cs="Arial"/>
          <w:b/>
          <w:color w:val="000000"/>
          <w:sz w:val="24"/>
          <w:szCs w:val="24"/>
        </w:rPr>
      </w:pPr>
      <w:r w:rsidRPr="00C2587B">
        <w:rPr>
          <w:rFonts w:ascii="Arial" w:eastAsia="Arial" w:hAnsi="Arial" w:cs="Arial"/>
          <w:b/>
          <w:color w:val="000000"/>
          <w:sz w:val="24"/>
          <w:szCs w:val="24"/>
        </w:rPr>
        <w:t xml:space="preserve">                            </w:t>
      </w:r>
      <w:r w:rsidR="00005999">
        <w:rPr>
          <w:rFonts w:ascii="Arial" w:eastAsia="Arial" w:hAnsi="Arial" w:cs="Arial"/>
          <w:b/>
          <w:color w:val="000000"/>
          <w:sz w:val="24"/>
          <w:szCs w:val="24"/>
        </w:rPr>
        <w:t xml:space="preserve">         </w:t>
      </w:r>
      <w:bookmarkStart w:id="0" w:name="_GoBack"/>
      <w:bookmarkEnd w:id="0"/>
      <w:r w:rsidR="00FA18B8">
        <w:rPr>
          <w:rFonts w:ascii="Arial" w:hAnsi="Arial" w:cs="Arial"/>
          <w:b/>
          <w:sz w:val="24"/>
          <w:szCs w:val="24"/>
        </w:rPr>
        <w:t xml:space="preserve">Lecturer: </w:t>
      </w:r>
      <w:r w:rsidR="00FA18B8" w:rsidRPr="00FA18B8">
        <w:rPr>
          <w:rFonts w:ascii="Arial" w:hAnsi="Arial" w:cs="Arial"/>
          <w:b/>
          <w:sz w:val="24"/>
        </w:rPr>
        <w:t>Ejike Udeogu (Birmingham)</w:t>
      </w:r>
    </w:p>
    <w:p w14:paraId="70DEFFDA" w14:textId="19E77ADB" w:rsidR="003647B3" w:rsidRPr="00C2587B" w:rsidRDefault="0062500F" w:rsidP="0030033D">
      <w:pPr>
        <w:pStyle w:val="Normal1"/>
        <w:pBdr>
          <w:top w:val="nil"/>
          <w:left w:val="nil"/>
          <w:bottom w:val="nil"/>
          <w:right w:val="nil"/>
          <w:between w:val="nil"/>
        </w:pBdr>
        <w:spacing w:line="360" w:lineRule="auto"/>
        <w:rPr>
          <w:rFonts w:ascii="Arial" w:eastAsia="Arial" w:hAnsi="Arial" w:cs="Arial"/>
          <w:color w:val="000000"/>
          <w:sz w:val="24"/>
          <w:szCs w:val="24"/>
        </w:rPr>
      </w:pPr>
      <w:r w:rsidRPr="00C2587B">
        <w:rPr>
          <w:rFonts w:ascii="Arial" w:eastAsia="Arial" w:hAnsi="Arial" w:cs="Arial"/>
          <w:color w:val="000000"/>
          <w:sz w:val="24"/>
          <w:szCs w:val="24"/>
        </w:rPr>
        <w:t xml:space="preserve">                </w:t>
      </w:r>
      <w:r w:rsidR="00C2587B">
        <w:rPr>
          <w:rFonts w:ascii="Arial" w:eastAsia="Arial" w:hAnsi="Arial" w:cs="Arial"/>
          <w:color w:val="000000"/>
          <w:sz w:val="24"/>
          <w:szCs w:val="24"/>
        </w:rPr>
        <w:t xml:space="preserve">         </w:t>
      </w:r>
      <w:r w:rsidRPr="00C2587B">
        <w:rPr>
          <w:rFonts w:ascii="Arial" w:eastAsia="Arial" w:hAnsi="Arial" w:cs="Arial"/>
          <w:color w:val="000000"/>
          <w:sz w:val="24"/>
          <w:szCs w:val="24"/>
        </w:rPr>
        <w:t xml:space="preserve">   </w:t>
      </w:r>
      <w:r w:rsidR="0030033D" w:rsidRPr="00C2587B">
        <w:rPr>
          <w:rFonts w:ascii="Arial" w:eastAsia="Arial" w:hAnsi="Arial" w:cs="Arial"/>
          <w:color w:val="000000"/>
          <w:sz w:val="24"/>
          <w:szCs w:val="24"/>
        </w:rPr>
        <w:t xml:space="preserve">  </w:t>
      </w:r>
      <w:r w:rsidR="00E47889" w:rsidRPr="00C2587B">
        <w:rPr>
          <w:rFonts w:ascii="Arial" w:eastAsia="Arial" w:hAnsi="Arial" w:cs="Arial"/>
          <w:b/>
          <w:color w:val="000000"/>
          <w:sz w:val="24"/>
          <w:szCs w:val="24"/>
        </w:rPr>
        <w:t>Student name:</w:t>
      </w:r>
      <w:r w:rsidR="0030033D" w:rsidRPr="00C2587B">
        <w:rPr>
          <w:rFonts w:ascii="Arial" w:eastAsia="Arial" w:hAnsi="Arial" w:cs="Arial"/>
          <w:b/>
          <w:color w:val="000000"/>
          <w:sz w:val="24"/>
          <w:szCs w:val="24"/>
        </w:rPr>
        <w:t xml:space="preserve"> Harshil Bharatkumar Desai</w:t>
      </w:r>
    </w:p>
    <w:p w14:paraId="360A35BF" w14:textId="201DE6DA" w:rsidR="003647B3" w:rsidRPr="00C2587B" w:rsidRDefault="00E47889" w:rsidP="00D54131">
      <w:pPr>
        <w:pStyle w:val="Normal1"/>
        <w:pBdr>
          <w:top w:val="nil"/>
          <w:left w:val="nil"/>
          <w:bottom w:val="nil"/>
          <w:right w:val="nil"/>
          <w:between w:val="nil"/>
        </w:pBdr>
        <w:spacing w:line="360" w:lineRule="auto"/>
        <w:jc w:val="center"/>
        <w:rPr>
          <w:rFonts w:ascii="Arial" w:eastAsia="Arial" w:hAnsi="Arial" w:cs="Arial"/>
          <w:b/>
          <w:color w:val="000000"/>
          <w:sz w:val="24"/>
          <w:szCs w:val="24"/>
        </w:rPr>
      </w:pPr>
      <w:r w:rsidRPr="00C2587B">
        <w:rPr>
          <w:rFonts w:ascii="Arial" w:eastAsia="Arial" w:hAnsi="Arial" w:cs="Arial"/>
          <w:b/>
          <w:color w:val="000000"/>
          <w:sz w:val="24"/>
          <w:szCs w:val="24"/>
        </w:rPr>
        <w:t>Student ID number:</w:t>
      </w:r>
      <w:r w:rsidR="00EA7EFE" w:rsidRPr="00C2587B">
        <w:rPr>
          <w:rFonts w:ascii="Arial" w:eastAsia="Arial" w:hAnsi="Arial" w:cs="Arial"/>
          <w:b/>
          <w:color w:val="000000"/>
          <w:sz w:val="24"/>
          <w:szCs w:val="24"/>
        </w:rPr>
        <w:t xml:space="preserve"> </w:t>
      </w:r>
      <w:r w:rsidR="0030033D" w:rsidRPr="00C2587B">
        <w:rPr>
          <w:rFonts w:ascii="Arial" w:eastAsia="Arial" w:hAnsi="Arial" w:cs="Arial"/>
          <w:b/>
          <w:color w:val="000000"/>
          <w:sz w:val="24"/>
          <w:szCs w:val="24"/>
        </w:rPr>
        <w:t>2504765</w:t>
      </w:r>
    </w:p>
    <w:p w14:paraId="75ED31F9" w14:textId="66B21E72" w:rsidR="003647B3" w:rsidRPr="00C2587B" w:rsidRDefault="0062500F" w:rsidP="0062500F">
      <w:pPr>
        <w:pStyle w:val="Normal1"/>
        <w:pBdr>
          <w:top w:val="nil"/>
          <w:left w:val="nil"/>
          <w:bottom w:val="nil"/>
          <w:right w:val="nil"/>
          <w:between w:val="nil"/>
        </w:pBdr>
        <w:spacing w:line="360" w:lineRule="auto"/>
        <w:rPr>
          <w:rFonts w:ascii="Arial" w:eastAsia="Arial" w:hAnsi="Arial" w:cs="Arial"/>
          <w:color w:val="000000"/>
          <w:sz w:val="24"/>
          <w:szCs w:val="24"/>
        </w:rPr>
      </w:pPr>
      <w:r w:rsidRPr="00C2587B">
        <w:rPr>
          <w:rFonts w:ascii="Arial" w:eastAsia="Arial" w:hAnsi="Arial" w:cs="Arial"/>
          <w:b/>
          <w:color w:val="000000"/>
          <w:sz w:val="24"/>
          <w:szCs w:val="24"/>
        </w:rPr>
        <w:t xml:space="preserve">                                             </w:t>
      </w:r>
      <w:r w:rsidR="0072544C">
        <w:rPr>
          <w:rFonts w:ascii="Arial" w:eastAsia="Arial" w:hAnsi="Arial" w:cs="Arial"/>
          <w:b/>
          <w:color w:val="000000"/>
          <w:sz w:val="24"/>
          <w:szCs w:val="24"/>
        </w:rPr>
        <w:t xml:space="preserve"> </w:t>
      </w:r>
      <w:r w:rsidR="00C2587B" w:rsidRPr="00C2587B">
        <w:rPr>
          <w:rFonts w:ascii="Arial" w:eastAsia="Arial" w:hAnsi="Arial" w:cs="Arial"/>
          <w:b/>
          <w:color w:val="000000"/>
          <w:sz w:val="24"/>
          <w:szCs w:val="24"/>
        </w:rPr>
        <w:t xml:space="preserve"> </w:t>
      </w:r>
      <w:r w:rsidRPr="00C2587B">
        <w:rPr>
          <w:rFonts w:ascii="Arial" w:eastAsia="Arial" w:hAnsi="Arial" w:cs="Arial"/>
          <w:b/>
          <w:color w:val="000000"/>
          <w:sz w:val="24"/>
          <w:szCs w:val="24"/>
        </w:rPr>
        <w:t xml:space="preserve"> </w:t>
      </w:r>
      <w:r w:rsidR="00E47889" w:rsidRPr="00C2587B">
        <w:rPr>
          <w:rFonts w:ascii="Arial" w:eastAsia="Arial" w:hAnsi="Arial" w:cs="Arial"/>
          <w:b/>
          <w:color w:val="000000"/>
          <w:sz w:val="24"/>
          <w:szCs w:val="24"/>
        </w:rPr>
        <w:t>Word count:</w:t>
      </w:r>
      <w:r w:rsidR="00E47889" w:rsidRPr="00C2587B">
        <w:rPr>
          <w:rFonts w:ascii="Arial" w:eastAsia="Arial" w:hAnsi="Arial" w:cs="Arial"/>
          <w:color w:val="000000"/>
          <w:sz w:val="24"/>
          <w:szCs w:val="24"/>
        </w:rPr>
        <w:t xml:space="preserve"> </w:t>
      </w:r>
      <w:r w:rsidR="00E47889" w:rsidRPr="00C2587B">
        <w:rPr>
          <w:rFonts w:ascii="Arial" w:eastAsia="Arial" w:hAnsi="Arial" w:cs="Arial"/>
          <w:b/>
          <w:color w:val="000000"/>
          <w:sz w:val="24"/>
          <w:szCs w:val="24"/>
        </w:rPr>
        <w:t>26</w:t>
      </w:r>
      <w:r w:rsidR="00D54131" w:rsidRPr="00C2587B">
        <w:rPr>
          <w:rFonts w:ascii="Arial" w:eastAsia="Arial" w:hAnsi="Arial" w:cs="Arial"/>
          <w:b/>
          <w:color w:val="000000"/>
          <w:sz w:val="24"/>
          <w:szCs w:val="24"/>
        </w:rPr>
        <w:t>47</w:t>
      </w:r>
    </w:p>
    <w:p w14:paraId="27A323F5" w14:textId="3791929B" w:rsidR="003647B3" w:rsidRDefault="0062500F" w:rsidP="0062500F">
      <w:pPr>
        <w:pStyle w:val="Normal1"/>
        <w:pBdr>
          <w:top w:val="nil"/>
          <w:left w:val="nil"/>
          <w:bottom w:val="nil"/>
          <w:right w:val="nil"/>
          <w:between w:val="nil"/>
        </w:pBdr>
        <w:spacing w:line="360" w:lineRule="auto"/>
        <w:rPr>
          <w:rFonts w:ascii="Arial" w:eastAsia="Arial" w:hAnsi="Arial" w:cs="Arial"/>
          <w:b/>
          <w:color w:val="000000"/>
          <w:sz w:val="32"/>
          <w:szCs w:val="32"/>
        </w:rPr>
      </w:pPr>
      <w:r w:rsidRPr="00C2587B">
        <w:rPr>
          <w:rFonts w:ascii="Arial" w:eastAsia="Arial" w:hAnsi="Arial" w:cs="Arial"/>
          <w:b/>
          <w:color w:val="000000"/>
          <w:sz w:val="24"/>
          <w:szCs w:val="24"/>
        </w:rPr>
        <w:t xml:space="preserve">                              </w:t>
      </w:r>
      <w:r w:rsidR="00C2587B">
        <w:rPr>
          <w:rFonts w:ascii="Arial" w:eastAsia="Arial" w:hAnsi="Arial" w:cs="Arial"/>
          <w:b/>
          <w:color w:val="000000"/>
          <w:sz w:val="24"/>
          <w:szCs w:val="24"/>
        </w:rPr>
        <w:t xml:space="preserve">      </w:t>
      </w:r>
      <w:r w:rsidR="00797A02">
        <w:rPr>
          <w:rFonts w:ascii="Arial" w:eastAsia="Arial" w:hAnsi="Arial" w:cs="Arial"/>
          <w:b/>
          <w:color w:val="000000"/>
          <w:sz w:val="24"/>
          <w:szCs w:val="24"/>
        </w:rPr>
        <w:t xml:space="preserve"> </w:t>
      </w:r>
      <w:r w:rsidR="00C2587B">
        <w:rPr>
          <w:rFonts w:ascii="Arial" w:eastAsia="Arial" w:hAnsi="Arial" w:cs="Arial"/>
          <w:b/>
          <w:color w:val="000000"/>
          <w:sz w:val="24"/>
          <w:szCs w:val="24"/>
        </w:rPr>
        <w:t xml:space="preserve"> </w:t>
      </w:r>
      <w:r w:rsidR="0072544C">
        <w:rPr>
          <w:rFonts w:ascii="Arial" w:eastAsia="Arial" w:hAnsi="Arial" w:cs="Arial"/>
          <w:b/>
          <w:color w:val="000000"/>
          <w:sz w:val="24"/>
          <w:szCs w:val="24"/>
        </w:rPr>
        <w:t xml:space="preserve"> </w:t>
      </w:r>
      <w:r w:rsidR="00C2587B">
        <w:rPr>
          <w:rFonts w:ascii="Arial" w:eastAsia="Arial" w:hAnsi="Arial" w:cs="Arial"/>
          <w:b/>
          <w:color w:val="000000"/>
          <w:sz w:val="24"/>
          <w:szCs w:val="24"/>
        </w:rPr>
        <w:t xml:space="preserve"> </w:t>
      </w:r>
      <w:r w:rsidR="00E47889" w:rsidRPr="00C2587B">
        <w:rPr>
          <w:rFonts w:ascii="Arial" w:eastAsia="Arial" w:hAnsi="Arial" w:cs="Arial"/>
          <w:b/>
          <w:color w:val="000000"/>
          <w:sz w:val="24"/>
          <w:szCs w:val="24"/>
        </w:rPr>
        <w:t>Submission date:</w:t>
      </w:r>
      <w:r w:rsidR="00E95148" w:rsidRPr="00C2587B">
        <w:rPr>
          <w:rFonts w:ascii="Arial" w:eastAsia="Arial" w:hAnsi="Arial" w:cs="Arial"/>
          <w:b/>
          <w:color w:val="000000"/>
          <w:sz w:val="24"/>
          <w:szCs w:val="24"/>
        </w:rPr>
        <w:t xml:space="preserve"> </w:t>
      </w:r>
      <w:r w:rsidR="0030033D" w:rsidRPr="00C2587B">
        <w:rPr>
          <w:rFonts w:ascii="Arial" w:eastAsia="Arial" w:hAnsi="Arial" w:cs="Arial"/>
          <w:b/>
          <w:bCs/>
          <w:color w:val="000000"/>
          <w:sz w:val="24"/>
          <w:szCs w:val="24"/>
        </w:rPr>
        <w:t>17/10/</w:t>
      </w:r>
      <w:r w:rsidR="00E95148" w:rsidRPr="00C2587B">
        <w:rPr>
          <w:rFonts w:ascii="Arial" w:eastAsia="Arial" w:hAnsi="Arial" w:cs="Arial"/>
          <w:b/>
          <w:bCs/>
          <w:color w:val="000000"/>
          <w:sz w:val="24"/>
          <w:szCs w:val="24"/>
        </w:rPr>
        <w:t>2025</w:t>
      </w:r>
      <w:r w:rsidR="00E47889">
        <w:br w:type="page"/>
      </w:r>
    </w:p>
    <w:p w14:paraId="2F217FF2" w14:textId="77777777" w:rsidR="003647B3" w:rsidRPr="00D54131" w:rsidRDefault="00E47889" w:rsidP="00D54131">
      <w:pPr>
        <w:pStyle w:val="Normal1"/>
        <w:keepNext/>
        <w:keepLines/>
        <w:pBdr>
          <w:top w:val="nil"/>
          <w:left w:val="nil"/>
          <w:bottom w:val="nil"/>
          <w:right w:val="nil"/>
          <w:between w:val="nil"/>
        </w:pBdr>
        <w:spacing w:before="480" w:after="280" w:line="360" w:lineRule="auto"/>
        <w:jc w:val="center"/>
        <w:rPr>
          <w:rFonts w:ascii="Arial" w:eastAsia="Arial" w:hAnsi="Arial" w:cs="Arial"/>
          <w:b/>
          <w:color w:val="000000"/>
          <w:sz w:val="24"/>
          <w:szCs w:val="24"/>
        </w:rPr>
      </w:pPr>
      <w:r w:rsidRPr="00D54131">
        <w:rPr>
          <w:rFonts w:ascii="Arial" w:eastAsia="Arial" w:hAnsi="Arial" w:cs="Arial"/>
          <w:b/>
          <w:color w:val="000000"/>
          <w:sz w:val="24"/>
          <w:szCs w:val="24"/>
        </w:rPr>
        <w:lastRenderedPageBreak/>
        <w:t>Table of Contents</w:t>
      </w:r>
    </w:p>
    <w:p w14:paraId="333631EB" w14:textId="77777777" w:rsidR="003647B3" w:rsidRPr="00D54131" w:rsidRDefault="003647B3" w:rsidP="00D54131">
      <w:pPr>
        <w:pStyle w:val="Normal1"/>
        <w:pBdr>
          <w:top w:val="nil"/>
          <w:left w:val="nil"/>
          <w:bottom w:val="nil"/>
          <w:right w:val="nil"/>
          <w:between w:val="nil"/>
        </w:pBdr>
        <w:spacing w:line="360" w:lineRule="auto"/>
        <w:rPr>
          <w:rFonts w:ascii="Arial" w:eastAsia="Arial" w:hAnsi="Arial" w:cs="Arial"/>
          <w:color w:val="000000"/>
          <w:sz w:val="24"/>
          <w:szCs w:val="24"/>
        </w:rPr>
      </w:pPr>
    </w:p>
    <w:sdt>
      <w:sdtPr>
        <w:rPr>
          <w:rFonts w:ascii="Calibri" w:eastAsia="Calibri" w:hAnsi="Calibri" w:cs="Calibri"/>
          <w:b w:val="0"/>
          <w:color w:val="auto"/>
          <w:sz w:val="22"/>
          <w:szCs w:val="22"/>
          <w:lang w:val="en-IN" w:eastAsia="en-IN"/>
        </w:rPr>
        <w:id w:val="833259440"/>
        <w:docPartObj>
          <w:docPartGallery w:val="Table of Contents"/>
          <w:docPartUnique/>
        </w:docPartObj>
      </w:sdtPr>
      <w:sdtEndPr>
        <w:rPr>
          <w:rFonts w:ascii="Arial" w:hAnsi="Arial" w:cs="Arial"/>
          <w:bCs/>
          <w:noProof/>
          <w:szCs w:val="24"/>
        </w:rPr>
      </w:sdtEndPr>
      <w:sdtContent>
        <w:p w14:paraId="10CBD1D3" w14:textId="2B9E7816" w:rsidR="00797A02" w:rsidRDefault="00797A02">
          <w:pPr>
            <w:pStyle w:val="TOCHeading"/>
          </w:pPr>
        </w:p>
        <w:p w14:paraId="4153D439" w14:textId="77777777" w:rsidR="00797A02" w:rsidRPr="00797A02" w:rsidRDefault="00797A02" w:rsidP="00797A02">
          <w:pPr>
            <w:pStyle w:val="TOC1"/>
            <w:rPr>
              <w:rFonts w:ascii="Arial" w:eastAsiaTheme="minorEastAsia" w:hAnsi="Arial" w:cs="Arial"/>
              <w:noProof/>
              <w:sz w:val="24"/>
              <w:szCs w:val="24"/>
            </w:rPr>
          </w:pPr>
          <w:r w:rsidRPr="00797A02">
            <w:rPr>
              <w:rFonts w:ascii="Arial" w:hAnsi="Arial" w:cs="Arial"/>
              <w:sz w:val="24"/>
              <w:szCs w:val="24"/>
            </w:rPr>
            <w:fldChar w:fldCharType="begin"/>
          </w:r>
          <w:r w:rsidRPr="00797A02">
            <w:rPr>
              <w:rFonts w:ascii="Arial" w:hAnsi="Arial" w:cs="Arial"/>
              <w:sz w:val="24"/>
              <w:szCs w:val="24"/>
            </w:rPr>
            <w:instrText xml:space="preserve"> TOC \o "1-3" \h \z \u </w:instrText>
          </w:r>
          <w:r w:rsidRPr="00797A02">
            <w:rPr>
              <w:rFonts w:ascii="Arial" w:hAnsi="Arial" w:cs="Arial"/>
              <w:sz w:val="24"/>
              <w:szCs w:val="24"/>
            </w:rPr>
            <w:fldChar w:fldCharType="separate"/>
          </w:r>
          <w:hyperlink w:anchor="_Toc211545229" w:history="1">
            <w:r w:rsidRPr="00797A02">
              <w:rPr>
                <w:rStyle w:val="Hyperlink"/>
                <w:rFonts w:ascii="Arial" w:hAnsi="Arial" w:cs="Arial"/>
                <w:noProof/>
                <w:sz w:val="24"/>
                <w:szCs w:val="24"/>
              </w:rPr>
              <w:t>Introduction</w:t>
            </w:r>
            <w:r w:rsidRPr="00797A02">
              <w:rPr>
                <w:rFonts w:ascii="Arial" w:hAnsi="Arial" w:cs="Arial"/>
                <w:noProof/>
                <w:webHidden/>
                <w:sz w:val="24"/>
                <w:szCs w:val="24"/>
              </w:rPr>
              <w:tab/>
            </w:r>
            <w:r w:rsidRPr="00797A02">
              <w:rPr>
                <w:rFonts w:ascii="Arial" w:hAnsi="Arial" w:cs="Arial"/>
                <w:noProof/>
                <w:webHidden/>
                <w:sz w:val="24"/>
                <w:szCs w:val="24"/>
              </w:rPr>
              <w:fldChar w:fldCharType="begin"/>
            </w:r>
            <w:r w:rsidRPr="00797A02">
              <w:rPr>
                <w:rFonts w:ascii="Arial" w:hAnsi="Arial" w:cs="Arial"/>
                <w:noProof/>
                <w:webHidden/>
                <w:sz w:val="24"/>
                <w:szCs w:val="24"/>
              </w:rPr>
              <w:instrText xml:space="preserve"> PAGEREF _Toc211545229 \h </w:instrText>
            </w:r>
            <w:r w:rsidRPr="00797A02">
              <w:rPr>
                <w:rFonts w:ascii="Arial" w:hAnsi="Arial" w:cs="Arial"/>
                <w:noProof/>
                <w:webHidden/>
                <w:sz w:val="24"/>
                <w:szCs w:val="24"/>
              </w:rPr>
            </w:r>
            <w:r w:rsidRPr="00797A02">
              <w:rPr>
                <w:rFonts w:ascii="Arial" w:hAnsi="Arial" w:cs="Arial"/>
                <w:noProof/>
                <w:webHidden/>
                <w:sz w:val="24"/>
                <w:szCs w:val="24"/>
              </w:rPr>
              <w:fldChar w:fldCharType="separate"/>
            </w:r>
            <w:r w:rsidR="00DD28E9">
              <w:rPr>
                <w:rFonts w:ascii="Arial" w:hAnsi="Arial" w:cs="Arial"/>
                <w:noProof/>
                <w:webHidden/>
                <w:sz w:val="24"/>
                <w:szCs w:val="24"/>
              </w:rPr>
              <w:t>3</w:t>
            </w:r>
            <w:r w:rsidRPr="00797A02">
              <w:rPr>
                <w:rFonts w:ascii="Arial" w:hAnsi="Arial" w:cs="Arial"/>
                <w:noProof/>
                <w:webHidden/>
                <w:sz w:val="24"/>
                <w:szCs w:val="24"/>
              </w:rPr>
              <w:fldChar w:fldCharType="end"/>
            </w:r>
          </w:hyperlink>
        </w:p>
        <w:p w14:paraId="48015464" w14:textId="77777777" w:rsidR="00797A02" w:rsidRPr="00797A02" w:rsidRDefault="003D6015" w:rsidP="00797A02">
          <w:pPr>
            <w:pStyle w:val="TOC1"/>
            <w:rPr>
              <w:rFonts w:ascii="Arial" w:eastAsiaTheme="minorEastAsia" w:hAnsi="Arial" w:cs="Arial"/>
              <w:noProof/>
              <w:sz w:val="24"/>
              <w:szCs w:val="24"/>
            </w:rPr>
          </w:pPr>
          <w:hyperlink w:anchor="_Toc211545230" w:history="1">
            <w:r w:rsidR="00797A02" w:rsidRPr="00797A02">
              <w:rPr>
                <w:rStyle w:val="Hyperlink"/>
                <w:rFonts w:ascii="Arial" w:hAnsi="Arial" w:cs="Arial"/>
                <w:noProof/>
                <w:sz w:val="24"/>
                <w:szCs w:val="24"/>
              </w:rPr>
              <w:t>1. Technological advancements are reshaping the labour markets</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_Toc211545230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3</w:t>
            </w:r>
            <w:r w:rsidR="00797A02" w:rsidRPr="00797A02">
              <w:rPr>
                <w:rFonts w:ascii="Arial" w:hAnsi="Arial" w:cs="Arial"/>
                <w:noProof/>
                <w:webHidden/>
                <w:sz w:val="24"/>
                <w:szCs w:val="24"/>
              </w:rPr>
              <w:fldChar w:fldCharType="end"/>
            </w:r>
          </w:hyperlink>
        </w:p>
        <w:p w14:paraId="760F5751" w14:textId="77777777" w:rsidR="00797A02" w:rsidRPr="00797A02" w:rsidRDefault="003D6015" w:rsidP="00797A02">
          <w:pPr>
            <w:pStyle w:val="TOC2"/>
            <w:tabs>
              <w:tab w:val="right" w:leader="dot" w:pos="9016"/>
            </w:tabs>
            <w:spacing w:line="360" w:lineRule="auto"/>
            <w:rPr>
              <w:rFonts w:ascii="Arial" w:eastAsiaTheme="minorEastAsia" w:hAnsi="Arial" w:cs="Arial"/>
              <w:noProof/>
              <w:sz w:val="24"/>
              <w:szCs w:val="24"/>
            </w:rPr>
          </w:pPr>
          <w:hyperlink w:anchor="_Toc211545231" w:history="1">
            <w:r w:rsidR="00797A02" w:rsidRPr="00797A02">
              <w:rPr>
                <w:rStyle w:val="Hyperlink"/>
                <w:rFonts w:ascii="Arial" w:hAnsi="Arial" w:cs="Arial"/>
                <w:noProof/>
                <w:sz w:val="24"/>
                <w:szCs w:val="24"/>
              </w:rPr>
              <w:t>Figure 1: EY.ai Workforce of Ernst &amp; Young</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_Toc211545231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5</w:t>
            </w:r>
            <w:r w:rsidR="00797A02" w:rsidRPr="00797A02">
              <w:rPr>
                <w:rFonts w:ascii="Arial" w:hAnsi="Arial" w:cs="Arial"/>
                <w:noProof/>
                <w:webHidden/>
                <w:sz w:val="24"/>
                <w:szCs w:val="24"/>
              </w:rPr>
              <w:fldChar w:fldCharType="end"/>
            </w:r>
          </w:hyperlink>
        </w:p>
        <w:p w14:paraId="4595BA35" w14:textId="77777777" w:rsidR="00797A02" w:rsidRPr="00797A02" w:rsidRDefault="003D6015" w:rsidP="00797A02">
          <w:pPr>
            <w:pStyle w:val="TOC1"/>
            <w:rPr>
              <w:rFonts w:ascii="Arial" w:eastAsiaTheme="minorEastAsia" w:hAnsi="Arial" w:cs="Arial"/>
              <w:noProof/>
              <w:sz w:val="24"/>
              <w:szCs w:val="24"/>
            </w:rPr>
          </w:pPr>
          <w:hyperlink w:anchor="_Toc211545232" w:history="1">
            <w:r w:rsidR="00797A02" w:rsidRPr="00797A02">
              <w:rPr>
                <w:rStyle w:val="Hyperlink"/>
                <w:rFonts w:ascii="Arial" w:hAnsi="Arial" w:cs="Arial"/>
                <w:noProof/>
                <w:sz w:val="24"/>
                <w:szCs w:val="24"/>
              </w:rPr>
              <w:t>2 Influence of demographic and geopolitical factors on the employment market</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_Toc211545232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6</w:t>
            </w:r>
            <w:r w:rsidR="00797A02" w:rsidRPr="00797A02">
              <w:rPr>
                <w:rFonts w:ascii="Arial" w:hAnsi="Arial" w:cs="Arial"/>
                <w:noProof/>
                <w:webHidden/>
                <w:sz w:val="24"/>
                <w:szCs w:val="24"/>
              </w:rPr>
              <w:fldChar w:fldCharType="end"/>
            </w:r>
          </w:hyperlink>
        </w:p>
        <w:p w14:paraId="1C155FCB" w14:textId="77777777" w:rsidR="00797A02" w:rsidRPr="00797A02" w:rsidRDefault="003D6015" w:rsidP="00797A02">
          <w:pPr>
            <w:pStyle w:val="TOC2"/>
            <w:tabs>
              <w:tab w:val="right" w:leader="dot" w:pos="9016"/>
            </w:tabs>
            <w:spacing w:line="360" w:lineRule="auto"/>
            <w:rPr>
              <w:rFonts w:ascii="Arial" w:eastAsiaTheme="minorEastAsia" w:hAnsi="Arial" w:cs="Arial"/>
              <w:noProof/>
              <w:sz w:val="24"/>
              <w:szCs w:val="24"/>
            </w:rPr>
          </w:pPr>
          <w:hyperlink w:anchor="_Toc211545233" w:history="1">
            <w:r w:rsidR="00797A02" w:rsidRPr="00797A02">
              <w:rPr>
                <w:rStyle w:val="Hyperlink"/>
                <w:rFonts w:ascii="Arial" w:hAnsi="Arial" w:cs="Arial"/>
                <w:noProof/>
                <w:sz w:val="24"/>
                <w:szCs w:val="24"/>
              </w:rPr>
              <w:t>Figure 2: Innovation at Tesco for better customer service</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_Toc211545233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7</w:t>
            </w:r>
            <w:r w:rsidR="00797A02" w:rsidRPr="00797A02">
              <w:rPr>
                <w:rFonts w:ascii="Arial" w:hAnsi="Arial" w:cs="Arial"/>
                <w:noProof/>
                <w:webHidden/>
                <w:sz w:val="24"/>
                <w:szCs w:val="24"/>
              </w:rPr>
              <w:fldChar w:fldCharType="end"/>
            </w:r>
          </w:hyperlink>
        </w:p>
        <w:p w14:paraId="7B08AEBB" w14:textId="77777777" w:rsidR="00797A02" w:rsidRPr="00797A02" w:rsidRDefault="003D6015" w:rsidP="00797A02">
          <w:pPr>
            <w:pStyle w:val="TOC1"/>
            <w:rPr>
              <w:rFonts w:ascii="Arial" w:eastAsiaTheme="minorEastAsia" w:hAnsi="Arial" w:cs="Arial"/>
              <w:noProof/>
              <w:sz w:val="24"/>
              <w:szCs w:val="24"/>
            </w:rPr>
          </w:pPr>
          <w:hyperlink w:anchor="_Toc211545234" w:history="1">
            <w:r w:rsidR="00797A02" w:rsidRPr="00797A02">
              <w:rPr>
                <w:rStyle w:val="Hyperlink"/>
                <w:rFonts w:ascii="Arial" w:hAnsi="Arial" w:cs="Arial"/>
                <w:noProof/>
                <w:sz w:val="24"/>
                <w:szCs w:val="24"/>
              </w:rPr>
              <w:t>3 Strategic HRM’s use for addressing skill gaps and talent shortages</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_Toc211545234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8</w:t>
            </w:r>
            <w:r w:rsidR="00797A02" w:rsidRPr="00797A02">
              <w:rPr>
                <w:rFonts w:ascii="Arial" w:hAnsi="Arial" w:cs="Arial"/>
                <w:noProof/>
                <w:webHidden/>
                <w:sz w:val="24"/>
                <w:szCs w:val="24"/>
              </w:rPr>
              <w:fldChar w:fldCharType="end"/>
            </w:r>
          </w:hyperlink>
        </w:p>
        <w:p w14:paraId="172440C9" w14:textId="77777777" w:rsidR="00797A02" w:rsidRPr="00797A02" w:rsidRDefault="003D6015" w:rsidP="00797A02">
          <w:pPr>
            <w:pStyle w:val="TOC1"/>
            <w:rPr>
              <w:rFonts w:ascii="Arial" w:eastAsiaTheme="minorEastAsia" w:hAnsi="Arial" w:cs="Arial"/>
              <w:noProof/>
              <w:sz w:val="24"/>
              <w:szCs w:val="24"/>
            </w:rPr>
          </w:pPr>
          <w:hyperlink w:anchor="_Toc211545235" w:history="1">
            <w:r w:rsidR="00797A02" w:rsidRPr="00797A02">
              <w:rPr>
                <w:rStyle w:val="Hyperlink"/>
                <w:rFonts w:ascii="Arial" w:hAnsi="Arial" w:cs="Arial"/>
                <w:noProof/>
                <w:sz w:val="24"/>
                <w:szCs w:val="24"/>
              </w:rPr>
              <w:t>4. Reflective report</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_Toc211545235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9</w:t>
            </w:r>
            <w:r w:rsidR="00797A02" w:rsidRPr="00797A02">
              <w:rPr>
                <w:rFonts w:ascii="Arial" w:hAnsi="Arial" w:cs="Arial"/>
                <w:noProof/>
                <w:webHidden/>
                <w:sz w:val="24"/>
                <w:szCs w:val="24"/>
              </w:rPr>
              <w:fldChar w:fldCharType="end"/>
            </w:r>
          </w:hyperlink>
        </w:p>
        <w:p w14:paraId="64D61471" w14:textId="77777777" w:rsidR="00797A02" w:rsidRPr="00797A02" w:rsidRDefault="003D6015" w:rsidP="00797A02">
          <w:pPr>
            <w:pStyle w:val="TOC2"/>
            <w:tabs>
              <w:tab w:val="right" w:leader="dot" w:pos="9016"/>
            </w:tabs>
            <w:spacing w:line="360" w:lineRule="auto"/>
            <w:rPr>
              <w:rFonts w:ascii="Arial" w:eastAsiaTheme="minorEastAsia" w:hAnsi="Arial" w:cs="Arial"/>
              <w:noProof/>
              <w:sz w:val="24"/>
              <w:szCs w:val="24"/>
            </w:rPr>
          </w:pPr>
          <w:hyperlink w:anchor="_Toc211545236" w:history="1">
            <w:r w:rsidR="00797A02" w:rsidRPr="00797A02">
              <w:rPr>
                <w:rStyle w:val="Hyperlink"/>
                <w:rFonts w:ascii="Arial" w:hAnsi="Arial" w:cs="Arial"/>
                <w:noProof/>
                <w:sz w:val="24"/>
                <w:szCs w:val="24"/>
              </w:rPr>
              <w:t>Figure 3: Gibbs reflective Cycle</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_Toc211545236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9</w:t>
            </w:r>
            <w:r w:rsidR="00797A02" w:rsidRPr="00797A02">
              <w:rPr>
                <w:rFonts w:ascii="Arial" w:hAnsi="Arial" w:cs="Arial"/>
                <w:noProof/>
                <w:webHidden/>
                <w:sz w:val="24"/>
                <w:szCs w:val="24"/>
              </w:rPr>
              <w:fldChar w:fldCharType="end"/>
            </w:r>
          </w:hyperlink>
        </w:p>
        <w:p w14:paraId="03DB2073" w14:textId="77777777" w:rsidR="00797A02" w:rsidRPr="00797A02" w:rsidRDefault="003D6015" w:rsidP="00797A02">
          <w:pPr>
            <w:pStyle w:val="TOC1"/>
            <w:rPr>
              <w:rFonts w:ascii="Arial" w:eastAsiaTheme="minorEastAsia" w:hAnsi="Arial" w:cs="Arial"/>
              <w:noProof/>
              <w:sz w:val="24"/>
              <w:szCs w:val="24"/>
            </w:rPr>
          </w:pPr>
          <w:hyperlink w:anchor="_Toc211545237" w:history="1">
            <w:r w:rsidR="00797A02" w:rsidRPr="00797A02">
              <w:rPr>
                <w:rStyle w:val="Hyperlink"/>
                <w:rFonts w:ascii="Arial" w:hAnsi="Arial" w:cs="Arial"/>
                <w:noProof/>
                <w:sz w:val="24"/>
                <w:szCs w:val="24"/>
              </w:rPr>
              <w:t>Conclusion</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_Toc211545237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11</w:t>
            </w:r>
            <w:r w:rsidR="00797A02" w:rsidRPr="00797A02">
              <w:rPr>
                <w:rFonts w:ascii="Arial" w:hAnsi="Arial" w:cs="Arial"/>
                <w:noProof/>
                <w:webHidden/>
                <w:sz w:val="24"/>
                <w:szCs w:val="24"/>
              </w:rPr>
              <w:fldChar w:fldCharType="end"/>
            </w:r>
          </w:hyperlink>
        </w:p>
        <w:p w14:paraId="087896C0" w14:textId="77777777" w:rsidR="00797A02" w:rsidRPr="00797A02" w:rsidRDefault="003D6015" w:rsidP="00797A02">
          <w:pPr>
            <w:pStyle w:val="TOC1"/>
            <w:rPr>
              <w:rFonts w:ascii="Arial" w:eastAsiaTheme="minorEastAsia" w:hAnsi="Arial" w:cs="Arial"/>
              <w:noProof/>
              <w:sz w:val="24"/>
              <w:szCs w:val="24"/>
            </w:rPr>
          </w:pPr>
          <w:hyperlink w:anchor="_Toc211545238" w:history="1">
            <w:r w:rsidR="00797A02" w:rsidRPr="00797A02">
              <w:rPr>
                <w:rStyle w:val="Hyperlink"/>
                <w:rFonts w:ascii="Arial" w:hAnsi="Arial" w:cs="Arial"/>
                <w:noProof/>
                <w:sz w:val="24"/>
                <w:szCs w:val="24"/>
              </w:rPr>
              <w:t>References</w:t>
            </w:r>
            <w:r w:rsidR="00797A02" w:rsidRPr="00797A02">
              <w:rPr>
                <w:rFonts w:ascii="Arial" w:hAnsi="Arial" w:cs="Arial"/>
                <w:noProof/>
                <w:webHidden/>
                <w:sz w:val="24"/>
                <w:szCs w:val="24"/>
              </w:rPr>
              <w:tab/>
            </w:r>
            <w:r w:rsidR="00797A02" w:rsidRPr="00797A02">
              <w:rPr>
                <w:rFonts w:ascii="Arial" w:hAnsi="Arial" w:cs="Arial"/>
                <w:noProof/>
                <w:webHidden/>
                <w:sz w:val="24"/>
                <w:szCs w:val="24"/>
              </w:rPr>
              <w:fldChar w:fldCharType="begin"/>
            </w:r>
            <w:r w:rsidR="00797A02" w:rsidRPr="00797A02">
              <w:rPr>
                <w:rFonts w:ascii="Arial" w:hAnsi="Arial" w:cs="Arial"/>
                <w:noProof/>
                <w:webHidden/>
                <w:sz w:val="24"/>
                <w:szCs w:val="24"/>
              </w:rPr>
              <w:instrText xml:space="preserve"> PAGEREF _Toc211545238 \h </w:instrText>
            </w:r>
            <w:r w:rsidR="00797A02" w:rsidRPr="00797A02">
              <w:rPr>
                <w:rFonts w:ascii="Arial" w:hAnsi="Arial" w:cs="Arial"/>
                <w:noProof/>
                <w:webHidden/>
                <w:sz w:val="24"/>
                <w:szCs w:val="24"/>
              </w:rPr>
            </w:r>
            <w:r w:rsidR="00797A02" w:rsidRPr="00797A02">
              <w:rPr>
                <w:rFonts w:ascii="Arial" w:hAnsi="Arial" w:cs="Arial"/>
                <w:noProof/>
                <w:webHidden/>
                <w:sz w:val="24"/>
                <w:szCs w:val="24"/>
              </w:rPr>
              <w:fldChar w:fldCharType="separate"/>
            </w:r>
            <w:r w:rsidR="00DD28E9">
              <w:rPr>
                <w:rFonts w:ascii="Arial" w:hAnsi="Arial" w:cs="Arial"/>
                <w:noProof/>
                <w:webHidden/>
                <w:sz w:val="24"/>
                <w:szCs w:val="24"/>
              </w:rPr>
              <w:t>12</w:t>
            </w:r>
            <w:r w:rsidR="00797A02" w:rsidRPr="00797A02">
              <w:rPr>
                <w:rFonts w:ascii="Arial" w:hAnsi="Arial" w:cs="Arial"/>
                <w:noProof/>
                <w:webHidden/>
                <w:sz w:val="24"/>
                <w:szCs w:val="24"/>
              </w:rPr>
              <w:fldChar w:fldCharType="end"/>
            </w:r>
          </w:hyperlink>
        </w:p>
        <w:p w14:paraId="763D559B" w14:textId="153BF55B" w:rsidR="00797A02" w:rsidRPr="00797A02" w:rsidRDefault="00797A02" w:rsidP="00797A02">
          <w:pPr>
            <w:spacing w:line="360" w:lineRule="auto"/>
            <w:rPr>
              <w:rFonts w:ascii="Arial" w:hAnsi="Arial" w:cs="Arial"/>
              <w:sz w:val="24"/>
              <w:szCs w:val="24"/>
            </w:rPr>
          </w:pPr>
          <w:r w:rsidRPr="00797A02">
            <w:rPr>
              <w:rFonts w:ascii="Arial" w:hAnsi="Arial" w:cs="Arial"/>
              <w:b/>
              <w:bCs/>
              <w:noProof/>
              <w:sz w:val="24"/>
              <w:szCs w:val="24"/>
            </w:rPr>
            <w:fldChar w:fldCharType="end"/>
          </w:r>
        </w:p>
      </w:sdtContent>
    </w:sdt>
    <w:p w14:paraId="51C909B6" w14:textId="5977079A" w:rsidR="003647B3" w:rsidRPr="00797A02" w:rsidRDefault="00E47889" w:rsidP="00797A02">
      <w:pPr>
        <w:pStyle w:val="Normal1"/>
        <w:pBdr>
          <w:top w:val="nil"/>
          <w:left w:val="nil"/>
          <w:bottom w:val="nil"/>
          <w:right w:val="nil"/>
          <w:between w:val="nil"/>
        </w:pBdr>
        <w:spacing w:line="360" w:lineRule="auto"/>
        <w:rPr>
          <w:rFonts w:ascii="Arial" w:eastAsia="Arial" w:hAnsi="Arial" w:cs="Arial"/>
          <w:color w:val="000000"/>
          <w:sz w:val="24"/>
          <w:szCs w:val="24"/>
        </w:rPr>
      </w:pPr>
      <w:r w:rsidRPr="00797A02">
        <w:rPr>
          <w:rFonts w:ascii="Arial" w:hAnsi="Arial" w:cs="Arial"/>
          <w:sz w:val="24"/>
          <w:szCs w:val="24"/>
        </w:rPr>
        <w:br w:type="page"/>
      </w:r>
    </w:p>
    <w:p w14:paraId="47AA0617" w14:textId="63163164" w:rsidR="003647B3" w:rsidRPr="00797A02" w:rsidRDefault="00E47889" w:rsidP="00797A02">
      <w:pPr>
        <w:pStyle w:val="Heading1"/>
      </w:pPr>
      <w:r w:rsidRPr="00797A02">
        <w:lastRenderedPageBreak/>
        <w:t xml:space="preserve"> </w:t>
      </w:r>
      <w:bookmarkStart w:id="1" w:name="_Toc211545008"/>
      <w:bookmarkStart w:id="2" w:name="_Toc211545229"/>
      <w:r w:rsidRPr="00797A02">
        <w:t>Introduction</w:t>
      </w:r>
      <w:bookmarkEnd w:id="1"/>
      <w:bookmarkEnd w:id="2"/>
      <w:r w:rsidR="00956516">
        <w:t>.</w:t>
      </w:r>
    </w:p>
    <w:p w14:paraId="60B86B95" w14:textId="3E2A9C66" w:rsidR="003647B3"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The employment market is referred to as the supply and demand for </w:t>
      </w:r>
      <w:r w:rsidR="001825CD" w:rsidRPr="001825CD">
        <w:rPr>
          <w:rFonts w:ascii="Arial" w:eastAsia="Arial" w:hAnsi="Arial" w:cs="Arial"/>
          <w:sz w:val="24"/>
          <w:szCs w:val="24"/>
        </w:rPr>
        <w:t>labour</w:t>
      </w:r>
      <w:r w:rsidRPr="001825CD">
        <w:rPr>
          <w:rFonts w:ascii="Arial" w:eastAsia="Arial" w:hAnsi="Arial" w:cs="Arial"/>
          <w:sz w:val="24"/>
          <w:szCs w:val="24"/>
        </w:rPr>
        <w:t xml:space="preserve"> (employees) on the basis of factors, such as job availability, skills required, economic conditions, and policies guiding employment levels. The report is mainly based on the context of HRM and IHRM strategies and their influence on the global labour market. In this context, it is to be understood that </w:t>
      </w:r>
      <w:r w:rsidRPr="001825CD">
        <w:rPr>
          <w:rFonts w:ascii="Arial" w:eastAsia="Arial" w:hAnsi="Arial" w:cs="Arial"/>
          <w:sz w:val="24"/>
          <w:szCs w:val="24"/>
          <w:highlight w:val="white"/>
        </w:rPr>
        <w:t>Human Resource Management (</w:t>
      </w:r>
      <w:r w:rsidRPr="001825CD">
        <w:rPr>
          <w:rFonts w:ascii="Arial" w:eastAsia="Arial" w:hAnsi="Arial" w:cs="Arial"/>
          <w:sz w:val="24"/>
          <w:szCs w:val="24"/>
        </w:rPr>
        <w:t xml:space="preserve">HRM) refers to </w:t>
      </w:r>
      <w:r w:rsidRPr="001825CD">
        <w:rPr>
          <w:rFonts w:ascii="Arial" w:eastAsia="Arial" w:hAnsi="Arial" w:cs="Arial"/>
          <w:sz w:val="24"/>
          <w:szCs w:val="24"/>
          <w:highlight w:val="white"/>
        </w:rPr>
        <w:t xml:space="preserve">managing employees </w:t>
      </w:r>
      <w:r w:rsidRPr="001825CD">
        <w:rPr>
          <w:rFonts w:ascii="Arial" w:eastAsia="Arial" w:hAnsi="Arial" w:cs="Arial"/>
          <w:sz w:val="24"/>
          <w:szCs w:val="24"/>
        </w:rPr>
        <w:t xml:space="preserve">within the boundary of a single country, and, therefore, deals with domestic regulations and culture. </w:t>
      </w:r>
      <w:r w:rsidR="00C31728" w:rsidRPr="001825CD">
        <w:rPr>
          <w:rFonts w:ascii="Arial" w:eastAsia="Arial" w:hAnsi="Arial" w:cs="Arial"/>
          <w:sz w:val="24"/>
          <w:szCs w:val="24"/>
        </w:rPr>
        <w:t>On the contrary, IHRM (International Human Resource Management) is all about managing human resources across national borders. This, therefore, requires consideration of diverse cultures, multiple legal compliances, and complex global factors.</w:t>
      </w:r>
    </w:p>
    <w:p w14:paraId="43963CD8" w14:textId="77777777" w:rsidR="007C072A" w:rsidRPr="001825CD" w:rsidRDefault="007C072A" w:rsidP="00D54131">
      <w:pPr>
        <w:pStyle w:val="Normal1"/>
        <w:pBdr>
          <w:top w:val="nil"/>
          <w:left w:val="nil"/>
          <w:bottom w:val="nil"/>
          <w:right w:val="nil"/>
          <w:between w:val="nil"/>
        </w:pBdr>
        <w:spacing w:after="120" w:line="360" w:lineRule="auto"/>
        <w:jc w:val="both"/>
        <w:rPr>
          <w:rFonts w:ascii="Arial" w:eastAsia="Arial" w:hAnsi="Arial" w:cs="Arial"/>
          <w:sz w:val="24"/>
          <w:szCs w:val="24"/>
        </w:rPr>
      </w:pPr>
    </w:p>
    <w:p w14:paraId="1E8EBF74" w14:textId="4CE40810" w:rsidR="003647B3" w:rsidRPr="001825CD" w:rsidRDefault="00534FF6" w:rsidP="00797A02">
      <w:pPr>
        <w:pStyle w:val="Heading1"/>
      </w:pPr>
      <w:bookmarkStart w:id="3" w:name="_Toc211545009"/>
      <w:bookmarkStart w:id="4" w:name="_Toc211545230"/>
      <w:r>
        <w:t>1</w:t>
      </w:r>
      <w:r w:rsidR="006F392E">
        <w:t>.</w:t>
      </w:r>
      <w:r w:rsidR="00E47889" w:rsidRPr="001825CD">
        <w:t xml:space="preserve"> Technological advancements are reshaping the labour markets</w:t>
      </w:r>
      <w:bookmarkEnd w:id="3"/>
      <w:bookmarkEnd w:id="4"/>
      <w:r w:rsidR="00956516">
        <w:t>.</w:t>
      </w:r>
    </w:p>
    <w:p w14:paraId="65539709" w14:textId="1526B425" w:rsidR="003647B3" w:rsidRPr="001825CD"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The context of technological advancements through AI (Artificial Intelligence), Automation, and digital platforms are majorly contributing in the changes in labour markets, with a focus on varied HR functions. In terms of HRM, the national boundaries develop a need for more dynamic resourcing models. As stated by Vrontis </w:t>
      </w:r>
      <w:r w:rsidRPr="001825CD">
        <w:rPr>
          <w:rFonts w:ascii="Arial" w:eastAsia="Arial" w:hAnsi="Arial" w:cs="Arial"/>
          <w:i/>
          <w:sz w:val="24"/>
          <w:szCs w:val="24"/>
        </w:rPr>
        <w:t>et al</w:t>
      </w:r>
      <w:r w:rsidRPr="001825CD">
        <w:rPr>
          <w:rFonts w:ascii="Arial" w:eastAsia="Arial" w:hAnsi="Arial" w:cs="Arial"/>
          <w:sz w:val="24"/>
          <w:szCs w:val="24"/>
        </w:rPr>
        <w:t xml:space="preserve">., (2023), this further depicts the need for human working, alongside AI and other technological tools, in contrast to being replaced, thereby developing a potential for human-AI/robotics collaboration. In the international HRM or IHRM context, the pressure is further enhanced through contexts like allowing technological readiness, regulatory alignments and even selecting talents from wider talent pools across the globe. As an example, Unilever can be considered regarding how large UK-based companies use AI in HR. It is found to have adapted gamified cognitive assessments and video interviews through HireVue for their screening of candidates, which further contributed to reducing hiring time by 75% (Staniszewska and Galindo, 2024). There needs to be further understanding of the company’s use of FLEX Experiences, which is an AI-based internal talent marketplace, supporting to exploration of cross-functional assignments and enhancing mobility (Unilever, 2020). </w:t>
      </w:r>
      <w:r w:rsidR="00C31728" w:rsidRPr="001825CD">
        <w:rPr>
          <w:rFonts w:ascii="Arial" w:eastAsia="Arial" w:hAnsi="Arial" w:cs="Arial"/>
          <w:sz w:val="24"/>
          <w:szCs w:val="24"/>
        </w:rPr>
        <w:t>T</w:t>
      </w:r>
      <w:r w:rsidRPr="001825CD">
        <w:rPr>
          <w:rFonts w:ascii="Arial" w:eastAsia="Arial" w:hAnsi="Arial" w:cs="Arial"/>
          <w:sz w:val="24"/>
          <w:szCs w:val="24"/>
        </w:rPr>
        <w:t xml:space="preserve">hese digital transformations not only enhance efficiency, but can also develop ethical and even cultural challenges. For example, the </w:t>
      </w:r>
      <w:r w:rsidR="00C31728" w:rsidRPr="001825CD">
        <w:rPr>
          <w:rFonts w:ascii="Arial" w:eastAsia="Arial" w:hAnsi="Arial" w:cs="Arial"/>
          <w:sz w:val="24"/>
          <w:szCs w:val="24"/>
        </w:rPr>
        <w:t>algorithm</w:t>
      </w:r>
      <w:r w:rsidRPr="001825CD">
        <w:rPr>
          <w:rFonts w:ascii="Arial" w:eastAsia="Arial" w:hAnsi="Arial" w:cs="Arial"/>
          <w:sz w:val="24"/>
          <w:szCs w:val="24"/>
        </w:rPr>
        <w:t xml:space="preserve"> bias in AI recruitment tools like </w:t>
      </w:r>
      <w:r w:rsidR="00DD28E9" w:rsidRPr="001825CD">
        <w:rPr>
          <w:rFonts w:ascii="Arial" w:eastAsia="Arial" w:hAnsi="Arial" w:cs="Arial"/>
          <w:sz w:val="24"/>
          <w:szCs w:val="24"/>
        </w:rPr>
        <w:t>HI revue</w:t>
      </w:r>
      <w:r w:rsidRPr="001825CD">
        <w:rPr>
          <w:rFonts w:ascii="Arial" w:eastAsia="Arial" w:hAnsi="Arial" w:cs="Arial"/>
          <w:sz w:val="24"/>
          <w:szCs w:val="24"/>
        </w:rPr>
        <w:t xml:space="preserve"> can reproduce </w:t>
      </w:r>
      <w:r w:rsidRPr="001825CD">
        <w:rPr>
          <w:rFonts w:ascii="Arial" w:eastAsia="Arial" w:hAnsi="Arial" w:cs="Arial"/>
          <w:sz w:val="24"/>
          <w:szCs w:val="24"/>
        </w:rPr>
        <w:lastRenderedPageBreak/>
        <w:t>potential inequalities if not managed properly. Furthermore, the major support on automation can risk the reduction of human touch for HR decision-making, potentially affecting trust and even engagement of employees (</w:t>
      </w:r>
      <w:r w:rsidRPr="001825CD">
        <w:rPr>
          <w:rFonts w:ascii="Arial" w:eastAsia="Arial" w:hAnsi="Arial" w:cs="Arial"/>
          <w:sz w:val="24"/>
          <w:szCs w:val="24"/>
          <w:highlight w:val="white"/>
        </w:rPr>
        <w:t>David</w:t>
      </w:r>
      <w:r w:rsidRPr="001825CD">
        <w:rPr>
          <w:rFonts w:ascii="Arial" w:eastAsia="Arial" w:hAnsi="Arial" w:cs="Arial"/>
          <w:sz w:val="24"/>
          <w:szCs w:val="24"/>
        </w:rPr>
        <w:t xml:space="preserve"> </w:t>
      </w:r>
      <w:r w:rsidRPr="001825CD">
        <w:rPr>
          <w:rFonts w:ascii="Arial" w:eastAsia="Arial" w:hAnsi="Arial" w:cs="Arial"/>
          <w:i/>
          <w:sz w:val="24"/>
          <w:szCs w:val="24"/>
        </w:rPr>
        <w:t>et al.,</w:t>
      </w:r>
      <w:r w:rsidRPr="001825CD">
        <w:rPr>
          <w:rFonts w:ascii="Arial" w:eastAsia="Arial" w:hAnsi="Arial" w:cs="Arial"/>
          <w:sz w:val="24"/>
          <w:szCs w:val="24"/>
        </w:rPr>
        <w:t xml:space="preserve"> 2025).</w:t>
      </w:r>
    </w:p>
    <w:p w14:paraId="52D62290" w14:textId="5320E1AF" w:rsidR="003647B3" w:rsidRPr="001825CD"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On the other hand, Shell Plc has also focused on digital transformation widely through considering the adaptation of various advanced technologies like AI, and </w:t>
      </w:r>
      <w:r w:rsidR="007C072A" w:rsidRPr="001825CD">
        <w:rPr>
          <w:rFonts w:ascii="Arial" w:eastAsia="Arial" w:hAnsi="Arial" w:cs="Arial"/>
          <w:sz w:val="24"/>
          <w:szCs w:val="24"/>
        </w:rPr>
        <w:t>Block chain</w:t>
      </w:r>
      <w:r w:rsidRPr="001825CD">
        <w:rPr>
          <w:rFonts w:ascii="Arial" w:eastAsia="Arial" w:hAnsi="Arial" w:cs="Arial"/>
          <w:sz w:val="24"/>
          <w:szCs w:val="24"/>
        </w:rPr>
        <w:t xml:space="preserve">. In this context, the use of AR &amp; VR has raised the foremost need for effective operational alignments. Furthermore, with a focus on human-robotics collaboration concept, Shell also focused on utilizing robotics to not only support their human resources but also conduct tasks that cannot be possible with people (Shell, 2021). While in the retail context, companies like Tesco have also modernized their HR operations. Another concrete UK example is that the company has invested in advanced HR analytics, workforce scheduling algorithms, and digital engagement tools for its 330,000 colleagues in the UK and abroad (Cipd, 2024). Furthermore, Tesco’s partnership with Manna, trialling drone delivery services in Ireland (Oranmore and Balbriggan) to enable customers to receive grocery orders within minutes. This initiative positions Tesco as a leader in sustainable and rapid delivery innovation (Tesco PLC, 2024). </w:t>
      </w:r>
    </w:p>
    <w:p w14:paraId="7BF8D689" w14:textId="77777777" w:rsidR="003647B3" w:rsidRPr="001825CD" w:rsidRDefault="00E47889" w:rsidP="00D54131">
      <w:pPr>
        <w:pStyle w:val="Normal1"/>
        <w:pBdr>
          <w:top w:val="nil"/>
          <w:left w:val="nil"/>
          <w:bottom w:val="nil"/>
          <w:right w:val="nil"/>
          <w:between w:val="nil"/>
        </w:pBdr>
        <w:spacing w:after="120" w:line="360" w:lineRule="auto"/>
        <w:jc w:val="center"/>
        <w:rPr>
          <w:rFonts w:ascii="Arial" w:eastAsia="Arial" w:hAnsi="Arial" w:cs="Arial"/>
          <w:sz w:val="24"/>
          <w:szCs w:val="24"/>
        </w:rPr>
      </w:pPr>
      <w:r w:rsidRPr="001825CD">
        <w:rPr>
          <w:rFonts w:ascii="Arial" w:eastAsia="Arial" w:hAnsi="Arial" w:cs="Arial"/>
          <w:noProof/>
          <w:sz w:val="24"/>
          <w:szCs w:val="24"/>
        </w:rPr>
        <w:drawing>
          <wp:inline distT="0" distB="0" distL="0" distR="0" wp14:anchorId="0E62D817" wp14:editId="0108AB9F">
            <wp:extent cx="5981700" cy="2133600"/>
            <wp:effectExtent l="0" t="0" r="0" b="0"/>
            <wp:docPr id="1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r="2115"/>
                    <a:stretch>
                      <a:fillRect/>
                    </a:stretch>
                  </pic:blipFill>
                  <pic:spPr>
                    <a:xfrm>
                      <a:off x="0" y="0"/>
                      <a:ext cx="5981700" cy="2133600"/>
                    </a:xfrm>
                    <a:prstGeom prst="rect">
                      <a:avLst/>
                    </a:prstGeom>
                    <a:ln/>
                  </pic:spPr>
                </pic:pic>
              </a:graphicData>
            </a:graphic>
          </wp:inline>
        </w:drawing>
      </w:r>
    </w:p>
    <w:p w14:paraId="144B3903" w14:textId="77777777" w:rsidR="003647B3" w:rsidRPr="001825CD" w:rsidRDefault="00E47889" w:rsidP="00D54131">
      <w:pPr>
        <w:pStyle w:val="Normal1"/>
        <w:pBdr>
          <w:top w:val="nil"/>
          <w:left w:val="nil"/>
          <w:bottom w:val="nil"/>
          <w:right w:val="nil"/>
          <w:between w:val="nil"/>
        </w:pBdr>
        <w:spacing w:after="120" w:line="360" w:lineRule="auto"/>
        <w:jc w:val="center"/>
        <w:rPr>
          <w:rFonts w:ascii="Arial" w:eastAsia="Arial" w:hAnsi="Arial" w:cs="Arial"/>
          <w:sz w:val="24"/>
          <w:szCs w:val="24"/>
        </w:rPr>
      </w:pPr>
      <w:r w:rsidRPr="001825CD">
        <w:rPr>
          <w:rFonts w:ascii="Arial" w:eastAsia="Arial" w:hAnsi="Arial" w:cs="Arial"/>
          <w:noProof/>
          <w:sz w:val="24"/>
          <w:szCs w:val="24"/>
        </w:rPr>
        <w:lastRenderedPageBreak/>
        <w:drawing>
          <wp:inline distT="0" distB="0" distL="0" distR="0" wp14:anchorId="44ACAE41" wp14:editId="54DF54F2">
            <wp:extent cx="6238875" cy="2314575"/>
            <wp:effectExtent l="0" t="0" r="0" b="0"/>
            <wp:docPr id="10"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6239468" cy="2314795"/>
                    </a:xfrm>
                    <a:prstGeom prst="rect">
                      <a:avLst/>
                    </a:prstGeom>
                    <a:ln/>
                  </pic:spPr>
                </pic:pic>
              </a:graphicData>
            </a:graphic>
          </wp:inline>
        </w:drawing>
      </w:r>
    </w:p>
    <w:p w14:paraId="24D6E9A7" w14:textId="702B3B77" w:rsidR="003647B3" w:rsidRPr="001825CD" w:rsidRDefault="007C072A" w:rsidP="00797A02">
      <w:pPr>
        <w:pStyle w:val="Heading2"/>
      </w:pPr>
      <w:bookmarkStart w:id="5" w:name="_Toc211068440"/>
      <w:bookmarkStart w:id="6" w:name="_Toc211545231"/>
      <w:r>
        <w:t xml:space="preserve">                                  </w:t>
      </w:r>
      <w:r w:rsidR="00E47889" w:rsidRPr="001825CD">
        <w:t>Figure 1: EY.ai Workforce of Ernst &amp; Young</w:t>
      </w:r>
      <w:bookmarkEnd w:id="5"/>
      <w:bookmarkEnd w:id="6"/>
    </w:p>
    <w:p w14:paraId="63CE8308" w14:textId="77777777" w:rsidR="003647B3" w:rsidRPr="001825CD" w:rsidRDefault="00E47889" w:rsidP="00D54131">
      <w:pPr>
        <w:pStyle w:val="Normal1"/>
        <w:pBdr>
          <w:top w:val="nil"/>
          <w:left w:val="nil"/>
          <w:bottom w:val="nil"/>
          <w:right w:val="nil"/>
          <w:between w:val="nil"/>
        </w:pBdr>
        <w:spacing w:after="120" w:line="360" w:lineRule="auto"/>
        <w:jc w:val="center"/>
        <w:rPr>
          <w:rFonts w:ascii="Arial" w:eastAsia="Arial" w:hAnsi="Arial" w:cs="Arial"/>
          <w:sz w:val="24"/>
          <w:szCs w:val="24"/>
        </w:rPr>
      </w:pPr>
      <w:r w:rsidRPr="001825CD">
        <w:rPr>
          <w:rFonts w:ascii="Arial" w:eastAsia="Arial" w:hAnsi="Arial" w:cs="Arial"/>
          <w:sz w:val="24"/>
          <w:szCs w:val="24"/>
        </w:rPr>
        <w:t>(Source: Ey, 2025)</w:t>
      </w:r>
    </w:p>
    <w:p w14:paraId="0485C22C" w14:textId="365875B2" w:rsidR="003647B3"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Not only </w:t>
      </w:r>
      <w:r w:rsidR="00DD28E9" w:rsidRPr="001825CD">
        <w:rPr>
          <w:rFonts w:ascii="Arial" w:eastAsia="Arial" w:hAnsi="Arial" w:cs="Arial"/>
          <w:sz w:val="24"/>
          <w:szCs w:val="24"/>
        </w:rPr>
        <w:t>has this but the London-based consulting firm, Ernst &amp; Young (EY),</w:t>
      </w:r>
      <w:r w:rsidRPr="001825CD">
        <w:rPr>
          <w:rFonts w:ascii="Arial" w:eastAsia="Arial" w:hAnsi="Arial" w:cs="Arial"/>
          <w:sz w:val="24"/>
          <w:szCs w:val="24"/>
        </w:rPr>
        <w:t xml:space="preserve"> also relied on the use of AI in their HR operations. As shown in figure 1, it has introduced EY.ai Workforce, which is a platform powered through AI for providing digital workers with the training of particular skills for completing diverse HR tasks and practices (Ey, 2025). EY has also launched a global AI Assurance Framework for more than 130,000 professionals, guiding the ethical and compliant use of AI in financial reporting and risk management. To further strengthen digital audit capabilities, EY is aligning around 9,000 Technology Risk professionals with its Assurance division, expanding expertise in IT risk and data governance (EY, 2024). </w:t>
      </w:r>
      <w:r w:rsidR="00883368" w:rsidRPr="001825CD">
        <w:rPr>
          <w:rFonts w:ascii="Arial" w:eastAsia="Arial" w:hAnsi="Arial" w:cs="Arial"/>
          <w:sz w:val="24"/>
          <w:szCs w:val="24"/>
        </w:rPr>
        <w:t>A</w:t>
      </w:r>
      <w:r w:rsidRPr="001825CD">
        <w:rPr>
          <w:rFonts w:ascii="Arial" w:eastAsia="Arial" w:hAnsi="Arial" w:cs="Arial"/>
          <w:sz w:val="24"/>
          <w:szCs w:val="24"/>
        </w:rPr>
        <w:t>lthough technology enhances global HRM integration, it forc</w:t>
      </w:r>
      <w:r w:rsidR="00DA70AB" w:rsidRPr="001825CD">
        <w:rPr>
          <w:rFonts w:ascii="Arial" w:eastAsia="Arial" w:hAnsi="Arial" w:cs="Arial"/>
          <w:sz w:val="24"/>
          <w:szCs w:val="24"/>
        </w:rPr>
        <w:t xml:space="preserve">es </w:t>
      </w:r>
      <w:r w:rsidRPr="001825CD">
        <w:rPr>
          <w:rFonts w:ascii="Arial" w:eastAsia="Arial" w:hAnsi="Arial" w:cs="Arial"/>
          <w:sz w:val="24"/>
          <w:szCs w:val="24"/>
        </w:rPr>
        <w:t xml:space="preserve">HR leaders </w:t>
      </w:r>
      <w:r w:rsidR="00DA70AB" w:rsidRPr="001825CD">
        <w:rPr>
          <w:rFonts w:ascii="Arial" w:eastAsia="Arial" w:hAnsi="Arial" w:cs="Arial"/>
          <w:sz w:val="24"/>
          <w:szCs w:val="24"/>
        </w:rPr>
        <w:t>to</w:t>
      </w:r>
      <w:r w:rsidRPr="001825CD">
        <w:rPr>
          <w:rFonts w:ascii="Arial" w:eastAsia="Arial" w:hAnsi="Arial" w:cs="Arial"/>
          <w:sz w:val="24"/>
          <w:szCs w:val="24"/>
        </w:rPr>
        <w:t xml:space="preserve"> critically balance their efficiency with transparency, inclusivity and proper fairness. These findings are further aligned with the AMO (Ability-motivation-</w:t>
      </w:r>
      <w:r w:rsidR="007C072A" w:rsidRPr="001825CD">
        <w:rPr>
          <w:rFonts w:ascii="Arial" w:eastAsia="Arial" w:hAnsi="Arial" w:cs="Arial"/>
          <w:sz w:val="24"/>
          <w:szCs w:val="24"/>
        </w:rPr>
        <w:t>opportunity</w:t>
      </w:r>
      <w:r w:rsidRPr="001825CD">
        <w:rPr>
          <w:rFonts w:ascii="Arial" w:eastAsia="Arial" w:hAnsi="Arial" w:cs="Arial"/>
          <w:sz w:val="24"/>
          <w:szCs w:val="24"/>
        </w:rPr>
        <w:t>) model, which showcases that HR strategies need to enhance employee abilities through sustainable motivation, which in this is through technology engagement, training and developing opportunities through flexible digital systems (</w:t>
      </w:r>
      <w:r w:rsidRPr="001825CD">
        <w:rPr>
          <w:rFonts w:ascii="Arial" w:eastAsia="Arial" w:hAnsi="Arial" w:cs="Arial"/>
          <w:sz w:val="24"/>
          <w:szCs w:val="24"/>
          <w:highlight w:val="white"/>
        </w:rPr>
        <w:t>Al-Shahwani, 2020</w:t>
      </w:r>
      <w:r w:rsidRPr="001825CD">
        <w:rPr>
          <w:rFonts w:ascii="Arial" w:eastAsia="Arial" w:hAnsi="Arial" w:cs="Arial"/>
          <w:sz w:val="24"/>
          <w:szCs w:val="24"/>
        </w:rPr>
        <w:t xml:space="preserve">). Effective level of IHRM is based on aligning the AI-focused efficiency with human capital developments, in the contemporary time. For instance, talent strategy needs to be more forward looking with HR monitoring, which tasks can be automated, and even re-skill or redeploy employees based on it. As per the views of Eubanks (2025), HR operating models need to become more digital through AI assistance, and self-service should be utilized in contrast of traditional legacy systems. Thus, while technology is changing the HR approaches and labour </w:t>
      </w:r>
      <w:r w:rsidRPr="001825CD">
        <w:rPr>
          <w:rFonts w:ascii="Arial" w:eastAsia="Arial" w:hAnsi="Arial" w:cs="Arial"/>
          <w:sz w:val="24"/>
          <w:szCs w:val="24"/>
        </w:rPr>
        <w:lastRenderedPageBreak/>
        <w:t xml:space="preserve">markets, its complete impact is further enhanced through demographic shifts and geopolitical developments, further changing the global talent context. </w:t>
      </w:r>
    </w:p>
    <w:p w14:paraId="1C2DAFC6" w14:textId="77777777" w:rsidR="007C072A" w:rsidRPr="001825CD" w:rsidRDefault="007C072A" w:rsidP="00D54131">
      <w:pPr>
        <w:pStyle w:val="Normal1"/>
        <w:pBdr>
          <w:top w:val="nil"/>
          <w:left w:val="nil"/>
          <w:bottom w:val="nil"/>
          <w:right w:val="nil"/>
          <w:between w:val="nil"/>
        </w:pBdr>
        <w:spacing w:after="120" w:line="360" w:lineRule="auto"/>
        <w:jc w:val="both"/>
        <w:rPr>
          <w:rFonts w:ascii="Arial" w:eastAsia="Arial" w:hAnsi="Arial" w:cs="Arial"/>
          <w:sz w:val="24"/>
          <w:szCs w:val="24"/>
        </w:rPr>
      </w:pPr>
    </w:p>
    <w:p w14:paraId="1A76B38E" w14:textId="1A936B20" w:rsidR="003647B3" w:rsidRPr="001825CD" w:rsidRDefault="006F392E" w:rsidP="00797A02">
      <w:pPr>
        <w:pStyle w:val="Heading1"/>
      </w:pPr>
      <w:bookmarkStart w:id="7" w:name="_Toc211545010"/>
      <w:bookmarkStart w:id="8" w:name="_Toc211545232"/>
      <w:r>
        <w:t>2</w:t>
      </w:r>
      <w:r w:rsidR="00E7404B">
        <w:t>.</w:t>
      </w:r>
      <w:r w:rsidR="00E47889" w:rsidRPr="001825CD">
        <w:t xml:space="preserve"> Influence of demographic and geopolitical factors on the employment market</w:t>
      </w:r>
      <w:bookmarkEnd w:id="7"/>
      <w:bookmarkEnd w:id="8"/>
      <w:r w:rsidR="00956516">
        <w:t>.</w:t>
      </w:r>
    </w:p>
    <w:p w14:paraId="56D31072" w14:textId="308DD4D2" w:rsidR="003647B3" w:rsidRPr="001825CD"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Demographic shifts and the context of geopolitical factors are raising their influence on changing the employment markets in various manners that needs to be considered. Among these, the trend of population ageing is vital as in the UK and other developed economies, the proportion of older workers is rising due to the fact that people are living longer and birth rates have declined. A recent report has shed light on how a major portion of individuals in the UK are working regardless of reaching their retirement age of 65 years (Lewissilkin, 2025). In this context, the findings of Portes and Springford (2023) reveals the need to consider the post-Brexit situation, which resulted in a reduction of net migration from the EU. However, policy </w:t>
      </w:r>
      <w:r w:rsidR="00DA70AB" w:rsidRPr="001825CD">
        <w:rPr>
          <w:rFonts w:ascii="Arial" w:eastAsia="Arial" w:hAnsi="Arial" w:cs="Arial"/>
          <w:sz w:val="24"/>
          <w:szCs w:val="24"/>
        </w:rPr>
        <w:t>changes</w:t>
      </w:r>
      <w:r w:rsidRPr="001825CD">
        <w:rPr>
          <w:rFonts w:ascii="Arial" w:eastAsia="Arial" w:hAnsi="Arial" w:cs="Arial"/>
          <w:sz w:val="24"/>
          <w:szCs w:val="24"/>
        </w:rPr>
        <w:t xml:space="preserve"> like Brexit </w:t>
      </w:r>
      <w:r w:rsidR="00DA70AB" w:rsidRPr="001825CD">
        <w:rPr>
          <w:rFonts w:ascii="Arial" w:eastAsia="Arial" w:hAnsi="Arial" w:cs="Arial"/>
          <w:sz w:val="24"/>
          <w:szCs w:val="24"/>
        </w:rPr>
        <w:t>have</w:t>
      </w:r>
      <w:r w:rsidRPr="001825CD">
        <w:rPr>
          <w:rFonts w:ascii="Arial" w:eastAsia="Arial" w:hAnsi="Arial" w:cs="Arial"/>
          <w:sz w:val="24"/>
          <w:szCs w:val="24"/>
        </w:rPr>
        <w:t xml:space="preserve"> increase</w:t>
      </w:r>
      <w:r w:rsidR="00DA70AB" w:rsidRPr="001825CD">
        <w:rPr>
          <w:rFonts w:ascii="Arial" w:eastAsia="Arial" w:hAnsi="Arial" w:cs="Arial"/>
          <w:sz w:val="24"/>
          <w:szCs w:val="24"/>
        </w:rPr>
        <w:t>d</w:t>
      </w:r>
      <w:r w:rsidRPr="001825CD">
        <w:rPr>
          <w:rFonts w:ascii="Arial" w:eastAsia="Arial" w:hAnsi="Arial" w:cs="Arial"/>
          <w:sz w:val="24"/>
          <w:szCs w:val="24"/>
        </w:rPr>
        <w:t xml:space="preserve"> domestic employment, </w:t>
      </w:r>
      <w:r w:rsidR="00DA70AB" w:rsidRPr="001825CD">
        <w:rPr>
          <w:rFonts w:ascii="Arial" w:eastAsia="Arial" w:hAnsi="Arial" w:cs="Arial"/>
          <w:sz w:val="24"/>
          <w:szCs w:val="24"/>
        </w:rPr>
        <w:t>besides</w:t>
      </w:r>
      <w:r w:rsidRPr="001825CD">
        <w:rPr>
          <w:rFonts w:ascii="Arial" w:eastAsia="Arial" w:hAnsi="Arial" w:cs="Arial"/>
          <w:sz w:val="24"/>
          <w:szCs w:val="24"/>
        </w:rPr>
        <w:t xml:space="preserve"> develop</w:t>
      </w:r>
      <w:r w:rsidR="00DA70AB" w:rsidRPr="001825CD">
        <w:rPr>
          <w:rFonts w:ascii="Arial" w:eastAsia="Arial" w:hAnsi="Arial" w:cs="Arial"/>
          <w:sz w:val="24"/>
          <w:szCs w:val="24"/>
        </w:rPr>
        <w:t>ing</w:t>
      </w:r>
      <w:r w:rsidRPr="001825CD">
        <w:rPr>
          <w:rFonts w:ascii="Arial" w:eastAsia="Arial" w:hAnsi="Arial" w:cs="Arial"/>
          <w:sz w:val="24"/>
          <w:szCs w:val="24"/>
        </w:rPr>
        <w:t xml:space="preserve"> long-term contradictory aspects like tight labour supplies</w:t>
      </w:r>
      <w:r w:rsidR="00DA70AB" w:rsidRPr="001825CD">
        <w:rPr>
          <w:rFonts w:ascii="Arial" w:eastAsia="Arial" w:hAnsi="Arial" w:cs="Arial"/>
          <w:sz w:val="24"/>
          <w:szCs w:val="24"/>
        </w:rPr>
        <w:t xml:space="preserve">. These </w:t>
      </w:r>
      <w:r w:rsidRPr="001825CD">
        <w:rPr>
          <w:rFonts w:ascii="Arial" w:eastAsia="Arial" w:hAnsi="Arial" w:cs="Arial"/>
          <w:sz w:val="24"/>
          <w:szCs w:val="24"/>
        </w:rPr>
        <w:t xml:space="preserve">have </w:t>
      </w:r>
      <w:r w:rsidR="00DA70AB" w:rsidRPr="001825CD">
        <w:rPr>
          <w:rFonts w:ascii="Arial" w:eastAsia="Arial" w:hAnsi="Arial" w:cs="Arial"/>
          <w:sz w:val="24"/>
          <w:szCs w:val="24"/>
        </w:rPr>
        <w:t>increased</w:t>
      </w:r>
      <w:r w:rsidRPr="001825CD">
        <w:rPr>
          <w:rFonts w:ascii="Arial" w:eastAsia="Arial" w:hAnsi="Arial" w:cs="Arial"/>
          <w:sz w:val="24"/>
          <w:szCs w:val="24"/>
        </w:rPr>
        <w:t xml:space="preserve"> business costs like in terms of R&amp;D and lowered the potential of innovation in key industries, </w:t>
      </w:r>
      <w:r w:rsidR="00DA70AB" w:rsidRPr="001825CD">
        <w:rPr>
          <w:rFonts w:ascii="Arial" w:eastAsia="Arial" w:hAnsi="Arial" w:cs="Arial"/>
          <w:sz w:val="24"/>
          <w:szCs w:val="24"/>
        </w:rPr>
        <w:t xml:space="preserve">thereby </w:t>
      </w:r>
      <w:r w:rsidRPr="001825CD">
        <w:rPr>
          <w:rFonts w:ascii="Arial" w:eastAsia="Arial" w:hAnsi="Arial" w:cs="Arial"/>
          <w:sz w:val="24"/>
          <w:szCs w:val="24"/>
        </w:rPr>
        <w:t xml:space="preserve">hindering </w:t>
      </w:r>
      <w:r w:rsidR="00DA70AB" w:rsidRPr="001825CD">
        <w:rPr>
          <w:rFonts w:ascii="Arial" w:eastAsia="Arial" w:hAnsi="Arial" w:cs="Arial"/>
          <w:sz w:val="24"/>
          <w:szCs w:val="24"/>
        </w:rPr>
        <w:t xml:space="preserve">the </w:t>
      </w:r>
      <w:r w:rsidRPr="001825CD">
        <w:rPr>
          <w:rFonts w:ascii="Arial" w:eastAsia="Arial" w:hAnsi="Arial" w:cs="Arial"/>
          <w:sz w:val="24"/>
          <w:szCs w:val="24"/>
        </w:rPr>
        <w:t>potential for growth (</w:t>
      </w:r>
      <w:r w:rsidRPr="001825CD">
        <w:rPr>
          <w:rFonts w:ascii="Arial" w:eastAsia="Arial" w:hAnsi="Arial" w:cs="Arial"/>
          <w:sz w:val="24"/>
          <w:szCs w:val="24"/>
          <w:highlight w:val="white"/>
        </w:rPr>
        <w:t xml:space="preserve">Do </w:t>
      </w:r>
      <w:r w:rsidRPr="001825CD">
        <w:rPr>
          <w:rFonts w:ascii="Arial" w:eastAsia="Arial" w:hAnsi="Arial" w:cs="Arial"/>
          <w:i/>
          <w:sz w:val="24"/>
          <w:szCs w:val="24"/>
          <w:highlight w:val="white"/>
        </w:rPr>
        <w:t>et al.,</w:t>
      </w:r>
      <w:r w:rsidRPr="001825CD">
        <w:rPr>
          <w:rFonts w:ascii="Arial" w:eastAsia="Arial" w:hAnsi="Arial" w:cs="Arial"/>
          <w:sz w:val="24"/>
          <w:szCs w:val="24"/>
          <w:highlight w:val="white"/>
        </w:rPr>
        <w:t xml:space="preserve"> 2025</w:t>
      </w:r>
      <w:r w:rsidRPr="001825CD">
        <w:rPr>
          <w:rFonts w:ascii="Arial" w:eastAsia="Arial" w:hAnsi="Arial" w:cs="Arial"/>
          <w:sz w:val="24"/>
          <w:szCs w:val="24"/>
        </w:rPr>
        <w:t xml:space="preserve">). </w:t>
      </w:r>
    </w:p>
    <w:p w14:paraId="7A2AD8A7" w14:textId="77777777" w:rsidR="003647B3" w:rsidRPr="001825CD"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Employment rates in the UK vary sharply by ethnic group. For example, in 2022, those of Pakistani/Bangladeshi origin had an employment rate of 61%, as compared to 76% average for all groups. Unemployment among minority ethnic individuals has also risen more steeply than among white counterparts. To be more precise, in between April and June 2024, the minority ethnic unemployment rate was approximately 8.0%, compared with 3.3% for people of white ethnic background (a gap of 4.6%) (Gov.uk, 2023). The fact here is that young professionals can have diverse values in relation to the work-life balance approaches, remote or hybrid working (Ljungkvist and Moore, 2023). The context of ‘War for talent’ has become to be not only for organizational level, but also has become to be a competition among countries (Faugoo, 2024). Nationalism, changing immigration laws, as identified above in the Brexit context, have developed various uncertainties, especially impacting workers, adding costs, and developing potential time issues. On that note, several renowned companies have been investing for creating new jobs in the UK market. For example, Unilever has made a £80 million investment in a new fragrance facility at Port Sunlight, expanding </w:t>
      </w:r>
      <w:r w:rsidRPr="001825CD">
        <w:rPr>
          <w:rFonts w:ascii="Arial" w:eastAsia="Arial" w:hAnsi="Arial" w:cs="Arial"/>
          <w:sz w:val="24"/>
          <w:szCs w:val="24"/>
        </w:rPr>
        <w:lastRenderedPageBreak/>
        <w:t>its R&amp;D and innovation capabilities (Unilever, 2025). In addition, Shell UK plans to invest £20-25 billion over the next decade in low- and zero-carbon energy systems, including offshore wind, hydrogen, electric mobility, and carbon capture, aligning with net-zero goals (Russell, 2022). As shown in figure 2, Tesco is also experimenting with innovations like drone delivery (with Manna), AI in product development (with Turing), Urban Fulfilment Centres (Tesco, 2025).</w:t>
      </w:r>
    </w:p>
    <w:p w14:paraId="58C66671" w14:textId="77777777" w:rsidR="003647B3" w:rsidRPr="001825CD" w:rsidRDefault="00E47889" w:rsidP="00D54131">
      <w:pPr>
        <w:pStyle w:val="Normal1"/>
        <w:pBdr>
          <w:top w:val="nil"/>
          <w:left w:val="nil"/>
          <w:bottom w:val="nil"/>
          <w:right w:val="nil"/>
          <w:between w:val="nil"/>
        </w:pBdr>
        <w:spacing w:after="120" w:line="360" w:lineRule="auto"/>
        <w:jc w:val="center"/>
        <w:rPr>
          <w:rFonts w:ascii="Arial" w:eastAsia="Arial" w:hAnsi="Arial" w:cs="Arial"/>
          <w:sz w:val="24"/>
          <w:szCs w:val="24"/>
        </w:rPr>
      </w:pPr>
      <w:r w:rsidRPr="001825CD">
        <w:rPr>
          <w:rFonts w:ascii="Arial" w:eastAsia="Arial" w:hAnsi="Arial" w:cs="Arial"/>
          <w:noProof/>
          <w:sz w:val="24"/>
          <w:szCs w:val="24"/>
        </w:rPr>
        <w:drawing>
          <wp:inline distT="0" distB="0" distL="0" distR="0" wp14:anchorId="080F6989" wp14:editId="525074B3">
            <wp:extent cx="6105525" cy="3238500"/>
            <wp:effectExtent l="0" t="0" r="0" b="0"/>
            <wp:docPr id="1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6105525" cy="3238500"/>
                    </a:xfrm>
                    <a:prstGeom prst="rect">
                      <a:avLst/>
                    </a:prstGeom>
                    <a:ln/>
                  </pic:spPr>
                </pic:pic>
              </a:graphicData>
            </a:graphic>
          </wp:inline>
        </w:drawing>
      </w:r>
    </w:p>
    <w:p w14:paraId="4E54ECEB" w14:textId="1FBD0E48" w:rsidR="003647B3" w:rsidRPr="001825CD" w:rsidRDefault="007C072A" w:rsidP="00797A02">
      <w:pPr>
        <w:pStyle w:val="Heading2"/>
      </w:pPr>
      <w:bookmarkStart w:id="9" w:name="_Toc211068441"/>
      <w:bookmarkStart w:id="10" w:name="_Toc211545233"/>
      <w:r>
        <w:t xml:space="preserve">                     </w:t>
      </w:r>
      <w:r w:rsidR="00E47889" w:rsidRPr="001825CD">
        <w:t>Figure 2: Innovation at Tesco for better customer service</w:t>
      </w:r>
      <w:bookmarkEnd w:id="9"/>
      <w:bookmarkEnd w:id="10"/>
    </w:p>
    <w:p w14:paraId="2B11D47B" w14:textId="77777777" w:rsidR="003647B3" w:rsidRPr="001825CD" w:rsidRDefault="00E47889" w:rsidP="00D54131">
      <w:pPr>
        <w:pStyle w:val="Normal1"/>
        <w:pBdr>
          <w:top w:val="nil"/>
          <w:left w:val="nil"/>
          <w:bottom w:val="nil"/>
          <w:right w:val="nil"/>
          <w:between w:val="nil"/>
        </w:pBdr>
        <w:spacing w:after="120" w:line="360" w:lineRule="auto"/>
        <w:jc w:val="center"/>
        <w:rPr>
          <w:rFonts w:ascii="Arial" w:eastAsia="Arial" w:hAnsi="Arial" w:cs="Arial"/>
          <w:sz w:val="24"/>
          <w:szCs w:val="24"/>
        </w:rPr>
      </w:pPr>
      <w:r w:rsidRPr="001825CD">
        <w:rPr>
          <w:rFonts w:ascii="Arial" w:eastAsia="Arial" w:hAnsi="Arial" w:cs="Arial"/>
          <w:sz w:val="24"/>
          <w:szCs w:val="24"/>
        </w:rPr>
        <w:t>(Source: Tesco, 2025)</w:t>
      </w:r>
    </w:p>
    <w:p w14:paraId="661135BE" w14:textId="25EBA88B" w:rsidR="003647B3" w:rsidRPr="001825CD" w:rsidRDefault="00DA70AB"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It is</w:t>
      </w:r>
      <w:r w:rsidR="00E47889" w:rsidRPr="001825CD">
        <w:rPr>
          <w:rFonts w:ascii="Arial" w:eastAsia="Arial" w:hAnsi="Arial" w:cs="Arial"/>
          <w:sz w:val="24"/>
          <w:szCs w:val="24"/>
        </w:rPr>
        <w:t xml:space="preserve"> critical</w:t>
      </w:r>
      <w:r w:rsidRPr="001825CD">
        <w:rPr>
          <w:rFonts w:ascii="Arial" w:eastAsia="Arial" w:hAnsi="Arial" w:cs="Arial"/>
          <w:sz w:val="24"/>
          <w:szCs w:val="24"/>
        </w:rPr>
        <w:t>ly</w:t>
      </w:r>
      <w:r w:rsidR="00E47889" w:rsidRPr="001825CD">
        <w:rPr>
          <w:rFonts w:ascii="Arial" w:eastAsia="Arial" w:hAnsi="Arial" w:cs="Arial"/>
          <w:sz w:val="24"/>
          <w:szCs w:val="24"/>
        </w:rPr>
        <w:t xml:space="preserve"> identified that geopolitical level volatility allows the HR to act not only as reactive individual, but also as a strategic individual. Thus, the anticipation of policy risks and even workforce mobility issues, in contrast of just responding only after each disruption (</w:t>
      </w:r>
      <w:r w:rsidR="00E47889" w:rsidRPr="001825CD">
        <w:rPr>
          <w:rFonts w:ascii="Arial" w:eastAsia="Arial" w:hAnsi="Arial" w:cs="Arial"/>
          <w:sz w:val="24"/>
          <w:szCs w:val="24"/>
          <w:highlight w:val="white"/>
        </w:rPr>
        <w:t>Rodriguez and Hasan, 2025</w:t>
      </w:r>
      <w:r w:rsidR="00E47889" w:rsidRPr="001825CD">
        <w:rPr>
          <w:rFonts w:ascii="Arial" w:eastAsia="Arial" w:hAnsi="Arial" w:cs="Arial"/>
          <w:sz w:val="24"/>
          <w:szCs w:val="24"/>
        </w:rPr>
        <w:t>). Furthermore, geopolitical issues like supply chain disruptions, regulatory barriers, and new sanctions can also develop a major uncertain situation for HR and their functions (Kanike, 2023). In this context, the demographics and geopolitical factors can, however, develop challenges for HR professionals, which are as follows:</w:t>
      </w:r>
    </w:p>
    <w:p w14:paraId="3D47A9AB" w14:textId="77777777" w:rsidR="003647B3" w:rsidRPr="001825CD" w:rsidRDefault="00E47889" w:rsidP="00D54131">
      <w:pPr>
        <w:pStyle w:val="Normal1"/>
        <w:numPr>
          <w:ilvl w:val="0"/>
          <w:numId w:val="1"/>
        </w:numPr>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sz w:val="24"/>
          <w:szCs w:val="24"/>
        </w:rPr>
        <w:t>Policy and regulatory issues: managing diverse laws of international markets and immigration rules will require in-depth analysis and anticipation capabilities for any changes or disruptions.</w:t>
      </w:r>
    </w:p>
    <w:p w14:paraId="0144D154" w14:textId="77777777" w:rsidR="003647B3" w:rsidRPr="001825CD" w:rsidRDefault="00E47889" w:rsidP="00D54131">
      <w:pPr>
        <w:pStyle w:val="Normal1"/>
        <w:numPr>
          <w:ilvl w:val="0"/>
          <w:numId w:val="1"/>
        </w:numPr>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sz w:val="24"/>
          <w:szCs w:val="24"/>
        </w:rPr>
        <w:lastRenderedPageBreak/>
        <w:t>Talent supply: ensuring the enough workers with skills are available in the rapidly reducing domestic labour market and stricter immigration.</w:t>
      </w:r>
    </w:p>
    <w:p w14:paraId="481F2C93" w14:textId="77777777" w:rsidR="003647B3" w:rsidRPr="001825CD" w:rsidRDefault="00E47889" w:rsidP="00D54131">
      <w:pPr>
        <w:pStyle w:val="Normal1"/>
        <w:numPr>
          <w:ilvl w:val="0"/>
          <w:numId w:val="1"/>
        </w:numPr>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sz w:val="24"/>
          <w:szCs w:val="24"/>
        </w:rPr>
        <w:t xml:space="preserve">Employee expectations: As per </w:t>
      </w:r>
      <w:r w:rsidRPr="001825CD">
        <w:rPr>
          <w:rFonts w:ascii="Arial" w:eastAsia="Arial" w:hAnsi="Arial" w:cs="Arial"/>
          <w:sz w:val="24"/>
          <w:szCs w:val="24"/>
          <w:highlight w:val="white"/>
        </w:rPr>
        <w:t>Rahman</w:t>
      </w:r>
      <w:r w:rsidRPr="001825CD">
        <w:rPr>
          <w:rFonts w:ascii="Arial" w:eastAsia="Arial" w:hAnsi="Arial" w:cs="Arial"/>
          <w:sz w:val="24"/>
          <w:szCs w:val="24"/>
        </w:rPr>
        <w:t xml:space="preserve"> (2025), the adaptation of diverse generational workforce can be a major complex barrier for HR managers, as it is not a </w:t>
      </w:r>
      <w:r w:rsidRPr="001825CD">
        <w:rPr>
          <w:rFonts w:ascii="Arial" w:eastAsia="Arial" w:hAnsi="Arial" w:cs="Arial"/>
          <w:sz w:val="24"/>
          <w:szCs w:val="24"/>
          <w:highlight w:val="white"/>
        </w:rPr>
        <w:t>one-size-fits-all approach and can often result in causing miscommunication, internal conflicts, and even turnover, if not managed correctly</w:t>
      </w:r>
      <w:r w:rsidRPr="001825CD">
        <w:rPr>
          <w:rFonts w:ascii="Arial" w:eastAsia="Arial" w:hAnsi="Arial" w:cs="Arial"/>
          <w:sz w:val="24"/>
          <w:szCs w:val="24"/>
        </w:rPr>
        <w:t>.</w:t>
      </w:r>
    </w:p>
    <w:p w14:paraId="1F36CCF8" w14:textId="0B147E64" w:rsidR="003647B3" w:rsidRDefault="00E47889" w:rsidP="00D54131">
      <w:pPr>
        <w:pStyle w:val="Normal1"/>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sz w:val="24"/>
          <w:szCs w:val="24"/>
        </w:rPr>
        <w:t>These demographics</w:t>
      </w:r>
      <w:r w:rsidR="00A54BF7" w:rsidRPr="001825CD">
        <w:rPr>
          <w:rFonts w:ascii="Arial" w:eastAsia="Arial" w:hAnsi="Arial" w:cs="Arial"/>
          <w:sz w:val="24"/>
          <w:szCs w:val="24"/>
        </w:rPr>
        <w:t>,</w:t>
      </w:r>
      <w:r w:rsidRPr="001825CD">
        <w:rPr>
          <w:rFonts w:ascii="Arial" w:eastAsia="Arial" w:hAnsi="Arial" w:cs="Arial"/>
          <w:sz w:val="24"/>
          <w:szCs w:val="24"/>
        </w:rPr>
        <w:t xml:space="preserve"> along with geopolitical changes</w:t>
      </w:r>
      <w:r w:rsidR="00A54BF7" w:rsidRPr="001825CD">
        <w:rPr>
          <w:rFonts w:ascii="Arial" w:eastAsia="Arial" w:hAnsi="Arial" w:cs="Arial"/>
          <w:sz w:val="24"/>
          <w:szCs w:val="24"/>
        </w:rPr>
        <w:t>,</w:t>
      </w:r>
      <w:r w:rsidRPr="001825CD">
        <w:rPr>
          <w:rFonts w:ascii="Arial" w:eastAsia="Arial" w:hAnsi="Arial" w:cs="Arial"/>
          <w:sz w:val="24"/>
          <w:szCs w:val="24"/>
        </w:rPr>
        <w:t xml:space="preserve"> contribute towards enhancing skill gaps and talent shortages, which need strategic HRM approaches for ensuring the complete company adaptability and workforce resilience. </w:t>
      </w:r>
    </w:p>
    <w:p w14:paraId="71D702DE" w14:textId="77777777" w:rsidR="007C072A" w:rsidRPr="001825CD" w:rsidRDefault="007C072A" w:rsidP="00D54131">
      <w:pPr>
        <w:pStyle w:val="Normal1"/>
        <w:pBdr>
          <w:top w:val="nil"/>
          <w:left w:val="nil"/>
          <w:bottom w:val="nil"/>
          <w:right w:val="nil"/>
          <w:between w:val="nil"/>
        </w:pBdr>
        <w:spacing w:before="120" w:after="120" w:line="360" w:lineRule="auto"/>
        <w:jc w:val="both"/>
        <w:rPr>
          <w:rFonts w:ascii="Arial" w:eastAsia="Arial" w:hAnsi="Arial" w:cs="Arial"/>
          <w:sz w:val="24"/>
          <w:szCs w:val="24"/>
        </w:rPr>
      </w:pPr>
    </w:p>
    <w:p w14:paraId="1461FEAB" w14:textId="24817076" w:rsidR="003647B3" w:rsidRPr="001825CD" w:rsidRDefault="006F392E" w:rsidP="00797A02">
      <w:pPr>
        <w:pStyle w:val="Heading1"/>
      </w:pPr>
      <w:bookmarkStart w:id="11" w:name="_Toc211545011"/>
      <w:bookmarkStart w:id="12" w:name="_Toc211545234"/>
      <w:r>
        <w:t>3</w:t>
      </w:r>
      <w:r w:rsidR="00E7404B">
        <w:t>.</w:t>
      </w:r>
      <w:r w:rsidR="00E47889" w:rsidRPr="001825CD">
        <w:t xml:space="preserve"> Strategic HRM’s use for addressing skill gaps and talent shortages</w:t>
      </w:r>
      <w:bookmarkEnd w:id="11"/>
      <w:bookmarkEnd w:id="12"/>
    </w:p>
    <w:p w14:paraId="0E739EEC" w14:textId="08DBC310" w:rsidR="003647B3" w:rsidRPr="001825CD"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International organizations and even in the UK are facing various talent shortages in diverse critical sectors like hospitality, healthcare, and technology. The context of strategic HRM can offer various potential approaches that can address these gaps. Yet these will further require more </w:t>
      </w:r>
      <w:r w:rsidR="007C072A" w:rsidRPr="001825CD">
        <w:rPr>
          <w:rFonts w:ascii="Arial" w:eastAsia="Arial" w:hAnsi="Arial" w:cs="Arial"/>
          <w:sz w:val="24"/>
          <w:szCs w:val="24"/>
        </w:rPr>
        <w:t>up skilling</w:t>
      </w:r>
      <w:r w:rsidRPr="001825CD">
        <w:rPr>
          <w:rFonts w:ascii="Arial" w:eastAsia="Arial" w:hAnsi="Arial" w:cs="Arial"/>
          <w:sz w:val="24"/>
          <w:szCs w:val="24"/>
        </w:rPr>
        <w:t xml:space="preserve"> of employees, flexibility, and inclusive strategies. </w:t>
      </w:r>
      <w:r w:rsidR="00A54BF7" w:rsidRPr="001825CD">
        <w:rPr>
          <w:rFonts w:ascii="Arial" w:eastAsia="Arial" w:hAnsi="Arial" w:cs="Arial"/>
          <w:sz w:val="24"/>
          <w:szCs w:val="24"/>
        </w:rPr>
        <w:t>T</w:t>
      </w:r>
      <w:r w:rsidRPr="001825CD">
        <w:rPr>
          <w:rFonts w:ascii="Arial" w:eastAsia="Arial" w:hAnsi="Arial" w:cs="Arial"/>
          <w:sz w:val="24"/>
          <w:szCs w:val="24"/>
        </w:rPr>
        <w:t>hese initiatives can be aligned with Strategic Workforce Planning principles, which are focused on anticipating future skills needs and aligning HR practices with long-term company goals for competitive advantages (</w:t>
      </w:r>
      <w:r w:rsidRPr="001825CD">
        <w:rPr>
          <w:rFonts w:ascii="Arial" w:eastAsia="Arial" w:hAnsi="Arial" w:cs="Arial"/>
          <w:sz w:val="24"/>
          <w:szCs w:val="24"/>
          <w:highlight w:val="white"/>
        </w:rPr>
        <w:t>Mckinsey, 2025</w:t>
      </w:r>
      <w:r w:rsidRPr="001825CD">
        <w:rPr>
          <w:rFonts w:ascii="Arial" w:eastAsia="Arial" w:hAnsi="Arial" w:cs="Arial"/>
          <w:sz w:val="24"/>
          <w:szCs w:val="24"/>
        </w:rPr>
        <w:t xml:space="preserve">). </w:t>
      </w:r>
    </w:p>
    <w:p w14:paraId="04A46B13" w14:textId="09C8073B" w:rsidR="003647B3" w:rsidRPr="001825CD" w:rsidRDefault="00E47889" w:rsidP="00D54131">
      <w:pPr>
        <w:pStyle w:val="Normal1"/>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b/>
          <w:i/>
          <w:sz w:val="24"/>
          <w:szCs w:val="24"/>
        </w:rPr>
        <w:t>Investments in early and ongoing talent contexts:</w:t>
      </w:r>
      <w:r w:rsidRPr="001825CD">
        <w:rPr>
          <w:rFonts w:ascii="Arial" w:eastAsia="Arial" w:hAnsi="Arial" w:cs="Arial"/>
          <w:sz w:val="24"/>
          <w:szCs w:val="24"/>
        </w:rPr>
        <w:t xml:space="preserve"> In this approach, the example of Unilever can be utilized, as it has introduced a leadership development programme, named Future Leaders Programme that can develop future leaders and technical experts. As stated by Karatas (2021), such a leadership program includes exposing the individuals to various aspects like human resources, business, and technology. </w:t>
      </w:r>
    </w:p>
    <w:p w14:paraId="32AC793E" w14:textId="77777777" w:rsidR="003647B3" w:rsidRPr="001825CD" w:rsidRDefault="00E47889" w:rsidP="00D54131">
      <w:pPr>
        <w:pStyle w:val="Normal1"/>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b/>
          <w:i/>
          <w:sz w:val="24"/>
          <w:szCs w:val="24"/>
        </w:rPr>
        <w:t>Technological use and adaptation:</w:t>
      </w:r>
      <w:r w:rsidRPr="001825CD">
        <w:rPr>
          <w:rFonts w:ascii="Arial" w:eastAsia="Arial" w:hAnsi="Arial" w:cs="Arial"/>
          <w:sz w:val="24"/>
          <w:szCs w:val="24"/>
        </w:rPr>
        <w:t xml:space="preserve"> Being the most central and common beneficial approach for companies, this approach can contribute positively to increasing productivity and even create opportunities for higher productivity efficiency. This will potentially allow the existing workforce to gain more, and any shortages will have a lesser level of damaging impacts on the companies. For example, in the healthcare context, analytics and various other advanced tools can support workforce planning and patient care with a particular focus on scheduling (Youn </w:t>
      </w:r>
      <w:r w:rsidRPr="001825CD">
        <w:rPr>
          <w:rFonts w:ascii="Arial" w:eastAsia="Arial" w:hAnsi="Arial" w:cs="Arial"/>
          <w:i/>
          <w:sz w:val="24"/>
          <w:szCs w:val="24"/>
        </w:rPr>
        <w:t>et al</w:t>
      </w:r>
      <w:r w:rsidRPr="001825CD">
        <w:rPr>
          <w:rFonts w:ascii="Arial" w:eastAsia="Arial" w:hAnsi="Arial" w:cs="Arial"/>
          <w:sz w:val="24"/>
          <w:szCs w:val="24"/>
        </w:rPr>
        <w:t xml:space="preserve">., 2022). </w:t>
      </w:r>
    </w:p>
    <w:p w14:paraId="1DB401FD" w14:textId="494DA1C9" w:rsidR="003647B3" w:rsidRPr="001825CD" w:rsidRDefault="00E47889" w:rsidP="00D54131">
      <w:pPr>
        <w:pStyle w:val="Normal1"/>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b/>
          <w:i/>
          <w:sz w:val="24"/>
          <w:szCs w:val="24"/>
        </w:rPr>
        <w:lastRenderedPageBreak/>
        <w:t>Working partnerships:</w:t>
      </w:r>
      <w:r w:rsidRPr="001825CD">
        <w:rPr>
          <w:rFonts w:ascii="Arial" w:eastAsia="Arial" w:hAnsi="Arial" w:cs="Arial"/>
          <w:sz w:val="24"/>
          <w:szCs w:val="24"/>
        </w:rPr>
        <w:t xml:space="preserve"> companies can ensure collaborating or developing partnerships with educational companies, and government to support and align their curricula with the real needs of the current labour market. </w:t>
      </w:r>
      <w:r w:rsidR="001825CD" w:rsidRPr="001825CD">
        <w:rPr>
          <w:rFonts w:ascii="Arial" w:eastAsia="Arial" w:hAnsi="Arial" w:cs="Arial"/>
          <w:sz w:val="24"/>
          <w:szCs w:val="24"/>
        </w:rPr>
        <w:t>In</w:t>
      </w:r>
      <w:r w:rsidRPr="001825CD">
        <w:rPr>
          <w:rFonts w:ascii="Arial" w:eastAsia="Arial" w:hAnsi="Arial" w:cs="Arial"/>
          <w:sz w:val="24"/>
          <w:szCs w:val="24"/>
        </w:rPr>
        <w:t xml:space="preserve"> this context, companies in the technological or healthcare sectors can collaborate with various technical colleges or universities to further offer the graduates with skills that will meet their employment needs (Tereshchenko </w:t>
      </w:r>
      <w:r w:rsidRPr="001825CD">
        <w:rPr>
          <w:rFonts w:ascii="Arial" w:eastAsia="Arial" w:hAnsi="Arial" w:cs="Arial"/>
          <w:i/>
          <w:sz w:val="24"/>
          <w:szCs w:val="24"/>
        </w:rPr>
        <w:t>et al</w:t>
      </w:r>
      <w:r w:rsidRPr="001825CD">
        <w:rPr>
          <w:rFonts w:ascii="Arial" w:eastAsia="Arial" w:hAnsi="Arial" w:cs="Arial"/>
          <w:sz w:val="24"/>
          <w:szCs w:val="24"/>
        </w:rPr>
        <w:t>., 2024). These can further allow the students to gain potential hand-on experiences for learning the sector-specific needs.</w:t>
      </w:r>
    </w:p>
    <w:p w14:paraId="1DBCFECF" w14:textId="61674872" w:rsidR="003647B3" w:rsidRDefault="00E47889" w:rsidP="00D54131">
      <w:pPr>
        <w:pStyle w:val="Normal1"/>
        <w:pBdr>
          <w:top w:val="nil"/>
          <w:left w:val="nil"/>
          <w:bottom w:val="nil"/>
          <w:right w:val="nil"/>
          <w:between w:val="nil"/>
        </w:pBdr>
        <w:spacing w:before="120" w:after="120" w:line="360" w:lineRule="auto"/>
        <w:jc w:val="both"/>
        <w:rPr>
          <w:rFonts w:ascii="Arial" w:eastAsia="Arial" w:hAnsi="Arial" w:cs="Arial"/>
          <w:sz w:val="24"/>
          <w:szCs w:val="24"/>
        </w:rPr>
      </w:pPr>
      <w:r w:rsidRPr="001825CD">
        <w:rPr>
          <w:rFonts w:ascii="Arial" w:eastAsia="Arial" w:hAnsi="Arial" w:cs="Arial"/>
          <w:b/>
          <w:i/>
          <w:sz w:val="24"/>
          <w:szCs w:val="24"/>
        </w:rPr>
        <w:t xml:space="preserve">Reskilling and </w:t>
      </w:r>
      <w:r w:rsidR="007C072A" w:rsidRPr="001825CD">
        <w:rPr>
          <w:rFonts w:ascii="Arial" w:eastAsia="Arial" w:hAnsi="Arial" w:cs="Arial"/>
          <w:b/>
          <w:i/>
          <w:sz w:val="24"/>
          <w:szCs w:val="24"/>
        </w:rPr>
        <w:t>up skilling</w:t>
      </w:r>
      <w:r w:rsidRPr="001825CD">
        <w:rPr>
          <w:rFonts w:ascii="Arial" w:eastAsia="Arial" w:hAnsi="Arial" w:cs="Arial"/>
          <w:b/>
          <w:i/>
          <w:sz w:val="24"/>
          <w:szCs w:val="24"/>
        </w:rPr>
        <w:t xml:space="preserve">: </w:t>
      </w:r>
      <w:r w:rsidR="007C072A" w:rsidRPr="001825CD">
        <w:rPr>
          <w:rFonts w:ascii="Arial" w:eastAsia="Arial" w:hAnsi="Arial" w:cs="Arial"/>
          <w:sz w:val="24"/>
          <w:szCs w:val="24"/>
        </w:rPr>
        <w:t>Up skilling</w:t>
      </w:r>
      <w:r w:rsidRPr="001825CD">
        <w:rPr>
          <w:rFonts w:ascii="Arial" w:eastAsia="Arial" w:hAnsi="Arial" w:cs="Arial"/>
          <w:sz w:val="24"/>
          <w:szCs w:val="24"/>
        </w:rPr>
        <w:t xml:space="preserve"> or reskilling of staff can allow them to adapt to changes in the market more efficiently. In this context, Kıcır (2024) has found it essential for organisations to focus on providing offers of quiet hiring, which will allow existing employees to take various new responsibilities and even reduce the dependency on external recruitments.</w:t>
      </w:r>
    </w:p>
    <w:p w14:paraId="56848BB7" w14:textId="77777777" w:rsidR="007C072A" w:rsidRDefault="007C072A" w:rsidP="00D54131">
      <w:pPr>
        <w:pStyle w:val="Normal1"/>
        <w:pBdr>
          <w:top w:val="nil"/>
          <w:left w:val="nil"/>
          <w:bottom w:val="nil"/>
          <w:right w:val="nil"/>
          <w:between w:val="nil"/>
        </w:pBdr>
        <w:spacing w:before="120" w:after="120" w:line="360" w:lineRule="auto"/>
        <w:jc w:val="both"/>
        <w:rPr>
          <w:rFonts w:ascii="Arial" w:eastAsia="Arial" w:hAnsi="Arial" w:cs="Arial"/>
          <w:sz w:val="24"/>
          <w:szCs w:val="24"/>
        </w:rPr>
      </w:pPr>
    </w:p>
    <w:p w14:paraId="5D27A327" w14:textId="0066AAB8" w:rsidR="003647B3" w:rsidRPr="00797A02" w:rsidRDefault="006F392E" w:rsidP="00797A02">
      <w:pPr>
        <w:pStyle w:val="Heading1"/>
      </w:pPr>
      <w:bookmarkStart w:id="13" w:name="_Toc211545012"/>
      <w:bookmarkStart w:id="14" w:name="_Toc211545235"/>
      <w:r w:rsidRPr="00797A02">
        <w:t>4</w:t>
      </w:r>
      <w:r w:rsidR="00E47889" w:rsidRPr="00797A02">
        <w:t>. Reflective report</w:t>
      </w:r>
      <w:bookmarkEnd w:id="13"/>
      <w:bookmarkEnd w:id="14"/>
    </w:p>
    <w:p w14:paraId="54AAF37F" w14:textId="41D8F6B3" w:rsidR="003647B3" w:rsidRPr="001825CD" w:rsidRDefault="00A54BF7"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In this</w:t>
      </w:r>
      <w:r w:rsidR="00E47889" w:rsidRPr="001825CD">
        <w:rPr>
          <w:rFonts w:ascii="Arial" w:eastAsia="Arial" w:hAnsi="Arial" w:cs="Arial"/>
          <w:sz w:val="24"/>
          <w:szCs w:val="24"/>
        </w:rPr>
        <w:t xml:space="preserve"> reflecti</w:t>
      </w:r>
      <w:r w:rsidRPr="001825CD">
        <w:rPr>
          <w:rFonts w:ascii="Arial" w:eastAsia="Arial" w:hAnsi="Arial" w:cs="Arial"/>
          <w:sz w:val="24"/>
          <w:szCs w:val="24"/>
        </w:rPr>
        <w:t>ve section,</w:t>
      </w:r>
      <w:r w:rsidR="00E47889" w:rsidRPr="001825CD">
        <w:rPr>
          <w:rFonts w:ascii="Arial" w:eastAsia="Arial" w:hAnsi="Arial" w:cs="Arial"/>
          <w:sz w:val="24"/>
          <w:szCs w:val="24"/>
        </w:rPr>
        <w:t xml:space="preserve"> the Gibbs reflective Cycle </w:t>
      </w:r>
      <w:r w:rsidRPr="001825CD">
        <w:rPr>
          <w:rFonts w:ascii="Arial" w:eastAsia="Arial" w:hAnsi="Arial" w:cs="Arial"/>
          <w:sz w:val="24"/>
          <w:szCs w:val="24"/>
        </w:rPr>
        <w:t xml:space="preserve">is followed, </w:t>
      </w:r>
      <w:r w:rsidR="00E47889" w:rsidRPr="001825CD">
        <w:rPr>
          <w:rFonts w:ascii="Arial" w:eastAsia="Arial" w:hAnsi="Arial" w:cs="Arial"/>
          <w:sz w:val="24"/>
          <w:szCs w:val="24"/>
        </w:rPr>
        <w:t xml:space="preserve">which includes stages of descriptions, feelings, evaluation, analysis, conclusion and action plan. </w:t>
      </w:r>
      <w:r w:rsidRPr="001825CD">
        <w:rPr>
          <w:rFonts w:ascii="Arial" w:eastAsia="Arial" w:hAnsi="Arial" w:cs="Arial"/>
          <w:sz w:val="24"/>
          <w:szCs w:val="24"/>
        </w:rPr>
        <w:t>U</w:t>
      </w:r>
      <w:r w:rsidR="00E47889" w:rsidRPr="001825CD">
        <w:rPr>
          <w:rFonts w:ascii="Arial" w:eastAsia="Arial" w:hAnsi="Arial" w:cs="Arial"/>
          <w:sz w:val="24"/>
          <w:szCs w:val="24"/>
        </w:rPr>
        <w:t>se of this model allow</w:t>
      </w:r>
      <w:r w:rsidRPr="001825CD">
        <w:rPr>
          <w:rFonts w:ascii="Arial" w:eastAsia="Arial" w:hAnsi="Arial" w:cs="Arial"/>
          <w:sz w:val="24"/>
          <w:szCs w:val="24"/>
        </w:rPr>
        <w:t xml:space="preserve">ed </w:t>
      </w:r>
      <w:r w:rsidR="00E47889" w:rsidRPr="001825CD">
        <w:rPr>
          <w:rFonts w:ascii="Arial" w:eastAsia="Arial" w:hAnsi="Arial" w:cs="Arial"/>
          <w:sz w:val="24"/>
          <w:szCs w:val="24"/>
        </w:rPr>
        <w:t>structur</w:t>
      </w:r>
      <w:r w:rsidRPr="001825CD">
        <w:rPr>
          <w:rFonts w:ascii="Arial" w:eastAsia="Arial" w:hAnsi="Arial" w:cs="Arial"/>
          <w:sz w:val="24"/>
          <w:szCs w:val="24"/>
        </w:rPr>
        <w:t xml:space="preserve">ing own </w:t>
      </w:r>
      <w:r w:rsidR="00E47889" w:rsidRPr="001825CD">
        <w:rPr>
          <w:rFonts w:ascii="Arial" w:eastAsia="Arial" w:hAnsi="Arial" w:cs="Arial"/>
          <w:sz w:val="24"/>
          <w:szCs w:val="24"/>
        </w:rPr>
        <w:t xml:space="preserve">reflection critically and connect experiences with future improvement approaches. </w:t>
      </w:r>
    </w:p>
    <w:p w14:paraId="3D4C314B" w14:textId="77777777" w:rsidR="006428E4" w:rsidRPr="001825CD" w:rsidRDefault="006428E4" w:rsidP="00D54131">
      <w:pPr>
        <w:pStyle w:val="Normal1"/>
        <w:pBdr>
          <w:top w:val="nil"/>
          <w:left w:val="nil"/>
          <w:bottom w:val="nil"/>
          <w:right w:val="nil"/>
          <w:between w:val="nil"/>
        </w:pBdr>
        <w:spacing w:after="120" w:line="360" w:lineRule="auto"/>
        <w:jc w:val="center"/>
        <w:rPr>
          <w:rFonts w:ascii="Arial" w:eastAsia="Arial" w:hAnsi="Arial" w:cs="Arial"/>
          <w:sz w:val="24"/>
          <w:szCs w:val="24"/>
        </w:rPr>
      </w:pPr>
      <w:r w:rsidRPr="001825CD">
        <w:rPr>
          <w:rFonts w:ascii="Arial" w:eastAsia="Arial" w:hAnsi="Arial" w:cs="Arial"/>
          <w:noProof/>
          <w:sz w:val="24"/>
          <w:szCs w:val="24"/>
        </w:rPr>
        <w:drawing>
          <wp:inline distT="0" distB="0" distL="0" distR="0" wp14:anchorId="7399DF40" wp14:editId="2F55B3A9">
            <wp:extent cx="4254482" cy="2943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4260730" cy="2947547"/>
                    </a:xfrm>
                    <a:prstGeom prst="rect">
                      <a:avLst/>
                    </a:prstGeom>
                    <a:noFill/>
                    <a:ln w="9525">
                      <a:noFill/>
                      <a:miter lim="800000"/>
                      <a:headEnd/>
                      <a:tailEnd/>
                    </a:ln>
                  </pic:spPr>
                </pic:pic>
              </a:graphicData>
            </a:graphic>
          </wp:inline>
        </w:drawing>
      </w:r>
    </w:p>
    <w:p w14:paraId="2F0BE223" w14:textId="7A096C16" w:rsidR="006428E4" w:rsidRPr="001825CD" w:rsidRDefault="007C072A" w:rsidP="00797A02">
      <w:pPr>
        <w:pStyle w:val="Heading2"/>
      </w:pPr>
      <w:bookmarkStart w:id="15" w:name="_Toc211068442"/>
      <w:bookmarkStart w:id="16" w:name="_Toc211545236"/>
      <w:r>
        <w:t xml:space="preserve">                                         </w:t>
      </w:r>
      <w:r w:rsidR="006428E4" w:rsidRPr="001825CD">
        <w:t>Figure 3: Gibbs reflective Cycle</w:t>
      </w:r>
      <w:bookmarkEnd w:id="15"/>
      <w:bookmarkEnd w:id="16"/>
    </w:p>
    <w:p w14:paraId="75EF3506" w14:textId="77777777" w:rsidR="006428E4" w:rsidRPr="001825CD" w:rsidRDefault="006428E4" w:rsidP="00D54131">
      <w:pPr>
        <w:pStyle w:val="Normal1"/>
        <w:pBdr>
          <w:top w:val="nil"/>
          <w:left w:val="nil"/>
          <w:bottom w:val="nil"/>
          <w:right w:val="nil"/>
          <w:between w:val="nil"/>
        </w:pBdr>
        <w:spacing w:after="120" w:line="360" w:lineRule="auto"/>
        <w:jc w:val="center"/>
        <w:rPr>
          <w:rFonts w:ascii="Arial" w:eastAsia="Arial" w:hAnsi="Arial" w:cs="Arial"/>
          <w:b/>
          <w:sz w:val="24"/>
          <w:szCs w:val="24"/>
        </w:rPr>
      </w:pPr>
      <w:r w:rsidRPr="001825CD">
        <w:rPr>
          <w:rFonts w:ascii="Arial" w:eastAsia="Arial" w:hAnsi="Arial" w:cs="Arial"/>
          <w:sz w:val="24"/>
          <w:szCs w:val="24"/>
        </w:rPr>
        <w:lastRenderedPageBreak/>
        <w:t xml:space="preserve">(Source: </w:t>
      </w:r>
      <w:r w:rsidRPr="001825CD">
        <w:rPr>
          <w:rFonts w:ascii="Arial" w:hAnsi="Arial" w:cs="Arial"/>
          <w:sz w:val="24"/>
        </w:rPr>
        <w:t>McLeod, 2025)</w:t>
      </w:r>
    </w:p>
    <w:p w14:paraId="74D21EFD" w14:textId="24528109" w:rsidR="003647B3" w:rsidRPr="001825CD" w:rsidRDefault="00A54BF7"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To begin with</w:t>
      </w:r>
      <w:r w:rsidR="00E47889" w:rsidRPr="001825CD">
        <w:rPr>
          <w:rFonts w:ascii="Arial" w:eastAsia="Arial" w:hAnsi="Arial" w:cs="Arial"/>
          <w:sz w:val="24"/>
          <w:szCs w:val="24"/>
        </w:rPr>
        <w:t xml:space="preserve">, I felt confident utilizing digital tools which makes </w:t>
      </w:r>
      <w:r w:rsidRPr="001825CD">
        <w:rPr>
          <w:rFonts w:ascii="Arial" w:eastAsia="Arial" w:hAnsi="Arial" w:cs="Arial"/>
          <w:sz w:val="24"/>
          <w:szCs w:val="24"/>
        </w:rPr>
        <w:t>it one</w:t>
      </w:r>
      <w:r w:rsidR="00E47889" w:rsidRPr="001825CD">
        <w:rPr>
          <w:rFonts w:ascii="Arial" w:eastAsia="Arial" w:hAnsi="Arial" w:cs="Arial"/>
          <w:sz w:val="24"/>
          <w:szCs w:val="24"/>
        </w:rPr>
        <w:t xml:space="preserve"> of my major strengths is in technological usage. As I am used to working in a critical environment with significant digital collaboration tools like Slack, and Microsoft Teams, I have been able to utilize these platforms more effectively to communicate and coordinate across various time zones. Evaluating this experience, I was able to consider how various new technologies can be applicable to academic and professional contexts. The analysis of these experiences further allowed me to consider various improvement actions. In reflecting on my own experience, I felt that I was a confident individual while expressing understanding in both speaking and written forms in English. In terms of evaluation, in a recent virtual collaboration of this term with peers from the UK and India, I was facing issues in </w:t>
      </w:r>
      <w:r w:rsidRPr="001825CD">
        <w:rPr>
          <w:rFonts w:ascii="Arial" w:eastAsia="Arial" w:hAnsi="Arial" w:cs="Arial"/>
          <w:sz w:val="24"/>
          <w:szCs w:val="24"/>
        </w:rPr>
        <w:t>analysing</w:t>
      </w:r>
      <w:r w:rsidR="00E47889" w:rsidRPr="001825CD">
        <w:rPr>
          <w:rFonts w:ascii="Arial" w:eastAsia="Arial" w:hAnsi="Arial" w:cs="Arial"/>
          <w:sz w:val="24"/>
          <w:szCs w:val="24"/>
        </w:rPr>
        <w:t xml:space="preserve"> the indirect feedback and diverse communication approaches. Although, I was later able to ask more clarifying questions and even listen actively. </w:t>
      </w:r>
      <w:r w:rsidRPr="001825CD">
        <w:rPr>
          <w:rFonts w:ascii="Arial" w:eastAsia="Arial" w:hAnsi="Arial" w:cs="Arial"/>
          <w:sz w:val="24"/>
          <w:szCs w:val="24"/>
        </w:rPr>
        <w:t>Analysing</w:t>
      </w:r>
      <w:r w:rsidR="00E47889" w:rsidRPr="001825CD">
        <w:rPr>
          <w:rFonts w:ascii="Arial" w:eastAsia="Arial" w:hAnsi="Arial" w:cs="Arial"/>
          <w:sz w:val="24"/>
          <w:szCs w:val="24"/>
        </w:rPr>
        <w:t xml:space="preserve"> it, made me understand that in an international context, communication is not limited only to language proficiency, as it also includes intercultural sensitivity and even empathy. From that day, as enhancement actions, I started to research and understand the context of international communication theories like Hofstede’s cultural dimensions to properly develop an understanding of how culture influences communication and even workplace approaches. I further aim to engage in more international communication opportunities to further enhance my skills.</w:t>
      </w:r>
    </w:p>
    <w:p w14:paraId="3BFBBAD5" w14:textId="77E4BBF0" w:rsidR="003647B3" w:rsidRPr="001825CD"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Reflecting on my experience of teamwork, I felt that I tend to have much better performances in collaborative approaches, especially if the tasks are properly defined. While evaluating my most recent academic projects, I was provided the role of facilitator, which also ensured the fact that deadlines were properly met. Although it is decisive to consider that I have further noticed that I can often face hesitations for delegation of tasks when I am liable for the complete quality of work outcomes. This is majorly due to the overwhelming pressure for responsibilities and can impact the inputs of others, eventually increasing my work pressure. Thus, to improve this area, I am focused on practicing a more distributed leadership style. As per </w:t>
      </w:r>
      <w:r w:rsidRPr="001825CD">
        <w:rPr>
          <w:rFonts w:ascii="Arial" w:eastAsia="Arial" w:hAnsi="Arial" w:cs="Arial"/>
          <w:sz w:val="24"/>
          <w:szCs w:val="24"/>
          <w:highlight w:val="white"/>
        </w:rPr>
        <w:t>Youngs and Evans</w:t>
      </w:r>
      <w:r w:rsidRPr="001825CD">
        <w:rPr>
          <w:rFonts w:ascii="Arial" w:eastAsia="Arial" w:hAnsi="Arial" w:cs="Arial"/>
          <w:sz w:val="24"/>
          <w:szCs w:val="24"/>
        </w:rPr>
        <w:t xml:space="preserve"> (2021), this will allow others to even take initiatives and share my workload to gain more beneficial results.</w:t>
      </w:r>
    </w:p>
    <w:p w14:paraId="433B5F03" w14:textId="59B79015" w:rsidR="003647B3"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lastRenderedPageBreak/>
        <w:t xml:space="preserve">In reflecting on my leadership context, I have felt that I aim to lead through collaboration in contrast to authority, which is focused on engagement and inclusion. The evaluation showcased that during my leadership in a student group, I ensured that everyone’s opinions were considered and also ensured to </w:t>
      </w:r>
      <w:r w:rsidR="001825CD" w:rsidRPr="001825CD">
        <w:rPr>
          <w:rFonts w:ascii="Arial" w:eastAsia="Arial" w:hAnsi="Arial" w:cs="Arial"/>
          <w:sz w:val="24"/>
          <w:szCs w:val="24"/>
        </w:rPr>
        <w:t>encourage</w:t>
      </w:r>
      <w:r w:rsidRPr="001825CD">
        <w:rPr>
          <w:rFonts w:ascii="Arial" w:eastAsia="Arial" w:hAnsi="Arial" w:cs="Arial"/>
          <w:sz w:val="24"/>
          <w:szCs w:val="24"/>
        </w:rPr>
        <w:t xml:space="preserve"> them for a more constructive level of feedback. Yet, I have also identified that I can be majorly cautious in decision-making processes. In case of international working environments, adaptability and rapid decision-making are required (</w:t>
      </w:r>
      <w:r w:rsidRPr="001825CD">
        <w:rPr>
          <w:rFonts w:ascii="Arial" w:eastAsia="Arial" w:hAnsi="Arial" w:cs="Arial"/>
          <w:sz w:val="24"/>
          <w:szCs w:val="24"/>
          <w:highlight w:val="white"/>
        </w:rPr>
        <w:t xml:space="preserve">Fakhri </w:t>
      </w:r>
      <w:r w:rsidRPr="001825CD">
        <w:rPr>
          <w:rFonts w:ascii="Arial" w:eastAsia="Arial" w:hAnsi="Arial" w:cs="Arial"/>
          <w:i/>
          <w:sz w:val="24"/>
          <w:szCs w:val="24"/>
          <w:highlight w:val="white"/>
        </w:rPr>
        <w:t xml:space="preserve">et al., </w:t>
      </w:r>
      <w:r w:rsidRPr="001825CD">
        <w:rPr>
          <w:rFonts w:ascii="Arial" w:eastAsia="Arial" w:hAnsi="Arial" w:cs="Arial"/>
          <w:sz w:val="24"/>
          <w:szCs w:val="24"/>
          <w:highlight w:val="white"/>
        </w:rPr>
        <w:t>2021</w:t>
      </w:r>
      <w:r w:rsidRPr="001825CD">
        <w:rPr>
          <w:rFonts w:ascii="Arial" w:eastAsia="Arial" w:hAnsi="Arial" w:cs="Arial"/>
          <w:sz w:val="24"/>
          <w:szCs w:val="24"/>
        </w:rPr>
        <w:t xml:space="preserve">). Finally, reflecting on my self-directed learning context, I felt that it has become my key support for professional growth. Evaluating this experience showcased me that, I have developed a potential habit for setting various goals for learning and tracking progress while seeking feedback from seniors and others. In this term, I utilized reflective journaling for the monitoring of my academic and personal level developments. </w:t>
      </w:r>
      <w:r w:rsidR="00A54BF7" w:rsidRPr="001825CD">
        <w:rPr>
          <w:rFonts w:ascii="Arial" w:eastAsia="Arial" w:hAnsi="Arial" w:cs="Arial"/>
          <w:sz w:val="24"/>
          <w:szCs w:val="24"/>
        </w:rPr>
        <w:t>It</w:t>
      </w:r>
      <w:r w:rsidRPr="001825CD">
        <w:rPr>
          <w:rFonts w:ascii="Arial" w:eastAsia="Arial" w:hAnsi="Arial" w:cs="Arial"/>
          <w:sz w:val="24"/>
          <w:szCs w:val="24"/>
        </w:rPr>
        <w:t xml:space="preserve"> showcased that this approach ensures my ability to effectively learn, which is a vital skill in the current global labour marketplace. Although, I face issues in often setting too ambitious learning targets, which can lead to my burnout. Thus, to overcome this, as future enhancement actions, I am planning to adopt more selective SMART goals, ensuring that each of the targets is specific, measurable, achievable, relevant, and time-bound.</w:t>
      </w:r>
    </w:p>
    <w:p w14:paraId="21F081E4" w14:textId="77777777" w:rsidR="007C072A" w:rsidRDefault="007C072A" w:rsidP="00D54131">
      <w:pPr>
        <w:pStyle w:val="Normal1"/>
        <w:pBdr>
          <w:top w:val="nil"/>
          <w:left w:val="nil"/>
          <w:bottom w:val="nil"/>
          <w:right w:val="nil"/>
          <w:between w:val="nil"/>
        </w:pBdr>
        <w:spacing w:after="120" w:line="360" w:lineRule="auto"/>
        <w:jc w:val="both"/>
        <w:rPr>
          <w:rFonts w:ascii="Arial" w:eastAsia="Arial" w:hAnsi="Arial" w:cs="Arial"/>
          <w:sz w:val="24"/>
          <w:szCs w:val="24"/>
        </w:rPr>
      </w:pPr>
    </w:p>
    <w:p w14:paraId="57B8C391" w14:textId="5C1B05F4" w:rsidR="003647B3" w:rsidRPr="00797A02" w:rsidRDefault="00E47889" w:rsidP="00797A02">
      <w:pPr>
        <w:pStyle w:val="Heading1"/>
      </w:pPr>
      <w:r w:rsidRPr="001825CD">
        <w:t xml:space="preserve"> </w:t>
      </w:r>
      <w:bookmarkStart w:id="17" w:name="_Toc211545013"/>
      <w:bookmarkStart w:id="18" w:name="_Toc211545237"/>
      <w:r w:rsidRPr="00797A02">
        <w:t>Conclusion</w:t>
      </w:r>
      <w:bookmarkEnd w:id="17"/>
      <w:bookmarkEnd w:id="18"/>
      <w:r w:rsidR="00667146">
        <w:t>.</w:t>
      </w:r>
    </w:p>
    <w:p w14:paraId="66336478" w14:textId="3607A277" w:rsidR="003647B3" w:rsidRPr="001825CD" w:rsidRDefault="00E47889" w:rsidP="00D54131">
      <w:pPr>
        <w:pStyle w:val="Normal1"/>
        <w:pBdr>
          <w:top w:val="nil"/>
          <w:left w:val="nil"/>
          <w:bottom w:val="nil"/>
          <w:right w:val="nil"/>
          <w:between w:val="nil"/>
        </w:pBdr>
        <w:spacing w:after="120" w:line="360" w:lineRule="auto"/>
        <w:jc w:val="both"/>
        <w:rPr>
          <w:rFonts w:ascii="Arial" w:eastAsia="Arial" w:hAnsi="Arial" w:cs="Arial"/>
          <w:sz w:val="24"/>
          <w:szCs w:val="24"/>
        </w:rPr>
      </w:pPr>
      <w:r w:rsidRPr="001825CD">
        <w:rPr>
          <w:rFonts w:ascii="Arial" w:eastAsia="Arial" w:hAnsi="Arial" w:cs="Arial"/>
          <w:sz w:val="24"/>
          <w:szCs w:val="24"/>
        </w:rPr>
        <w:t xml:space="preserve">This above report has shed light on the complete national and international labour markets and their influence on HRM and IHRM processes. The report has showcased how technological advancements like AI, automation, and robotics are changing the complete labour market and HR practices with the support of examples from a variety of renowned companies in the UK, namely EY, Shell, Tesco, and Unilever. Additionally, there need to have a global consistency with local adaptation in multinational companies with the support of AI and HR, although a flexibility to local labour laws and cultural norms is also important. The study also </w:t>
      </w:r>
      <w:r w:rsidR="001825CD" w:rsidRPr="001825CD">
        <w:rPr>
          <w:rFonts w:ascii="Arial" w:eastAsia="Arial" w:hAnsi="Arial" w:cs="Arial"/>
          <w:sz w:val="24"/>
          <w:szCs w:val="24"/>
        </w:rPr>
        <w:t>analysed</w:t>
      </w:r>
      <w:r w:rsidRPr="001825CD">
        <w:rPr>
          <w:rFonts w:ascii="Arial" w:eastAsia="Arial" w:hAnsi="Arial" w:cs="Arial"/>
          <w:sz w:val="24"/>
          <w:szCs w:val="24"/>
        </w:rPr>
        <w:t xml:space="preserve"> the influence of demographic like diverse generation gaps, and geopolitical like changes in regulations and sanctions can influence and develop major issues for HR managers. </w:t>
      </w:r>
    </w:p>
    <w:p w14:paraId="5CA244C8" w14:textId="77777777" w:rsidR="003647B3" w:rsidRPr="001825CD" w:rsidRDefault="00E47889" w:rsidP="00D54131">
      <w:pPr>
        <w:pStyle w:val="Normal1"/>
        <w:pBdr>
          <w:top w:val="nil"/>
          <w:left w:val="nil"/>
          <w:bottom w:val="nil"/>
          <w:right w:val="nil"/>
          <w:between w:val="nil"/>
        </w:pBdr>
        <w:spacing w:line="360" w:lineRule="auto"/>
        <w:rPr>
          <w:rFonts w:ascii="Arial" w:eastAsia="Arial" w:hAnsi="Arial" w:cs="Arial"/>
          <w:sz w:val="24"/>
          <w:szCs w:val="24"/>
        </w:rPr>
      </w:pPr>
      <w:r w:rsidRPr="001825CD">
        <w:br w:type="page"/>
      </w:r>
    </w:p>
    <w:p w14:paraId="3BC7C1C8" w14:textId="77777777" w:rsidR="0078300A" w:rsidRPr="00797A02" w:rsidRDefault="00E47889" w:rsidP="00797A02">
      <w:pPr>
        <w:pStyle w:val="Heading1"/>
      </w:pPr>
      <w:bookmarkStart w:id="19" w:name="_Toc211545014"/>
      <w:bookmarkStart w:id="20" w:name="_Toc211545238"/>
      <w:r w:rsidRPr="00797A02">
        <w:lastRenderedPageBreak/>
        <w:t>References</w:t>
      </w:r>
      <w:bookmarkEnd w:id="19"/>
      <w:bookmarkEnd w:id="20"/>
    </w:p>
    <w:p w14:paraId="0C998747" w14:textId="77777777" w:rsidR="00900F14" w:rsidRDefault="00900F14" w:rsidP="008E2C26">
      <w:pPr>
        <w:pStyle w:val="Normal10"/>
        <w:spacing w:before="240" w:after="240" w:line="360" w:lineRule="auto"/>
        <w:rPr>
          <w:rFonts w:ascii="Arial" w:eastAsia="Arial" w:hAnsi="Arial" w:cs="Arial"/>
          <w:color w:val="222222"/>
          <w:sz w:val="24"/>
          <w:szCs w:val="24"/>
          <w:highlight w:val="white"/>
        </w:rPr>
      </w:pPr>
      <w:r w:rsidRPr="008E2C26">
        <w:rPr>
          <w:rFonts w:ascii="Arial" w:eastAsia="Arial" w:hAnsi="Arial" w:cs="Arial"/>
          <w:color w:val="000000" w:themeColor="text1"/>
          <w:sz w:val="24"/>
          <w:szCs w:val="24"/>
          <w:highlight w:val="white"/>
        </w:rPr>
        <w:t xml:space="preserve">Al-Shahwani, T.M., (2020) Impact of AMO enhancing human resource management practices on sustainable competitive advantage in insurance companies in Qatar. </w:t>
      </w:r>
      <w:r w:rsidRPr="008E2C26">
        <w:rPr>
          <w:rFonts w:ascii="Arial" w:eastAsia="Arial" w:hAnsi="Arial" w:cs="Arial"/>
          <w:i/>
          <w:color w:val="000000" w:themeColor="text1"/>
          <w:sz w:val="24"/>
          <w:szCs w:val="24"/>
          <w:highlight w:val="white"/>
        </w:rPr>
        <w:t>Management Science Letters</w:t>
      </w:r>
      <w:r w:rsidRPr="008E2C26">
        <w:rPr>
          <w:rFonts w:ascii="Arial" w:eastAsia="Arial" w:hAnsi="Arial" w:cs="Arial"/>
          <w:color w:val="000000" w:themeColor="text1"/>
          <w:sz w:val="24"/>
          <w:szCs w:val="24"/>
          <w:highlight w:val="white"/>
        </w:rPr>
        <w:t xml:space="preserve">, </w:t>
      </w:r>
      <w:r w:rsidRPr="008E2C26">
        <w:rPr>
          <w:rFonts w:ascii="Arial" w:eastAsia="Arial" w:hAnsi="Arial" w:cs="Arial"/>
          <w:i/>
          <w:color w:val="000000" w:themeColor="text1"/>
          <w:sz w:val="24"/>
          <w:szCs w:val="24"/>
          <w:highlight w:val="white"/>
        </w:rPr>
        <w:t>10</w:t>
      </w:r>
      <w:r w:rsidRPr="008E2C26">
        <w:rPr>
          <w:rFonts w:ascii="Arial" w:eastAsia="Arial" w:hAnsi="Arial" w:cs="Arial"/>
          <w:color w:val="000000" w:themeColor="text1"/>
          <w:sz w:val="24"/>
          <w:szCs w:val="24"/>
          <w:highlight w:val="white"/>
        </w:rPr>
        <w:t>(8), pp.1827-1834</w:t>
      </w:r>
      <w:r>
        <w:rPr>
          <w:rFonts w:ascii="Arial" w:eastAsia="Arial" w:hAnsi="Arial" w:cs="Arial"/>
          <w:color w:val="222222"/>
          <w:sz w:val="24"/>
          <w:szCs w:val="24"/>
          <w:highlight w:val="white"/>
        </w:rPr>
        <w:t>.</w:t>
      </w:r>
      <w:hyperlink r:id="rId14">
        <w:r>
          <w:rPr>
            <w:rFonts w:ascii="Arial" w:eastAsia="Arial" w:hAnsi="Arial" w:cs="Arial"/>
            <w:color w:val="1155CC"/>
            <w:sz w:val="24"/>
            <w:szCs w:val="24"/>
            <w:highlight w:val="white"/>
            <w:u w:val="single"/>
          </w:rPr>
          <w:t>https://pdfs.semanticscholar.org/e4eb/ebee79064c0a37ea6d10802bd37a936ce8f4.pdf</w:t>
        </w:r>
      </w:hyperlink>
    </w:p>
    <w:p w14:paraId="78E77872"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Cipd. (2024). ‘Transforming the HR operating model: Tesco’ </w:t>
      </w:r>
      <w:r>
        <w:rPr>
          <w:rFonts w:ascii="Arial" w:eastAsia="Arial" w:hAnsi="Arial" w:cs="Arial"/>
          <w:i/>
          <w:color w:val="000000"/>
          <w:sz w:val="24"/>
          <w:szCs w:val="24"/>
        </w:rPr>
        <w:t>CIPD</w:t>
      </w:r>
      <w:r>
        <w:rPr>
          <w:rFonts w:ascii="Arial" w:eastAsia="Arial" w:hAnsi="Arial" w:cs="Arial"/>
          <w:color w:val="000000"/>
          <w:sz w:val="24"/>
          <w:szCs w:val="24"/>
        </w:rPr>
        <w:t xml:space="preserve">. Available at: </w:t>
      </w:r>
      <w:hyperlink r:id="rId15">
        <w:r>
          <w:rPr>
            <w:rFonts w:ascii="Arial" w:eastAsia="Arial" w:hAnsi="Arial" w:cs="Arial"/>
            <w:color w:val="0000FF"/>
            <w:sz w:val="24"/>
            <w:szCs w:val="24"/>
            <w:u w:val="single"/>
          </w:rPr>
          <w:t>https://www.cipd.org/en/knowledge/case-studies/operating-model-tesco</w:t>
        </w:r>
      </w:hyperlink>
      <w:r>
        <w:rPr>
          <w:rFonts w:ascii="Arial" w:eastAsia="Arial" w:hAnsi="Arial" w:cs="Arial"/>
          <w:color w:val="0000FF"/>
          <w:sz w:val="24"/>
          <w:szCs w:val="24"/>
        </w:rPr>
        <w:t xml:space="preserve"> </w:t>
      </w:r>
      <w:r>
        <w:rPr>
          <w:rFonts w:ascii="Arial" w:eastAsia="Arial" w:hAnsi="Arial" w:cs="Arial"/>
          <w:color w:val="000000"/>
          <w:sz w:val="24"/>
          <w:szCs w:val="24"/>
        </w:rPr>
        <w:t>(Accessed on 01 October 2025).</w:t>
      </w:r>
    </w:p>
    <w:p w14:paraId="63049C75"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222222"/>
          <w:sz w:val="24"/>
          <w:szCs w:val="24"/>
          <w:highlight w:val="white"/>
        </w:rPr>
      </w:pPr>
      <w:bookmarkStart w:id="21" w:name="_heading=h.j769b2hfipf" w:colFirst="0" w:colLast="0"/>
      <w:bookmarkEnd w:id="21"/>
      <w:r w:rsidRPr="008E2C26">
        <w:rPr>
          <w:rFonts w:ascii="Arial" w:eastAsia="Arial" w:hAnsi="Arial" w:cs="Arial"/>
          <w:color w:val="000000" w:themeColor="text1"/>
          <w:sz w:val="24"/>
          <w:szCs w:val="24"/>
          <w:highlight w:val="white"/>
        </w:rPr>
        <w:t>David, O., Hookers, A. and Day, J., (2025) Artificial Intelligence for Human Resource Management: Recruitment, Retention, and Performance</w:t>
      </w:r>
      <w:r>
        <w:rPr>
          <w:rFonts w:ascii="Arial" w:eastAsia="Arial" w:hAnsi="Arial" w:cs="Arial"/>
          <w:color w:val="222222"/>
          <w:sz w:val="24"/>
          <w:szCs w:val="24"/>
          <w:highlight w:val="white"/>
        </w:rPr>
        <w:t>.</w:t>
      </w:r>
      <w:hyperlink r:id="rId16">
        <w:r>
          <w:rPr>
            <w:rFonts w:ascii="Arial" w:eastAsia="Arial" w:hAnsi="Arial" w:cs="Arial"/>
            <w:color w:val="1155CC"/>
            <w:sz w:val="24"/>
            <w:szCs w:val="24"/>
            <w:highlight w:val="white"/>
            <w:u w:val="single"/>
          </w:rPr>
          <w:t>https://www.researchgate.net/profile/Blessing-Idowu/publication/396179996_Artificial_Intelligence_for_Human_Resource_Management_Recruitment_Retention_and_Performance_Author/links/68e08556ffdca73694b54e97/Artificial-Intelligence-for-Human-Resource-Management-Recruitment-Retention-and-Performance-Author.pdf</w:t>
        </w:r>
      </w:hyperlink>
    </w:p>
    <w:p w14:paraId="42F315D6"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222222"/>
          <w:sz w:val="24"/>
          <w:szCs w:val="24"/>
          <w:highlight w:val="white"/>
        </w:rPr>
      </w:pPr>
      <w:r w:rsidRPr="008E2C26">
        <w:rPr>
          <w:rFonts w:ascii="Arial" w:eastAsia="Arial" w:hAnsi="Arial" w:cs="Arial"/>
          <w:color w:val="000000" w:themeColor="text1"/>
          <w:sz w:val="24"/>
          <w:szCs w:val="24"/>
          <w:highlight w:val="white"/>
        </w:rPr>
        <w:t xml:space="preserve">Do, H., Duong, K.T., Huynh, L.D.T. and Vu, N.T., (2025) The Real Effects of Brexit on Labor Demand: Evidence from Firm-level Data. </w:t>
      </w:r>
      <w:r w:rsidRPr="008E2C26">
        <w:rPr>
          <w:rFonts w:ascii="Arial" w:eastAsia="Arial" w:hAnsi="Arial" w:cs="Arial"/>
          <w:i/>
          <w:color w:val="000000" w:themeColor="text1"/>
          <w:sz w:val="24"/>
          <w:szCs w:val="24"/>
          <w:highlight w:val="white"/>
        </w:rPr>
        <w:t>Available at SSRN 5257575</w:t>
      </w:r>
      <w:r>
        <w:rPr>
          <w:rFonts w:ascii="Arial" w:eastAsia="Arial" w:hAnsi="Arial" w:cs="Arial"/>
          <w:color w:val="222222"/>
          <w:sz w:val="24"/>
          <w:szCs w:val="24"/>
          <w:highlight w:val="white"/>
        </w:rPr>
        <w:t>.</w:t>
      </w:r>
      <w:hyperlink r:id="rId17">
        <w:r>
          <w:rPr>
            <w:rFonts w:ascii="Arial" w:eastAsia="Arial" w:hAnsi="Arial" w:cs="Arial"/>
            <w:color w:val="1155CC"/>
            <w:sz w:val="24"/>
            <w:szCs w:val="24"/>
            <w:highlight w:val="white"/>
            <w:u w:val="single"/>
          </w:rPr>
          <w:t>https://papers.ssrn.com/sol3/Delivery.cfm?abstractid=5257575</w:t>
        </w:r>
      </w:hyperlink>
    </w:p>
    <w:p w14:paraId="02998AB6"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Eubanks, B., (2025) ‘</w:t>
      </w:r>
      <w:r>
        <w:rPr>
          <w:rFonts w:ascii="Arial" w:eastAsia="Arial" w:hAnsi="Arial" w:cs="Arial"/>
          <w:i/>
          <w:color w:val="222222"/>
          <w:sz w:val="24"/>
          <w:szCs w:val="24"/>
          <w:highlight w:val="white"/>
        </w:rPr>
        <w:t>Artificial intelligence for HR: Use AI to support and develop a successful workforce’</w:t>
      </w:r>
      <w:r>
        <w:rPr>
          <w:rFonts w:ascii="Arial" w:eastAsia="Arial" w:hAnsi="Arial" w:cs="Arial"/>
          <w:color w:val="222222"/>
          <w:sz w:val="24"/>
          <w:szCs w:val="24"/>
          <w:highlight w:val="white"/>
        </w:rPr>
        <w:t xml:space="preserve">. Kogan Page Publishers. </w:t>
      </w:r>
      <w:r>
        <w:rPr>
          <w:rFonts w:ascii="Arial" w:eastAsia="Arial" w:hAnsi="Arial" w:cs="Arial"/>
          <w:color w:val="000000"/>
          <w:sz w:val="24"/>
          <w:szCs w:val="24"/>
        </w:rPr>
        <w:t xml:space="preserve">Available at: </w:t>
      </w:r>
      <w:hyperlink r:id="rId18">
        <w:r>
          <w:rPr>
            <w:rFonts w:ascii="Arial" w:eastAsia="Arial" w:hAnsi="Arial" w:cs="Arial"/>
            <w:color w:val="0000FF"/>
            <w:sz w:val="24"/>
            <w:szCs w:val="24"/>
            <w:highlight w:val="white"/>
            <w:u w:val="single"/>
          </w:rPr>
          <w:t>https://books.google.com/books?hl=en&amp;lr=&amp;id=Wf2AEQAAQBAJ&amp;oi=fnd&amp;pg=PP1&amp;dq=HR+operating+models+need+to+become+more+digital+through+AI+assistance&amp;ots=fMCGC8HxoC&amp;sig=iV7yQ04cngu0Wp-hc95iOmHmn84</w:t>
        </w:r>
      </w:hyperlink>
      <w:r>
        <w:rPr>
          <w:rFonts w:ascii="Arial" w:eastAsia="Arial" w:hAnsi="Arial" w:cs="Arial"/>
          <w:color w:val="222222"/>
          <w:sz w:val="24"/>
          <w:szCs w:val="24"/>
          <w:highlight w:val="white"/>
        </w:rPr>
        <w:t xml:space="preserve"> </w:t>
      </w:r>
    </w:p>
    <w:p w14:paraId="576B2508"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EY. (2024, May). ‘EY Assurance releases new technology capabilities, strengthening confidence and trust’ </w:t>
      </w:r>
      <w:r>
        <w:rPr>
          <w:rFonts w:ascii="Arial" w:eastAsia="Arial" w:hAnsi="Arial" w:cs="Arial"/>
          <w:i/>
          <w:color w:val="000000"/>
          <w:sz w:val="24"/>
          <w:szCs w:val="24"/>
        </w:rPr>
        <w:t>EY</w:t>
      </w:r>
      <w:r>
        <w:rPr>
          <w:rFonts w:ascii="Arial" w:eastAsia="Arial" w:hAnsi="Arial" w:cs="Arial"/>
          <w:color w:val="000000"/>
          <w:sz w:val="24"/>
          <w:szCs w:val="24"/>
        </w:rPr>
        <w:t xml:space="preserve">. Available at: </w:t>
      </w:r>
      <w:hyperlink r:id="rId19">
        <w:r>
          <w:rPr>
            <w:rFonts w:ascii="Arial" w:eastAsia="Arial" w:hAnsi="Arial" w:cs="Arial"/>
            <w:color w:val="0000FF"/>
            <w:sz w:val="24"/>
            <w:szCs w:val="24"/>
            <w:u w:val="single"/>
          </w:rPr>
          <w:t>https://www.ey.com/en_gl/newsroom/2024/05/ey-asurance-releases-new-technology-capabilities-strengthening-confidence-and-trust</w:t>
        </w:r>
      </w:hyperlink>
      <w:r>
        <w:rPr>
          <w:rFonts w:ascii="Arial" w:eastAsia="Arial" w:hAnsi="Arial" w:cs="Arial"/>
          <w:color w:val="0000FF"/>
          <w:sz w:val="24"/>
          <w:szCs w:val="24"/>
          <w:u w:val="single"/>
        </w:rPr>
        <w:t xml:space="preserve"> </w:t>
      </w:r>
      <w:r>
        <w:rPr>
          <w:rFonts w:ascii="Arial" w:eastAsia="Arial" w:hAnsi="Arial" w:cs="Arial"/>
          <w:color w:val="000000"/>
          <w:sz w:val="24"/>
          <w:szCs w:val="24"/>
        </w:rPr>
        <w:t>(Accessed on 25 September 2025).</w:t>
      </w:r>
    </w:p>
    <w:p w14:paraId="44789799"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bookmarkStart w:id="22" w:name="_heading=h.hoqlow42o7a0" w:colFirst="0" w:colLast="0"/>
      <w:bookmarkEnd w:id="22"/>
      <w:r>
        <w:rPr>
          <w:rFonts w:ascii="Arial" w:eastAsia="Arial" w:hAnsi="Arial" w:cs="Arial"/>
          <w:color w:val="000000"/>
          <w:sz w:val="24"/>
          <w:szCs w:val="24"/>
        </w:rPr>
        <w:lastRenderedPageBreak/>
        <w:t xml:space="preserve">Ey. (2025). ‘EY.ai Workforce: digital worker platform for the HR function’ </w:t>
      </w:r>
      <w:r>
        <w:rPr>
          <w:rFonts w:ascii="Arial" w:eastAsia="Arial" w:hAnsi="Arial" w:cs="Arial"/>
          <w:i/>
          <w:color w:val="000000"/>
          <w:sz w:val="24"/>
          <w:szCs w:val="24"/>
        </w:rPr>
        <w:t>EY</w:t>
      </w:r>
      <w:r>
        <w:rPr>
          <w:rFonts w:ascii="Arial" w:eastAsia="Arial" w:hAnsi="Arial" w:cs="Arial"/>
          <w:color w:val="000000"/>
          <w:sz w:val="24"/>
          <w:szCs w:val="24"/>
        </w:rPr>
        <w:t xml:space="preserve">. Available at: </w:t>
      </w:r>
      <w:hyperlink r:id="rId20" w:anchor=":~:text=Unlock%20capacity%20and%20increase%20your,complete%20HR%20work%20and%20processes">
        <w:r>
          <w:rPr>
            <w:rFonts w:ascii="Arial" w:eastAsia="Arial" w:hAnsi="Arial" w:cs="Arial"/>
            <w:color w:val="0000FF"/>
            <w:sz w:val="24"/>
            <w:szCs w:val="24"/>
            <w:u w:val="single"/>
          </w:rPr>
          <w:t>https://www.ey.com/en_uk/services/workforce/ey-ai-workforce-digital-worker-platform-hr-function#:~:text=Unlock%20capacity%20and%20increase%20your,complete%20HR%20work%20and%20processes</w:t>
        </w:r>
      </w:hyperlink>
      <w:r>
        <w:rPr>
          <w:rFonts w:ascii="Arial" w:eastAsia="Arial" w:hAnsi="Arial" w:cs="Arial"/>
          <w:color w:val="000000"/>
          <w:sz w:val="24"/>
          <w:szCs w:val="24"/>
        </w:rPr>
        <w:t>. (Accessed on 30 September 2025).</w:t>
      </w:r>
    </w:p>
    <w:p w14:paraId="615CA471" w14:textId="708E9583" w:rsidR="00900F14" w:rsidRDefault="00900F14" w:rsidP="008E2C26">
      <w:pPr>
        <w:pStyle w:val="Normal10"/>
        <w:pBdr>
          <w:top w:val="nil"/>
          <w:left w:val="nil"/>
          <w:bottom w:val="nil"/>
          <w:right w:val="nil"/>
          <w:between w:val="nil"/>
        </w:pBdr>
        <w:spacing w:line="360" w:lineRule="auto"/>
        <w:rPr>
          <w:rFonts w:ascii="Arial" w:eastAsia="Arial" w:hAnsi="Arial" w:cs="Arial"/>
          <w:color w:val="FF0000"/>
          <w:sz w:val="24"/>
          <w:szCs w:val="24"/>
          <w:highlight w:val="white"/>
        </w:rPr>
      </w:pPr>
      <w:r>
        <w:rPr>
          <w:rFonts w:ascii="Arial" w:eastAsia="Arial" w:hAnsi="Arial" w:cs="Arial"/>
          <w:color w:val="222222"/>
          <w:sz w:val="24"/>
          <w:szCs w:val="24"/>
          <w:highlight w:val="white"/>
        </w:rPr>
        <w:t xml:space="preserve">Fakhri, M., SYARIFUDDIN, S., WINARNO, A., NURNIDA, I. and HANUM, S., (2021) ‘Democratic leadership practice to construct clan organizational culture in family companies’ </w:t>
      </w:r>
      <w:r w:rsidR="008E2C26">
        <w:rPr>
          <w:rFonts w:ascii="Arial" w:eastAsia="Arial" w:hAnsi="Arial" w:cs="Arial"/>
          <w:i/>
          <w:color w:val="222222"/>
          <w:sz w:val="24"/>
          <w:szCs w:val="24"/>
          <w:highlight w:val="white"/>
        </w:rPr>
        <w:t>the</w:t>
      </w:r>
      <w:r>
        <w:rPr>
          <w:rFonts w:ascii="Arial" w:eastAsia="Arial" w:hAnsi="Arial" w:cs="Arial"/>
          <w:i/>
          <w:color w:val="222222"/>
          <w:sz w:val="24"/>
          <w:szCs w:val="24"/>
          <w:highlight w:val="white"/>
        </w:rPr>
        <w:t xml:space="preserve"> journal of Asian finance, economics and business</w:t>
      </w:r>
      <w:r>
        <w:rPr>
          <w:rFonts w:ascii="Arial" w:eastAsia="Arial" w:hAnsi="Arial" w:cs="Arial"/>
          <w:color w:val="222222"/>
          <w:sz w:val="24"/>
          <w:szCs w:val="24"/>
          <w:highlight w:val="white"/>
        </w:rPr>
        <w:t>, </w:t>
      </w:r>
      <w:r>
        <w:rPr>
          <w:rFonts w:ascii="Arial" w:eastAsia="Arial" w:hAnsi="Arial" w:cs="Arial"/>
          <w:i/>
          <w:color w:val="222222"/>
          <w:sz w:val="24"/>
          <w:szCs w:val="24"/>
          <w:highlight w:val="white"/>
        </w:rPr>
        <w:t>8</w:t>
      </w:r>
      <w:r>
        <w:rPr>
          <w:rFonts w:ascii="Arial" w:eastAsia="Arial" w:hAnsi="Arial" w:cs="Arial"/>
          <w:color w:val="222222"/>
          <w:sz w:val="24"/>
          <w:szCs w:val="24"/>
          <w:highlight w:val="white"/>
        </w:rPr>
        <w:t xml:space="preserve">(1), pp.803-811. </w:t>
      </w:r>
      <w:r>
        <w:rPr>
          <w:rFonts w:ascii="Arial" w:eastAsia="Arial" w:hAnsi="Arial" w:cs="Arial"/>
          <w:color w:val="000000"/>
          <w:sz w:val="24"/>
          <w:szCs w:val="24"/>
        </w:rPr>
        <w:t>Available at:</w:t>
      </w:r>
      <w:r w:rsidRPr="008E2C26">
        <w:rPr>
          <w:rFonts w:ascii="Arial" w:eastAsia="Arial" w:hAnsi="Arial" w:cs="Arial"/>
          <w:color w:val="7030A0"/>
          <w:sz w:val="24"/>
          <w:szCs w:val="24"/>
        </w:rPr>
        <w:t xml:space="preserve"> </w:t>
      </w:r>
      <w:hyperlink r:id="rId21">
        <w:r w:rsidRPr="008E2C26">
          <w:rPr>
            <w:rFonts w:ascii="Arial" w:eastAsia="Arial" w:hAnsi="Arial" w:cs="Arial"/>
            <w:color w:val="7030A0"/>
            <w:sz w:val="24"/>
            <w:szCs w:val="24"/>
            <w:u w:val="single"/>
          </w:rPr>
          <w:t>https://doi.org/10.13106/jafeb.2021.vol8.no1.803</w:t>
        </w:r>
      </w:hyperlink>
      <w:r>
        <w:rPr>
          <w:rFonts w:ascii="Arial" w:eastAsia="Arial" w:hAnsi="Arial" w:cs="Arial"/>
          <w:color w:val="1F497D"/>
          <w:sz w:val="24"/>
          <w:szCs w:val="24"/>
          <w:u w:val="single"/>
        </w:rPr>
        <w:t xml:space="preserve"> </w:t>
      </w:r>
    </w:p>
    <w:p w14:paraId="3A1D776A"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Faugoo, D., (2024). ‘Talent management for achievement of organizational supremacy: The case of reputed global multinationals that have achieved unparalleled success through superior talent management’ </w:t>
      </w:r>
      <w:r>
        <w:rPr>
          <w:rFonts w:ascii="Arial" w:eastAsia="Arial" w:hAnsi="Arial" w:cs="Arial"/>
          <w:i/>
          <w:color w:val="000000"/>
          <w:sz w:val="24"/>
          <w:szCs w:val="24"/>
        </w:rPr>
        <w:t>International Journal of Business and Technology Management</w:t>
      </w:r>
      <w:r>
        <w:rPr>
          <w:rFonts w:ascii="Arial" w:eastAsia="Arial" w:hAnsi="Arial" w:cs="Arial"/>
          <w:color w:val="000000"/>
          <w:sz w:val="24"/>
          <w:szCs w:val="24"/>
        </w:rPr>
        <w:t xml:space="preserve">, 6(3), pp.753-764. Available at: </w:t>
      </w:r>
      <w:hyperlink r:id="rId22">
        <w:r>
          <w:rPr>
            <w:rFonts w:ascii="Arial" w:eastAsia="Arial" w:hAnsi="Arial" w:cs="Arial"/>
            <w:color w:val="0000FF"/>
            <w:sz w:val="24"/>
            <w:szCs w:val="24"/>
            <w:u w:val="single"/>
          </w:rPr>
          <w:t>https://www.researchgate.net/publication/382909567_Talent_Management_for_Achievement_of_Organizational_Supremacy_The_Case_of_Reputed_Global_Multinationals_That_Have_Achieved_Unparalleled_Success_Through_Superior_Talent_Management</w:t>
        </w:r>
      </w:hyperlink>
      <w:r>
        <w:rPr>
          <w:rFonts w:ascii="Arial" w:eastAsia="Arial" w:hAnsi="Arial" w:cs="Arial"/>
          <w:color w:val="000000"/>
          <w:sz w:val="24"/>
          <w:szCs w:val="24"/>
        </w:rPr>
        <w:t xml:space="preserve"> </w:t>
      </w:r>
    </w:p>
    <w:p w14:paraId="177AFAB9"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Gov.uk. (2023, November 28). ‘Employment’ </w:t>
      </w:r>
      <w:r>
        <w:rPr>
          <w:rFonts w:ascii="Arial" w:eastAsia="Arial" w:hAnsi="Arial" w:cs="Arial"/>
          <w:i/>
          <w:color w:val="000000"/>
          <w:sz w:val="24"/>
          <w:szCs w:val="24"/>
        </w:rPr>
        <w:t>GOV.UK</w:t>
      </w:r>
      <w:r>
        <w:rPr>
          <w:rFonts w:ascii="Arial" w:eastAsia="Arial" w:hAnsi="Arial" w:cs="Arial"/>
          <w:color w:val="000000"/>
          <w:sz w:val="24"/>
          <w:szCs w:val="24"/>
        </w:rPr>
        <w:t xml:space="preserve">. Available at: </w:t>
      </w:r>
      <w:hyperlink r:id="rId23">
        <w:r>
          <w:rPr>
            <w:rFonts w:ascii="Arial" w:eastAsia="Arial" w:hAnsi="Arial" w:cs="Arial"/>
            <w:color w:val="0000FF"/>
            <w:sz w:val="24"/>
            <w:szCs w:val="24"/>
            <w:u w:val="single"/>
          </w:rPr>
          <w:t>https://www.ethnicity-facts-figures.service.gov.uk/work-pay-and-benefits/employment/employment/latest/</w:t>
        </w:r>
      </w:hyperlink>
      <w:r>
        <w:rPr>
          <w:rFonts w:ascii="Arial" w:eastAsia="Arial" w:hAnsi="Arial" w:cs="Arial"/>
          <w:color w:val="0000FF"/>
          <w:sz w:val="24"/>
          <w:szCs w:val="24"/>
          <w:u w:val="single"/>
        </w:rPr>
        <w:t xml:space="preserve"> </w:t>
      </w:r>
      <w:r>
        <w:rPr>
          <w:rFonts w:ascii="Arial" w:eastAsia="Arial" w:hAnsi="Arial" w:cs="Arial"/>
          <w:color w:val="000000"/>
          <w:sz w:val="24"/>
          <w:szCs w:val="24"/>
        </w:rPr>
        <w:t>(Accessed on 01 October 2025).</w:t>
      </w:r>
    </w:p>
    <w:p w14:paraId="63F13D2F"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FF"/>
          <w:sz w:val="24"/>
          <w:szCs w:val="24"/>
        </w:rPr>
      </w:pPr>
      <w:r>
        <w:rPr>
          <w:rFonts w:ascii="Arial" w:eastAsia="Arial" w:hAnsi="Arial" w:cs="Arial"/>
          <w:color w:val="000000"/>
          <w:sz w:val="24"/>
          <w:szCs w:val="24"/>
        </w:rPr>
        <w:t xml:space="preserve">Kanike, U.K., (2023) ‘Factors disrupting supply chain management in manufacturing industries’ </w:t>
      </w:r>
      <w:r>
        <w:rPr>
          <w:rFonts w:ascii="Arial" w:eastAsia="Arial" w:hAnsi="Arial" w:cs="Arial"/>
          <w:i/>
          <w:color w:val="000000"/>
          <w:sz w:val="24"/>
          <w:szCs w:val="24"/>
        </w:rPr>
        <w:t>Journal of Supply Chain Management Science,</w:t>
      </w:r>
      <w:r>
        <w:rPr>
          <w:rFonts w:ascii="Arial" w:eastAsia="Arial" w:hAnsi="Arial" w:cs="Arial"/>
          <w:color w:val="000000"/>
          <w:sz w:val="24"/>
          <w:szCs w:val="24"/>
        </w:rPr>
        <w:t> 4(1-2), pp.1-24. Available at:</w:t>
      </w:r>
      <w:r>
        <w:rPr>
          <w:rFonts w:ascii="Arial" w:eastAsia="Arial" w:hAnsi="Arial" w:cs="Arial"/>
          <w:color w:val="0000FF"/>
          <w:sz w:val="24"/>
          <w:szCs w:val="24"/>
        </w:rPr>
        <w:t xml:space="preserve"> </w:t>
      </w:r>
      <w:hyperlink r:id="rId24">
        <w:r>
          <w:rPr>
            <w:rFonts w:ascii="Arial" w:eastAsia="Arial" w:hAnsi="Arial" w:cs="Arial"/>
            <w:color w:val="0000FF"/>
            <w:sz w:val="24"/>
            <w:szCs w:val="24"/>
            <w:highlight w:val="white"/>
            <w:u w:val="single"/>
          </w:rPr>
          <w:t>https://doi.org/10.18757/jscms.2023.6986</w:t>
        </w:r>
      </w:hyperlink>
      <w:r>
        <w:rPr>
          <w:rFonts w:ascii="Arial" w:eastAsia="Arial" w:hAnsi="Arial" w:cs="Arial"/>
          <w:color w:val="0000FF"/>
          <w:sz w:val="24"/>
          <w:szCs w:val="24"/>
        </w:rPr>
        <w:t xml:space="preserve"> </w:t>
      </w:r>
    </w:p>
    <w:p w14:paraId="38C513D5"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Karatas, B., (2021) ‘The project of development of human resource management system for a chosen company'. Available at: </w:t>
      </w:r>
      <w:hyperlink r:id="rId25">
        <w:r>
          <w:rPr>
            <w:rFonts w:ascii="Arial" w:eastAsia="Arial" w:hAnsi="Arial" w:cs="Arial"/>
            <w:color w:val="0000FF"/>
            <w:sz w:val="24"/>
            <w:szCs w:val="24"/>
            <w:u w:val="single"/>
          </w:rPr>
          <w:t>https://digilib.k.utb.cz/bitstream/handle/10563/47414/karatas_2021_dp.pdf?sequence=-1</w:t>
        </w:r>
      </w:hyperlink>
      <w:r>
        <w:rPr>
          <w:rFonts w:ascii="Arial" w:eastAsia="Arial" w:hAnsi="Arial" w:cs="Arial"/>
          <w:color w:val="000000"/>
          <w:sz w:val="24"/>
          <w:szCs w:val="24"/>
        </w:rPr>
        <w:t xml:space="preserve"> </w:t>
      </w:r>
    </w:p>
    <w:p w14:paraId="7B96B176"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Kıcır, G.K., (2024) ‘The New Silence Trend for Businesses: Quiet Hiring’ </w:t>
      </w:r>
      <w:r>
        <w:rPr>
          <w:rFonts w:ascii="Arial" w:eastAsia="Arial" w:hAnsi="Arial" w:cs="Arial"/>
          <w:i/>
          <w:color w:val="000000"/>
          <w:sz w:val="24"/>
          <w:szCs w:val="24"/>
        </w:rPr>
        <w:t>İşletme Bilimi Dergisi, 12</w:t>
      </w:r>
      <w:r>
        <w:rPr>
          <w:rFonts w:ascii="Arial" w:eastAsia="Arial" w:hAnsi="Arial" w:cs="Arial"/>
          <w:color w:val="000000"/>
          <w:sz w:val="24"/>
          <w:szCs w:val="24"/>
        </w:rPr>
        <w:t xml:space="preserve">(3), pp.359-369. Available at: </w:t>
      </w:r>
      <w:hyperlink r:id="rId26">
        <w:r>
          <w:rPr>
            <w:rFonts w:ascii="Arial" w:eastAsia="Arial" w:hAnsi="Arial" w:cs="Arial"/>
            <w:color w:val="0000FF"/>
            <w:sz w:val="24"/>
            <w:szCs w:val="24"/>
            <w:u w:val="single"/>
          </w:rPr>
          <w:t>https://dergipark.org.tr/en/download/article-file/4100804</w:t>
        </w:r>
      </w:hyperlink>
      <w:r>
        <w:rPr>
          <w:rFonts w:ascii="Arial" w:eastAsia="Arial" w:hAnsi="Arial" w:cs="Arial"/>
          <w:color w:val="000000"/>
          <w:sz w:val="24"/>
          <w:szCs w:val="24"/>
        </w:rPr>
        <w:t xml:space="preserve"> </w:t>
      </w:r>
    </w:p>
    <w:p w14:paraId="5F22E8F6"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Lewissilkin, (2025) </w:t>
      </w:r>
      <w:r>
        <w:rPr>
          <w:rFonts w:ascii="Arial" w:eastAsia="Arial" w:hAnsi="Arial" w:cs="Arial"/>
          <w:i/>
          <w:color w:val="000000"/>
          <w:sz w:val="24"/>
          <w:szCs w:val="24"/>
        </w:rPr>
        <w:t>‘Changing demographics and ageing workforces in the UK’</w:t>
      </w:r>
      <w:r>
        <w:rPr>
          <w:rFonts w:ascii="Arial" w:eastAsia="Arial" w:hAnsi="Arial" w:cs="Arial"/>
          <w:color w:val="000000"/>
          <w:sz w:val="24"/>
          <w:szCs w:val="24"/>
        </w:rPr>
        <w:t xml:space="preserve">. Available at: </w:t>
      </w:r>
      <w:hyperlink r:id="rId27">
        <w:r>
          <w:rPr>
            <w:rFonts w:ascii="Arial" w:eastAsia="Arial" w:hAnsi="Arial" w:cs="Arial"/>
            <w:color w:val="0000FF"/>
            <w:sz w:val="24"/>
            <w:szCs w:val="24"/>
            <w:u w:val="single"/>
          </w:rPr>
          <w:t>https://www.lewissilkin.com/our-thinking/future-of-work-hub/insights/2025/05/19/changing-demographics-and-ageing-workforces</w:t>
        </w:r>
      </w:hyperlink>
      <w:r>
        <w:rPr>
          <w:rFonts w:ascii="Arial" w:eastAsia="Arial" w:hAnsi="Arial" w:cs="Arial"/>
          <w:color w:val="0000FF"/>
          <w:sz w:val="24"/>
          <w:szCs w:val="24"/>
          <w:u w:val="single"/>
        </w:rPr>
        <w:t xml:space="preserve"> </w:t>
      </w:r>
      <w:r>
        <w:rPr>
          <w:rFonts w:ascii="Arial" w:eastAsia="Arial" w:hAnsi="Arial" w:cs="Arial"/>
          <w:color w:val="000000"/>
          <w:sz w:val="24"/>
          <w:szCs w:val="24"/>
        </w:rPr>
        <w:t>(Accessed on 02 October 2025).</w:t>
      </w:r>
    </w:p>
    <w:p w14:paraId="59501130" w14:textId="65FE8B1E"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Ljungkvist, H. and Moore, M., (2023) ‘</w:t>
      </w:r>
      <w:r w:rsidR="008E2C26">
        <w:rPr>
          <w:rFonts w:ascii="Arial" w:eastAsia="Arial" w:hAnsi="Arial" w:cs="Arial"/>
          <w:color w:val="000000"/>
          <w:sz w:val="24"/>
          <w:szCs w:val="24"/>
        </w:rPr>
        <w:t>the</w:t>
      </w:r>
      <w:r>
        <w:rPr>
          <w:rFonts w:ascii="Arial" w:eastAsia="Arial" w:hAnsi="Arial" w:cs="Arial"/>
          <w:color w:val="000000"/>
          <w:sz w:val="24"/>
          <w:szCs w:val="24"/>
        </w:rPr>
        <w:t xml:space="preserve"> challenges of achieving work-life balance in the digital age: A study of young professionals: Exploring the impact of new ways of working on early career adults’. Available at: </w:t>
      </w:r>
      <w:hyperlink r:id="rId28">
        <w:r>
          <w:rPr>
            <w:rFonts w:ascii="Arial" w:eastAsia="Arial" w:hAnsi="Arial" w:cs="Arial"/>
            <w:color w:val="0000FF"/>
            <w:sz w:val="24"/>
            <w:szCs w:val="24"/>
            <w:u w:val="single"/>
          </w:rPr>
          <w:t>https://www.diva-portal.org/smash/get/diva2:1769245/FULLTEXT02</w:t>
        </w:r>
      </w:hyperlink>
      <w:r>
        <w:rPr>
          <w:rFonts w:ascii="Arial" w:eastAsia="Arial" w:hAnsi="Arial" w:cs="Arial"/>
          <w:color w:val="000000"/>
          <w:sz w:val="24"/>
          <w:szCs w:val="24"/>
        </w:rPr>
        <w:t xml:space="preserve"> </w:t>
      </w:r>
    </w:p>
    <w:p w14:paraId="6FB046E3" w14:textId="77777777" w:rsidR="00900F14" w:rsidRDefault="00900F14" w:rsidP="008E2C26">
      <w:pPr>
        <w:pStyle w:val="Normal10"/>
        <w:spacing w:before="240" w:after="240" w:line="360" w:lineRule="auto"/>
        <w:rPr>
          <w:rFonts w:ascii="Arial" w:eastAsia="Arial" w:hAnsi="Arial" w:cs="Arial"/>
          <w:color w:val="1155CC"/>
          <w:sz w:val="24"/>
          <w:szCs w:val="24"/>
          <w:highlight w:val="white"/>
          <w:u w:val="single"/>
        </w:rPr>
      </w:pPr>
      <w:r w:rsidRPr="008E2C26">
        <w:rPr>
          <w:rFonts w:ascii="Arial" w:eastAsia="Arial" w:hAnsi="Arial" w:cs="Arial"/>
          <w:color w:val="000000" w:themeColor="text1"/>
          <w:sz w:val="24"/>
          <w:szCs w:val="24"/>
          <w:highlight w:val="white"/>
        </w:rPr>
        <w:t>Mckinsey, (2025). The critical role of strategic workforce planning in the age of AI. Available at:</w:t>
      </w:r>
      <w:hyperlink r:id="rId29">
        <w:r>
          <w:rPr>
            <w:rFonts w:ascii="Arial" w:eastAsia="Arial" w:hAnsi="Arial" w:cs="Arial"/>
            <w:color w:val="222222"/>
            <w:sz w:val="24"/>
            <w:szCs w:val="24"/>
            <w:highlight w:val="white"/>
          </w:rPr>
          <w:t xml:space="preserve"> </w:t>
        </w:r>
      </w:hyperlink>
      <w:hyperlink r:id="rId30">
        <w:r>
          <w:rPr>
            <w:rFonts w:ascii="Arial" w:eastAsia="Arial" w:hAnsi="Arial" w:cs="Arial"/>
            <w:color w:val="1155CC"/>
            <w:sz w:val="24"/>
            <w:szCs w:val="24"/>
            <w:highlight w:val="white"/>
            <w:u w:val="single"/>
          </w:rPr>
          <w:t>https://www.mckinsey.com/capabilities/people-and-organizational-performance/our-insights/the-critical-role-of-strategic-workforce-planning-in-the-age-of-ai</w:t>
        </w:r>
      </w:hyperlink>
    </w:p>
    <w:p w14:paraId="589C543F" w14:textId="77777777" w:rsidR="00900F14" w:rsidRPr="006428E4" w:rsidRDefault="00900F14" w:rsidP="008E2C26">
      <w:pPr>
        <w:spacing w:line="360" w:lineRule="auto"/>
        <w:rPr>
          <w:rFonts w:ascii="Arial" w:hAnsi="Arial" w:cs="Arial"/>
          <w:sz w:val="24"/>
        </w:rPr>
      </w:pPr>
      <w:r w:rsidRPr="008E2C26">
        <w:rPr>
          <w:rFonts w:ascii="Arial" w:hAnsi="Arial" w:cs="Arial"/>
          <w:color w:val="000000" w:themeColor="text1"/>
          <w:sz w:val="24"/>
        </w:rPr>
        <w:t xml:space="preserve">McLeod, S., (2025) Gibbs Reflective Cycle. Available at: </w:t>
      </w:r>
      <w:hyperlink r:id="rId31" w:history="1">
        <w:r w:rsidRPr="006428E4">
          <w:rPr>
            <w:rStyle w:val="Hyperlink"/>
            <w:rFonts w:ascii="Arial" w:hAnsi="Arial" w:cs="Arial"/>
            <w:sz w:val="24"/>
          </w:rPr>
          <w:t>https://www.simplypsychology.org/gibbs-reflective-cycle.html</w:t>
        </w:r>
      </w:hyperlink>
    </w:p>
    <w:p w14:paraId="0058D061"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Portes, J. and Springford, J., (2023) ‘The impact of the post-Brexit migration system on the UK labour market’ </w:t>
      </w:r>
      <w:r>
        <w:rPr>
          <w:rFonts w:ascii="Arial" w:eastAsia="Arial" w:hAnsi="Arial" w:cs="Arial"/>
          <w:i/>
          <w:color w:val="000000"/>
          <w:sz w:val="24"/>
          <w:szCs w:val="24"/>
        </w:rPr>
        <w:t>Contemporary Social Science, 18</w:t>
      </w:r>
      <w:r>
        <w:rPr>
          <w:rFonts w:ascii="Arial" w:eastAsia="Arial" w:hAnsi="Arial" w:cs="Arial"/>
          <w:color w:val="000000"/>
          <w:sz w:val="24"/>
          <w:szCs w:val="24"/>
        </w:rPr>
        <w:t xml:space="preserve">(2), pp.132-149. Available at: </w:t>
      </w:r>
      <w:hyperlink r:id="rId32">
        <w:r>
          <w:rPr>
            <w:rFonts w:ascii="Arial" w:eastAsia="Arial" w:hAnsi="Arial" w:cs="Arial"/>
            <w:color w:val="0000FF"/>
            <w:sz w:val="24"/>
            <w:szCs w:val="24"/>
            <w:u w:val="single"/>
          </w:rPr>
          <w:t>https://doi.org/10.1080/21582041.2023.2192516</w:t>
        </w:r>
      </w:hyperlink>
      <w:r>
        <w:rPr>
          <w:rFonts w:ascii="Arial" w:eastAsia="Arial" w:hAnsi="Arial" w:cs="Arial"/>
          <w:color w:val="000000"/>
          <w:sz w:val="24"/>
          <w:szCs w:val="24"/>
        </w:rPr>
        <w:t xml:space="preserve"> </w:t>
      </w:r>
    </w:p>
    <w:p w14:paraId="6A3EC465"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FF0000"/>
          <w:sz w:val="24"/>
          <w:szCs w:val="24"/>
          <w:highlight w:val="white"/>
        </w:rPr>
      </w:pPr>
      <w:r>
        <w:rPr>
          <w:rFonts w:ascii="Arial" w:eastAsia="Arial" w:hAnsi="Arial" w:cs="Arial"/>
          <w:color w:val="222222"/>
          <w:sz w:val="24"/>
          <w:szCs w:val="24"/>
          <w:highlight w:val="white"/>
        </w:rPr>
        <w:t xml:space="preserve">Rahman, M.M., (2025) ‘Generational Diversity and Inclusion: HRM Challenges and Opportunities in Multigenerational Workforces’. </w:t>
      </w:r>
      <w:r>
        <w:rPr>
          <w:rFonts w:ascii="Arial" w:eastAsia="Arial" w:hAnsi="Arial" w:cs="Arial"/>
          <w:color w:val="000000"/>
          <w:sz w:val="24"/>
          <w:szCs w:val="24"/>
        </w:rPr>
        <w:t xml:space="preserve">Available at: </w:t>
      </w:r>
      <w:hyperlink r:id="rId33">
        <w:r w:rsidRPr="008E2C26">
          <w:rPr>
            <w:rFonts w:ascii="Arial" w:eastAsia="Arial" w:hAnsi="Arial" w:cs="Arial"/>
            <w:color w:val="7030A0"/>
            <w:sz w:val="24"/>
            <w:szCs w:val="24"/>
            <w:highlight w:val="white"/>
            <w:u w:val="single"/>
          </w:rPr>
          <w:t>http://dx.doi.org/10.2139/ssrn.5330092</w:t>
        </w:r>
      </w:hyperlink>
    </w:p>
    <w:p w14:paraId="05014883" w14:textId="77777777" w:rsidR="00900F14" w:rsidRDefault="00900F14" w:rsidP="008E2C26">
      <w:pPr>
        <w:pStyle w:val="Normal10"/>
        <w:spacing w:before="240" w:after="240" w:line="360" w:lineRule="auto"/>
        <w:rPr>
          <w:rFonts w:ascii="Arial" w:eastAsia="Arial" w:hAnsi="Arial" w:cs="Arial"/>
          <w:color w:val="222222"/>
          <w:sz w:val="24"/>
          <w:szCs w:val="24"/>
          <w:highlight w:val="white"/>
        </w:rPr>
      </w:pPr>
      <w:bookmarkStart w:id="23" w:name="_heading=h.vdk7msg1r3u8" w:colFirst="0" w:colLast="0"/>
      <w:bookmarkEnd w:id="23"/>
      <w:r w:rsidRPr="008E2C26">
        <w:rPr>
          <w:rFonts w:ascii="Arial" w:eastAsia="Arial" w:hAnsi="Arial" w:cs="Arial"/>
          <w:color w:val="000000" w:themeColor="text1"/>
          <w:sz w:val="24"/>
          <w:szCs w:val="24"/>
          <w:highlight w:val="white"/>
        </w:rPr>
        <w:t>Rodriguez, R. V. and Hasan, S., (2025) Talent in the age of global disruptions: Building resilient workforce for an uncertain world. Available at:</w:t>
      </w:r>
      <w:hyperlink r:id="rId34" w:anchor=":~:text=A%20global%20HR%20leader%20navigating,changes%20will%20affect%20people%20strategy">
        <w:r w:rsidRPr="008E2C26">
          <w:rPr>
            <w:rFonts w:ascii="Arial" w:eastAsia="Arial" w:hAnsi="Arial" w:cs="Arial"/>
            <w:color w:val="000000" w:themeColor="text1"/>
            <w:sz w:val="24"/>
            <w:szCs w:val="24"/>
            <w:highlight w:val="white"/>
          </w:rPr>
          <w:t xml:space="preserve"> </w:t>
        </w:r>
      </w:hyperlink>
      <w:hyperlink r:id="rId35" w:anchor=":~:text=A%20global%20HR%20leader%20navigating,changes%20will%20affect%20people%20strategy">
        <w:r>
          <w:rPr>
            <w:rFonts w:ascii="Arial" w:eastAsia="Arial" w:hAnsi="Arial" w:cs="Arial"/>
            <w:color w:val="1155CC"/>
            <w:sz w:val="24"/>
            <w:szCs w:val="24"/>
            <w:highlight w:val="white"/>
            <w:u w:val="single"/>
          </w:rPr>
          <w:t>https://hr.economictimes.indiatimes.com/news/trends/leadership/talent-in-the-age-of-global-disruption-building-resilient-workforce-for-an-uncertain-world/121950940#:~:text=A%20global%20HR%20leader%20navigating,changes%20will%20affect%20people%20strategy</w:t>
        </w:r>
      </w:hyperlink>
      <w:r>
        <w:rPr>
          <w:rFonts w:ascii="Arial" w:eastAsia="Arial" w:hAnsi="Arial" w:cs="Arial"/>
          <w:color w:val="222222"/>
          <w:sz w:val="24"/>
          <w:szCs w:val="24"/>
          <w:highlight w:val="white"/>
        </w:rPr>
        <w:t>.</w:t>
      </w:r>
    </w:p>
    <w:p w14:paraId="6BAB6553" w14:textId="77777777" w:rsidR="008E2C26" w:rsidRDefault="008E2C26" w:rsidP="00900F14">
      <w:pPr>
        <w:pStyle w:val="Normal10"/>
        <w:spacing w:before="240" w:after="240" w:line="360" w:lineRule="auto"/>
        <w:jc w:val="both"/>
        <w:rPr>
          <w:rFonts w:ascii="Arial" w:eastAsia="Arial" w:hAnsi="Arial" w:cs="Arial"/>
          <w:color w:val="222222"/>
          <w:sz w:val="24"/>
          <w:szCs w:val="24"/>
          <w:highlight w:val="white"/>
        </w:rPr>
      </w:pPr>
    </w:p>
    <w:p w14:paraId="295B06AF" w14:textId="77777777" w:rsidR="008E2C26" w:rsidRDefault="008E2C26" w:rsidP="00900F14">
      <w:pPr>
        <w:pStyle w:val="Normal10"/>
        <w:spacing w:before="240" w:after="240" w:line="360" w:lineRule="auto"/>
        <w:jc w:val="both"/>
        <w:rPr>
          <w:rFonts w:ascii="Arial" w:eastAsia="Arial" w:hAnsi="Arial" w:cs="Arial"/>
          <w:color w:val="222222"/>
          <w:sz w:val="24"/>
          <w:szCs w:val="24"/>
          <w:highlight w:val="white"/>
        </w:rPr>
      </w:pPr>
    </w:p>
    <w:p w14:paraId="1D478815"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 xml:space="preserve">Russell, T. (2022). </w:t>
      </w:r>
      <w:r>
        <w:rPr>
          <w:rFonts w:ascii="Arial" w:eastAsia="Arial" w:hAnsi="Arial" w:cs="Arial"/>
          <w:i/>
          <w:color w:val="000000"/>
          <w:sz w:val="24"/>
          <w:szCs w:val="24"/>
        </w:rPr>
        <w:t>‘Shell UK unveils £20 billion low carbon investment plans’</w:t>
      </w:r>
      <w:r>
        <w:rPr>
          <w:rFonts w:ascii="Arial" w:eastAsia="Arial" w:hAnsi="Arial" w:cs="Arial"/>
          <w:color w:val="000000"/>
          <w:sz w:val="24"/>
          <w:szCs w:val="24"/>
        </w:rPr>
        <w:t xml:space="preserve">. Available at: </w:t>
      </w:r>
      <w:hyperlink r:id="rId36" w:anchor=":~:text=By:%20Tom%20Russell,in%20various%20stages%20of%20development">
        <w:r>
          <w:rPr>
            <w:rFonts w:ascii="Arial" w:eastAsia="Arial" w:hAnsi="Arial" w:cs="Arial"/>
            <w:color w:val="0000FF"/>
            <w:sz w:val="24"/>
            <w:szCs w:val="24"/>
            <w:u w:val="single"/>
          </w:rPr>
          <w:t>https://www.4coffshore.com/news/shell-uk-unveils-a320-billion-low-carbon-investment-plans-nid25263.html#:~:text=By:%20Tom%20Russell,in%20various%20stages%20of%20development</w:t>
        </w:r>
      </w:hyperlink>
      <w:r>
        <w:rPr>
          <w:rFonts w:ascii="Arial" w:eastAsia="Arial" w:hAnsi="Arial" w:cs="Arial"/>
          <w:color w:val="000000"/>
          <w:sz w:val="24"/>
          <w:szCs w:val="24"/>
        </w:rPr>
        <w:t>. (Accessed on 23 September 2025).</w:t>
      </w:r>
    </w:p>
    <w:p w14:paraId="5C3C53D6"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sidRPr="008E2C26">
        <w:rPr>
          <w:rFonts w:ascii="Arial" w:eastAsia="Arial" w:hAnsi="Arial" w:cs="Arial"/>
          <w:color w:val="000000" w:themeColor="text1"/>
          <w:sz w:val="24"/>
          <w:szCs w:val="24"/>
        </w:rPr>
        <w:t xml:space="preserve">Shell, (2021) ‘THE ROAD TRAVELLED SO FAR TO ground surveillance robots’, </w:t>
      </w:r>
      <w:r w:rsidRPr="008E2C26">
        <w:rPr>
          <w:rFonts w:ascii="Arial" w:eastAsia="Arial" w:hAnsi="Arial" w:cs="Arial"/>
          <w:i/>
          <w:color w:val="000000" w:themeColor="text1"/>
          <w:sz w:val="24"/>
          <w:szCs w:val="24"/>
        </w:rPr>
        <w:t xml:space="preserve">shell. </w:t>
      </w:r>
      <w:r w:rsidRPr="008E2C26">
        <w:rPr>
          <w:rFonts w:ascii="Arial" w:eastAsia="Arial" w:hAnsi="Arial" w:cs="Arial"/>
          <w:color w:val="000000" w:themeColor="text1"/>
          <w:sz w:val="24"/>
          <w:szCs w:val="24"/>
        </w:rPr>
        <w:t xml:space="preserve">Available at: </w:t>
      </w:r>
      <w:hyperlink r:id="rId37">
        <w:r>
          <w:rPr>
            <w:rFonts w:ascii="Arial" w:eastAsia="Arial" w:hAnsi="Arial" w:cs="Arial"/>
            <w:color w:val="1155CC"/>
            <w:sz w:val="24"/>
            <w:szCs w:val="24"/>
            <w:u w:val="single"/>
          </w:rPr>
          <w:t>https://www.shell.com/what-we-do/digitalisation/robotics/_jcr_content/root/main/section/simple/call_to_action/links/item0.stream/1650125467488/f902d0fe13e308df3ac7c92269231ae9d3131d04/the-road-travelled-so-far-to-ground-surveillance-robots-mulder.pdf</w:t>
        </w:r>
      </w:hyperlink>
    </w:p>
    <w:p w14:paraId="11691A27"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Staniszewska, Z. and Galindo, G., (2024) ‘The Future of Leadership in the Era of AI: Do we Still need’ </w:t>
      </w:r>
      <w:r>
        <w:rPr>
          <w:rFonts w:ascii="Arial" w:eastAsia="Arial" w:hAnsi="Arial" w:cs="Arial"/>
          <w:i/>
          <w:color w:val="000000"/>
          <w:sz w:val="24"/>
          <w:szCs w:val="24"/>
        </w:rPr>
        <w:t>ESCP Business School Impact Paper.</w:t>
      </w:r>
      <w:r>
        <w:rPr>
          <w:rFonts w:ascii="Arial" w:eastAsia="Arial" w:hAnsi="Arial" w:cs="Arial"/>
          <w:color w:val="000000"/>
          <w:sz w:val="24"/>
          <w:szCs w:val="24"/>
        </w:rPr>
        <w:t xml:space="preserve"> Available at: </w:t>
      </w:r>
      <w:hyperlink r:id="rId38">
        <w:r>
          <w:rPr>
            <w:rFonts w:ascii="Arial" w:eastAsia="Arial" w:hAnsi="Arial" w:cs="Arial"/>
            <w:color w:val="0000FF"/>
            <w:sz w:val="24"/>
            <w:szCs w:val="24"/>
            <w:u w:val="single"/>
          </w:rPr>
          <w:t>https://papers.ssrn.com/sol3/Delivery.cfm?abstractid=5457537</w:t>
        </w:r>
      </w:hyperlink>
      <w:r>
        <w:rPr>
          <w:rFonts w:ascii="Arial" w:eastAsia="Arial" w:hAnsi="Arial" w:cs="Arial"/>
          <w:color w:val="000000"/>
          <w:sz w:val="24"/>
          <w:szCs w:val="24"/>
        </w:rPr>
        <w:t xml:space="preserve"> </w:t>
      </w:r>
    </w:p>
    <w:p w14:paraId="081D02BE"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FF0000"/>
          <w:sz w:val="24"/>
          <w:szCs w:val="24"/>
        </w:rPr>
      </w:pPr>
      <w:r>
        <w:rPr>
          <w:rFonts w:ascii="Arial" w:eastAsia="Arial" w:hAnsi="Arial" w:cs="Arial"/>
          <w:color w:val="000000"/>
          <w:sz w:val="24"/>
          <w:szCs w:val="24"/>
        </w:rPr>
        <w:t>Tereshchenko, E., Salmela, E., Melkko, E., Phang, S.K. and Happonen, A., (2024) ‘Emerging best strategies and capabilities for university–industry cooperation: opportunities for MSMEs and universities to improve collaboration. A literature review 2000–2023’ </w:t>
      </w:r>
      <w:r>
        <w:rPr>
          <w:rFonts w:ascii="Arial" w:eastAsia="Arial" w:hAnsi="Arial" w:cs="Arial"/>
          <w:i/>
          <w:color w:val="000000"/>
          <w:sz w:val="24"/>
          <w:szCs w:val="24"/>
        </w:rPr>
        <w:t>Journal of Innovation and Entrepreneurship, 13</w:t>
      </w:r>
      <w:r>
        <w:rPr>
          <w:rFonts w:ascii="Arial" w:eastAsia="Arial" w:hAnsi="Arial" w:cs="Arial"/>
          <w:color w:val="000000"/>
          <w:sz w:val="24"/>
          <w:szCs w:val="24"/>
        </w:rPr>
        <w:t xml:space="preserve">(1), p.28. Available at: </w:t>
      </w:r>
      <w:hyperlink r:id="rId39">
        <w:r w:rsidRPr="008E2C26">
          <w:rPr>
            <w:rFonts w:ascii="Arial" w:eastAsia="Arial" w:hAnsi="Arial" w:cs="Arial"/>
            <w:color w:val="7030A0"/>
            <w:sz w:val="24"/>
            <w:szCs w:val="24"/>
            <w:u w:val="single"/>
          </w:rPr>
          <w:t>https://doi.org/10.1186/s13731-024-00386-4</w:t>
        </w:r>
      </w:hyperlink>
    </w:p>
    <w:p w14:paraId="5BFEEBD1"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Tesco PLC. (2024) ‘Tesco agrees largest UK corporate PPA for solar power in landmark infrastructure project’, </w:t>
      </w:r>
      <w:r>
        <w:rPr>
          <w:rFonts w:ascii="Arial" w:eastAsia="Arial" w:hAnsi="Arial" w:cs="Arial"/>
          <w:i/>
          <w:color w:val="000000"/>
          <w:sz w:val="24"/>
          <w:szCs w:val="24"/>
        </w:rPr>
        <w:t>Tesco</w:t>
      </w:r>
      <w:r>
        <w:rPr>
          <w:rFonts w:ascii="Arial" w:eastAsia="Arial" w:hAnsi="Arial" w:cs="Arial"/>
          <w:color w:val="000000"/>
          <w:sz w:val="24"/>
          <w:szCs w:val="24"/>
        </w:rPr>
        <w:t xml:space="preserve">. Available at: </w:t>
      </w:r>
      <w:hyperlink r:id="rId40">
        <w:r>
          <w:rPr>
            <w:rFonts w:ascii="Arial" w:eastAsia="Arial" w:hAnsi="Arial" w:cs="Arial"/>
            <w:color w:val="0000FF"/>
            <w:sz w:val="24"/>
            <w:szCs w:val="24"/>
            <w:u w:val="single"/>
          </w:rPr>
          <w:t>https://www.tescoplc.com/tesco-agrees-largest-uk-corporate-ppa-for-solar-power-in-landmark-infrastructure-project/</w:t>
        </w:r>
      </w:hyperlink>
      <w:r>
        <w:rPr>
          <w:rFonts w:ascii="Arial" w:eastAsia="Arial" w:hAnsi="Arial" w:cs="Arial"/>
          <w:color w:val="000000"/>
          <w:sz w:val="24"/>
          <w:szCs w:val="24"/>
        </w:rPr>
        <w:t xml:space="preserve"> (Accessed on 04 October 2025).</w:t>
      </w:r>
    </w:p>
    <w:p w14:paraId="5DA9A4FD"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Tesco. (2025) ‘Find out more – innovation’, </w:t>
      </w:r>
      <w:r>
        <w:rPr>
          <w:rFonts w:ascii="Arial" w:eastAsia="Arial" w:hAnsi="Arial" w:cs="Arial"/>
          <w:i/>
          <w:color w:val="000000"/>
          <w:sz w:val="24"/>
          <w:szCs w:val="24"/>
        </w:rPr>
        <w:t>Tesco PLC</w:t>
      </w:r>
      <w:r>
        <w:rPr>
          <w:rFonts w:ascii="Arial" w:eastAsia="Arial" w:hAnsi="Arial" w:cs="Arial"/>
          <w:color w:val="000000"/>
          <w:sz w:val="24"/>
          <w:szCs w:val="24"/>
        </w:rPr>
        <w:t xml:space="preserve">. Available at: </w:t>
      </w:r>
      <w:hyperlink r:id="rId41">
        <w:r>
          <w:rPr>
            <w:rFonts w:ascii="Arial" w:eastAsia="Arial" w:hAnsi="Arial" w:cs="Arial"/>
            <w:color w:val="0000FF"/>
            <w:sz w:val="24"/>
            <w:szCs w:val="24"/>
            <w:u w:val="single"/>
          </w:rPr>
          <w:t>https://www.tescoplc.com/innovation/find-out-more</w:t>
        </w:r>
      </w:hyperlink>
      <w:r>
        <w:rPr>
          <w:rFonts w:ascii="Arial" w:eastAsia="Arial" w:hAnsi="Arial" w:cs="Arial"/>
          <w:color w:val="0000FF"/>
          <w:sz w:val="24"/>
          <w:szCs w:val="24"/>
          <w:u w:val="single"/>
        </w:rPr>
        <w:t xml:space="preserve"> </w:t>
      </w:r>
      <w:r>
        <w:rPr>
          <w:rFonts w:ascii="Arial" w:eastAsia="Arial" w:hAnsi="Arial" w:cs="Arial"/>
          <w:color w:val="000000"/>
          <w:sz w:val="24"/>
          <w:szCs w:val="24"/>
        </w:rPr>
        <w:t>(Accessed on 25 September 2025).</w:t>
      </w:r>
    </w:p>
    <w:p w14:paraId="502B659C"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Unilever, (2020). ‘An exciting new normal for flexible working’, </w:t>
      </w:r>
      <w:r>
        <w:rPr>
          <w:rFonts w:ascii="Arial" w:eastAsia="Arial" w:hAnsi="Arial" w:cs="Arial"/>
          <w:i/>
          <w:color w:val="000000"/>
          <w:sz w:val="24"/>
          <w:szCs w:val="24"/>
        </w:rPr>
        <w:t>Unilever</w:t>
      </w:r>
      <w:r>
        <w:rPr>
          <w:rFonts w:ascii="Arial" w:eastAsia="Arial" w:hAnsi="Arial" w:cs="Arial"/>
          <w:color w:val="000000"/>
          <w:sz w:val="24"/>
          <w:szCs w:val="24"/>
        </w:rPr>
        <w:t xml:space="preserve">. Available at: </w:t>
      </w:r>
      <w:hyperlink r:id="rId42">
        <w:r>
          <w:rPr>
            <w:rFonts w:ascii="Arial" w:eastAsia="Arial" w:hAnsi="Arial" w:cs="Arial"/>
            <w:color w:val="0000FF"/>
            <w:sz w:val="24"/>
            <w:szCs w:val="24"/>
            <w:u w:val="single"/>
          </w:rPr>
          <w:t>https://www.unilever.com/news/news-search/2020/an-exciting-new-normal-for-flexible-working/</w:t>
        </w:r>
      </w:hyperlink>
      <w:r>
        <w:rPr>
          <w:rFonts w:ascii="Arial" w:eastAsia="Arial" w:hAnsi="Arial" w:cs="Arial"/>
          <w:color w:val="0000FF"/>
          <w:sz w:val="24"/>
          <w:szCs w:val="24"/>
          <w:u w:val="single"/>
        </w:rPr>
        <w:t xml:space="preserve"> </w:t>
      </w:r>
      <w:r>
        <w:rPr>
          <w:rFonts w:ascii="Arial" w:eastAsia="Arial" w:hAnsi="Arial" w:cs="Arial"/>
          <w:color w:val="000000"/>
          <w:sz w:val="24"/>
          <w:szCs w:val="24"/>
        </w:rPr>
        <w:t>(Accessed on 28 September 2025).</w:t>
      </w:r>
    </w:p>
    <w:p w14:paraId="399BEF37" w14:textId="77777777" w:rsidR="003C5828" w:rsidRDefault="003C5828" w:rsidP="008E2C26">
      <w:pPr>
        <w:pStyle w:val="Normal10"/>
        <w:pBdr>
          <w:top w:val="nil"/>
          <w:left w:val="nil"/>
          <w:bottom w:val="nil"/>
          <w:right w:val="nil"/>
          <w:between w:val="nil"/>
        </w:pBdr>
        <w:spacing w:line="360" w:lineRule="auto"/>
        <w:rPr>
          <w:rFonts w:ascii="Arial" w:eastAsia="Arial" w:hAnsi="Arial" w:cs="Arial"/>
          <w:color w:val="000000"/>
          <w:sz w:val="24"/>
          <w:szCs w:val="24"/>
        </w:rPr>
      </w:pPr>
    </w:p>
    <w:p w14:paraId="2BE5FA80"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lastRenderedPageBreak/>
        <w:t>Unilever, (2025). ‘What’s behind the doors of our world-leading fragrance house?</w:t>
      </w:r>
      <w:proofErr w:type="gramStart"/>
      <w:r>
        <w:rPr>
          <w:rFonts w:ascii="Arial" w:eastAsia="Arial" w:hAnsi="Arial" w:cs="Arial"/>
          <w:color w:val="000000"/>
          <w:sz w:val="24"/>
          <w:szCs w:val="24"/>
        </w:rPr>
        <w:t>’,</w:t>
      </w:r>
      <w:proofErr w:type="gramEnd"/>
      <w:r>
        <w:rPr>
          <w:rFonts w:ascii="Arial" w:eastAsia="Arial" w:hAnsi="Arial" w:cs="Arial"/>
          <w:color w:val="000000"/>
          <w:sz w:val="24"/>
          <w:szCs w:val="24"/>
        </w:rPr>
        <w:t xml:space="preserve"> </w:t>
      </w:r>
      <w:r>
        <w:rPr>
          <w:rFonts w:ascii="Arial" w:eastAsia="Arial" w:hAnsi="Arial" w:cs="Arial"/>
          <w:i/>
          <w:color w:val="000000"/>
          <w:sz w:val="24"/>
          <w:szCs w:val="24"/>
        </w:rPr>
        <w:t>Unilever</w:t>
      </w:r>
      <w:r>
        <w:rPr>
          <w:rFonts w:ascii="Arial" w:eastAsia="Arial" w:hAnsi="Arial" w:cs="Arial"/>
          <w:color w:val="000000"/>
          <w:sz w:val="24"/>
          <w:szCs w:val="24"/>
        </w:rPr>
        <w:t xml:space="preserve">. Available at: </w:t>
      </w:r>
      <w:hyperlink r:id="rId43" w:anchor=":~:text=Published:%2019%20May%202025,product%20formulation%20and%20consumer%20preference">
        <w:r>
          <w:rPr>
            <w:rFonts w:ascii="Arial" w:eastAsia="Arial" w:hAnsi="Arial" w:cs="Arial"/>
            <w:color w:val="0000FF"/>
            <w:sz w:val="24"/>
            <w:szCs w:val="24"/>
            <w:u w:val="single"/>
          </w:rPr>
          <w:t>https://www.unilever.com/news/news-search/2025/whats-behind-the-doors-of-our-worldleading-fragrance-house/#:~:text=Published:%2019%20May%202025,product%20formulation%20and%20consumer%20preference</w:t>
        </w:r>
      </w:hyperlink>
      <w:r>
        <w:rPr>
          <w:rFonts w:ascii="Arial" w:eastAsia="Arial" w:hAnsi="Arial" w:cs="Arial"/>
          <w:color w:val="000000"/>
          <w:sz w:val="24"/>
          <w:szCs w:val="24"/>
        </w:rPr>
        <w:t>. (Accessed on 04 October 2025).</w:t>
      </w:r>
    </w:p>
    <w:p w14:paraId="30C7B866"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Vrontis, D., Christofi, M., Pereira, V., Tarba, S., Makrides, A. and Trichina, E., (2023) ‘Artificial intelligence, robotics, advanced technologies and human resource management: a systematic review’ </w:t>
      </w:r>
      <w:r>
        <w:rPr>
          <w:rFonts w:ascii="Arial" w:eastAsia="Arial" w:hAnsi="Arial" w:cs="Arial"/>
          <w:i/>
          <w:color w:val="000000"/>
          <w:sz w:val="24"/>
          <w:szCs w:val="24"/>
        </w:rPr>
        <w:t>Artificial intelligence and international HRM,</w:t>
      </w:r>
      <w:r>
        <w:rPr>
          <w:rFonts w:ascii="Arial" w:eastAsia="Arial" w:hAnsi="Arial" w:cs="Arial"/>
          <w:color w:val="000000"/>
          <w:sz w:val="24"/>
          <w:szCs w:val="24"/>
        </w:rPr>
        <w:t xml:space="preserve"> pp.172-201. Available at: </w:t>
      </w:r>
      <w:hyperlink r:id="rId44">
        <w:r>
          <w:rPr>
            <w:rFonts w:ascii="Arial" w:eastAsia="Arial" w:hAnsi="Arial" w:cs="Arial"/>
            <w:color w:val="0000FF"/>
            <w:sz w:val="24"/>
            <w:szCs w:val="24"/>
            <w:u w:val="single"/>
          </w:rPr>
          <w:t>https://doi.org/10.1080/09585192.2020.1871398</w:t>
        </w:r>
      </w:hyperlink>
      <w:r>
        <w:rPr>
          <w:rFonts w:ascii="Arial" w:eastAsia="Arial" w:hAnsi="Arial" w:cs="Arial"/>
          <w:color w:val="000000"/>
          <w:sz w:val="24"/>
          <w:szCs w:val="24"/>
        </w:rPr>
        <w:t xml:space="preserve"> </w:t>
      </w:r>
    </w:p>
    <w:p w14:paraId="78F9E7DC"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000000"/>
          <w:sz w:val="24"/>
          <w:szCs w:val="24"/>
        </w:rPr>
      </w:pPr>
      <w:r>
        <w:rPr>
          <w:rFonts w:ascii="Arial" w:eastAsia="Arial" w:hAnsi="Arial" w:cs="Arial"/>
          <w:color w:val="000000"/>
          <w:sz w:val="24"/>
          <w:szCs w:val="24"/>
        </w:rPr>
        <w:t xml:space="preserve">Youn, S., Geismar, H.N. and Pinedo, M., (2022) ‘Planning and scheduling in healthcare for better care coordination: Current understanding, trending topics, and future opportunities’ </w:t>
      </w:r>
      <w:r>
        <w:rPr>
          <w:rFonts w:ascii="Arial" w:eastAsia="Arial" w:hAnsi="Arial" w:cs="Arial"/>
          <w:i/>
          <w:color w:val="000000"/>
          <w:sz w:val="24"/>
          <w:szCs w:val="24"/>
        </w:rPr>
        <w:t>Production and Operations Management, 31</w:t>
      </w:r>
      <w:r>
        <w:rPr>
          <w:rFonts w:ascii="Arial" w:eastAsia="Arial" w:hAnsi="Arial" w:cs="Arial"/>
          <w:color w:val="000000"/>
          <w:sz w:val="24"/>
          <w:szCs w:val="24"/>
        </w:rPr>
        <w:t xml:space="preserve">(12), pp.4407-4423. Available at: </w:t>
      </w:r>
      <w:hyperlink r:id="rId45">
        <w:r>
          <w:rPr>
            <w:rFonts w:ascii="Arial" w:eastAsia="Arial" w:hAnsi="Arial" w:cs="Arial"/>
            <w:color w:val="0000FF"/>
            <w:sz w:val="24"/>
            <w:szCs w:val="24"/>
            <w:u w:val="single"/>
          </w:rPr>
          <w:t>https://doi.org/10.1111/poms.13867</w:t>
        </w:r>
      </w:hyperlink>
      <w:r>
        <w:rPr>
          <w:rFonts w:ascii="Arial" w:eastAsia="Arial" w:hAnsi="Arial" w:cs="Arial"/>
          <w:color w:val="000000"/>
          <w:sz w:val="24"/>
          <w:szCs w:val="24"/>
        </w:rPr>
        <w:t xml:space="preserve"> </w:t>
      </w:r>
    </w:p>
    <w:p w14:paraId="2640D5B7" w14:textId="77777777" w:rsidR="00900F14" w:rsidRDefault="00900F14" w:rsidP="008E2C26">
      <w:pPr>
        <w:pStyle w:val="Normal10"/>
        <w:pBdr>
          <w:top w:val="nil"/>
          <w:left w:val="nil"/>
          <w:bottom w:val="nil"/>
          <w:right w:val="nil"/>
          <w:between w:val="nil"/>
        </w:pBdr>
        <w:spacing w:line="360" w:lineRule="auto"/>
        <w:rPr>
          <w:rFonts w:ascii="Arial" w:eastAsia="Arial" w:hAnsi="Arial" w:cs="Arial"/>
          <w:color w:val="222222"/>
          <w:sz w:val="24"/>
          <w:szCs w:val="24"/>
          <w:highlight w:val="white"/>
        </w:rPr>
      </w:pPr>
      <w:r>
        <w:rPr>
          <w:rFonts w:ascii="Arial" w:eastAsia="Arial" w:hAnsi="Arial" w:cs="Arial"/>
          <w:color w:val="222222"/>
          <w:sz w:val="24"/>
          <w:szCs w:val="24"/>
          <w:highlight w:val="white"/>
        </w:rPr>
        <w:t>Youngs, H. and Evans, L., (2021) ‘Distributed leadership’ </w:t>
      </w:r>
      <w:r>
        <w:rPr>
          <w:rFonts w:ascii="Arial" w:eastAsia="Arial" w:hAnsi="Arial" w:cs="Arial"/>
          <w:i/>
          <w:color w:val="222222"/>
          <w:sz w:val="24"/>
          <w:szCs w:val="24"/>
          <w:highlight w:val="white"/>
        </w:rPr>
        <w:t>Understanding educational leadership: Critical perspectives and approaches</w:t>
      </w:r>
      <w:r>
        <w:rPr>
          <w:rFonts w:ascii="Arial" w:eastAsia="Arial" w:hAnsi="Arial" w:cs="Arial"/>
          <w:color w:val="222222"/>
          <w:sz w:val="24"/>
          <w:szCs w:val="24"/>
          <w:highlight w:val="white"/>
        </w:rPr>
        <w:t>, </w:t>
      </w:r>
      <w:r>
        <w:rPr>
          <w:rFonts w:ascii="Arial" w:eastAsia="Arial" w:hAnsi="Arial" w:cs="Arial"/>
          <w:i/>
          <w:color w:val="222222"/>
          <w:sz w:val="24"/>
          <w:szCs w:val="24"/>
          <w:highlight w:val="white"/>
        </w:rPr>
        <w:t>203</w:t>
      </w:r>
      <w:r>
        <w:rPr>
          <w:rFonts w:ascii="Arial" w:eastAsia="Arial" w:hAnsi="Arial" w:cs="Arial"/>
          <w:color w:val="222222"/>
          <w:sz w:val="24"/>
          <w:szCs w:val="24"/>
          <w:highlight w:val="white"/>
        </w:rPr>
        <w:t xml:space="preserve">. </w:t>
      </w:r>
      <w:r>
        <w:rPr>
          <w:rFonts w:ascii="Arial" w:eastAsia="Arial" w:hAnsi="Arial" w:cs="Arial"/>
          <w:color w:val="000000"/>
          <w:sz w:val="24"/>
          <w:szCs w:val="24"/>
        </w:rPr>
        <w:t xml:space="preserve">Available at: </w:t>
      </w:r>
      <w:hyperlink r:id="rId46">
        <w:r>
          <w:rPr>
            <w:rFonts w:ascii="Arial" w:eastAsia="Arial" w:hAnsi="Arial" w:cs="Arial"/>
            <w:color w:val="0000FF"/>
            <w:sz w:val="24"/>
            <w:szCs w:val="24"/>
            <w:highlight w:val="white"/>
            <w:u w:val="single"/>
          </w:rPr>
          <w:t>https://books.google.com/books?hl=en&amp;lr=&amp;id=dSQXEAAAQBAJ&amp;oi=fnd&amp;pg=PA203&amp;dq=+distributed+leadership+style.+for+business&amp;ots=Ioiv8qwVrM&amp;sig=HfByDO7EkvDRPE6nSlb7R7PvvJA</w:t>
        </w:r>
      </w:hyperlink>
      <w:r>
        <w:rPr>
          <w:rFonts w:ascii="Arial" w:eastAsia="Arial" w:hAnsi="Arial" w:cs="Arial"/>
          <w:color w:val="222222"/>
          <w:sz w:val="24"/>
          <w:szCs w:val="24"/>
          <w:highlight w:val="white"/>
        </w:rPr>
        <w:t xml:space="preserve"> </w:t>
      </w:r>
    </w:p>
    <w:p w14:paraId="0C8E4720" w14:textId="77777777" w:rsidR="00900F14" w:rsidRPr="00900F14" w:rsidRDefault="00900F14" w:rsidP="00900F14">
      <w:pPr>
        <w:pStyle w:val="Normal1"/>
      </w:pPr>
    </w:p>
    <w:sectPr w:rsidR="00900F14" w:rsidRPr="00900F14" w:rsidSect="003647B3">
      <w:headerReference w:type="default" r:id="rId47"/>
      <w:footerReference w:type="default" r:id="rId48"/>
      <w:pgSz w:w="11906" w:h="16838"/>
      <w:pgMar w:top="1440" w:right="1440" w:bottom="1440" w:left="1440" w:header="708" w:footer="708"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836C7F1" w14:textId="77777777" w:rsidR="003D6015" w:rsidRDefault="003D6015" w:rsidP="003647B3">
      <w:pPr>
        <w:spacing w:after="0" w:line="240" w:lineRule="auto"/>
      </w:pPr>
      <w:r>
        <w:separator/>
      </w:r>
    </w:p>
  </w:endnote>
  <w:endnote w:type="continuationSeparator" w:id="0">
    <w:p w14:paraId="1A12EF51" w14:textId="77777777" w:rsidR="003D6015" w:rsidRDefault="003D6015" w:rsidP="003647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F62D59" w14:textId="77777777" w:rsidR="003647B3" w:rsidRDefault="003647B3">
    <w:pPr>
      <w:pStyle w:val="Normal1"/>
      <w:pBdr>
        <w:top w:val="nil"/>
        <w:left w:val="nil"/>
        <w:bottom w:val="nil"/>
        <w:right w:val="nil"/>
        <w:between w:val="nil"/>
      </w:pBdr>
      <w:tabs>
        <w:tab w:val="center" w:pos="4513"/>
        <w:tab w:val="right" w:pos="9026"/>
      </w:tabs>
      <w:spacing w:after="0" w:line="240" w:lineRule="auto"/>
      <w:jc w:val="right"/>
      <w:rPr>
        <w:color w:val="000000"/>
      </w:rPr>
    </w:pPr>
    <w:r>
      <w:rPr>
        <w:rFonts w:ascii="Arial" w:eastAsia="Arial" w:hAnsi="Arial" w:cs="Arial"/>
        <w:color w:val="000000"/>
        <w:sz w:val="20"/>
        <w:szCs w:val="20"/>
      </w:rPr>
      <w:fldChar w:fldCharType="begin"/>
    </w:r>
    <w:r w:rsidR="00E47889">
      <w:rPr>
        <w:rFonts w:ascii="Arial" w:eastAsia="Arial" w:hAnsi="Arial" w:cs="Arial"/>
        <w:color w:val="000000"/>
        <w:sz w:val="20"/>
        <w:szCs w:val="20"/>
      </w:rPr>
      <w:instrText>PAGE</w:instrText>
    </w:r>
    <w:r>
      <w:rPr>
        <w:rFonts w:ascii="Arial" w:eastAsia="Arial" w:hAnsi="Arial" w:cs="Arial"/>
        <w:color w:val="000000"/>
        <w:sz w:val="20"/>
        <w:szCs w:val="20"/>
      </w:rPr>
      <w:fldChar w:fldCharType="separate"/>
    </w:r>
    <w:r w:rsidR="00005999">
      <w:rPr>
        <w:rFonts w:ascii="Arial" w:eastAsia="Arial" w:hAnsi="Arial" w:cs="Arial"/>
        <w:noProof/>
        <w:color w:val="000000"/>
        <w:sz w:val="20"/>
        <w:szCs w:val="20"/>
      </w:rPr>
      <w:t>16</w:t>
    </w:r>
    <w:r>
      <w:rPr>
        <w:rFonts w:ascii="Arial" w:eastAsia="Arial" w:hAnsi="Arial" w:cs="Arial"/>
        <w:color w:val="000000"/>
        <w:sz w:val="20"/>
        <w:szCs w:val="20"/>
      </w:rPr>
      <w:fldChar w:fldCharType="end"/>
    </w:r>
  </w:p>
  <w:p w14:paraId="10367FCF" w14:textId="77777777" w:rsidR="003647B3" w:rsidRDefault="003647B3">
    <w:pPr>
      <w:pStyle w:val="Normal1"/>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330BD6" w14:textId="77777777" w:rsidR="003D6015" w:rsidRDefault="003D6015" w:rsidP="003647B3">
      <w:pPr>
        <w:spacing w:after="0" w:line="240" w:lineRule="auto"/>
      </w:pPr>
      <w:r>
        <w:separator/>
      </w:r>
    </w:p>
  </w:footnote>
  <w:footnote w:type="continuationSeparator" w:id="0">
    <w:p w14:paraId="4B46B3C1" w14:textId="77777777" w:rsidR="003D6015" w:rsidRDefault="003D6015" w:rsidP="003647B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C8F90C" w14:textId="77777777" w:rsidR="003647B3" w:rsidRDefault="003647B3">
    <w:pPr>
      <w:pStyle w:val="Normal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DE166EF"/>
    <w:multiLevelType w:val="multilevel"/>
    <w:tmpl w:val="8856AE2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7B3"/>
    <w:rsid w:val="00005999"/>
    <w:rsid w:val="00006EC9"/>
    <w:rsid w:val="00154182"/>
    <w:rsid w:val="00172555"/>
    <w:rsid w:val="001825CD"/>
    <w:rsid w:val="00210BF5"/>
    <w:rsid w:val="00294122"/>
    <w:rsid w:val="0030033D"/>
    <w:rsid w:val="00305965"/>
    <w:rsid w:val="003647B3"/>
    <w:rsid w:val="00366B7C"/>
    <w:rsid w:val="00380740"/>
    <w:rsid w:val="003C5828"/>
    <w:rsid w:val="003D6015"/>
    <w:rsid w:val="00477EB5"/>
    <w:rsid w:val="004C3C49"/>
    <w:rsid w:val="004F1FC9"/>
    <w:rsid w:val="00505D3C"/>
    <w:rsid w:val="0050630C"/>
    <w:rsid w:val="00534FF6"/>
    <w:rsid w:val="005640C9"/>
    <w:rsid w:val="005A0765"/>
    <w:rsid w:val="005D2CE0"/>
    <w:rsid w:val="00603456"/>
    <w:rsid w:val="0062500F"/>
    <w:rsid w:val="006428E4"/>
    <w:rsid w:val="00667146"/>
    <w:rsid w:val="00671C2B"/>
    <w:rsid w:val="006A73D5"/>
    <w:rsid w:val="006B5B53"/>
    <w:rsid w:val="006F392E"/>
    <w:rsid w:val="0072544C"/>
    <w:rsid w:val="007626B7"/>
    <w:rsid w:val="00781E36"/>
    <w:rsid w:val="0078300A"/>
    <w:rsid w:val="00797A02"/>
    <w:rsid w:val="007B79A9"/>
    <w:rsid w:val="007C072A"/>
    <w:rsid w:val="00864FB5"/>
    <w:rsid w:val="00883368"/>
    <w:rsid w:val="008D599F"/>
    <w:rsid w:val="008E2C26"/>
    <w:rsid w:val="00900F14"/>
    <w:rsid w:val="00911FDA"/>
    <w:rsid w:val="00925AF5"/>
    <w:rsid w:val="0095573B"/>
    <w:rsid w:val="00956516"/>
    <w:rsid w:val="00981A15"/>
    <w:rsid w:val="00A27417"/>
    <w:rsid w:val="00A2789B"/>
    <w:rsid w:val="00A54BF7"/>
    <w:rsid w:val="00AD5597"/>
    <w:rsid w:val="00B2711B"/>
    <w:rsid w:val="00BC1DB3"/>
    <w:rsid w:val="00C07C8E"/>
    <w:rsid w:val="00C2587B"/>
    <w:rsid w:val="00C31728"/>
    <w:rsid w:val="00CD35CF"/>
    <w:rsid w:val="00D54131"/>
    <w:rsid w:val="00D81120"/>
    <w:rsid w:val="00DA70AB"/>
    <w:rsid w:val="00DD28E9"/>
    <w:rsid w:val="00E12F72"/>
    <w:rsid w:val="00E268FD"/>
    <w:rsid w:val="00E400F2"/>
    <w:rsid w:val="00E47889"/>
    <w:rsid w:val="00E50FB5"/>
    <w:rsid w:val="00E7404B"/>
    <w:rsid w:val="00E95148"/>
    <w:rsid w:val="00EA0D1E"/>
    <w:rsid w:val="00EA7EFE"/>
    <w:rsid w:val="00ED0125"/>
    <w:rsid w:val="00F33625"/>
    <w:rsid w:val="00FA18B8"/>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1D67E"/>
  <w15:docId w15:val="{B66DCD3A-1E52-4F05-956C-A98CBDC4CC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2"/>
        <w:szCs w:val="22"/>
        <w:lang w:val="en-IN" w:eastAsia="en-I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1"/>
    <w:next w:val="Normal1"/>
    <w:link w:val="Heading1Char"/>
    <w:rsid w:val="003647B3"/>
    <w:pPr>
      <w:pBdr>
        <w:top w:val="nil"/>
        <w:left w:val="nil"/>
        <w:bottom w:val="nil"/>
        <w:right w:val="nil"/>
        <w:between w:val="nil"/>
      </w:pBdr>
      <w:spacing w:line="480" w:lineRule="auto"/>
      <w:jc w:val="both"/>
      <w:outlineLvl w:val="0"/>
    </w:pPr>
    <w:rPr>
      <w:rFonts w:ascii="Arial" w:eastAsia="Arial" w:hAnsi="Arial" w:cs="Arial"/>
      <w:b/>
      <w:color w:val="000000"/>
      <w:sz w:val="24"/>
      <w:szCs w:val="24"/>
    </w:rPr>
  </w:style>
  <w:style w:type="paragraph" w:styleId="Heading2">
    <w:name w:val="heading 2"/>
    <w:basedOn w:val="Normal1"/>
    <w:next w:val="Normal1"/>
    <w:link w:val="Heading2Char"/>
    <w:rsid w:val="003647B3"/>
    <w:pPr>
      <w:pBdr>
        <w:top w:val="nil"/>
        <w:left w:val="nil"/>
        <w:bottom w:val="nil"/>
        <w:right w:val="nil"/>
        <w:between w:val="nil"/>
      </w:pBdr>
      <w:spacing w:line="480" w:lineRule="auto"/>
      <w:jc w:val="both"/>
      <w:outlineLvl w:val="1"/>
    </w:pPr>
    <w:rPr>
      <w:rFonts w:ascii="Arial" w:eastAsia="Arial" w:hAnsi="Arial" w:cs="Arial"/>
      <w:b/>
      <w:color w:val="000000"/>
      <w:sz w:val="24"/>
      <w:szCs w:val="24"/>
    </w:rPr>
  </w:style>
  <w:style w:type="paragraph" w:styleId="Heading3">
    <w:name w:val="heading 3"/>
    <w:basedOn w:val="Normal1"/>
    <w:next w:val="Normal1"/>
    <w:rsid w:val="003647B3"/>
    <w:pPr>
      <w:keepNext/>
      <w:keepLines/>
      <w:pBdr>
        <w:top w:val="nil"/>
        <w:left w:val="nil"/>
        <w:bottom w:val="nil"/>
        <w:right w:val="nil"/>
        <w:between w:val="nil"/>
      </w:pBdr>
      <w:spacing w:before="280" w:after="80"/>
      <w:outlineLvl w:val="2"/>
    </w:pPr>
    <w:rPr>
      <w:b/>
      <w:color w:val="000000"/>
      <w:sz w:val="28"/>
      <w:szCs w:val="28"/>
    </w:rPr>
  </w:style>
  <w:style w:type="paragraph" w:styleId="Heading4">
    <w:name w:val="heading 4"/>
    <w:basedOn w:val="Normal1"/>
    <w:next w:val="Normal1"/>
    <w:rsid w:val="003647B3"/>
    <w:pPr>
      <w:keepNext/>
      <w:keepLines/>
      <w:pBdr>
        <w:top w:val="nil"/>
        <w:left w:val="nil"/>
        <w:bottom w:val="nil"/>
        <w:right w:val="nil"/>
        <w:between w:val="nil"/>
      </w:pBdr>
      <w:spacing w:before="240" w:after="40"/>
      <w:outlineLvl w:val="3"/>
    </w:pPr>
    <w:rPr>
      <w:b/>
      <w:color w:val="000000"/>
      <w:sz w:val="24"/>
      <w:szCs w:val="24"/>
    </w:rPr>
  </w:style>
  <w:style w:type="paragraph" w:styleId="Heading5">
    <w:name w:val="heading 5"/>
    <w:basedOn w:val="Normal1"/>
    <w:next w:val="Normal1"/>
    <w:rsid w:val="00006EC9"/>
    <w:pPr>
      <w:keepNext/>
      <w:keepLines/>
      <w:pBdr>
        <w:top w:val="nil"/>
        <w:left w:val="nil"/>
        <w:bottom w:val="nil"/>
        <w:right w:val="nil"/>
        <w:between w:val="nil"/>
      </w:pBdr>
      <w:spacing w:before="220" w:after="40" w:line="360" w:lineRule="auto"/>
      <w:jc w:val="center"/>
      <w:outlineLvl w:val="4"/>
    </w:pPr>
    <w:rPr>
      <w:rFonts w:ascii="Arial" w:hAnsi="Arial"/>
      <w:b/>
      <w:color w:val="000000"/>
      <w:sz w:val="24"/>
    </w:rPr>
  </w:style>
  <w:style w:type="paragraph" w:styleId="Heading6">
    <w:name w:val="heading 6"/>
    <w:basedOn w:val="Normal1"/>
    <w:next w:val="Normal1"/>
    <w:rsid w:val="003647B3"/>
    <w:pPr>
      <w:keepNext/>
      <w:keepLines/>
      <w:pBdr>
        <w:top w:val="nil"/>
        <w:left w:val="nil"/>
        <w:bottom w:val="nil"/>
        <w:right w:val="nil"/>
        <w:between w:val="nil"/>
      </w:pBdr>
      <w:spacing w:before="200" w:after="40"/>
      <w:outlineLvl w:val="5"/>
    </w:pPr>
    <w:rPr>
      <w:b/>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3647B3"/>
    <w:tblPr>
      <w:tblCellMar>
        <w:top w:w="100" w:type="dxa"/>
        <w:left w:w="100" w:type="dxa"/>
        <w:bottom w:w="100" w:type="dxa"/>
        <w:right w:w="100" w:type="dxa"/>
      </w:tblCellMar>
    </w:tblPr>
  </w:style>
  <w:style w:type="paragraph" w:customStyle="1" w:styleId="Normal1">
    <w:name w:val="Normal1"/>
    <w:rsid w:val="003647B3"/>
  </w:style>
  <w:style w:type="paragraph" w:styleId="Title">
    <w:name w:val="Title"/>
    <w:basedOn w:val="Normal1"/>
    <w:next w:val="Normal1"/>
    <w:rsid w:val="003647B3"/>
    <w:pPr>
      <w:keepNext/>
      <w:keepLines/>
      <w:pBdr>
        <w:top w:val="nil"/>
        <w:left w:val="nil"/>
        <w:bottom w:val="nil"/>
        <w:right w:val="nil"/>
        <w:between w:val="nil"/>
      </w:pBdr>
      <w:spacing w:before="480" w:after="120"/>
    </w:pPr>
    <w:rPr>
      <w:b/>
      <w:color w:val="000000"/>
      <w:sz w:val="72"/>
      <w:szCs w:val="72"/>
    </w:rPr>
  </w:style>
  <w:style w:type="table" w:customStyle="1" w:styleId="TableNormal1">
    <w:name w:val="TableNormal"/>
    <w:rsid w:val="001528C8"/>
    <w:tblPr>
      <w:tblCellMar>
        <w:top w:w="100" w:type="dxa"/>
        <w:left w:w="100" w:type="dxa"/>
        <w:bottom w:w="100" w:type="dxa"/>
        <w:right w:w="100" w:type="dxa"/>
      </w:tblCellMar>
    </w:tblPr>
  </w:style>
  <w:style w:type="paragraph" w:customStyle="1" w:styleId="Normal10">
    <w:name w:val="Normal1"/>
    <w:rsid w:val="001528C8"/>
  </w:style>
  <w:style w:type="paragraph" w:styleId="ListParagraph">
    <w:name w:val="List Paragraph"/>
    <w:basedOn w:val="Normal10"/>
    <w:uiPriority w:val="34"/>
    <w:qFormat/>
    <w:rsid w:val="00BB7F60"/>
    <w:pPr>
      <w:ind w:left="720"/>
      <w:contextualSpacing/>
    </w:pPr>
  </w:style>
  <w:style w:type="character" w:customStyle="1" w:styleId="Heading1Char">
    <w:name w:val="Heading 1 Char"/>
    <w:basedOn w:val="DefaultParagraphFont"/>
    <w:link w:val="Heading1"/>
    <w:uiPriority w:val="9"/>
    <w:rsid w:val="005655C9"/>
    <w:rPr>
      <w:rFonts w:ascii="Arial" w:eastAsia="Times New Roman" w:hAnsi="Arial" w:cs="Times New Roman"/>
      <w:b/>
      <w:bCs/>
      <w:color w:val="000000" w:themeColor="text1"/>
      <w:kern w:val="36"/>
      <w:sz w:val="24"/>
      <w:szCs w:val="48"/>
      <w:lang w:eastAsia="en-IN"/>
    </w:rPr>
  </w:style>
  <w:style w:type="paragraph" w:styleId="TOCHeading">
    <w:name w:val="TOC Heading"/>
    <w:basedOn w:val="Heading1"/>
    <w:next w:val="Normal10"/>
    <w:uiPriority w:val="39"/>
    <w:unhideWhenUsed/>
    <w:qFormat/>
    <w:rsid w:val="008E0C51"/>
    <w:pPr>
      <w:keepNext/>
      <w:keepLines/>
      <w:spacing w:before="480" w:after="0" w:line="276" w:lineRule="auto"/>
      <w:outlineLvl w:val="9"/>
    </w:pPr>
    <w:rPr>
      <w:rFonts w:asciiTheme="majorHAnsi" w:eastAsiaTheme="majorEastAsia" w:hAnsiTheme="majorHAnsi" w:cstheme="majorBidi"/>
      <w:color w:val="365F91" w:themeColor="accent1" w:themeShade="BF"/>
      <w:szCs w:val="28"/>
      <w:lang w:val="en-US" w:eastAsia="en-US"/>
    </w:rPr>
  </w:style>
  <w:style w:type="paragraph" w:styleId="BalloonText">
    <w:name w:val="Balloon Text"/>
    <w:basedOn w:val="Normal10"/>
    <w:link w:val="BalloonTextChar"/>
    <w:uiPriority w:val="99"/>
    <w:semiHidden/>
    <w:unhideWhenUsed/>
    <w:rsid w:val="008E0C5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C51"/>
    <w:rPr>
      <w:rFonts w:ascii="Tahoma" w:hAnsi="Tahoma" w:cs="Tahoma"/>
      <w:sz w:val="16"/>
      <w:szCs w:val="16"/>
    </w:rPr>
  </w:style>
  <w:style w:type="character" w:styleId="Hyperlink">
    <w:name w:val="Hyperlink"/>
    <w:basedOn w:val="DefaultParagraphFont"/>
    <w:uiPriority w:val="99"/>
    <w:unhideWhenUsed/>
    <w:rsid w:val="008E0C51"/>
    <w:rPr>
      <w:color w:val="0000FF" w:themeColor="hyperlink"/>
      <w:u w:val="single"/>
    </w:rPr>
  </w:style>
  <w:style w:type="paragraph" w:styleId="Header">
    <w:name w:val="header"/>
    <w:basedOn w:val="Normal10"/>
    <w:link w:val="HeaderChar"/>
    <w:uiPriority w:val="99"/>
    <w:semiHidden/>
    <w:unhideWhenUsed/>
    <w:rsid w:val="00B40C4D"/>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40C4D"/>
  </w:style>
  <w:style w:type="paragraph" w:styleId="Footer">
    <w:name w:val="footer"/>
    <w:basedOn w:val="Normal10"/>
    <w:link w:val="FooterChar"/>
    <w:uiPriority w:val="99"/>
    <w:unhideWhenUsed/>
    <w:rsid w:val="00B40C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0C4D"/>
  </w:style>
  <w:style w:type="paragraph" w:styleId="TOC1">
    <w:name w:val="toc 1"/>
    <w:basedOn w:val="Normal10"/>
    <w:next w:val="Normal10"/>
    <w:autoRedefine/>
    <w:uiPriority w:val="39"/>
    <w:unhideWhenUsed/>
    <w:rsid w:val="00797A02"/>
    <w:pPr>
      <w:tabs>
        <w:tab w:val="right" w:leader="dot" w:pos="9016"/>
      </w:tabs>
      <w:spacing w:after="100" w:line="360" w:lineRule="auto"/>
    </w:pPr>
  </w:style>
  <w:style w:type="character" w:customStyle="1" w:styleId="UnresolvedMention1">
    <w:name w:val="Unresolved Mention1"/>
    <w:basedOn w:val="DefaultParagraphFont"/>
    <w:uiPriority w:val="99"/>
    <w:semiHidden/>
    <w:unhideWhenUsed/>
    <w:rsid w:val="00187D56"/>
    <w:rPr>
      <w:color w:val="605E5C"/>
      <w:shd w:val="clear" w:color="auto" w:fill="E1DFDD"/>
    </w:rPr>
  </w:style>
  <w:style w:type="character" w:customStyle="1" w:styleId="Heading2Char">
    <w:name w:val="Heading 2 Char"/>
    <w:basedOn w:val="DefaultParagraphFont"/>
    <w:link w:val="Heading2"/>
    <w:uiPriority w:val="9"/>
    <w:rsid w:val="005655C9"/>
    <w:rPr>
      <w:rFonts w:ascii="Arial" w:eastAsia="Times New Roman" w:hAnsi="Arial" w:cs="Times New Roman"/>
      <w:b/>
      <w:bCs/>
      <w:color w:val="000000" w:themeColor="text1"/>
      <w:kern w:val="36"/>
      <w:sz w:val="24"/>
      <w:szCs w:val="48"/>
      <w:lang w:val="en-GB" w:eastAsia="en-IN"/>
    </w:rPr>
  </w:style>
  <w:style w:type="character" w:styleId="FollowedHyperlink">
    <w:name w:val="FollowedHyperlink"/>
    <w:basedOn w:val="DefaultParagraphFont"/>
    <w:uiPriority w:val="99"/>
    <w:semiHidden/>
    <w:unhideWhenUsed/>
    <w:rsid w:val="00634C6D"/>
    <w:rPr>
      <w:color w:val="800080" w:themeColor="followedHyperlink"/>
      <w:u w:val="single"/>
    </w:rPr>
  </w:style>
  <w:style w:type="character" w:customStyle="1" w:styleId="vkekvd">
    <w:name w:val="vkekvd"/>
    <w:basedOn w:val="DefaultParagraphFont"/>
    <w:rsid w:val="002E260A"/>
  </w:style>
  <w:style w:type="paragraph" w:styleId="TOC2">
    <w:name w:val="toc 2"/>
    <w:basedOn w:val="Normal10"/>
    <w:next w:val="Normal10"/>
    <w:autoRedefine/>
    <w:uiPriority w:val="39"/>
    <w:unhideWhenUsed/>
    <w:rsid w:val="002B05B6"/>
    <w:pPr>
      <w:spacing w:after="100"/>
      <w:ind w:left="220"/>
    </w:pPr>
  </w:style>
  <w:style w:type="character" w:customStyle="1" w:styleId="UnresolvedMention2">
    <w:name w:val="Unresolved Mention2"/>
    <w:basedOn w:val="DefaultParagraphFont"/>
    <w:uiPriority w:val="99"/>
    <w:semiHidden/>
    <w:unhideWhenUsed/>
    <w:rsid w:val="00241491"/>
    <w:rPr>
      <w:color w:val="605E5C"/>
      <w:shd w:val="clear" w:color="auto" w:fill="E1DFDD"/>
    </w:rPr>
  </w:style>
  <w:style w:type="paragraph" w:styleId="Subtitle">
    <w:name w:val="Subtitle"/>
    <w:basedOn w:val="Normal1"/>
    <w:next w:val="Normal1"/>
    <w:rsid w:val="003647B3"/>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styleId="TableofFigures">
    <w:name w:val="table of figures"/>
    <w:basedOn w:val="Normal"/>
    <w:next w:val="Normal"/>
    <w:uiPriority w:val="99"/>
    <w:unhideWhenUsed/>
    <w:rsid w:val="00B2711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822226">
      <w:bodyDiv w:val="1"/>
      <w:marLeft w:val="0"/>
      <w:marRight w:val="0"/>
      <w:marTop w:val="0"/>
      <w:marBottom w:val="0"/>
      <w:divBdr>
        <w:top w:val="none" w:sz="0" w:space="0" w:color="auto"/>
        <w:left w:val="none" w:sz="0" w:space="0" w:color="auto"/>
        <w:bottom w:val="none" w:sz="0" w:space="0" w:color="auto"/>
        <w:right w:val="none" w:sz="0" w:space="0" w:color="auto"/>
      </w:divBdr>
    </w:div>
    <w:div w:id="674111669">
      <w:bodyDiv w:val="1"/>
      <w:marLeft w:val="0"/>
      <w:marRight w:val="0"/>
      <w:marTop w:val="0"/>
      <w:marBottom w:val="0"/>
      <w:divBdr>
        <w:top w:val="none" w:sz="0" w:space="0" w:color="auto"/>
        <w:left w:val="none" w:sz="0" w:space="0" w:color="auto"/>
        <w:bottom w:val="none" w:sz="0" w:space="0" w:color="auto"/>
        <w:right w:val="none" w:sz="0" w:space="0" w:color="auto"/>
      </w:divBdr>
    </w:div>
    <w:div w:id="11085476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books.google.com/books?hl=en&amp;lr=&amp;id=Wf2AEQAAQBAJ&amp;oi=fnd&amp;pg=PP1&amp;dq=HR+operating+models+need+to+become+more+digital+through+AI+assistance&amp;ots=fMCGC8HxoC&amp;sig=iV7yQ04cngu0Wp-hc95iOmHmn84" TargetMode="External"/><Relationship Id="rId26" Type="http://schemas.openxmlformats.org/officeDocument/2006/relationships/hyperlink" Target="https://dergipark.org.tr/en/download/article-file/4100804" TargetMode="External"/><Relationship Id="rId39" Type="http://schemas.openxmlformats.org/officeDocument/2006/relationships/hyperlink" Target="https://doi.org/10.1186/s13731-024-00386-4" TargetMode="External"/><Relationship Id="rId3" Type="http://schemas.openxmlformats.org/officeDocument/2006/relationships/numbering" Target="numbering.xml"/><Relationship Id="rId21" Type="http://schemas.openxmlformats.org/officeDocument/2006/relationships/hyperlink" Target="https://doi.org/10.13106/jafeb.2021.vol8.no1.803" TargetMode="External"/><Relationship Id="rId34" Type="http://schemas.openxmlformats.org/officeDocument/2006/relationships/hyperlink" Target="https://hr.economictimes.indiatimes.com/news/trends/leadership/talent-in-the-age-of-global-disruption-building-resilient-workforce-for-an-uncertain-world/121950940" TargetMode="External"/><Relationship Id="rId42" Type="http://schemas.openxmlformats.org/officeDocument/2006/relationships/hyperlink" Target="https://www.unilever.com/news/news-search/2020/an-exciting-new-normal-for-flexible-working/" TargetMode="External"/><Relationship Id="rId47" Type="http://schemas.openxmlformats.org/officeDocument/2006/relationships/header" Target="header1.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papers.ssrn.com/sol3/Delivery.cfm?abstractid=5257575" TargetMode="External"/><Relationship Id="rId25" Type="http://schemas.openxmlformats.org/officeDocument/2006/relationships/hyperlink" Target="https://digilib.k.utb.cz/bitstream/handle/10563/47414/karatas_2021_dp.pdf?sequence=-1" TargetMode="External"/><Relationship Id="rId33" Type="http://schemas.openxmlformats.org/officeDocument/2006/relationships/hyperlink" Target="http://dx.doi.org/10.2139/ssrn.5330092" TargetMode="External"/><Relationship Id="rId38" Type="http://schemas.openxmlformats.org/officeDocument/2006/relationships/hyperlink" Target="https://papers.ssrn.com/sol3/Delivery.cfm?abstractid=5457537" TargetMode="External"/><Relationship Id="rId46" Type="http://schemas.openxmlformats.org/officeDocument/2006/relationships/hyperlink" Target="https://books.google.com/books?hl=en&amp;lr=&amp;id=dSQXEAAAQBAJ&amp;oi=fnd&amp;pg=PA203&amp;dq=+distributed+leadership+style.+for+business&amp;ots=Ioiv8qwVrM&amp;sig=HfByDO7EkvDRPE6nSlb7R7PvvJA" TargetMode="External"/><Relationship Id="rId2" Type="http://schemas.openxmlformats.org/officeDocument/2006/relationships/customXml" Target="../customXml/item2.xml"/><Relationship Id="rId16" Type="http://schemas.openxmlformats.org/officeDocument/2006/relationships/hyperlink" Target="https://www.researchgate.net/profile/Blessing-Idowu/publication/396179996_Artificial_Intelligence_for_Human_Resource_Management_Recruitment_Retention_and_Performance_Author/links/68e08556ffdca73694b54e97/Artificial-Intelligence-for-Human-Resource-Management-Recruitment-Retention-and-Performance-Author.pdf" TargetMode="External"/><Relationship Id="rId20" Type="http://schemas.openxmlformats.org/officeDocument/2006/relationships/hyperlink" Target="https://www.ey.com/en_uk/services/workforce/ey-ai-workforce-digital-worker-platform-hr-function" TargetMode="External"/><Relationship Id="rId29" Type="http://schemas.openxmlformats.org/officeDocument/2006/relationships/hyperlink" Target="https://www.mckinsey.com/capabilities/people-and-organizational-performance/our-insights/the-critical-role-of-strategic-workforce-planning-in-the-age-of-ai" TargetMode="External"/><Relationship Id="rId41" Type="http://schemas.openxmlformats.org/officeDocument/2006/relationships/hyperlink" Target="https://www.tescoplc.com/innovation/find-out-more?utm_source=chatgpt.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doi.org/10.18757/jscms.2023.6986" TargetMode="External"/><Relationship Id="rId32" Type="http://schemas.openxmlformats.org/officeDocument/2006/relationships/hyperlink" Target="https://doi.org/10.1080/21582041.2023.2192516" TargetMode="External"/><Relationship Id="rId37" Type="http://schemas.openxmlformats.org/officeDocument/2006/relationships/hyperlink" Target="https://www.shell.com/what-we-do/digitalisation/robotics/_jcr_content/root/main/section/simple/call_to_action/links/item0.stream/1650125467488/f902d0fe13e308df3ac7c92269231ae9d3131d04/the-road-travelled-so-far-to-ground-surveillance-robots-mulder.pdf" TargetMode="External"/><Relationship Id="rId40" Type="http://schemas.openxmlformats.org/officeDocument/2006/relationships/hyperlink" Target="https://www.tescoplc.com/tesco-agrees-largest-uk-corporate-ppa-for-solar-power-in-landmark-infrastructure-project/" TargetMode="External"/><Relationship Id="rId45" Type="http://schemas.openxmlformats.org/officeDocument/2006/relationships/hyperlink" Target="https://doi.org/10.1111/poms.13867" TargetMode="External"/><Relationship Id="rId5" Type="http://schemas.openxmlformats.org/officeDocument/2006/relationships/settings" Target="settings.xml"/><Relationship Id="rId15" Type="http://schemas.openxmlformats.org/officeDocument/2006/relationships/hyperlink" Target="https://www.cipd.org/en/knowledge/case-studies/operating-model-tesco" TargetMode="External"/><Relationship Id="rId23" Type="http://schemas.openxmlformats.org/officeDocument/2006/relationships/hyperlink" Target="https://www.ethnicity-facts-figures.service.gov.uk/work-pay-and-benefits/employment/employment/latest/?utm_source=chatgpt.com" TargetMode="External"/><Relationship Id="rId28" Type="http://schemas.openxmlformats.org/officeDocument/2006/relationships/hyperlink" Target="https://www.diva-portal.org/smash/get/diva2:1769245/FULLTEXT02" TargetMode="External"/><Relationship Id="rId36" Type="http://schemas.openxmlformats.org/officeDocument/2006/relationships/hyperlink" Target="https://www.4coffshore.com/news/shell-uk-unveils-a320-billion-low-carbon-investment-plans-nid25263.html" TargetMode="External"/><Relationship Id="rId49"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ey.com/en_gl/newsroom/2024/05/ey-asurance-releases-new-technology-capabilities-strengthening-confidence-and-trust?utm_source=chatgpt.com" TargetMode="External"/><Relationship Id="rId31" Type="http://schemas.openxmlformats.org/officeDocument/2006/relationships/hyperlink" Target="https://www.simplypsychology.org/gibbs-reflective-cycle.html" TargetMode="External"/><Relationship Id="rId44" Type="http://schemas.openxmlformats.org/officeDocument/2006/relationships/hyperlink" Target="https://doi.org/10.1080/09585192.2020.1871398"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s://pdfs.semanticscholar.org/e4eb/ebee79064c0a37ea6d10802bd37a936ce8f4.pdf" TargetMode="External"/><Relationship Id="rId22" Type="http://schemas.openxmlformats.org/officeDocument/2006/relationships/hyperlink" Target="https://www.researchgate.net/publication/382909567_Talent_Management_for_Achievement_of_Organizational_Supremacy_The_Case_of_Reputed_Global_Multinationals_That_Have_Achieved_Unparalleled_Success_Through_Superior_Talent_Management" TargetMode="External"/><Relationship Id="rId27" Type="http://schemas.openxmlformats.org/officeDocument/2006/relationships/hyperlink" Target="https://www.lewissilkin.com/our-thinking/future-of-work-hub/insights/2025/05/19/changing-demographics-and-ageing-workforces" TargetMode="External"/><Relationship Id="rId30" Type="http://schemas.openxmlformats.org/officeDocument/2006/relationships/hyperlink" Target="https://www.mckinsey.com/capabilities/people-and-organizational-performance/our-insights/the-critical-role-of-strategic-workforce-planning-in-the-age-of-ai" TargetMode="External"/><Relationship Id="rId35" Type="http://schemas.openxmlformats.org/officeDocument/2006/relationships/hyperlink" Target="https://hr.economictimes.indiatimes.com/news/trends/leadership/talent-in-the-age-of-global-disruption-building-resilient-workforce-for-an-uncertain-world/121950940" TargetMode="External"/><Relationship Id="rId43" Type="http://schemas.openxmlformats.org/officeDocument/2006/relationships/hyperlink" Target="https://www.unilever.com/news/news-search/2025/whats-behind-the-doors-of-our-worldleading-fragrance-house/" TargetMode="External"/><Relationship Id="rId48" Type="http://schemas.openxmlformats.org/officeDocument/2006/relationships/footer" Target="footer1.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bchOclkc8Xl8YjhhPUrlPeEf6RA==">CgMxLjAyDmguZGN1ZDMwbHgwMjFtMg5oLm53YmtlOTlvazFsMzIOaC43b2tqYWJpam96aXgyDmguNmttbjRzYzN0NzQ2Mg5oLmViMWJxMTZ5MHEwcDIOaC45d2hweHZrb3N3angyDmguM2tpM2ptdnlrd2U3Mg5oLm5kcGhtcXlkOWdkcjINaC5qNzY5YjJoZmlwZjIOaC5ob3Fsb3c0Mm83YTAyDmgudmRrN21zZzFyM3U4OAByITF1aVpxVWxqYUtvQ1NoSTJzc2FZVXA0Q1dKaGQxcURvc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2D1B30F7-7493-4E16-8555-699A46318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16</Pages>
  <Words>4902</Words>
  <Characters>27943</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6</cp:revision>
  <dcterms:created xsi:type="dcterms:W3CDTF">2025-10-16T19:00:00Z</dcterms:created>
  <dcterms:modified xsi:type="dcterms:W3CDTF">2025-10-16T19:14:00Z</dcterms:modified>
</cp:coreProperties>
</file>