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7F45C" w14:textId="77777777" w:rsidR="006D358D" w:rsidRPr="002D16F4" w:rsidRDefault="00951643" w:rsidP="00100F56">
      <w:r w:rsidRPr="002D16F4">
        <w:rPr>
          <w:noProof/>
        </w:rPr>
        <w:drawing>
          <wp:inline distT="0" distB="0" distL="0" distR="0" wp14:anchorId="0A5512D4" wp14:editId="7CBFF740">
            <wp:extent cx="1810589" cy="720000"/>
            <wp:effectExtent l="0" t="0" r="0" b="4445"/>
            <wp:docPr id="177430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8904" name=""/>
                    <pic:cNvPicPr/>
                  </pic:nvPicPr>
                  <pic:blipFill>
                    <a:blip r:embed="rId6"/>
                    <a:stretch>
                      <a:fillRect/>
                    </a:stretch>
                  </pic:blipFill>
                  <pic:spPr>
                    <a:xfrm>
                      <a:off x="0" y="0"/>
                      <a:ext cx="1810589" cy="720000"/>
                    </a:xfrm>
                    <a:prstGeom prst="rect">
                      <a:avLst/>
                    </a:prstGeom>
                  </pic:spPr>
                </pic:pic>
              </a:graphicData>
            </a:graphic>
          </wp:inline>
        </w:drawing>
      </w:r>
    </w:p>
    <w:p w14:paraId="28D6453D" w14:textId="77777777" w:rsidR="00DE3E53" w:rsidRPr="002D16F4" w:rsidRDefault="00DE3E53" w:rsidP="00100F56"/>
    <w:p w14:paraId="3F2B0A81" w14:textId="77777777" w:rsidR="003A19FB" w:rsidRPr="002D16F4" w:rsidRDefault="003A19FB" w:rsidP="00100F56"/>
    <w:p w14:paraId="713ECC6E" w14:textId="77777777" w:rsidR="003A19FB" w:rsidRPr="002D16F4" w:rsidRDefault="003A19FB" w:rsidP="00100F56"/>
    <w:p w14:paraId="11358270" w14:textId="77777777" w:rsidR="00914E0C" w:rsidRDefault="00914E0C" w:rsidP="00100F56"/>
    <w:p w14:paraId="4CD9BA82" w14:textId="77777777" w:rsidR="00914E0C" w:rsidRDefault="00914E0C" w:rsidP="00100F56"/>
    <w:p w14:paraId="57D4F36D" w14:textId="77777777" w:rsidR="002939A8" w:rsidRPr="006247F8" w:rsidRDefault="00951643" w:rsidP="006247F8">
      <w:pPr>
        <w:jc w:val="center"/>
        <w:rPr>
          <w:b/>
        </w:rPr>
      </w:pPr>
      <w:r w:rsidRPr="006247F8">
        <w:rPr>
          <w:b/>
        </w:rPr>
        <w:t>Essay</w:t>
      </w:r>
      <w:r w:rsidR="000F5F23" w:rsidRPr="006247F8">
        <w:rPr>
          <w:b/>
        </w:rPr>
        <w:t xml:space="preserve"> Title: How to engage employees (Generation </w:t>
      </w:r>
      <w:proofErr w:type="spellStart"/>
      <w:r w:rsidR="000F5F23" w:rsidRPr="006247F8">
        <w:rPr>
          <w:b/>
        </w:rPr>
        <w:t>Ys</w:t>
      </w:r>
      <w:proofErr w:type="spellEnd"/>
      <w:r w:rsidR="000F5F23" w:rsidRPr="006247F8">
        <w:rPr>
          <w:b/>
        </w:rPr>
        <w:t xml:space="preserve"> or Generation Zs) throughout the employee lifecycle?</w:t>
      </w:r>
    </w:p>
    <w:p w14:paraId="1F8B9383" w14:textId="77777777" w:rsidR="008D0B76" w:rsidRPr="006247F8" w:rsidRDefault="00951643" w:rsidP="006247F8">
      <w:pPr>
        <w:jc w:val="center"/>
        <w:rPr>
          <w:b/>
        </w:rPr>
      </w:pPr>
      <w:r w:rsidRPr="006247F8">
        <w:rPr>
          <w:b/>
        </w:rPr>
        <w:t>Student Name:</w:t>
      </w:r>
    </w:p>
    <w:p w14:paraId="48A6C62E" w14:textId="77777777" w:rsidR="008D0B76" w:rsidRPr="006247F8" w:rsidRDefault="00951643" w:rsidP="006247F8">
      <w:pPr>
        <w:jc w:val="center"/>
        <w:rPr>
          <w:b/>
        </w:rPr>
      </w:pPr>
      <w:r w:rsidRPr="006247F8">
        <w:rPr>
          <w:b/>
        </w:rPr>
        <w:t>Module Title:</w:t>
      </w:r>
      <w:r w:rsidR="000468C4" w:rsidRPr="006247F8">
        <w:rPr>
          <w:b/>
        </w:rPr>
        <w:t xml:space="preserve"> Personnel Resourcing and Development</w:t>
      </w:r>
    </w:p>
    <w:p w14:paraId="410DB864" w14:textId="77777777" w:rsidR="008D0B76" w:rsidRPr="006247F8" w:rsidRDefault="00951643" w:rsidP="006247F8">
      <w:pPr>
        <w:jc w:val="center"/>
        <w:rPr>
          <w:b/>
        </w:rPr>
      </w:pPr>
      <w:r w:rsidRPr="006247F8">
        <w:rPr>
          <w:b/>
        </w:rPr>
        <w:t>Module Code:</w:t>
      </w:r>
      <w:r w:rsidR="000468C4" w:rsidRPr="006247F8">
        <w:rPr>
          <w:b/>
        </w:rPr>
        <w:t xml:space="preserve"> BMIH5005</w:t>
      </w:r>
    </w:p>
    <w:p w14:paraId="46679A76" w14:textId="77777777" w:rsidR="008D0B76" w:rsidRPr="006247F8" w:rsidRDefault="00951643" w:rsidP="006247F8">
      <w:pPr>
        <w:jc w:val="center"/>
        <w:rPr>
          <w:b/>
        </w:rPr>
      </w:pPr>
      <w:r w:rsidRPr="006247F8">
        <w:rPr>
          <w:b/>
        </w:rPr>
        <w:t>Lecturer’s Name:</w:t>
      </w:r>
    </w:p>
    <w:p w14:paraId="0F9D7B4F" w14:textId="77777777" w:rsidR="002939A8" w:rsidRPr="006247F8" w:rsidRDefault="00951643" w:rsidP="006247F8">
      <w:pPr>
        <w:jc w:val="center"/>
        <w:rPr>
          <w:b/>
        </w:rPr>
      </w:pPr>
      <w:r w:rsidRPr="006247F8">
        <w:rPr>
          <w:b/>
        </w:rPr>
        <w:t>Word Count: 2000</w:t>
      </w:r>
    </w:p>
    <w:p w14:paraId="27904265" w14:textId="77777777" w:rsidR="002939A8" w:rsidRPr="002D16F4" w:rsidRDefault="00951643" w:rsidP="00100F56">
      <w:r w:rsidRPr="002D16F4">
        <w:br w:type="page"/>
      </w:r>
    </w:p>
    <w:sdt>
      <w:sdtPr>
        <w:rPr>
          <w:rFonts w:ascii="Arial" w:eastAsiaTheme="minorHAnsi" w:hAnsi="Arial" w:cs="Arial"/>
          <w:color w:val="auto"/>
          <w:sz w:val="24"/>
          <w:szCs w:val="24"/>
        </w:rPr>
        <w:id w:val="-1369294738"/>
        <w:docPartObj>
          <w:docPartGallery w:val="Table of Contents"/>
          <w:docPartUnique/>
        </w:docPartObj>
      </w:sdtPr>
      <w:sdtEndPr>
        <w:rPr>
          <w:noProof/>
        </w:rPr>
      </w:sdtEndPr>
      <w:sdtContent>
        <w:p w14:paraId="644FD51C" w14:textId="77777777" w:rsidR="002939A8" w:rsidRPr="00BB70D3" w:rsidRDefault="00951643" w:rsidP="00564944">
          <w:pPr>
            <w:pStyle w:val="TOCHeading"/>
            <w:jc w:val="center"/>
            <w:rPr>
              <w:rFonts w:ascii="Arial" w:hAnsi="Arial" w:cs="Arial"/>
              <w:b/>
              <w:bCs/>
              <w:color w:val="000000" w:themeColor="text1"/>
              <w:sz w:val="24"/>
              <w:szCs w:val="24"/>
            </w:rPr>
          </w:pPr>
          <w:r w:rsidRPr="00BB70D3">
            <w:rPr>
              <w:rFonts w:ascii="Arial" w:hAnsi="Arial" w:cs="Arial"/>
              <w:b/>
              <w:bCs/>
              <w:color w:val="000000" w:themeColor="text1"/>
              <w:sz w:val="24"/>
              <w:szCs w:val="24"/>
            </w:rPr>
            <w:t>Table of Contents</w:t>
          </w:r>
        </w:p>
        <w:p w14:paraId="2F60571E" w14:textId="0B88C348" w:rsidR="00BB70D3" w:rsidRPr="00BB70D3" w:rsidRDefault="00951643">
          <w:pPr>
            <w:pStyle w:val="TOC1"/>
            <w:tabs>
              <w:tab w:val="left" w:pos="440"/>
              <w:tab w:val="right" w:leader="dot" w:pos="9350"/>
            </w:tabs>
            <w:rPr>
              <w:rFonts w:eastAsiaTheme="minorEastAsia"/>
              <w:noProof/>
              <w:color w:val="000000" w:themeColor="text1"/>
              <w:kern w:val="2"/>
              <w:shd w:val="clear" w:color="auto" w:fill="auto"/>
              <w:lang w:val="en-GB" w:eastAsia="en-GB"/>
              <w14:ligatures w14:val="standardContextual"/>
            </w:rPr>
          </w:pPr>
          <w:r w:rsidRPr="00BB70D3">
            <w:rPr>
              <w:color w:val="000000" w:themeColor="text1"/>
            </w:rPr>
            <w:fldChar w:fldCharType="begin"/>
          </w:r>
          <w:r w:rsidRPr="00BB70D3">
            <w:rPr>
              <w:color w:val="000000" w:themeColor="text1"/>
            </w:rPr>
            <w:instrText xml:space="preserve"> TOC \o "1-3" \h \z \u </w:instrText>
          </w:r>
          <w:r w:rsidRPr="00BB70D3">
            <w:rPr>
              <w:color w:val="000000" w:themeColor="text1"/>
            </w:rPr>
            <w:fldChar w:fldCharType="separate"/>
          </w:r>
          <w:hyperlink w:anchor="_Toc148791238" w:history="1">
            <w:r w:rsidR="00BB70D3" w:rsidRPr="00BB70D3">
              <w:rPr>
                <w:rStyle w:val="Hyperlink"/>
                <w:noProof/>
                <w:color w:val="000000" w:themeColor="text1"/>
              </w:rPr>
              <w:t>1</w:t>
            </w:r>
            <w:r w:rsidR="00BB70D3" w:rsidRPr="00BB70D3">
              <w:rPr>
                <w:rFonts w:eastAsiaTheme="minorEastAsia"/>
                <w:noProof/>
                <w:color w:val="000000" w:themeColor="text1"/>
                <w:kern w:val="2"/>
                <w:shd w:val="clear" w:color="auto" w:fill="auto"/>
                <w:lang w:val="en-GB" w:eastAsia="en-GB"/>
                <w14:ligatures w14:val="standardContextual"/>
              </w:rPr>
              <w:tab/>
            </w:r>
            <w:r w:rsidR="00BB70D3" w:rsidRPr="00BB70D3">
              <w:rPr>
                <w:rStyle w:val="Hyperlink"/>
                <w:noProof/>
                <w:color w:val="000000" w:themeColor="text1"/>
              </w:rPr>
              <w:t>Introduction</w:t>
            </w:r>
            <w:r w:rsidR="00BB70D3" w:rsidRPr="00BB70D3">
              <w:rPr>
                <w:noProof/>
                <w:webHidden/>
                <w:color w:val="000000" w:themeColor="text1"/>
              </w:rPr>
              <w:tab/>
            </w:r>
            <w:r w:rsidR="00BB70D3" w:rsidRPr="00BB70D3">
              <w:rPr>
                <w:noProof/>
                <w:webHidden/>
                <w:color w:val="000000" w:themeColor="text1"/>
              </w:rPr>
              <w:fldChar w:fldCharType="begin"/>
            </w:r>
            <w:r w:rsidR="00BB70D3" w:rsidRPr="00BB70D3">
              <w:rPr>
                <w:noProof/>
                <w:webHidden/>
                <w:color w:val="000000" w:themeColor="text1"/>
              </w:rPr>
              <w:instrText xml:space="preserve"> PAGEREF _Toc148791238 \h </w:instrText>
            </w:r>
            <w:r w:rsidR="00BB70D3" w:rsidRPr="00BB70D3">
              <w:rPr>
                <w:noProof/>
                <w:webHidden/>
                <w:color w:val="000000" w:themeColor="text1"/>
              </w:rPr>
            </w:r>
            <w:r w:rsidR="00BB70D3" w:rsidRPr="00BB70D3">
              <w:rPr>
                <w:noProof/>
                <w:webHidden/>
                <w:color w:val="000000" w:themeColor="text1"/>
              </w:rPr>
              <w:fldChar w:fldCharType="separate"/>
            </w:r>
            <w:r w:rsidR="00BB70D3" w:rsidRPr="00BB70D3">
              <w:rPr>
                <w:noProof/>
                <w:webHidden/>
                <w:color w:val="000000" w:themeColor="text1"/>
              </w:rPr>
              <w:t>3</w:t>
            </w:r>
            <w:r w:rsidR="00BB70D3" w:rsidRPr="00BB70D3">
              <w:rPr>
                <w:noProof/>
                <w:webHidden/>
                <w:color w:val="000000" w:themeColor="text1"/>
              </w:rPr>
              <w:fldChar w:fldCharType="end"/>
            </w:r>
          </w:hyperlink>
        </w:p>
        <w:p w14:paraId="1DFAF5FD" w14:textId="76384AE3" w:rsidR="00BB70D3" w:rsidRPr="00BB70D3" w:rsidRDefault="00BB70D3">
          <w:pPr>
            <w:pStyle w:val="TOC1"/>
            <w:tabs>
              <w:tab w:val="left" w:pos="440"/>
              <w:tab w:val="right" w:leader="dot" w:pos="9350"/>
            </w:tabs>
            <w:rPr>
              <w:rFonts w:eastAsiaTheme="minorEastAsia"/>
              <w:noProof/>
              <w:color w:val="000000" w:themeColor="text1"/>
              <w:kern w:val="2"/>
              <w:shd w:val="clear" w:color="auto" w:fill="auto"/>
              <w:lang w:val="en-GB" w:eastAsia="en-GB"/>
              <w14:ligatures w14:val="standardContextual"/>
            </w:rPr>
          </w:pPr>
          <w:hyperlink w:anchor="_Toc148791239" w:history="1">
            <w:r w:rsidRPr="00BB70D3">
              <w:rPr>
                <w:rStyle w:val="Hyperlink"/>
                <w:noProof/>
                <w:color w:val="000000" w:themeColor="text1"/>
              </w:rPr>
              <w:t>2</w:t>
            </w:r>
            <w:r w:rsidRPr="00BB70D3">
              <w:rPr>
                <w:rFonts w:eastAsiaTheme="minorEastAsia"/>
                <w:noProof/>
                <w:color w:val="000000" w:themeColor="text1"/>
                <w:kern w:val="2"/>
                <w:shd w:val="clear" w:color="auto" w:fill="auto"/>
                <w:lang w:val="en-GB" w:eastAsia="en-GB"/>
                <w14:ligatures w14:val="standardContextual"/>
              </w:rPr>
              <w:tab/>
            </w:r>
            <w:r w:rsidRPr="00BB70D3">
              <w:rPr>
                <w:rStyle w:val="Hyperlink"/>
                <w:noProof/>
                <w:color w:val="000000" w:themeColor="text1"/>
              </w:rPr>
              <w:t>Employees Engagement (Generation Zs) throughout Employee Lifecycle</w:t>
            </w:r>
            <w:r w:rsidRPr="00BB70D3">
              <w:rPr>
                <w:noProof/>
                <w:webHidden/>
                <w:color w:val="000000" w:themeColor="text1"/>
              </w:rPr>
              <w:tab/>
            </w:r>
            <w:r w:rsidRPr="00BB70D3">
              <w:rPr>
                <w:noProof/>
                <w:webHidden/>
                <w:color w:val="000000" w:themeColor="text1"/>
              </w:rPr>
              <w:fldChar w:fldCharType="begin"/>
            </w:r>
            <w:r w:rsidRPr="00BB70D3">
              <w:rPr>
                <w:noProof/>
                <w:webHidden/>
                <w:color w:val="000000" w:themeColor="text1"/>
              </w:rPr>
              <w:instrText xml:space="preserve"> PAGEREF _Toc148791239 \h </w:instrText>
            </w:r>
            <w:r w:rsidRPr="00BB70D3">
              <w:rPr>
                <w:noProof/>
                <w:webHidden/>
                <w:color w:val="000000" w:themeColor="text1"/>
              </w:rPr>
            </w:r>
            <w:r w:rsidRPr="00BB70D3">
              <w:rPr>
                <w:noProof/>
                <w:webHidden/>
                <w:color w:val="000000" w:themeColor="text1"/>
              </w:rPr>
              <w:fldChar w:fldCharType="separate"/>
            </w:r>
            <w:r w:rsidRPr="00BB70D3">
              <w:rPr>
                <w:noProof/>
                <w:webHidden/>
                <w:color w:val="000000" w:themeColor="text1"/>
              </w:rPr>
              <w:t>3</w:t>
            </w:r>
            <w:r w:rsidRPr="00BB70D3">
              <w:rPr>
                <w:noProof/>
                <w:webHidden/>
                <w:color w:val="000000" w:themeColor="text1"/>
              </w:rPr>
              <w:fldChar w:fldCharType="end"/>
            </w:r>
          </w:hyperlink>
        </w:p>
        <w:p w14:paraId="3FBBA774" w14:textId="293DF8E9" w:rsidR="00BB70D3" w:rsidRPr="00BB70D3" w:rsidRDefault="00BB70D3">
          <w:pPr>
            <w:pStyle w:val="TOC1"/>
            <w:tabs>
              <w:tab w:val="left" w:pos="440"/>
              <w:tab w:val="right" w:leader="dot" w:pos="9350"/>
            </w:tabs>
            <w:rPr>
              <w:rFonts w:eastAsiaTheme="minorEastAsia"/>
              <w:noProof/>
              <w:color w:val="000000" w:themeColor="text1"/>
              <w:kern w:val="2"/>
              <w:shd w:val="clear" w:color="auto" w:fill="auto"/>
              <w:lang w:val="en-GB" w:eastAsia="en-GB"/>
              <w14:ligatures w14:val="standardContextual"/>
            </w:rPr>
          </w:pPr>
          <w:hyperlink w:anchor="_Toc148791240" w:history="1">
            <w:r w:rsidRPr="00BB70D3">
              <w:rPr>
                <w:rStyle w:val="Hyperlink"/>
                <w:noProof/>
                <w:color w:val="000000" w:themeColor="text1"/>
              </w:rPr>
              <w:t>3</w:t>
            </w:r>
            <w:r w:rsidRPr="00BB70D3">
              <w:rPr>
                <w:rFonts w:eastAsiaTheme="minorEastAsia"/>
                <w:noProof/>
                <w:color w:val="000000" w:themeColor="text1"/>
                <w:kern w:val="2"/>
                <w:shd w:val="clear" w:color="auto" w:fill="auto"/>
                <w:lang w:val="en-GB" w:eastAsia="en-GB"/>
                <w14:ligatures w14:val="standardContextual"/>
              </w:rPr>
              <w:tab/>
            </w:r>
            <w:r w:rsidRPr="00BB70D3">
              <w:rPr>
                <w:rStyle w:val="Hyperlink"/>
                <w:noProof/>
                <w:color w:val="000000" w:themeColor="text1"/>
              </w:rPr>
              <w:t>Evaluation and Conclusion</w:t>
            </w:r>
            <w:r w:rsidRPr="00BB70D3">
              <w:rPr>
                <w:noProof/>
                <w:webHidden/>
                <w:color w:val="000000" w:themeColor="text1"/>
              </w:rPr>
              <w:tab/>
            </w:r>
            <w:r w:rsidRPr="00BB70D3">
              <w:rPr>
                <w:noProof/>
                <w:webHidden/>
                <w:color w:val="000000" w:themeColor="text1"/>
              </w:rPr>
              <w:fldChar w:fldCharType="begin"/>
            </w:r>
            <w:r w:rsidRPr="00BB70D3">
              <w:rPr>
                <w:noProof/>
                <w:webHidden/>
                <w:color w:val="000000" w:themeColor="text1"/>
              </w:rPr>
              <w:instrText xml:space="preserve"> PAGEREF _Toc148791240 \h </w:instrText>
            </w:r>
            <w:r w:rsidRPr="00BB70D3">
              <w:rPr>
                <w:noProof/>
                <w:webHidden/>
                <w:color w:val="000000" w:themeColor="text1"/>
              </w:rPr>
            </w:r>
            <w:r w:rsidRPr="00BB70D3">
              <w:rPr>
                <w:noProof/>
                <w:webHidden/>
                <w:color w:val="000000" w:themeColor="text1"/>
              </w:rPr>
              <w:fldChar w:fldCharType="separate"/>
            </w:r>
            <w:r w:rsidRPr="00BB70D3">
              <w:rPr>
                <w:noProof/>
                <w:webHidden/>
                <w:color w:val="000000" w:themeColor="text1"/>
              </w:rPr>
              <w:t>8</w:t>
            </w:r>
            <w:r w:rsidRPr="00BB70D3">
              <w:rPr>
                <w:noProof/>
                <w:webHidden/>
                <w:color w:val="000000" w:themeColor="text1"/>
              </w:rPr>
              <w:fldChar w:fldCharType="end"/>
            </w:r>
          </w:hyperlink>
        </w:p>
        <w:p w14:paraId="1D13DDFE" w14:textId="07A815BA" w:rsidR="00BB70D3" w:rsidRPr="00BB70D3" w:rsidRDefault="00BB70D3">
          <w:pPr>
            <w:pStyle w:val="TOC1"/>
            <w:tabs>
              <w:tab w:val="left" w:pos="440"/>
              <w:tab w:val="right" w:leader="dot" w:pos="9350"/>
            </w:tabs>
            <w:rPr>
              <w:rFonts w:eastAsiaTheme="minorEastAsia"/>
              <w:noProof/>
              <w:color w:val="000000" w:themeColor="text1"/>
              <w:kern w:val="2"/>
              <w:shd w:val="clear" w:color="auto" w:fill="auto"/>
              <w:lang w:val="en-GB" w:eastAsia="en-GB"/>
              <w14:ligatures w14:val="standardContextual"/>
            </w:rPr>
          </w:pPr>
          <w:hyperlink w:anchor="_Toc148791241" w:history="1">
            <w:r w:rsidRPr="00BB70D3">
              <w:rPr>
                <w:rStyle w:val="Hyperlink"/>
                <w:noProof/>
                <w:color w:val="000000" w:themeColor="text1"/>
              </w:rPr>
              <w:t>4</w:t>
            </w:r>
            <w:r w:rsidRPr="00BB70D3">
              <w:rPr>
                <w:rFonts w:eastAsiaTheme="minorEastAsia"/>
                <w:noProof/>
                <w:color w:val="000000" w:themeColor="text1"/>
                <w:kern w:val="2"/>
                <w:shd w:val="clear" w:color="auto" w:fill="auto"/>
                <w:lang w:val="en-GB" w:eastAsia="en-GB"/>
                <w14:ligatures w14:val="standardContextual"/>
              </w:rPr>
              <w:tab/>
            </w:r>
            <w:r w:rsidRPr="00BB70D3">
              <w:rPr>
                <w:rStyle w:val="Hyperlink"/>
                <w:noProof/>
                <w:color w:val="000000" w:themeColor="text1"/>
              </w:rPr>
              <w:t>References</w:t>
            </w:r>
            <w:r w:rsidRPr="00BB70D3">
              <w:rPr>
                <w:noProof/>
                <w:webHidden/>
                <w:color w:val="000000" w:themeColor="text1"/>
              </w:rPr>
              <w:tab/>
            </w:r>
            <w:r w:rsidRPr="00BB70D3">
              <w:rPr>
                <w:noProof/>
                <w:webHidden/>
                <w:color w:val="000000" w:themeColor="text1"/>
              </w:rPr>
              <w:fldChar w:fldCharType="begin"/>
            </w:r>
            <w:r w:rsidRPr="00BB70D3">
              <w:rPr>
                <w:noProof/>
                <w:webHidden/>
                <w:color w:val="000000" w:themeColor="text1"/>
              </w:rPr>
              <w:instrText xml:space="preserve"> PAGEREF _Toc148791241 \h </w:instrText>
            </w:r>
            <w:r w:rsidRPr="00BB70D3">
              <w:rPr>
                <w:noProof/>
                <w:webHidden/>
                <w:color w:val="000000" w:themeColor="text1"/>
              </w:rPr>
            </w:r>
            <w:r w:rsidRPr="00BB70D3">
              <w:rPr>
                <w:noProof/>
                <w:webHidden/>
                <w:color w:val="000000" w:themeColor="text1"/>
              </w:rPr>
              <w:fldChar w:fldCharType="separate"/>
            </w:r>
            <w:r w:rsidRPr="00BB70D3">
              <w:rPr>
                <w:noProof/>
                <w:webHidden/>
                <w:color w:val="000000" w:themeColor="text1"/>
              </w:rPr>
              <w:t>9</w:t>
            </w:r>
            <w:r w:rsidRPr="00BB70D3">
              <w:rPr>
                <w:noProof/>
                <w:webHidden/>
                <w:color w:val="000000" w:themeColor="text1"/>
              </w:rPr>
              <w:fldChar w:fldCharType="end"/>
            </w:r>
          </w:hyperlink>
        </w:p>
        <w:p w14:paraId="6AB680A3" w14:textId="1E380C60" w:rsidR="002939A8" w:rsidRPr="002D16F4" w:rsidRDefault="00951643" w:rsidP="00100F56">
          <w:r w:rsidRPr="00BB70D3">
            <w:rPr>
              <w:noProof/>
              <w:color w:val="000000" w:themeColor="text1"/>
            </w:rPr>
            <w:fldChar w:fldCharType="end"/>
          </w:r>
        </w:p>
      </w:sdtContent>
    </w:sdt>
    <w:p w14:paraId="7671D6A3" w14:textId="77777777" w:rsidR="009959C8" w:rsidRPr="002D16F4" w:rsidRDefault="009959C8" w:rsidP="00100F56"/>
    <w:p w14:paraId="08441ADD" w14:textId="77777777" w:rsidR="009959C8" w:rsidRPr="002D16F4" w:rsidRDefault="00951643" w:rsidP="00100F56">
      <w:r w:rsidRPr="002D16F4">
        <w:br w:type="page"/>
      </w:r>
    </w:p>
    <w:p w14:paraId="37C73646" w14:textId="77777777" w:rsidR="009959C8" w:rsidRPr="002D16F4" w:rsidRDefault="00951643" w:rsidP="00100F56">
      <w:pPr>
        <w:pStyle w:val="Heading1"/>
      </w:pPr>
      <w:bookmarkStart w:id="0" w:name="_Toc148791238"/>
      <w:r w:rsidRPr="002D16F4">
        <w:lastRenderedPageBreak/>
        <w:t>Introduction</w:t>
      </w:r>
      <w:bookmarkEnd w:id="0"/>
    </w:p>
    <w:p w14:paraId="7079F8CA" w14:textId="77777777" w:rsidR="001213E3" w:rsidRPr="002D16F4" w:rsidRDefault="00951643" w:rsidP="00100F56">
      <w:r w:rsidRPr="002D16F4">
        <w:t xml:space="preserve"> </w:t>
      </w:r>
      <w:r w:rsidRPr="002D16F4">
        <w:tab/>
      </w:r>
      <w:r w:rsidR="0018291C" w:rsidRPr="002D16F4">
        <w:t xml:space="preserve">In today's fast-paced and </w:t>
      </w:r>
      <w:r w:rsidRPr="002D16F4">
        <w:t xml:space="preserve">competitive </w:t>
      </w:r>
      <w:r w:rsidR="0018291C" w:rsidRPr="002D16F4">
        <w:t>world, human resources</w:t>
      </w:r>
      <w:r w:rsidRPr="002D16F4">
        <w:t xml:space="preserve"> play a crucial role in motivating employees. The responsibility for establishing a workplace where all employees, but particularly Millennials and Generation Z workers, can flourish falls on human resources experts. Because they bring fresh ideas to the workplace, it is crucial to understand the interests and work habits</w:t>
      </w:r>
      <w:r w:rsidR="000D7A66" w:rsidRPr="002D16F4">
        <w:t xml:space="preserve"> of these younger generations. </w:t>
      </w:r>
      <w:r w:rsidRPr="002D16F4">
        <w:t xml:space="preserve">The essay will discuss </w:t>
      </w:r>
      <w:r w:rsidR="00BF19BE" w:rsidRPr="002D16F4">
        <w:t>the role of human resources in engaging employees. Also, the essay will present the employee lifecycle for the employees of Hilton Hotels and Resorts, particularly for Gen Z.</w:t>
      </w:r>
      <w:r w:rsidR="00FC7AFE" w:rsidRPr="002D16F4">
        <w:t xml:space="preserve"> In addition, the essay will shed light on the employee engagement model and its implementation. </w:t>
      </w:r>
    </w:p>
    <w:p w14:paraId="124A43AA" w14:textId="10E568B4" w:rsidR="009959C8" w:rsidRPr="002D16F4" w:rsidRDefault="00951643" w:rsidP="00100F56">
      <w:pPr>
        <w:pStyle w:val="Heading1"/>
      </w:pPr>
      <w:bookmarkStart w:id="1" w:name="_Toc148791239"/>
      <w:r w:rsidRPr="002D16F4">
        <w:t>Employees Engagement (Generation Zs)</w:t>
      </w:r>
      <w:r w:rsidR="00152C2D">
        <w:t xml:space="preserve"> throughout Employee Lifecycle</w:t>
      </w:r>
      <w:bookmarkEnd w:id="1"/>
      <w:r w:rsidR="00152C2D">
        <w:t xml:space="preserve"> </w:t>
      </w:r>
    </w:p>
    <w:p w14:paraId="461281FC" w14:textId="77777777" w:rsidR="003A19FB" w:rsidRPr="002D16F4" w:rsidRDefault="00951643" w:rsidP="00100F56">
      <w:r w:rsidRPr="002D16F4">
        <w:t xml:space="preserve"> </w:t>
      </w:r>
      <w:r w:rsidRPr="002D16F4">
        <w:tab/>
      </w:r>
      <w:r w:rsidR="00505CD6" w:rsidRPr="002D16F4">
        <w:t xml:space="preserve">In a variety of professions, </w:t>
      </w:r>
      <w:r w:rsidR="00DE201E" w:rsidRPr="002D16F4">
        <w:t>HR</w:t>
      </w:r>
      <w:r w:rsidR="00505CD6" w:rsidRPr="002D16F4">
        <w:t xml:space="preserve"> plays a critical role in maintaining the enthusiasm</w:t>
      </w:r>
      <w:r w:rsidR="001E4D21" w:rsidRPr="002D16F4">
        <w:t xml:space="preserve"> of employees</w:t>
      </w:r>
      <w:r w:rsidR="00505CD6" w:rsidRPr="002D16F4">
        <w:t xml:space="preserve"> in their jobs. Building an inspirational and effective workplace is the responsibility of </w:t>
      </w:r>
      <w:r w:rsidR="001E4D21" w:rsidRPr="002D16F4">
        <w:t>HR</w:t>
      </w:r>
      <w:r w:rsidR="00505CD6" w:rsidRPr="002D16F4">
        <w:t xml:space="preserve">, which serves as a </w:t>
      </w:r>
      <w:r w:rsidR="001E4D21" w:rsidRPr="002D16F4">
        <w:t>link</w:t>
      </w:r>
      <w:r w:rsidR="00505CD6" w:rsidRPr="002D16F4">
        <w:t xml:space="preserve"> between senior management and the workforce</w:t>
      </w:r>
      <w:r w:rsidR="0079587A" w:rsidRPr="002D16F4">
        <w:t xml:space="preserve"> (Salas</w:t>
      </w:r>
      <w:r w:rsidR="0079587A" w:rsidRPr="002D16F4">
        <w:rPr>
          <w:rFonts w:ascii="Cambria Math" w:hAnsi="Cambria Math" w:cs="Cambria Math"/>
        </w:rPr>
        <w:t>‐</w:t>
      </w:r>
      <w:r w:rsidR="0079587A" w:rsidRPr="002D16F4">
        <w:t xml:space="preserve">Vallina </w:t>
      </w:r>
      <w:r w:rsidR="00E61BDC" w:rsidRPr="00E61BDC">
        <w:rPr>
          <w:i/>
        </w:rPr>
        <w:t>et al</w:t>
      </w:r>
      <w:r w:rsidR="0079587A" w:rsidRPr="002D16F4">
        <w:t>., 2021)</w:t>
      </w:r>
      <w:r w:rsidR="00505CD6" w:rsidRPr="002D16F4">
        <w:t xml:space="preserve">. Participation in the recruiting, onboarding, training, and performance management procedures affects employee engagement. Professionals in human resources plan and carry out activities to enhance well-being both within and outside of the office. They gauge employee sentiments </w:t>
      </w:r>
      <w:r w:rsidR="001E4D21" w:rsidRPr="002D16F4">
        <w:t>through</w:t>
      </w:r>
      <w:r w:rsidR="00505CD6" w:rsidRPr="002D16F4">
        <w:t xml:space="preserve"> surveys and focus groups, then utilize the information to enhance communication and deal with problems. In dealing with workplace conflicts and </w:t>
      </w:r>
      <w:proofErr w:type="spellStart"/>
      <w:r w:rsidR="00505CD6" w:rsidRPr="002D16F4">
        <w:t>honouring</w:t>
      </w:r>
      <w:proofErr w:type="spellEnd"/>
      <w:r w:rsidR="00505CD6" w:rsidRPr="002D16F4">
        <w:t xml:space="preserve"> excellent performance, human resources are crucial</w:t>
      </w:r>
      <w:r w:rsidR="0079587A" w:rsidRPr="002D16F4">
        <w:t xml:space="preserve"> (Tucker, 2017)</w:t>
      </w:r>
      <w:r w:rsidR="00505CD6" w:rsidRPr="002D16F4">
        <w:t>. By promoting an atmosphere where employees feel valued, motivated, and engaged, human resources professionals play a crucial part in creating that environment.</w:t>
      </w:r>
      <w:r w:rsidR="00A21F65" w:rsidRPr="002D16F4">
        <w:t xml:space="preserve"> </w:t>
      </w:r>
      <w:r w:rsidR="00505CD6" w:rsidRPr="002D16F4">
        <w:t>With a global reputation for excellence in the hospitality sector, the human resources division</w:t>
      </w:r>
      <w:r w:rsidR="001E4D21" w:rsidRPr="002D16F4">
        <w:t xml:space="preserve"> of Hilton Hotels &amp; Resorts</w:t>
      </w:r>
      <w:r w:rsidR="00505CD6" w:rsidRPr="002D16F4">
        <w:t xml:space="preserve"> is assigned a lot of responsibility. </w:t>
      </w:r>
      <w:r w:rsidR="001E4D21" w:rsidRPr="002D16F4">
        <w:t xml:space="preserve">The </w:t>
      </w:r>
      <w:r w:rsidR="00505CD6" w:rsidRPr="002D16F4">
        <w:t xml:space="preserve">human resources department </w:t>
      </w:r>
      <w:r w:rsidR="001E4D21" w:rsidRPr="002D16F4">
        <w:t xml:space="preserve">of Hilton </w:t>
      </w:r>
      <w:r w:rsidR="00505CD6" w:rsidRPr="002D16F4">
        <w:t xml:space="preserve">is in charge of assembling and building a staff that reflects the dedication </w:t>
      </w:r>
      <w:r w:rsidR="001E4D21" w:rsidRPr="002D16F4">
        <w:t xml:space="preserve">of the organization </w:t>
      </w:r>
      <w:r w:rsidR="00505CD6" w:rsidRPr="002D16F4">
        <w:t xml:space="preserve">to diversity and inclusion. The corporation invests much in orientation and training programs to help its employees advance their careers. </w:t>
      </w:r>
      <w:r w:rsidR="001E4D21" w:rsidRPr="002D16F4">
        <w:t>I</w:t>
      </w:r>
      <w:r w:rsidR="00505CD6" w:rsidRPr="002D16F4">
        <w:t>nce</w:t>
      </w:r>
      <w:r w:rsidR="001E4D21" w:rsidRPr="002D16F4">
        <w:t xml:space="preserve">ntive and recognition programs of Hilton </w:t>
      </w:r>
      <w:r w:rsidR="00505CD6" w:rsidRPr="002D16F4">
        <w:t>are intended to reward and recognize exceptional achievement and also heavily involve human resources</w:t>
      </w:r>
      <w:r w:rsidR="0079587A" w:rsidRPr="002D16F4">
        <w:t xml:space="preserve"> (Hilton, 2023)</w:t>
      </w:r>
      <w:r w:rsidR="00505CD6" w:rsidRPr="002D16F4">
        <w:t xml:space="preserve">. They regularly conduct employee surveys to determine morale, and based on the </w:t>
      </w:r>
      <w:r w:rsidR="00505CD6" w:rsidRPr="002D16F4">
        <w:lastRenderedPageBreak/>
        <w:t>findings, they ask for recommendations for improving the</w:t>
      </w:r>
      <w:r w:rsidR="001E4D21" w:rsidRPr="002D16F4">
        <w:t xml:space="preserve"> workplace. The HR department </w:t>
      </w:r>
      <w:r w:rsidR="00505CD6" w:rsidRPr="002D16F4">
        <w:t>of the firm must create an atmosphere where workers are motivated to give their all every day if Hilton is to maintain its reputation for 5-star service.</w:t>
      </w:r>
    </w:p>
    <w:p w14:paraId="4F118759" w14:textId="6C99A245" w:rsidR="004E32E3" w:rsidRDefault="00951643" w:rsidP="004E32E3">
      <w:r w:rsidRPr="002D16F4">
        <w:t xml:space="preserve"> </w:t>
      </w:r>
      <w:r w:rsidRPr="002D16F4">
        <w:tab/>
      </w:r>
      <w:r w:rsidR="004E32E3" w:rsidRPr="004E32E3">
        <w:t>Individuals who are members of Generation Z and were born between the middle of the 1990s and the middle of the 2010s have developed particular characteristics as a result of their upbringing in the digital age. Because they are the first generation to have grown up with both cellphones and social media, members of the Z generation are frequently praised for their proficiency with cutting-edge technology. They are realistic, and as a result, they place a high premium on being as practical and resourceful as they can be in their search for education and employment. According to research by Barhate and Dirani (2022), members of this generation are generally involved in and interested in the process of finding solutions to problems on a global scale. Members of Generation Z are more tolerant of the unique qualities that distinguish other people as a result of the emphasis the generation places on diversity and the acceptance of all persons. They place a high value on convenience, effectiveness, and instant pleasure, whether they are at home or conducting business. Companies who are prepared to match the desires of Gen Z in the workplace, such as by providing them with more autonomy, a better work-life balance, and opportunities for training and development, stand to gain a great deal from having members of this generation on staff. (</w:t>
      </w:r>
      <w:proofErr w:type="spellStart"/>
      <w:r w:rsidR="004E32E3" w:rsidRPr="004E32E3">
        <w:t>Windasari</w:t>
      </w:r>
      <w:proofErr w:type="spellEnd"/>
      <w:r w:rsidR="004E32E3" w:rsidRPr="004E32E3">
        <w:t xml:space="preserve"> et al., 2022) Hilton Hotels &amp; Resorts has updated its marketing strategies in light of the fact that it </w:t>
      </w:r>
      <w:proofErr w:type="spellStart"/>
      <w:r w:rsidR="004E32E3" w:rsidRPr="004E32E3">
        <w:t>recognises</w:t>
      </w:r>
      <w:proofErr w:type="spellEnd"/>
      <w:r w:rsidR="004E32E3" w:rsidRPr="004E32E3">
        <w:t xml:space="preserve"> the unique qualities of Generation Z clients. This has allowed the company to better appeal to this demographic. Hilton is committed to offering its guests and workers with cutting-edge digital experiences. This commitment stems from the company's recognition of the tech-savvy mentality of the millennial age. Mobile check-in, keyless room entrance, and additional app capabilities are all included in the package deal. Additionally, Hilton is aware of the necessity of employing its own policies and efforts in order to address the concerns of Generation Z regarding the environment and the areas in which they live. The fact that Hilton provides its employees with a healthy work-life balance in addition to a wealth of opportunity to expand their skill sets makes it a fantastic place to find employment. Because the principles of the </w:t>
      </w:r>
      <w:proofErr w:type="spellStart"/>
      <w:r w:rsidR="004E32E3" w:rsidRPr="004E32E3">
        <w:t>organisation</w:t>
      </w:r>
      <w:proofErr w:type="spellEnd"/>
      <w:r w:rsidR="004E32E3" w:rsidRPr="004E32E3">
        <w:t xml:space="preserve">, which include diversity and inclusion, are congruent with those of the millennial generation, the </w:t>
      </w:r>
      <w:proofErr w:type="spellStart"/>
      <w:r w:rsidR="004E32E3" w:rsidRPr="004E32E3">
        <w:t>organisation</w:t>
      </w:r>
      <w:proofErr w:type="spellEnd"/>
      <w:r w:rsidR="004E32E3" w:rsidRPr="004E32E3">
        <w:t xml:space="preserve"> is an </w:t>
      </w:r>
      <w:r w:rsidR="004E32E3" w:rsidRPr="004E32E3">
        <w:lastRenderedPageBreak/>
        <w:t>ideal place for young people to find employment (Lichy, 2023). Hilton Hotels &amp; Resorts has a strong relationship with generation Z, both as guests and as potential leaders in the business world, due to the fact that its practises are in conformity with the characteristics of this age group</w:t>
      </w:r>
      <w:r w:rsidR="005F686B">
        <w:t xml:space="preserve"> (</w:t>
      </w:r>
      <w:r w:rsidR="005F686B" w:rsidRPr="7F64DC15">
        <w:rPr>
          <w:rFonts w:eastAsia="Times New Roman" w:cs="Times New Roman"/>
        </w:rPr>
        <w:t>Subramanian</w:t>
      </w:r>
      <w:r w:rsidR="005F686B">
        <w:rPr>
          <w:rFonts w:eastAsia="Times New Roman" w:cs="Times New Roman"/>
        </w:rPr>
        <w:t>, 2017)</w:t>
      </w:r>
      <w:r w:rsidR="004E32E3" w:rsidRPr="004E32E3">
        <w:t>.</w:t>
      </w:r>
    </w:p>
    <w:p w14:paraId="6E824343" w14:textId="77777777" w:rsidR="004E32E3" w:rsidRDefault="004E32E3" w:rsidP="004E32E3">
      <w:pPr>
        <w:ind w:firstLine="720"/>
      </w:pPr>
      <w:r w:rsidRPr="004E32E3">
        <w:t xml:space="preserve">Successful businesses are those who </w:t>
      </w:r>
      <w:proofErr w:type="spellStart"/>
      <w:r w:rsidRPr="004E32E3">
        <w:t>recognise</w:t>
      </w:r>
      <w:proofErr w:type="spellEnd"/>
      <w:r w:rsidRPr="004E32E3">
        <w:t xml:space="preserve"> how important it is to instill a sense of purpose in their employees. According to Poort et al. (2022), the optimal starting point for motivating a team is to set goals, promote open conversation, cultivate collaboration, praise individual efforts, and provide possibilities for skill enhancement and career growth. Improvements in productivity, team morale, and innovation as well as increased team cohesion can be attributed to increased team involvement. Engaged teams have a greater likelihood of achieving their goals, accepting change, and being loyal to the </w:t>
      </w:r>
      <w:proofErr w:type="spellStart"/>
      <w:r w:rsidRPr="004E32E3">
        <w:t>organisation</w:t>
      </w:r>
      <w:proofErr w:type="spellEnd"/>
      <w:r w:rsidRPr="004E32E3">
        <w:t xml:space="preserve">. These three factors all contribute to increased job satisfaction and a reduction in employee turnover. Investing in </w:t>
      </w:r>
      <w:proofErr w:type="spellStart"/>
      <w:r w:rsidRPr="004E32E3">
        <w:t>programmes</w:t>
      </w:r>
      <w:proofErr w:type="spellEnd"/>
      <w:r w:rsidRPr="004E32E3">
        <w:t xml:space="preserve"> that foster collaboration helps businesses create a joyful working environment for their employees while also assisting those individuals in reaching their full potential. A number of different approaches to employee engagement have shown to be successful for Hilton Hotels &amp; Resorts, which is a market leader. According to Martin and Borup (2022), making considerable expenditures in the training and development of people not only enables such individuals to perform their tasks more efficiently but also affords them opportunities for advancement within the </w:t>
      </w:r>
      <w:proofErr w:type="spellStart"/>
      <w:r w:rsidRPr="004E32E3">
        <w:t>organisation</w:t>
      </w:r>
      <w:proofErr w:type="spellEnd"/>
      <w:r w:rsidRPr="004E32E3">
        <w:t xml:space="preserve">. At Hilton, an attitude of gratitude and thankfulness is promoted. Employees are frequently complimented for their work, and they are given reasons to be happy with what they have contributed to the company. This helps foster an attitude of gratitude and appreciation. At Hilton, the benefits of working together as a team are clear and easy to grasp. As an example, it improves the quality of customer service since highly motivated workers are more likely to go the extra mile for their customers (Tims et al., 2022). This has a direct impact on the number of repeat customers we have. Teams that have higher levels of engagement have higher morale and lower turnover rates, which in turn </w:t>
      </w:r>
      <w:proofErr w:type="spellStart"/>
      <w:r w:rsidRPr="004E32E3">
        <w:t>minimises</w:t>
      </w:r>
      <w:proofErr w:type="spellEnd"/>
      <w:r w:rsidRPr="004E32E3">
        <w:t xml:space="preserve"> the costs associated with recruiting and retraining new staff. In addition to this, Hilton's emphasis on corporate social responsibility and environmental awareness provides its employees with a sense that their work has a purpose (Leroy et al., 2022). This is also consistent with the reputation of Hilton as a </w:t>
      </w:r>
      <w:r w:rsidRPr="004E32E3">
        <w:lastRenderedPageBreak/>
        <w:t xml:space="preserve">company that is socially and environmentally concerned, which is a selling element for the kinds of </w:t>
      </w:r>
      <w:proofErr w:type="spellStart"/>
      <w:r w:rsidRPr="004E32E3">
        <w:t>travellers</w:t>
      </w:r>
      <w:proofErr w:type="spellEnd"/>
      <w:r w:rsidRPr="004E32E3">
        <w:t xml:space="preserve"> that make those kinds of trips.</w:t>
      </w:r>
    </w:p>
    <w:p w14:paraId="165B4AB1" w14:textId="63CB8D4D" w:rsidR="004E32E3" w:rsidRDefault="004E32E3" w:rsidP="004E32E3">
      <w:pPr>
        <w:ind w:firstLine="720"/>
      </w:pPr>
      <w:r>
        <w:t xml:space="preserve">Hilton Hotels and Resorts has implemented a comprehensive employee lifecycle strategy that effectively addresses the preferences and requirements of millennial and Generation Z employees. The initial stage of Hilton's efforts involves the attraction of personnel who align with the company's values and culture, prompting the </w:t>
      </w:r>
      <w:proofErr w:type="spellStart"/>
      <w:r>
        <w:t>organisation</w:t>
      </w:r>
      <w:proofErr w:type="spellEnd"/>
      <w:r>
        <w:t xml:space="preserve"> to allocate significant resources into its recruitment and onboarding procedures</w:t>
      </w:r>
      <w:r w:rsidR="00DB28ED">
        <w:t xml:space="preserve"> (Sun </w:t>
      </w:r>
      <w:r w:rsidR="00DB28ED" w:rsidRPr="004E32E3">
        <w:t xml:space="preserve">and </w:t>
      </w:r>
      <w:proofErr w:type="spellStart"/>
      <w:r w:rsidR="00DB28ED" w:rsidRPr="004E32E3">
        <w:t>Bunchapattanasakda</w:t>
      </w:r>
      <w:proofErr w:type="spellEnd"/>
      <w:r w:rsidR="00DB28ED">
        <w:t>, 2019)</w:t>
      </w:r>
      <w:r>
        <w:t>. At present, it is imperative to have robust onboarding procedures to ensure that newly recruited employees experience a sense of inclusion and recognition from the very beginning</w:t>
      </w:r>
      <w:r w:rsidR="00DB28ED">
        <w:t xml:space="preserve"> (Nieves</w:t>
      </w:r>
      <w:r w:rsidR="00DB28ED" w:rsidRPr="00DB28ED">
        <w:t xml:space="preserve"> and Quintana</w:t>
      </w:r>
      <w:r w:rsidR="00DB28ED">
        <w:t>, 2018)</w:t>
      </w:r>
      <w:r>
        <w:t xml:space="preserve">. The subsequent significant stage in the life cycle pertains to the acquisition of knowledge and the process of imparting education. The Hilton </w:t>
      </w:r>
      <w:proofErr w:type="spellStart"/>
      <w:r>
        <w:t>organisation</w:t>
      </w:r>
      <w:proofErr w:type="spellEnd"/>
      <w:r>
        <w:t xml:space="preserve"> offers a diverse range of courses through its human resources department, with the aim of enhancing and expanding the knowledge and skills of its employees</w:t>
      </w:r>
      <w:r w:rsidR="00DB28ED">
        <w:t xml:space="preserve"> (</w:t>
      </w:r>
      <w:r w:rsidR="00DB28ED" w:rsidRPr="00DB28ED">
        <w:t>Chandani</w:t>
      </w:r>
      <w:r w:rsidR="00DB28ED">
        <w:t xml:space="preserve"> </w:t>
      </w:r>
      <w:r w:rsidR="00DB28ED" w:rsidRPr="00DB28ED">
        <w:rPr>
          <w:i/>
        </w:rPr>
        <w:t>et al.</w:t>
      </w:r>
      <w:r w:rsidR="00DB28ED">
        <w:t>, 2016)</w:t>
      </w:r>
      <w:r>
        <w:t xml:space="preserve">. Employers can enhance the prospects of their employees to </w:t>
      </w:r>
      <w:proofErr w:type="spellStart"/>
      <w:r>
        <w:t>capitalise</w:t>
      </w:r>
      <w:proofErr w:type="spellEnd"/>
      <w:r>
        <w:t xml:space="preserve"> on possible advancements within the </w:t>
      </w:r>
      <w:proofErr w:type="spellStart"/>
      <w:r>
        <w:t>organisation</w:t>
      </w:r>
      <w:proofErr w:type="spellEnd"/>
      <w:r>
        <w:t xml:space="preserve"> by making investments in their professional development</w:t>
      </w:r>
      <w:r w:rsidR="004B03C5">
        <w:t xml:space="preserve"> (</w:t>
      </w:r>
      <w:r w:rsidR="004B03C5" w:rsidRPr="7F64DC15">
        <w:rPr>
          <w:rFonts w:eastAsia="Times New Roman" w:cs="Times New Roman"/>
        </w:rPr>
        <w:t>Wong and Tetrick</w:t>
      </w:r>
      <w:r w:rsidR="004B03C5">
        <w:rPr>
          <w:rFonts w:eastAsia="Times New Roman" w:cs="Times New Roman"/>
        </w:rPr>
        <w:t>, 2017)</w:t>
      </w:r>
      <w:r>
        <w:t>.</w:t>
      </w:r>
    </w:p>
    <w:p w14:paraId="474D2AC3" w14:textId="77777777" w:rsidR="004E32E3" w:rsidRDefault="004E32E3" w:rsidP="004E32E3">
      <w:pPr>
        <w:ind w:firstLine="720"/>
      </w:pPr>
      <w:r>
        <w:t xml:space="preserve">In the role of an HR specialist at Hilton Hotels and Resorts, one possesses a range of resources that may be utilised to establish a conducive atmosphere fostering employee engagement and active participation in their professional responsibilities. </w:t>
      </w:r>
      <w:proofErr w:type="spellStart"/>
      <w:r>
        <w:t>Organisations</w:t>
      </w:r>
      <w:proofErr w:type="spellEnd"/>
      <w:r>
        <w:t xml:space="preserve"> have the potential to effectively engage and retain Millennial and Gen Z employees by cultivating an inclusive workplace atmosphere that promotes diversity and values individual autonomy. In order to sustain the engagement of contemporary young individuals, it is imperative to provide them with opportunities for professional growth, together with guidance from mentors and regular constructive evaluations</w:t>
      </w:r>
      <w:r w:rsidR="00DB28ED">
        <w:t xml:space="preserve"> (</w:t>
      </w:r>
      <w:r w:rsidR="00DB28ED" w:rsidRPr="00DB28ED">
        <w:t>Ahmed</w:t>
      </w:r>
      <w:r w:rsidR="00DB28ED">
        <w:t xml:space="preserve"> </w:t>
      </w:r>
      <w:r w:rsidR="00DB28ED" w:rsidRPr="00DB28ED">
        <w:rPr>
          <w:i/>
        </w:rPr>
        <w:t>et al</w:t>
      </w:r>
      <w:r w:rsidR="00DB28ED">
        <w:t>., 2021)</w:t>
      </w:r>
      <w:r>
        <w:t xml:space="preserve">. In addition, cultivating a harmonious equilibrium between work and personal life, as well as promoting a </w:t>
      </w:r>
      <w:proofErr w:type="spellStart"/>
      <w:r>
        <w:t>favourable</w:t>
      </w:r>
      <w:proofErr w:type="spellEnd"/>
      <w:r>
        <w:t xml:space="preserve"> sense of morale, can significantly enhance employee motivation and satisfaction within the workplace.</w:t>
      </w:r>
    </w:p>
    <w:p w14:paraId="766E5919" w14:textId="77777777" w:rsidR="004E32E3" w:rsidRDefault="004E32E3" w:rsidP="00DB28ED">
      <w:pPr>
        <w:ind w:firstLine="720"/>
      </w:pPr>
      <w:r>
        <w:t xml:space="preserve">Hilton Hotels and Resorts has the opportunity to </w:t>
      </w:r>
      <w:proofErr w:type="spellStart"/>
      <w:r>
        <w:t>utilise</w:t>
      </w:r>
      <w:proofErr w:type="spellEnd"/>
      <w:r>
        <w:t xml:space="preserve"> an existing strategy for employee engagement. The establishment of consistent channels of communication and feedback between staff members and management is of utmost importance. It is advisable to establish frequent sessions for the purpose of both receiving and providing </w:t>
      </w:r>
      <w:r>
        <w:lastRenderedPageBreak/>
        <w:t xml:space="preserve">feedback on development. Acknowledging and incentivizing employees for their exertions and achievements is a potent strategy for enhancing both morale and productivity. Both officially bestowed awards and less formal displays of appreciation are seen acceptable in this context. The provision of training, mentorship </w:t>
      </w:r>
      <w:proofErr w:type="spellStart"/>
      <w:r>
        <w:t>programmes</w:t>
      </w:r>
      <w:proofErr w:type="spellEnd"/>
      <w:r>
        <w:t xml:space="preserve">, and promotions can serve as effective means to persuade younger employees that they possess promising prospects for career advancement inside the </w:t>
      </w:r>
      <w:proofErr w:type="spellStart"/>
      <w:r>
        <w:t>organisation</w:t>
      </w:r>
      <w:proofErr w:type="spellEnd"/>
      <w:r>
        <w:t xml:space="preserve">. Wellness </w:t>
      </w:r>
      <w:proofErr w:type="spellStart"/>
      <w:r>
        <w:t>programmes</w:t>
      </w:r>
      <w:proofErr w:type="spellEnd"/>
      <w:r>
        <w:t xml:space="preserve"> encompass a range of initiatives aimed at promoting physical health, mental well-being, and work-life equilibrium among employees, hence yielding </w:t>
      </w:r>
      <w:proofErr w:type="spellStart"/>
      <w:r>
        <w:t>favourable</w:t>
      </w:r>
      <w:proofErr w:type="spellEnd"/>
      <w:r>
        <w:t xml:space="preserve"> outcomes in terms of morale and productivity</w:t>
      </w:r>
      <w:r w:rsidR="00DB28ED">
        <w:t xml:space="preserve"> (Jaiswal</w:t>
      </w:r>
      <w:r w:rsidR="00DB28ED" w:rsidRPr="00DB28ED">
        <w:t xml:space="preserve"> and Dhar</w:t>
      </w:r>
      <w:r w:rsidR="00DB28ED">
        <w:t>, 2017)</w:t>
      </w:r>
      <w:r>
        <w:t xml:space="preserve">. Hilton Hotels &amp; Resorts is among a number of hotels that have used novel approaches to employee engagement. Marriott International, in its </w:t>
      </w:r>
      <w:proofErr w:type="spellStart"/>
      <w:r>
        <w:t>endeavour</w:t>
      </w:r>
      <w:proofErr w:type="spellEnd"/>
      <w:r>
        <w:t xml:space="preserve"> to enhance employee well-being and satisfaction, implements a range of incentives under its "</w:t>
      </w:r>
      <w:proofErr w:type="spellStart"/>
      <w:r>
        <w:t>TakeCare</w:t>
      </w:r>
      <w:proofErr w:type="spellEnd"/>
      <w:r>
        <w:t xml:space="preserve">" initiative. The </w:t>
      </w:r>
      <w:proofErr w:type="spellStart"/>
      <w:r>
        <w:t>organisation</w:t>
      </w:r>
      <w:proofErr w:type="spellEnd"/>
      <w:r>
        <w:t xml:space="preserve"> demonstrates concern for the emotional and physical well-being of its employees by offering a diverse range of wellness </w:t>
      </w:r>
      <w:proofErr w:type="spellStart"/>
      <w:r>
        <w:t>programmes</w:t>
      </w:r>
      <w:proofErr w:type="spellEnd"/>
      <w:r>
        <w:t xml:space="preserve"> and benefits.</w:t>
      </w:r>
    </w:p>
    <w:p w14:paraId="025D0142" w14:textId="77777777" w:rsidR="004E32E3" w:rsidRPr="002D16F4" w:rsidRDefault="004E32E3" w:rsidP="004E32E3">
      <w:pPr>
        <w:ind w:firstLine="720"/>
      </w:pPr>
      <w:r>
        <w:t>An effective employee engagement plan comprises several crucial elements, including transparent communication channels and feedback mechanisms, incentive and reward systems, chances for training and development, and a focus on personal well-being and satisfaction</w:t>
      </w:r>
      <w:r w:rsidR="00DB28ED">
        <w:t xml:space="preserve"> (</w:t>
      </w:r>
      <w:r w:rsidR="00DB28ED" w:rsidRPr="00DB28ED">
        <w:t>Gannon</w:t>
      </w:r>
      <w:r w:rsidR="00DB28ED">
        <w:t xml:space="preserve"> </w:t>
      </w:r>
      <w:r w:rsidR="00DB28ED" w:rsidRPr="00DB28ED">
        <w:rPr>
          <w:i/>
        </w:rPr>
        <w:t>et al.</w:t>
      </w:r>
      <w:r w:rsidR="00DB28ED">
        <w:t>, 2015)</w:t>
      </w:r>
      <w:r>
        <w:t>. When tailored to the tastes of Generation Z, these elements constitute a comprehensive approach to enhancing employee engagement, which has the potential to increase motivation and productivity</w:t>
      </w:r>
      <w:r w:rsidR="00DB28ED">
        <w:t xml:space="preserve"> (Eldor</w:t>
      </w:r>
      <w:r w:rsidR="00DB28ED" w:rsidRPr="00DB28ED">
        <w:t xml:space="preserve"> and Vigoda-Gadot</w:t>
      </w:r>
      <w:r w:rsidR="00DB28ED">
        <w:t>, 2017)</w:t>
      </w:r>
      <w:r>
        <w:t xml:space="preserve">. The pivotal factor in effectively engaging the contemporary and multifaceted workforce of today, particularly the cohorts of Millennials and Generation Z, is within the purview of Human Resources (HR) professionals inside establishments such as Hilton Hotels and Resorts. Human resource management plays a pivotal role in facilitating employees' </w:t>
      </w:r>
      <w:proofErr w:type="spellStart"/>
      <w:r>
        <w:t>realisation</w:t>
      </w:r>
      <w:proofErr w:type="spellEnd"/>
      <w:r>
        <w:t xml:space="preserve"> of their maximum potential and fostering their contributions to the overall growth and success of the </w:t>
      </w:r>
      <w:r w:rsidR="00DB28ED">
        <w:t>organization (</w:t>
      </w:r>
      <w:proofErr w:type="spellStart"/>
      <w:r w:rsidR="00DB28ED" w:rsidRPr="00DB28ED">
        <w:t>Ul</w:t>
      </w:r>
      <w:proofErr w:type="spellEnd"/>
      <w:r w:rsidR="00DB28ED" w:rsidRPr="00DB28ED">
        <w:t xml:space="preserve"> Islam</w:t>
      </w:r>
      <w:r w:rsidR="00DB28ED">
        <w:t xml:space="preserve"> </w:t>
      </w:r>
      <w:r w:rsidR="00DB28ED" w:rsidRPr="00DB28ED">
        <w:rPr>
          <w:i/>
        </w:rPr>
        <w:t>et al</w:t>
      </w:r>
      <w:r w:rsidR="00DB28ED">
        <w:t>., 2016)</w:t>
      </w:r>
      <w:r>
        <w:t>. This is achieved through a comprehensive understanding of individual employee needs and drawing inspiration from industry best practises. In the contemporary corporate landscape characterised by rapidity, this strategy not only confers a competitive edge but also assumes the status of an imperative requirement.</w:t>
      </w:r>
    </w:p>
    <w:p w14:paraId="4505E71D" w14:textId="77777777" w:rsidR="00100F56" w:rsidRPr="004E32E3" w:rsidRDefault="00951643" w:rsidP="00100F56">
      <w:pPr>
        <w:pStyle w:val="Heading1"/>
      </w:pPr>
      <w:bookmarkStart w:id="2" w:name="_Toc148791240"/>
      <w:r w:rsidRPr="004E32E3">
        <w:lastRenderedPageBreak/>
        <w:t xml:space="preserve">Evaluation and </w:t>
      </w:r>
      <w:r w:rsidR="00686814" w:rsidRPr="004E32E3">
        <w:t>Conclusion</w:t>
      </w:r>
      <w:bookmarkEnd w:id="2"/>
    </w:p>
    <w:p w14:paraId="0E802ED7" w14:textId="77777777" w:rsidR="00100F56" w:rsidRDefault="00100F56" w:rsidP="00100F56">
      <w:r w:rsidRPr="00100F56">
        <w:t xml:space="preserve">Human resources professionals in </w:t>
      </w:r>
      <w:proofErr w:type="spellStart"/>
      <w:r w:rsidRPr="00100F56">
        <w:t>organisations</w:t>
      </w:r>
      <w:proofErr w:type="spellEnd"/>
      <w:r w:rsidRPr="00100F56">
        <w:t xml:space="preserve"> such as Hilton Hotels and Resorts have a significant impact on motivating the workforce, namely the Millennial and Generation Z employees who constitute a substantial section of the </w:t>
      </w:r>
      <w:proofErr w:type="spellStart"/>
      <w:r w:rsidRPr="00100F56">
        <w:t>labour</w:t>
      </w:r>
      <w:proofErr w:type="spellEnd"/>
      <w:r w:rsidRPr="00100F56">
        <w:t xml:space="preserve"> force. The creation of an atmosphere by human resources that fosters the thriving and contribution of all employees to the success of the company can be achieved by the acquisition of knowledge about individual employee needs, the implementation of employee engagement models that are effective, and the </w:t>
      </w:r>
      <w:proofErr w:type="spellStart"/>
      <w:r w:rsidRPr="00100F56">
        <w:t>utilisation</w:t>
      </w:r>
      <w:proofErr w:type="spellEnd"/>
      <w:r w:rsidRPr="00100F56">
        <w:t xml:space="preserve"> of industry examples as sources of inspiration.</w:t>
      </w:r>
    </w:p>
    <w:p w14:paraId="6691966A" w14:textId="77777777" w:rsidR="009959C8" w:rsidRPr="002D16F4" w:rsidRDefault="00100F56" w:rsidP="00100F56">
      <w:pPr>
        <w:spacing w:after="160"/>
      </w:pPr>
      <w:r>
        <w:br w:type="page"/>
      </w:r>
    </w:p>
    <w:p w14:paraId="7A445611" w14:textId="77777777" w:rsidR="00F34492" w:rsidRPr="002D16F4" w:rsidRDefault="00951643" w:rsidP="00100F56">
      <w:pPr>
        <w:pStyle w:val="Heading1"/>
      </w:pPr>
      <w:bookmarkStart w:id="3" w:name="_Toc148791241"/>
      <w:r w:rsidRPr="002D16F4">
        <w:lastRenderedPageBreak/>
        <w:t>References</w:t>
      </w:r>
      <w:bookmarkEnd w:id="3"/>
      <w:r w:rsidRPr="002D16F4">
        <w:t xml:space="preserve"> </w:t>
      </w:r>
    </w:p>
    <w:p w14:paraId="2AA6CA28" w14:textId="77777777" w:rsidR="0066756A" w:rsidRDefault="0066756A" w:rsidP="00DB28ED">
      <w:pPr>
        <w:ind w:left="720" w:hanging="720"/>
      </w:pPr>
      <w:r w:rsidRPr="00DB28ED">
        <w:t xml:space="preserve">Ahmed, M., Guo, Q., Qureshi, M.A., Raza, S.A., Khan, K.A. and Salam, J., 2021. Do green HR practices enhance green motivation and proactive environmental management maturity in hotel </w:t>
      </w:r>
      <w:proofErr w:type="gramStart"/>
      <w:r w:rsidRPr="00DB28ED">
        <w:t>industry?.</w:t>
      </w:r>
      <w:proofErr w:type="gramEnd"/>
      <w:r w:rsidRPr="00DB28ED">
        <w:t> </w:t>
      </w:r>
      <w:r w:rsidRPr="00DB28ED">
        <w:rPr>
          <w:i/>
          <w:iCs/>
        </w:rPr>
        <w:t>International Journal of Hospitality Management</w:t>
      </w:r>
      <w:r w:rsidRPr="00DB28ED">
        <w:t>, </w:t>
      </w:r>
      <w:r w:rsidRPr="00DB28ED">
        <w:rPr>
          <w:i/>
          <w:iCs/>
        </w:rPr>
        <w:t>94</w:t>
      </w:r>
      <w:r w:rsidRPr="00DB28ED">
        <w:t>, p.102852.</w:t>
      </w:r>
    </w:p>
    <w:p w14:paraId="5BA61D4C" w14:textId="77777777" w:rsidR="0066756A" w:rsidRPr="002D16F4" w:rsidRDefault="0066756A" w:rsidP="0066756A">
      <w:pPr>
        <w:ind w:left="720" w:hanging="720"/>
      </w:pPr>
      <w:r w:rsidRPr="002D16F4">
        <w:t xml:space="preserve">Barhate, B. and Dirani, K.M., 2022. Career aspirations of Generation Z: a systematic literature review. </w:t>
      </w:r>
      <w:r w:rsidRPr="002D16F4">
        <w:rPr>
          <w:i/>
          <w:iCs/>
        </w:rPr>
        <w:t>European Journal of Training and Development</w:t>
      </w:r>
      <w:r w:rsidRPr="002D16F4">
        <w:t>, </w:t>
      </w:r>
      <w:r w:rsidRPr="002D16F4">
        <w:rPr>
          <w:i/>
          <w:iCs/>
        </w:rPr>
        <w:t>46</w:t>
      </w:r>
      <w:r w:rsidRPr="002D16F4">
        <w:t>(1/2), pp.139-157.</w:t>
      </w:r>
    </w:p>
    <w:p w14:paraId="0EBED25E" w14:textId="77777777" w:rsidR="0066756A" w:rsidRDefault="0066756A" w:rsidP="00DB28ED">
      <w:pPr>
        <w:ind w:left="720" w:hanging="720"/>
      </w:pPr>
      <w:r w:rsidRPr="00DB28ED">
        <w:t>Chandani, A., Mehta, M., Mall, A. and Khokhar, V., 2016. Employee engagement: A review paper on factors affecting employee engagement. </w:t>
      </w:r>
      <w:r w:rsidRPr="00DB28ED">
        <w:rPr>
          <w:i/>
          <w:iCs/>
        </w:rPr>
        <w:t>Indian Journal of Science and Technology</w:t>
      </w:r>
      <w:r w:rsidRPr="00DB28ED">
        <w:t>, </w:t>
      </w:r>
      <w:r w:rsidRPr="00DB28ED">
        <w:rPr>
          <w:i/>
          <w:iCs/>
        </w:rPr>
        <w:t>9</w:t>
      </w:r>
      <w:r w:rsidRPr="00DB28ED">
        <w:t>(15), pp.1-7.</w:t>
      </w:r>
    </w:p>
    <w:p w14:paraId="499906E3" w14:textId="77777777" w:rsidR="0066756A" w:rsidRDefault="0066756A" w:rsidP="00DB28ED">
      <w:pPr>
        <w:ind w:left="720" w:hanging="720"/>
      </w:pPr>
      <w:r w:rsidRPr="00DB28ED">
        <w:t>Eldor, L. and Vigoda-Gadot, E., 2017. The nature of employee engagement: Rethinking the employee–organization relationship. </w:t>
      </w:r>
      <w:r w:rsidRPr="00DB28ED">
        <w:rPr>
          <w:i/>
          <w:iCs/>
        </w:rPr>
        <w:t>The International Journal of Human Resource Management</w:t>
      </w:r>
      <w:r w:rsidRPr="00DB28ED">
        <w:t>, </w:t>
      </w:r>
      <w:r w:rsidRPr="00DB28ED">
        <w:rPr>
          <w:i/>
          <w:iCs/>
        </w:rPr>
        <w:t>28</w:t>
      </w:r>
      <w:r w:rsidRPr="00DB28ED">
        <w:t>(3), pp.526-552.</w:t>
      </w:r>
    </w:p>
    <w:p w14:paraId="0EAA08C9" w14:textId="77777777" w:rsidR="0066756A" w:rsidRDefault="0066756A" w:rsidP="00DB28ED">
      <w:pPr>
        <w:ind w:left="720" w:hanging="720"/>
      </w:pPr>
      <w:r w:rsidRPr="00DB28ED">
        <w:t>Gannon, J.M., Roper, A. and Doherty, L., 2015. Strategic human resource management: Insights from the international hotel industry. </w:t>
      </w:r>
      <w:r w:rsidRPr="00DB28ED">
        <w:rPr>
          <w:i/>
          <w:iCs/>
        </w:rPr>
        <w:t>International Journal of Hospitality Management</w:t>
      </w:r>
      <w:r w:rsidRPr="00DB28ED">
        <w:t>, </w:t>
      </w:r>
      <w:r w:rsidRPr="00DB28ED">
        <w:rPr>
          <w:i/>
          <w:iCs/>
        </w:rPr>
        <w:t>47</w:t>
      </w:r>
      <w:r w:rsidRPr="00DB28ED">
        <w:t>, pp.65-75.</w:t>
      </w:r>
    </w:p>
    <w:p w14:paraId="2C1FC416" w14:textId="77777777" w:rsidR="0066756A" w:rsidRPr="002D16F4" w:rsidRDefault="0066756A" w:rsidP="0066756A">
      <w:pPr>
        <w:ind w:left="720" w:hanging="720"/>
      </w:pPr>
      <w:r w:rsidRPr="002D16F4">
        <w:t xml:space="preserve">Hilton, 2023. Diversity &amp; Inclusion at Hilton. [Online] Available at &lt; </w:t>
      </w:r>
      <w:hyperlink r:id="rId7" w:history="1">
        <w:r w:rsidRPr="002D16F4">
          <w:rPr>
            <w:rStyle w:val="Hyperlink"/>
            <w:color w:val="auto"/>
          </w:rPr>
          <w:t>https://www.hilton.com/en/corporate/wp-content/uploads/2019/11/20190225_External-Diversity-Brochure.pdf</w:t>
        </w:r>
      </w:hyperlink>
      <w:r w:rsidRPr="002D16F4">
        <w:t>&gt; [Accessed on 20</w:t>
      </w:r>
      <w:r w:rsidRPr="002D16F4">
        <w:rPr>
          <w:vertAlign w:val="superscript"/>
        </w:rPr>
        <w:t>th</w:t>
      </w:r>
      <w:r w:rsidRPr="002D16F4">
        <w:t xml:space="preserve"> October 2023].</w:t>
      </w:r>
    </w:p>
    <w:p w14:paraId="59B25B41" w14:textId="77777777" w:rsidR="0066756A" w:rsidRDefault="0066756A" w:rsidP="00DB28ED">
      <w:pPr>
        <w:ind w:left="720" w:hanging="720"/>
      </w:pPr>
      <w:r w:rsidRPr="00DB28ED">
        <w:t>Jaiswal, D. and Dhar, R.L., 2017. Impact of human resources practices on employee creativity in the hotel industry: The impact of job autonomy. </w:t>
      </w:r>
      <w:r w:rsidRPr="00DB28ED">
        <w:rPr>
          <w:i/>
          <w:iCs/>
        </w:rPr>
        <w:t>Journal of Human Resources in Hospitality &amp; Tourism</w:t>
      </w:r>
      <w:r w:rsidRPr="00DB28ED">
        <w:t>, </w:t>
      </w:r>
      <w:r w:rsidRPr="00DB28ED">
        <w:rPr>
          <w:i/>
          <w:iCs/>
        </w:rPr>
        <w:t>16</w:t>
      </w:r>
      <w:r w:rsidRPr="00DB28ED">
        <w:t>(1), pp.1-21.</w:t>
      </w:r>
    </w:p>
    <w:p w14:paraId="2A63AF98" w14:textId="77777777" w:rsidR="0066756A" w:rsidRPr="002D16F4" w:rsidRDefault="0066756A" w:rsidP="0066756A">
      <w:pPr>
        <w:ind w:left="720" w:hanging="720"/>
      </w:pPr>
      <w:r w:rsidRPr="002D16F4">
        <w:t xml:space="preserve">Leroy, H., </w:t>
      </w:r>
      <w:proofErr w:type="spellStart"/>
      <w:r w:rsidRPr="002D16F4">
        <w:t>Buengeler</w:t>
      </w:r>
      <w:proofErr w:type="spellEnd"/>
      <w:r w:rsidRPr="002D16F4">
        <w:t xml:space="preserve">, C., </w:t>
      </w:r>
      <w:proofErr w:type="spellStart"/>
      <w:r w:rsidRPr="002D16F4">
        <w:t>Veestraeten</w:t>
      </w:r>
      <w:proofErr w:type="spellEnd"/>
      <w:r w:rsidRPr="002D16F4">
        <w:t xml:space="preserve">, M., Shemla, M. and </w:t>
      </w:r>
      <w:proofErr w:type="spellStart"/>
      <w:r w:rsidRPr="002D16F4">
        <w:t>Hoever</w:t>
      </w:r>
      <w:proofErr w:type="spellEnd"/>
      <w:r w:rsidRPr="002D16F4">
        <w:t>, I.J., 2022. Fostering team creativity through team-focused inclusion: The role of leader harvesting the benefits of diversity and cultivating value-in-diversity beliefs. </w:t>
      </w:r>
      <w:r w:rsidRPr="002D16F4">
        <w:rPr>
          <w:i/>
          <w:iCs/>
        </w:rPr>
        <w:t>Group &amp; Organization Management</w:t>
      </w:r>
      <w:r w:rsidRPr="002D16F4">
        <w:t>, </w:t>
      </w:r>
      <w:r w:rsidRPr="002D16F4">
        <w:rPr>
          <w:i/>
          <w:iCs/>
        </w:rPr>
        <w:t>47</w:t>
      </w:r>
      <w:r w:rsidRPr="002D16F4">
        <w:t>(4), pp.798-839.</w:t>
      </w:r>
    </w:p>
    <w:p w14:paraId="4D543209" w14:textId="77777777" w:rsidR="0066756A" w:rsidRPr="002D16F4" w:rsidRDefault="0066756A" w:rsidP="0066756A">
      <w:pPr>
        <w:ind w:left="720" w:hanging="720"/>
      </w:pPr>
      <w:r w:rsidRPr="002D16F4">
        <w:t>Lichy, J., 2023. Managing consumption for a cleaner future… but what’s in it for me? </w:t>
      </w:r>
      <w:r w:rsidRPr="002D16F4">
        <w:rPr>
          <w:i/>
          <w:iCs/>
        </w:rPr>
        <w:t>Question (s) de management</w:t>
      </w:r>
      <w:r w:rsidRPr="002D16F4">
        <w:t>, (2), pp.89-104.</w:t>
      </w:r>
    </w:p>
    <w:p w14:paraId="3210589D" w14:textId="77777777" w:rsidR="0066756A" w:rsidRPr="002D16F4" w:rsidRDefault="0066756A" w:rsidP="0066756A">
      <w:pPr>
        <w:ind w:left="720" w:hanging="720"/>
      </w:pPr>
      <w:r w:rsidRPr="002D16F4">
        <w:lastRenderedPageBreak/>
        <w:t>Martin, F. and Borup, J., 2022. Online learner engagement: Conceptual definitions, research themes, and supportive practices. </w:t>
      </w:r>
      <w:r w:rsidRPr="002D16F4">
        <w:rPr>
          <w:i/>
          <w:iCs/>
        </w:rPr>
        <w:t>Educational Psychologist</w:t>
      </w:r>
      <w:r w:rsidRPr="002D16F4">
        <w:t>, </w:t>
      </w:r>
      <w:r w:rsidRPr="002D16F4">
        <w:rPr>
          <w:i/>
          <w:iCs/>
        </w:rPr>
        <w:t>57</w:t>
      </w:r>
      <w:r w:rsidRPr="002D16F4">
        <w:t>(3), pp.162-177.</w:t>
      </w:r>
    </w:p>
    <w:p w14:paraId="3824549B" w14:textId="77777777" w:rsidR="0066756A" w:rsidRDefault="0066756A" w:rsidP="00DB28ED">
      <w:pPr>
        <w:ind w:left="720" w:hanging="720"/>
      </w:pPr>
      <w:r w:rsidRPr="00DB28ED">
        <w:t>Nieves, J. and Quintana, A., 2018. Human resource practices and innovation in the hotel industry: The mediating role of human capital. </w:t>
      </w:r>
      <w:r w:rsidRPr="00DB28ED">
        <w:rPr>
          <w:i/>
          <w:iCs/>
        </w:rPr>
        <w:t>Tourism and Hospitality Research</w:t>
      </w:r>
      <w:r w:rsidRPr="00DB28ED">
        <w:t>, </w:t>
      </w:r>
      <w:r w:rsidRPr="00DB28ED">
        <w:rPr>
          <w:i/>
          <w:iCs/>
        </w:rPr>
        <w:t>18</w:t>
      </w:r>
      <w:r w:rsidRPr="00DB28ED">
        <w:t>(1), pp.72-83.</w:t>
      </w:r>
    </w:p>
    <w:p w14:paraId="64CE826B" w14:textId="77777777" w:rsidR="0066756A" w:rsidRPr="002D16F4" w:rsidRDefault="0066756A" w:rsidP="0066756A">
      <w:pPr>
        <w:ind w:left="720" w:hanging="720"/>
      </w:pPr>
      <w:r w:rsidRPr="002D16F4">
        <w:t>Poort, I., Jansen, E. and Hofman, A., 2022. Does the group matter? Effects of trust, cultural diversity, and group formation on engagement in group work in higher education. </w:t>
      </w:r>
      <w:r w:rsidRPr="002D16F4">
        <w:rPr>
          <w:i/>
          <w:iCs/>
        </w:rPr>
        <w:t>Higher Education Research &amp; Development</w:t>
      </w:r>
      <w:r w:rsidRPr="002D16F4">
        <w:t>, </w:t>
      </w:r>
      <w:r w:rsidRPr="002D16F4">
        <w:rPr>
          <w:i/>
          <w:iCs/>
        </w:rPr>
        <w:t>41</w:t>
      </w:r>
      <w:r w:rsidRPr="002D16F4">
        <w:t>(2), pp.511-526.</w:t>
      </w:r>
    </w:p>
    <w:p w14:paraId="616E20FB" w14:textId="77777777" w:rsidR="0066756A" w:rsidRPr="002D16F4" w:rsidRDefault="0066756A" w:rsidP="0066756A">
      <w:pPr>
        <w:ind w:left="720" w:hanging="720"/>
      </w:pPr>
      <w:r w:rsidRPr="002D16F4">
        <w:t>Salas</w:t>
      </w:r>
      <w:r w:rsidRPr="002D16F4">
        <w:rPr>
          <w:rFonts w:ascii="Cambria Math" w:hAnsi="Cambria Math" w:cs="Cambria Math"/>
        </w:rPr>
        <w:t>‐</w:t>
      </w:r>
      <w:r w:rsidRPr="002D16F4">
        <w:t>Vallina, A., Alegre, J. and López</w:t>
      </w:r>
      <w:r w:rsidRPr="002D16F4">
        <w:rPr>
          <w:rFonts w:ascii="Cambria Math" w:hAnsi="Cambria Math" w:cs="Cambria Math"/>
        </w:rPr>
        <w:t>‐</w:t>
      </w:r>
      <w:r w:rsidRPr="002D16F4">
        <w:t>Cabrales, Á., 2021. The challenge of increasing employees' well</w:t>
      </w:r>
      <w:r w:rsidRPr="002D16F4">
        <w:rPr>
          <w:rFonts w:ascii="Cambria Math" w:hAnsi="Cambria Math" w:cs="Cambria Math"/>
        </w:rPr>
        <w:t>‐</w:t>
      </w:r>
      <w:r w:rsidRPr="002D16F4">
        <w:t>being and performance: How human resource management practices and engaging leadership work together toward reaching this goal. </w:t>
      </w:r>
      <w:r w:rsidRPr="002D16F4">
        <w:rPr>
          <w:i/>
          <w:iCs/>
        </w:rPr>
        <w:t>Human Resource Management</w:t>
      </w:r>
      <w:r w:rsidRPr="002D16F4">
        <w:t>, </w:t>
      </w:r>
      <w:r w:rsidRPr="002D16F4">
        <w:rPr>
          <w:i/>
          <w:iCs/>
        </w:rPr>
        <w:t>60</w:t>
      </w:r>
      <w:r w:rsidRPr="002D16F4">
        <w:t>(3), pp.333-347.</w:t>
      </w:r>
    </w:p>
    <w:p w14:paraId="58F41C6B" w14:textId="77777777" w:rsidR="0066756A" w:rsidRDefault="0066756A" w:rsidP="00DB28ED">
      <w:pPr>
        <w:ind w:left="720" w:hanging="720"/>
      </w:pPr>
      <w:r w:rsidRPr="004E32E3">
        <w:t xml:space="preserve">Sun, L. and </w:t>
      </w:r>
      <w:proofErr w:type="spellStart"/>
      <w:r w:rsidRPr="004E32E3">
        <w:t>Bunchapattanasakda</w:t>
      </w:r>
      <w:proofErr w:type="spellEnd"/>
      <w:r w:rsidRPr="004E32E3">
        <w:t>, C., 2019. Employee engagement: A literature review. </w:t>
      </w:r>
      <w:r w:rsidRPr="004E32E3">
        <w:rPr>
          <w:i/>
          <w:iCs/>
        </w:rPr>
        <w:t>International Journal of Human Resource Studies</w:t>
      </w:r>
      <w:r w:rsidRPr="004E32E3">
        <w:t>, </w:t>
      </w:r>
      <w:r w:rsidRPr="004E32E3">
        <w:rPr>
          <w:i/>
          <w:iCs/>
        </w:rPr>
        <w:t>9</w:t>
      </w:r>
      <w:r w:rsidRPr="004E32E3">
        <w:t>(1), pp.63-80.</w:t>
      </w:r>
    </w:p>
    <w:p w14:paraId="27F3098B" w14:textId="77777777" w:rsidR="0066756A" w:rsidRPr="002D16F4" w:rsidRDefault="0066756A" w:rsidP="0066756A">
      <w:pPr>
        <w:ind w:left="720" w:hanging="720"/>
      </w:pPr>
      <w:r w:rsidRPr="002D16F4">
        <w:t>Tims, M., Twemlow, M. and Fong, C.Y.M., 2022. A state-of-the-art overview of job-crafting research: current trends and future research directions. </w:t>
      </w:r>
      <w:r w:rsidRPr="002D16F4">
        <w:rPr>
          <w:i/>
          <w:iCs/>
        </w:rPr>
        <w:t>Career Development International</w:t>
      </w:r>
      <w:r w:rsidRPr="002D16F4">
        <w:t>, </w:t>
      </w:r>
      <w:r w:rsidRPr="002D16F4">
        <w:rPr>
          <w:i/>
          <w:iCs/>
        </w:rPr>
        <w:t>27</w:t>
      </w:r>
      <w:r w:rsidRPr="002D16F4">
        <w:t>(1), pp.54-78.</w:t>
      </w:r>
    </w:p>
    <w:p w14:paraId="31C1D6B7" w14:textId="77777777" w:rsidR="0066756A" w:rsidRPr="002D16F4" w:rsidRDefault="0066756A" w:rsidP="0066756A">
      <w:pPr>
        <w:ind w:left="720" w:hanging="720"/>
      </w:pPr>
      <w:r w:rsidRPr="002D16F4">
        <w:t>Tucker, E., 2017. Engaging employees: Three critical roles for managers. </w:t>
      </w:r>
      <w:r w:rsidRPr="002D16F4">
        <w:rPr>
          <w:i/>
          <w:iCs/>
        </w:rPr>
        <w:t>Strategic HR Review</w:t>
      </w:r>
      <w:r w:rsidRPr="002D16F4">
        <w:t>, </w:t>
      </w:r>
      <w:r w:rsidRPr="002D16F4">
        <w:rPr>
          <w:i/>
          <w:iCs/>
        </w:rPr>
        <w:t>16</w:t>
      </w:r>
      <w:r w:rsidRPr="002D16F4">
        <w:t>(3), pp.107-111.</w:t>
      </w:r>
    </w:p>
    <w:p w14:paraId="7456ED50" w14:textId="77777777" w:rsidR="0066756A" w:rsidRDefault="0066756A" w:rsidP="00DB28ED">
      <w:pPr>
        <w:ind w:left="720" w:hanging="720"/>
      </w:pPr>
      <w:proofErr w:type="spellStart"/>
      <w:r w:rsidRPr="00DB28ED">
        <w:t>Ul</w:t>
      </w:r>
      <w:proofErr w:type="spellEnd"/>
      <w:r w:rsidRPr="00DB28ED">
        <w:t xml:space="preserve"> Islam, Z., </w:t>
      </w:r>
      <w:proofErr w:type="spellStart"/>
      <w:r w:rsidRPr="00DB28ED">
        <w:t>Bangish</w:t>
      </w:r>
      <w:proofErr w:type="spellEnd"/>
      <w:r w:rsidRPr="00DB28ED">
        <w:t>, S.B., Muhammad, H. and Jehan, A.S., 2016. The impact of HR practices on job satisfaction: A case study of hotel industry in Pakistan. </w:t>
      </w:r>
      <w:r w:rsidRPr="00DB28ED">
        <w:rPr>
          <w:i/>
          <w:iCs/>
        </w:rPr>
        <w:t>The Journal of Asian Finance, Economics and Business (JAFEB)</w:t>
      </w:r>
      <w:r w:rsidRPr="00DB28ED">
        <w:t>, </w:t>
      </w:r>
      <w:r w:rsidRPr="00DB28ED">
        <w:rPr>
          <w:i/>
          <w:iCs/>
        </w:rPr>
        <w:t>3</w:t>
      </w:r>
      <w:r w:rsidRPr="00DB28ED">
        <w:t>(1), pp.43-48.</w:t>
      </w:r>
    </w:p>
    <w:p w14:paraId="45DB172A" w14:textId="77777777" w:rsidR="0066756A" w:rsidRDefault="0066756A" w:rsidP="0066756A">
      <w:pPr>
        <w:ind w:left="720" w:hanging="720"/>
      </w:pPr>
      <w:proofErr w:type="spellStart"/>
      <w:r w:rsidRPr="002D16F4">
        <w:t>Windasari</w:t>
      </w:r>
      <w:proofErr w:type="spellEnd"/>
      <w:r w:rsidRPr="002D16F4">
        <w:t xml:space="preserve">, N.A., </w:t>
      </w:r>
      <w:proofErr w:type="spellStart"/>
      <w:r w:rsidRPr="002D16F4">
        <w:t>Kusumawati</w:t>
      </w:r>
      <w:proofErr w:type="spellEnd"/>
      <w:r w:rsidRPr="002D16F4">
        <w:t>, N., Larasati, N. and Amelia, R.P., 2022. Digital-only banking experience: Insights from gen Y and gen Z. </w:t>
      </w:r>
      <w:r w:rsidRPr="002D16F4">
        <w:rPr>
          <w:i/>
          <w:iCs/>
        </w:rPr>
        <w:t>Journal of Innovation &amp; Knowledge</w:t>
      </w:r>
      <w:r w:rsidRPr="002D16F4">
        <w:t>, </w:t>
      </w:r>
      <w:r w:rsidRPr="002D16F4">
        <w:rPr>
          <w:i/>
          <w:iCs/>
        </w:rPr>
        <w:t>7</w:t>
      </w:r>
      <w:r w:rsidRPr="002D16F4">
        <w:t>(2), p.100170.</w:t>
      </w:r>
    </w:p>
    <w:p w14:paraId="77D587A3" w14:textId="77777777" w:rsidR="00ED2F4F" w:rsidRPr="00D5587B" w:rsidRDefault="00ED2F4F" w:rsidP="00ED2F4F">
      <w:pPr>
        <w:ind w:left="720" w:hanging="720"/>
        <w:rPr>
          <w:rFonts w:cs="Times New Roman"/>
        </w:rPr>
      </w:pPr>
      <w:r w:rsidRPr="7F64DC15">
        <w:rPr>
          <w:rFonts w:eastAsia="Times New Roman" w:cs="Times New Roman"/>
        </w:rPr>
        <w:t>Subramanian, K.R., 2017. The generation gap and employee relationship. </w:t>
      </w:r>
      <w:r w:rsidRPr="7F64DC15">
        <w:rPr>
          <w:rFonts w:eastAsia="Times New Roman" w:cs="Times New Roman"/>
          <w:i/>
          <w:iCs/>
        </w:rPr>
        <w:t>International Journal of Engineering and Management Research (IJEMR)</w:t>
      </w:r>
      <w:r w:rsidRPr="7F64DC15">
        <w:rPr>
          <w:rFonts w:eastAsia="Times New Roman" w:cs="Times New Roman"/>
        </w:rPr>
        <w:t>, </w:t>
      </w:r>
      <w:r w:rsidRPr="7F64DC15">
        <w:rPr>
          <w:rFonts w:eastAsia="Times New Roman" w:cs="Times New Roman"/>
          <w:i/>
          <w:iCs/>
        </w:rPr>
        <w:t>7</w:t>
      </w:r>
      <w:r w:rsidRPr="7F64DC15">
        <w:rPr>
          <w:rFonts w:eastAsia="Times New Roman" w:cs="Times New Roman"/>
        </w:rPr>
        <w:t>(6), pp.59-67.</w:t>
      </w:r>
    </w:p>
    <w:p w14:paraId="55C174F8" w14:textId="77777777" w:rsidR="00ED2F4F" w:rsidRPr="00D5587B" w:rsidRDefault="00ED2F4F" w:rsidP="00ED2F4F">
      <w:pPr>
        <w:ind w:left="720" w:hanging="720"/>
        <w:rPr>
          <w:rFonts w:cs="Times New Roman"/>
        </w:rPr>
      </w:pPr>
      <w:r w:rsidRPr="7F64DC15">
        <w:rPr>
          <w:rFonts w:eastAsia="Times New Roman" w:cs="Times New Roman"/>
        </w:rPr>
        <w:t>Wong, C.M. and Tetrick, L.E., 2017. Job crafting: Older workers’ mechanism for maintaining person-job fit. </w:t>
      </w:r>
      <w:r w:rsidRPr="7F64DC15">
        <w:rPr>
          <w:rFonts w:eastAsia="Times New Roman" w:cs="Times New Roman"/>
          <w:i/>
          <w:iCs/>
        </w:rPr>
        <w:t>Frontiers in Psychology</w:t>
      </w:r>
      <w:r w:rsidRPr="7F64DC15">
        <w:rPr>
          <w:rFonts w:eastAsia="Times New Roman" w:cs="Times New Roman"/>
        </w:rPr>
        <w:t>, </w:t>
      </w:r>
      <w:r w:rsidRPr="7F64DC15">
        <w:rPr>
          <w:rFonts w:eastAsia="Times New Roman" w:cs="Times New Roman"/>
          <w:i/>
          <w:iCs/>
        </w:rPr>
        <w:t>8</w:t>
      </w:r>
      <w:r w:rsidRPr="7F64DC15">
        <w:rPr>
          <w:rFonts w:eastAsia="Times New Roman" w:cs="Times New Roman"/>
        </w:rPr>
        <w:t>, p.1548.</w:t>
      </w:r>
    </w:p>
    <w:sectPr w:rsidR="00ED2F4F" w:rsidRPr="00D5587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A748D"/>
    <w:multiLevelType w:val="hybridMultilevel"/>
    <w:tmpl w:val="295C20F6"/>
    <w:lvl w:ilvl="0" w:tplc="E2FC9D3A">
      <w:start w:val="1"/>
      <w:numFmt w:val="decimal"/>
      <w:lvlText w:val="%1."/>
      <w:lvlJc w:val="left"/>
      <w:pPr>
        <w:ind w:left="720" w:hanging="360"/>
      </w:pPr>
    </w:lvl>
    <w:lvl w:ilvl="1" w:tplc="6334315E" w:tentative="1">
      <w:start w:val="1"/>
      <w:numFmt w:val="lowerLetter"/>
      <w:lvlText w:val="%2."/>
      <w:lvlJc w:val="left"/>
      <w:pPr>
        <w:ind w:left="1440" w:hanging="360"/>
      </w:pPr>
    </w:lvl>
    <w:lvl w:ilvl="2" w:tplc="5418AF38" w:tentative="1">
      <w:start w:val="1"/>
      <w:numFmt w:val="lowerRoman"/>
      <w:lvlText w:val="%3."/>
      <w:lvlJc w:val="right"/>
      <w:pPr>
        <w:ind w:left="2160" w:hanging="180"/>
      </w:pPr>
    </w:lvl>
    <w:lvl w:ilvl="3" w:tplc="80E0821E" w:tentative="1">
      <w:start w:val="1"/>
      <w:numFmt w:val="decimal"/>
      <w:lvlText w:val="%4."/>
      <w:lvlJc w:val="left"/>
      <w:pPr>
        <w:ind w:left="2880" w:hanging="360"/>
      </w:pPr>
    </w:lvl>
    <w:lvl w:ilvl="4" w:tplc="334097FC" w:tentative="1">
      <w:start w:val="1"/>
      <w:numFmt w:val="lowerLetter"/>
      <w:lvlText w:val="%5."/>
      <w:lvlJc w:val="left"/>
      <w:pPr>
        <w:ind w:left="3600" w:hanging="360"/>
      </w:pPr>
    </w:lvl>
    <w:lvl w:ilvl="5" w:tplc="24EA93EE" w:tentative="1">
      <w:start w:val="1"/>
      <w:numFmt w:val="lowerRoman"/>
      <w:lvlText w:val="%6."/>
      <w:lvlJc w:val="right"/>
      <w:pPr>
        <w:ind w:left="4320" w:hanging="180"/>
      </w:pPr>
    </w:lvl>
    <w:lvl w:ilvl="6" w:tplc="B776D762" w:tentative="1">
      <w:start w:val="1"/>
      <w:numFmt w:val="decimal"/>
      <w:lvlText w:val="%7."/>
      <w:lvlJc w:val="left"/>
      <w:pPr>
        <w:ind w:left="5040" w:hanging="360"/>
      </w:pPr>
    </w:lvl>
    <w:lvl w:ilvl="7" w:tplc="604246C8" w:tentative="1">
      <w:start w:val="1"/>
      <w:numFmt w:val="lowerLetter"/>
      <w:lvlText w:val="%8."/>
      <w:lvlJc w:val="left"/>
      <w:pPr>
        <w:ind w:left="5760" w:hanging="360"/>
      </w:pPr>
    </w:lvl>
    <w:lvl w:ilvl="8" w:tplc="D570D410" w:tentative="1">
      <w:start w:val="1"/>
      <w:numFmt w:val="lowerRoman"/>
      <w:lvlText w:val="%9."/>
      <w:lvlJc w:val="right"/>
      <w:pPr>
        <w:ind w:left="6480" w:hanging="180"/>
      </w:pPr>
    </w:lvl>
  </w:abstractNum>
  <w:abstractNum w:abstractNumId="1" w15:restartNumberingAfterBreak="0">
    <w:nsid w:val="1B3A3091"/>
    <w:multiLevelType w:val="multilevel"/>
    <w:tmpl w:val="4A90D17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3C2009D"/>
    <w:multiLevelType w:val="hybridMultilevel"/>
    <w:tmpl w:val="743471C8"/>
    <w:lvl w:ilvl="0" w:tplc="1E7E0770">
      <w:start w:val="1"/>
      <w:numFmt w:val="bullet"/>
      <w:lvlText w:val=""/>
      <w:lvlJc w:val="left"/>
      <w:pPr>
        <w:ind w:left="720" w:hanging="360"/>
      </w:pPr>
      <w:rPr>
        <w:rFonts w:ascii="Symbol" w:hAnsi="Symbol" w:hint="default"/>
      </w:rPr>
    </w:lvl>
    <w:lvl w:ilvl="1" w:tplc="C32C27C8" w:tentative="1">
      <w:start w:val="1"/>
      <w:numFmt w:val="bullet"/>
      <w:lvlText w:val="o"/>
      <w:lvlJc w:val="left"/>
      <w:pPr>
        <w:ind w:left="1440" w:hanging="360"/>
      </w:pPr>
      <w:rPr>
        <w:rFonts w:ascii="Courier New" w:hAnsi="Courier New" w:cs="Courier New" w:hint="default"/>
      </w:rPr>
    </w:lvl>
    <w:lvl w:ilvl="2" w:tplc="9BE6324E" w:tentative="1">
      <w:start w:val="1"/>
      <w:numFmt w:val="bullet"/>
      <w:lvlText w:val=""/>
      <w:lvlJc w:val="left"/>
      <w:pPr>
        <w:ind w:left="2160" w:hanging="360"/>
      </w:pPr>
      <w:rPr>
        <w:rFonts w:ascii="Wingdings" w:hAnsi="Wingdings" w:hint="default"/>
      </w:rPr>
    </w:lvl>
    <w:lvl w:ilvl="3" w:tplc="372622BE" w:tentative="1">
      <w:start w:val="1"/>
      <w:numFmt w:val="bullet"/>
      <w:lvlText w:val=""/>
      <w:lvlJc w:val="left"/>
      <w:pPr>
        <w:ind w:left="2880" w:hanging="360"/>
      </w:pPr>
      <w:rPr>
        <w:rFonts w:ascii="Symbol" w:hAnsi="Symbol" w:hint="default"/>
      </w:rPr>
    </w:lvl>
    <w:lvl w:ilvl="4" w:tplc="5574C8DE" w:tentative="1">
      <w:start w:val="1"/>
      <w:numFmt w:val="bullet"/>
      <w:lvlText w:val="o"/>
      <w:lvlJc w:val="left"/>
      <w:pPr>
        <w:ind w:left="3600" w:hanging="360"/>
      </w:pPr>
      <w:rPr>
        <w:rFonts w:ascii="Courier New" w:hAnsi="Courier New" w:cs="Courier New" w:hint="default"/>
      </w:rPr>
    </w:lvl>
    <w:lvl w:ilvl="5" w:tplc="A6E078EC" w:tentative="1">
      <w:start w:val="1"/>
      <w:numFmt w:val="bullet"/>
      <w:lvlText w:val=""/>
      <w:lvlJc w:val="left"/>
      <w:pPr>
        <w:ind w:left="4320" w:hanging="360"/>
      </w:pPr>
      <w:rPr>
        <w:rFonts w:ascii="Wingdings" w:hAnsi="Wingdings" w:hint="default"/>
      </w:rPr>
    </w:lvl>
    <w:lvl w:ilvl="6" w:tplc="7618D304" w:tentative="1">
      <w:start w:val="1"/>
      <w:numFmt w:val="bullet"/>
      <w:lvlText w:val=""/>
      <w:lvlJc w:val="left"/>
      <w:pPr>
        <w:ind w:left="5040" w:hanging="360"/>
      </w:pPr>
      <w:rPr>
        <w:rFonts w:ascii="Symbol" w:hAnsi="Symbol" w:hint="default"/>
      </w:rPr>
    </w:lvl>
    <w:lvl w:ilvl="7" w:tplc="ECEEEDC8" w:tentative="1">
      <w:start w:val="1"/>
      <w:numFmt w:val="bullet"/>
      <w:lvlText w:val="o"/>
      <w:lvlJc w:val="left"/>
      <w:pPr>
        <w:ind w:left="5760" w:hanging="360"/>
      </w:pPr>
      <w:rPr>
        <w:rFonts w:ascii="Courier New" w:hAnsi="Courier New" w:cs="Courier New" w:hint="default"/>
      </w:rPr>
    </w:lvl>
    <w:lvl w:ilvl="8" w:tplc="C4C6910A" w:tentative="1">
      <w:start w:val="1"/>
      <w:numFmt w:val="bullet"/>
      <w:lvlText w:val=""/>
      <w:lvlJc w:val="left"/>
      <w:pPr>
        <w:ind w:left="6480" w:hanging="360"/>
      </w:pPr>
      <w:rPr>
        <w:rFonts w:ascii="Wingdings" w:hAnsi="Wingdings" w:hint="default"/>
      </w:rPr>
    </w:lvl>
  </w:abstractNum>
  <w:abstractNum w:abstractNumId="3" w15:restartNumberingAfterBreak="0">
    <w:nsid w:val="74EC55F1"/>
    <w:multiLevelType w:val="hybridMultilevel"/>
    <w:tmpl w:val="2BF6D918"/>
    <w:lvl w:ilvl="0" w:tplc="F1141EE0">
      <w:start w:val="1"/>
      <w:numFmt w:val="bullet"/>
      <w:lvlText w:val=""/>
      <w:lvlJc w:val="left"/>
      <w:pPr>
        <w:ind w:left="720" w:hanging="360"/>
      </w:pPr>
      <w:rPr>
        <w:rFonts w:ascii="Symbol" w:hAnsi="Symbol" w:hint="default"/>
      </w:rPr>
    </w:lvl>
    <w:lvl w:ilvl="1" w:tplc="D8F2351E" w:tentative="1">
      <w:start w:val="1"/>
      <w:numFmt w:val="bullet"/>
      <w:lvlText w:val="o"/>
      <w:lvlJc w:val="left"/>
      <w:pPr>
        <w:ind w:left="1440" w:hanging="360"/>
      </w:pPr>
      <w:rPr>
        <w:rFonts w:ascii="Courier New" w:hAnsi="Courier New" w:cs="Courier New" w:hint="default"/>
      </w:rPr>
    </w:lvl>
    <w:lvl w:ilvl="2" w:tplc="3C3ACCD0" w:tentative="1">
      <w:start w:val="1"/>
      <w:numFmt w:val="bullet"/>
      <w:lvlText w:val=""/>
      <w:lvlJc w:val="left"/>
      <w:pPr>
        <w:ind w:left="2160" w:hanging="360"/>
      </w:pPr>
      <w:rPr>
        <w:rFonts w:ascii="Wingdings" w:hAnsi="Wingdings" w:hint="default"/>
      </w:rPr>
    </w:lvl>
    <w:lvl w:ilvl="3" w:tplc="CF4A0140" w:tentative="1">
      <w:start w:val="1"/>
      <w:numFmt w:val="bullet"/>
      <w:lvlText w:val=""/>
      <w:lvlJc w:val="left"/>
      <w:pPr>
        <w:ind w:left="2880" w:hanging="360"/>
      </w:pPr>
      <w:rPr>
        <w:rFonts w:ascii="Symbol" w:hAnsi="Symbol" w:hint="default"/>
      </w:rPr>
    </w:lvl>
    <w:lvl w:ilvl="4" w:tplc="3DFA341E" w:tentative="1">
      <w:start w:val="1"/>
      <w:numFmt w:val="bullet"/>
      <w:lvlText w:val="o"/>
      <w:lvlJc w:val="left"/>
      <w:pPr>
        <w:ind w:left="3600" w:hanging="360"/>
      </w:pPr>
      <w:rPr>
        <w:rFonts w:ascii="Courier New" w:hAnsi="Courier New" w:cs="Courier New" w:hint="default"/>
      </w:rPr>
    </w:lvl>
    <w:lvl w:ilvl="5" w:tplc="AF8626B4" w:tentative="1">
      <w:start w:val="1"/>
      <w:numFmt w:val="bullet"/>
      <w:lvlText w:val=""/>
      <w:lvlJc w:val="left"/>
      <w:pPr>
        <w:ind w:left="4320" w:hanging="360"/>
      </w:pPr>
      <w:rPr>
        <w:rFonts w:ascii="Wingdings" w:hAnsi="Wingdings" w:hint="default"/>
      </w:rPr>
    </w:lvl>
    <w:lvl w:ilvl="6" w:tplc="231E8036" w:tentative="1">
      <w:start w:val="1"/>
      <w:numFmt w:val="bullet"/>
      <w:lvlText w:val=""/>
      <w:lvlJc w:val="left"/>
      <w:pPr>
        <w:ind w:left="5040" w:hanging="360"/>
      </w:pPr>
      <w:rPr>
        <w:rFonts w:ascii="Symbol" w:hAnsi="Symbol" w:hint="default"/>
      </w:rPr>
    </w:lvl>
    <w:lvl w:ilvl="7" w:tplc="2526A552" w:tentative="1">
      <w:start w:val="1"/>
      <w:numFmt w:val="bullet"/>
      <w:lvlText w:val="o"/>
      <w:lvlJc w:val="left"/>
      <w:pPr>
        <w:ind w:left="5760" w:hanging="360"/>
      </w:pPr>
      <w:rPr>
        <w:rFonts w:ascii="Courier New" w:hAnsi="Courier New" w:cs="Courier New" w:hint="default"/>
      </w:rPr>
    </w:lvl>
    <w:lvl w:ilvl="8" w:tplc="DCB0F364" w:tentative="1">
      <w:start w:val="1"/>
      <w:numFmt w:val="bullet"/>
      <w:lvlText w:val=""/>
      <w:lvlJc w:val="left"/>
      <w:pPr>
        <w:ind w:left="6480" w:hanging="360"/>
      </w:pPr>
      <w:rPr>
        <w:rFonts w:ascii="Wingdings" w:hAnsi="Wingdings" w:hint="default"/>
      </w:rPr>
    </w:lvl>
  </w:abstractNum>
  <w:num w:numId="1" w16cid:durableId="739133693">
    <w:abstractNumId w:val="1"/>
  </w:num>
  <w:num w:numId="2" w16cid:durableId="1619221275">
    <w:abstractNumId w:val="2"/>
  </w:num>
  <w:num w:numId="3" w16cid:durableId="1607738534">
    <w:abstractNumId w:val="3"/>
  </w:num>
  <w:num w:numId="4" w16cid:durableId="1691174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9C8"/>
    <w:rsid w:val="00014D18"/>
    <w:rsid w:val="000430C9"/>
    <w:rsid w:val="000468C4"/>
    <w:rsid w:val="000D7A66"/>
    <w:rsid w:val="000F5F23"/>
    <w:rsid w:val="00100F56"/>
    <w:rsid w:val="00111C8E"/>
    <w:rsid w:val="001213E3"/>
    <w:rsid w:val="00152C2D"/>
    <w:rsid w:val="0018291C"/>
    <w:rsid w:val="001B2425"/>
    <w:rsid w:val="001C2C88"/>
    <w:rsid w:val="001C2C89"/>
    <w:rsid w:val="001D1123"/>
    <w:rsid w:val="001E4D21"/>
    <w:rsid w:val="002361C8"/>
    <w:rsid w:val="00266DAB"/>
    <w:rsid w:val="00275ACE"/>
    <w:rsid w:val="002939A8"/>
    <w:rsid w:val="002C19EA"/>
    <w:rsid w:val="002D16F4"/>
    <w:rsid w:val="002E390F"/>
    <w:rsid w:val="00322315"/>
    <w:rsid w:val="00362F34"/>
    <w:rsid w:val="003A19FB"/>
    <w:rsid w:val="003D47E6"/>
    <w:rsid w:val="004018AB"/>
    <w:rsid w:val="004953C0"/>
    <w:rsid w:val="004B03C5"/>
    <w:rsid w:val="004B7CE2"/>
    <w:rsid w:val="004E32E3"/>
    <w:rsid w:val="00505CD6"/>
    <w:rsid w:val="005456F7"/>
    <w:rsid w:val="00564944"/>
    <w:rsid w:val="005C3100"/>
    <w:rsid w:val="005D2350"/>
    <w:rsid w:val="005F686B"/>
    <w:rsid w:val="00611C00"/>
    <w:rsid w:val="006247F8"/>
    <w:rsid w:val="00642F02"/>
    <w:rsid w:val="00660C68"/>
    <w:rsid w:val="00663D8A"/>
    <w:rsid w:val="0066756A"/>
    <w:rsid w:val="0067491B"/>
    <w:rsid w:val="00686814"/>
    <w:rsid w:val="006918E1"/>
    <w:rsid w:val="006A09F9"/>
    <w:rsid w:val="006C6738"/>
    <w:rsid w:val="006D100A"/>
    <w:rsid w:val="006D358D"/>
    <w:rsid w:val="00772C4B"/>
    <w:rsid w:val="00786EE6"/>
    <w:rsid w:val="007934ED"/>
    <w:rsid w:val="0079587A"/>
    <w:rsid w:val="007A36A8"/>
    <w:rsid w:val="007C023B"/>
    <w:rsid w:val="007D27C1"/>
    <w:rsid w:val="00837297"/>
    <w:rsid w:val="00841036"/>
    <w:rsid w:val="00847309"/>
    <w:rsid w:val="00847B41"/>
    <w:rsid w:val="008525B3"/>
    <w:rsid w:val="00865A92"/>
    <w:rsid w:val="0086707C"/>
    <w:rsid w:val="008A23D1"/>
    <w:rsid w:val="008D0B76"/>
    <w:rsid w:val="0091374C"/>
    <w:rsid w:val="00914E0C"/>
    <w:rsid w:val="00937F98"/>
    <w:rsid w:val="00951643"/>
    <w:rsid w:val="009959C8"/>
    <w:rsid w:val="00A172CF"/>
    <w:rsid w:val="00A21F65"/>
    <w:rsid w:val="00A50A75"/>
    <w:rsid w:val="00AA5400"/>
    <w:rsid w:val="00AE2200"/>
    <w:rsid w:val="00B25B17"/>
    <w:rsid w:val="00BB5945"/>
    <w:rsid w:val="00BB70D3"/>
    <w:rsid w:val="00BB7D11"/>
    <w:rsid w:val="00BE00E4"/>
    <w:rsid w:val="00BE18E0"/>
    <w:rsid w:val="00BE6CE6"/>
    <w:rsid w:val="00BF19BE"/>
    <w:rsid w:val="00CB6099"/>
    <w:rsid w:val="00CF4965"/>
    <w:rsid w:val="00D173A3"/>
    <w:rsid w:val="00D22D4B"/>
    <w:rsid w:val="00D65D33"/>
    <w:rsid w:val="00D97878"/>
    <w:rsid w:val="00DB28ED"/>
    <w:rsid w:val="00DE201E"/>
    <w:rsid w:val="00DE3E53"/>
    <w:rsid w:val="00E61BDC"/>
    <w:rsid w:val="00ED2F4F"/>
    <w:rsid w:val="00ED3543"/>
    <w:rsid w:val="00F34492"/>
    <w:rsid w:val="00FB7A04"/>
    <w:rsid w:val="00FC7AFE"/>
    <w:rsid w:val="00FD0A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3CA7DF"/>
  <w15:chartTrackingRefBased/>
  <w15:docId w15:val="{6735A7D6-EF14-4C4F-AFAE-175221869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F56"/>
    <w:pPr>
      <w:spacing w:after="0"/>
    </w:pPr>
    <w:rPr>
      <w:rFonts w:ascii="Arial" w:hAnsi="Arial" w:cs="Arial"/>
      <w:szCs w:val="24"/>
      <w:shd w:val="clear" w:color="auto" w:fill="FFFFFF"/>
    </w:rPr>
  </w:style>
  <w:style w:type="paragraph" w:styleId="Heading1">
    <w:name w:val="heading 1"/>
    <w:basedOn w:val="Normal"/>
    <w:next w:val="Normal"/>
    <w:link w:val="Heading1Char"/>
    <w:uiPriority w:val="9"/>
    <w:qFormat/>
    <w:rsid w:val="002C19EA"/>
    <w:pPr>
      <w:keepNext/>
      <w:keepLines/>
      <w:numPr>
        <w:numId w:val="1"/>
      </w:numPr>
      <w:spacing w:before="360" w:after="120"/>
      <w:outlineLvl w:val="0"/>
    </w:pPr>
    <w:rPr>
      <w:rFonts w:eastAsiaTheme="majorEastAsia"/>
      <w:b/>
      <w:szCs w:val="32"/>
    </w:rPr>
  </w:style>
  <w:style w:type="paragraph" w:styleId="Heading2">
    <w:name w:val="heading 2"/>
    <w:basedOn w:val="Normal"/>
    <w:next w:val="Normal"/>
    <w:link w:val="Heading2Char"/>
    <w:uiPriority w:val="9"/>
    <w:semiHidden/>
    <w:unhideWhenUsed/>
    <w:qFormat/>
    <w:rsid w:val="00BE18E0"/>
    <w:pPr>
      <w:keepNext/>
      <w:keepLines/>
      <w:numPr>
        <w:ilvl w:val="1"/>
        <w:numId w:val="1"/>
      </w:numPr>
      <w:spacing w:before="160" w:after="120"/>
      <w:outlineLvl w:val="1"/>
    </w:pPr>
    <w:rPr>
      <w:rFonts w:eastAsiaTheme="majorEastAsia"/>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9EA"/>
    <w:rPr>
      <w:rFonts w:ascii="Arial" w:eastAsiaTheme="majorEastAsia" w:hAnsi="Arial" w:cs="Arial"/>
      <w:b/>
      <w:szCs w:val="32"/>
    </w:rPr>
  </w:style>
  <w:style w:type="character" w:customStyle="1" w:styleId="Heading2Char">
    <w:name w:val="Heading 2 Char"/>
    <w:basedOn w:val="DefaultParagraphFont"/>
    <w:link w:val="Heading2"/>
    <w:uiPriority w:val="9"/>
    <w:semiHidden/>
    <w:rsid w:val="00BE18E0"/>
    <w:rPr>
      <w:rFonts w:eastAsiaTheme="majorEastAsia"/>
      <w:b/>
      <w:szCs w:val="26"/>
    </w:rPr>
  </w:style>
  <w:style w:type="paragraph" w:styleId="TOCHeading">
    <w:name w:val="TOC Heading"/>
    <w:basedOn w:val="Heading1"/>
    <w:next w:val="Normal"/>
    <w:uiPriority w:val="39"/>
    <w:unhideWhenUsed/>
    <w:qFormat/>
    <w:rsid w:val="002939A8"/>
    <w:pPr>
      <w:numPr>
        <w:numId w:val="0"/>
      </w:numPr>
      <w:spacing w:before="240" w:after="0"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2939A8"/>
    <w:pPr>
      <w:spacing w:after="100"/>
    </w:pPr>
  </w:style>
  <w:style w:type="character" w:styleId="Hyperlink">
    <w:name w:val="Hyperlink"/>
    <w:basedOn w:val="DefaultParagraphFont"/>
    <w:uiPriority w:val="99"/>
    <w:unhideWhenUsed/>
    <w:rsid w:val="002939A8"/>
    <w:rPr>
      <w:color w:val="0563C1" w:themeColor="hyperlink"/>
      <w:u w:val="single"/>
    </w:rPr>
  </w:style>
  <w:style w:type="paragraph" w:styleId="Header">
    <w:name w:val="header"/>
    <w:basedOn w:val="Normal"/>
    <w:link w:val="HeaderChar"/>
    <w:uiPriority w:val="99"/>
    <w:unhideWhenUsed/>
    <w:rsid w:val="004018AB"/>
    <w:pPr>
      <w:tabs>
        <w:tab w:val="center" w:pos="4680"/>
        <w:tab w:val="right" w:pos="9360"/>
      </w:tabs>
      <w:spacing w:line="240" w:lineRule="auto"/>
    </w:pPr>
  </w:style>
  <w:style w:type="character" w:customStyle="1" w:styleId="HeaderChar">
    <w:name w:val="Header Char"/>
    <w:basedOn w:val="DefaultParagraphFont"/>
    <w:link w:val="Header"/>
    <w:uiPriority w:val="99"/>
    <w:rsid w:val="004018AB"/>
  </w:style>
  <w:style w:type="paragraph" w:styleId="Footer">
    <w:name w:val="footer"/>
    <w:basedOn w:val="Normal"/>
    <w:link w:val="FooterChar"/>
    <w:uiPriority w:val="99"/>
    <w:unhideWhenUsed/>
    <w:rsid w:val="004018AB"/>
    <w:pPr>
      <w:tabs>
        <w:tab w:val="center" w:pos="4680"/>
        <w:tab w:val="right" w:pos="9360"/>
      </w:tabs>
      <w:spacing w:line="240" w:lineRule="auto"/>
    </w:pPr>
  </w:style>
  <w:style w:type="character" w:customStyle="1" w:styleId="FooterChar">
    <w:name w:val="Footer Char"/>
    <w:basedOn w:val="DefaultParagraphFont"/>
    <w:link w:val="Footer"/>
    <w:uiPriority w:val="99"/>
    <w:rsid w:val="004018AB"/>
  </w:style>
  <w:style w:type="paragraph" w:styleId="ListParagraph">
    <w:name w:val="List Paragraph"/>
    <w:basedOn w:val="Normal"/>
    <w:uiPriority w:val="34"/>
    <w:qFormat/>
    <w:rsid w:val="003D47E6"/>
    <w:pPr>
      <w:ind w:left="720"/>
      <w:contextualSpacing/>
    </w:pPr>
  </w:style>
  <w:style w:type="paragraph" w:styleId="Caption">
    <w:name w:val="caption"/>
    <w:basedOn w:val="Normal"/>
    <w:next w:val="Normal"/>
    <w:uiPriority w:val="35"/>
    <w:unhideWhenUsed/>
    <w:qFormat/>
    <w:rsid w:val="007A36A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ilton.com/en/corporate/wp-content/uploads/2019/11/20190225_External-Diversity-Brochur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065C8-9542-4174-BE5A-1FC90017C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2712</Words>
  <Characters>15462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revision>17</cp:revision>
  <dcterms:created xsi:type="dcterms:W3CDTF">2023-10-20T21:36:00Z</dcterms:created>
  <dcterms:modified xsi:type="dcterms:W3CDTF">2023-10-21T09:33:00Z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d8497472-3741-4e5f-a857-b1dcc8f274ec</vt:lpwstr>
  </property>
</Properties>
</file>