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19B09" w14:textId="77977D17" w:rsidR="00B603CE" w:rsidRPr="002E7D51" w:rsidRDefault="00406132" w:rsidP="009B5831">
      <w:pPr>
        <w:spacing w:line="360" w:lineRule="auto"/>
        <w:jc w:val="both"/>
        <w:rPr>
          <w:rFonts w:ascii="Times New Roman" w:hAnsi="Times New Roman" w:cs="Times New Roman"/>
        </w:rPr>
      </w:pPr>
      <w:r w:rsidRPr="002E7D51">
        <w:rPr>
          <w:rFonts w:ascii="Times New Roman" w:hAnsi="Times New Roman" w:cs="Times New Roman"/>
          <w:noProof/>
        </w:rPr>
        <w:drawing>
          <wp:inline distT="0" distB="0" distL="0" distR="0" wp14:anchorId="751D3988" wp14:editId="7D350F43">
            <wp:extent cx="2048161" cy="695422"/>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48161" cy="695422"/>
                    </a:xfrm>
                    <a:prstGeom prst="rect">
                      <a:avLst/>
                    </a:prstGeom>
                  </pic:spPr>
                </pic:pic>
              </a:graphicData>
            </a:graphic>
          </wp:inline>
        </w:drawing>
      </w:r>
    </w:p>
    <w:p w14:paraId="6071090E" w14:textId="1B76D4AF" w:rsidR="00406132" w:rsidRPr="002E7D51" w:rsidRDefault="00406132" w:rsidP="00406132">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Programme: Master of Business Administration</w:t>
      </w:r>
    </w:p>
    <w:p w14:paraId="6B755718" w14:textId="38C9FB04" w:rsidR="00406132" w:rsidRPr="002E7D51" w:rsidRDefault="00406132" w:rsidP="00406132">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Module: Human Capital Management</w:t>
      </w:r>
    </w:p>
    <w:p w14:paraId="09A6D006" w14:textId="4C956CAC" w:rsidR="00406132" w:rsidRPr="002E7D51" w:rsidRDefault="00406132" w:rsidP="00406132">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Module code: LCMB7023</w:t>
      </w:r>
    </w:p>
    <w:p w14:paraId="05EA67E1" w14:textId="77777777" w:rsidR="00396CAC" w:rsidRPr="002E7D51" w:rsidRDefault="00396CAC" w:rsidP="009B5831">
      <w:pPr>
        <w:spacing w:line="360" w:lineRule="auto"/>
        <w:jc w:val="both"/>
        <w:rPr>
          <w:rFonts w:ascii="Times New Roman" w:hAnsi="Times New Roman" w:cs="Times New Roman"/>
        </w:rPr>
      </w:pPr>
    </w:p>
    <w:p w14:paraId="06DE99C2" w14:textId="77777777" w:rsidR="00396CAC" w:rsidRPr="002E7D51" w:rsidRDefault="00396CAC" w:rsidP="009B5831">
      <w:pPr>
        <w:spacing w:line="360" w:lineRule="auto"/>
        <w:jc w:val="both"/>
        <w:rPr>
          <w:rFonts w:ascii="Times New Roman" w:hAnsi="Times New Roman" w:cs="Times New Roman"/>
        </w:rPr>
      </w:pPr>
    </w:p>
    <w:p w14:paraId="0DC3ED65" w14:textId="77777777" w:rsidR="005745E8" w:rsidRPr="002E7D51" w:rsidRDefault="005745E8" w:rsidP="009B5831">
      <w:pPr>
        <w:spacing w:line="360" w:lineRule="auto"/>
        <w:jc w:val="both"/>
        <w:rPr>
          <w:rFonts w:ascii="Times New Roman" w:hAnsi="Times New Roman" w:cs="Times New Roman"/>
        </w:rPr>
      </w:pPr>
    </w:p>
    <w:p w14:paraId="11547CFD" w14:textId="77777777" w:rsidR="005745E8" w:rsidRPr="002E7D51" w:rsidRDefault="005745E8" w:rsidP="009B5831">
      <w:pPr>
        <w:spacing w:line="360" w:lineRule="auto"/>
        <w:jc w:val="both"/>
        <w:rPr>
          <w:rFonts w:ascii="Times New Roman" w:hAnsi="Times New Roman" w:cs="Times New Roman"/>
        </w:rPr>
      </w:pPr>
    </w:p>
    <w:p w14:paraId="0D742A0B" w14:textId="77777777" w:rsidR="00396CAC" w:rsidRPr="002E7D51" w:rsidRDefault="00396CAC" w:rsidP="009B5831">
      <w:pPr>
        <w:spacing w:line="360" w:lineRule="auto"/>
        <w:jc w:val="both"/>
        <w:rPr>
          <w:rFonts w:ascii="Times New Roman" w:hAnsi="Times New Roman" w:cs="Times New Roman"/>
        </w:rPr>
      </w:pPr>
    </w:p>
    <w:p w14:paraId="39F6004D" w14:textId="77777777" w:rsidR="00396CAC" w:rsidRPr="002E7D51" w:rsidRDefault="00396CAC" w:rsidP="009B5831">
      <w:pPr>
        <w:spacing w:line="360" w:lineRule="auto"/>
        <w:jc w:val="both"/>
        <w:rPr>
          <w:rFonts w:ascii="Times New Roman" w:hAnsi="Times New Roman" w:cs="Times New Roman"/>
        </w:rPr>
      </w:pPr>
    </w:p>
    <w:p w14:paraId="44A0C2E9" w14:textId="0B3A0B49" w:rsidR="007A3C52" w:rsidRPr="002E7D51" w:rsidRDefault="00406132" w:rsidP="009B5831">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The Influence of National and International Labour Markets on HRM and IHRM Strategies</w:t>
      </w:r>
    </w:p>
    <w:p w14:paraId="0BBD06A6" w14:textId="6DB4BC75" w:rsidR="00D77923" w:rsidRPr="002E7D51" w:rsidRDefault="00D77923" w:rsidP="009B5831">
      <w:pPr>
        <w:spacing w:line="360" w:lineRule="auto"/>
        <w:jc w:val="center"/>
        <w:rPr>
          <w:rFonts w:ascii="Times New Roman" w:hAnsi="Times New Roman" w:cs="Times New Roman"/>
          <w:b/>
          <w:bCs/>
          <w:sz w:val="32"/>
          <w:szCs w:val="32"/>
        </w:rPr>
      </w:pPr>
    </w:p>
    <w:p w14:paraId="49AED083" w14:textId="5281FCBE" w:rsidR="00D77923" w:rsidRPr="002E7D51" w:rsidRDefault="00D77923" w:rsidP="009B5831">
      <w:pPr>
        <w:spacing w:line="360" w:lineRule="auto"/>
        <w:jc w:val="center"/>
        <w:rPr>
          <w:rFonts w:ascii="Times New Roman" w:hAnsi="Times New Roman" w:cs="Times New Roman"/>
          <w:b/>
          <w:bCs/>
          <w:sz w:val="32"/>
          <w:szCs w:val="32"/>
        </w:rPr>
      </w:pPr>
    </w:p>
    <w:p w14:paraId="5FC9E5FB" w14:textId="5F88A9AB" w:rsidR="00D77923" w:rsidRPr="002E7D51" w:rsidRDefault="00D77923" w:rsidP="009B5831">
      <w:pPr>
        <w:spacing w:line="360" w:lineRule="auto"/>
        <w:jc w:val="center"/>
        <w:rPr>
          <w:rFonts w:ascii="Times New Roman" w:hAnsi="Times New Roman" w:cs="Times New Roman"/>
          <w:b/>
          <w:bCs/>
          <w:sz w:val="32"/>
          <w:szCs w:val="32"/>
        </w:rPr>
      </w:pPr>
    </w:p>
    <w:p w14:paraId="18E1FD02" w14:textId="30B4012E" w:rsidR="00D77923" w:rsidRPr="002E7D51" w:rsidRDefault="00D77923" w:rsidP="009B5831">
      <w:pPr>
        <w:spacing w:line="360" w:lineRule="auto"/>
        <w:jc w:val="center"/>
        <w:rPr>
          <w:rFonts w:ascii="Times New Roman" w:hAnsi="Times New Roman" w:cs="Times New Roman"/>
          <w:b/>
          <w:bCs/>
          <w:sz w:val="32"/>
          <w:szCs w:val="32"/>
        </w:rPr>
      </w:pPr>
    </w:p>
    <w:p w14:paraId="049E182F" w14:textId="2B38393F" w:rsidR="00D77923" w:rsidRPr="002E7D51" w:rsidRDefault="00D77923" w:rsidP="009B5831">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Name: Dinyo Radev</w:t>
      </w:r>
    </w:p>
    <w:p w14:paraId="26F9013A" w14:textId="3CACB992" w:rsidR="00D77923" w:rsidRPr="002E7D51" w:rsidRDefault="00D77923" w:rsidP="009B5831">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ID:</w:t>
      </w:r>
      <w:r w:rsidR="00E366B8">
        <w:rPr>
          <w:rFonts w:ascii="Times New Roman" w:hAnsi="Times New Roman" w:cs="Times New Roman"/>
          <w:b/>
          <w:bCs/>
          <w:sz w:val="32"/>
          <w:szCs w:val="32"/>
        </w:rPr>
        <w:t>2129750</w:t>
      </w:r>
    </w:p>
    <w:p w14:paraId="0F448436" w14:textId="79E23F24" w:rsidR="00D77923" w:rsidRPr="002E7D51" w:rsidRDefault="00D77923" w:rsidP="009B5831">
      <w:pPr>
        <w:spacing w:line="360" w:lineRule="auto"/>
        <w:jc w:val="center"/>
        <w:rPr>
          <w:rFonts w:ascii="Times New Roman" w:hAnsi="Times New Roman" w:cs="Times New Roman"/>
          <w:b/>
          <w:bCs/>
          <w:sz w:val="32"/>
          <w:szCs w:val="32"/>
        </w:rPr>
      </w:pPr>
      <w:r w:rsidRPr="002E7D51">
        <w:rPr>
          <w:rFonts w:ascii="Times New Roman" w:hAnsi="Times New Roman" w:cs="Times New Roman"/>
          <w:b/>
          <w:bCs/>
          <w:sz w:val="32"/>
          <w:szCs w:val="32"/>
        </w:rPr>
        <w:t>Words:</w:t>
      </w:r>
      <w:r w:rsidR="006703F3">
        <w:rPr>
          <w:rFonts w:ascii="Times New Roman" w:hAnsi="Times New Roman" w:cs="Times New Roman"/>
          <w:b/>
          <w:bCs/>
          <w:sz w:val="32"/>
          <w:szCs w:val="32"/>
        </w:rPr>
        <w:t xml:space="preserve"> 2692</w:t>
      </w:r>
    </w:p>
    <w:p w14:paraId="6428F404" w14:textId="38744D25" w:rsidR="007A3C52" w:rsidRPr="002E7D51" w:rsidRDefault="00E366B8" w:rsidP="009B5831">
      <w:pPr>
        <w:spacing w:line="360" w:lineRule="auto"/>
        <w:jc w:val="both"/>
        <w:rPr>
          <w:rFonts w:ascii="Times New Roman" w:hAnsi="Times New Roman" w:cs="Times New Roman"/>
        </w:rPr>
      </w:pPr>
      <w:r>
        <w:rPr>
          <w:rFonts w:ascii="Times New Roman" w:hAnsi="Times New Roman" w:cs="Times New Roman"/>
        </w:rPr>
        <w:t>3</w:t>
      </w:r>
    </w:p>
    <w:sdt>
      <w:sdtPr>
        <w:rPr>
          <w:rFonts w:ascii="Times New Roman" w:eastAsiaTheme="minorHAnsi" w:hAnsi="Times New Roman" w:cs="Times New Roman"/>
          <w:b/>
          <w:bCs/>
          <w:color w:val="auto"/>
          <w:kern w:val="2"/>
          <w:sz w:val="28"/>
          <w:szCs w:val="28"/>
          <w:lang w:val="en-GB"/>
          <w14:ligatures w14:val="standardContextual"/>
        </w:rPr>
        <w:id w:val="-1060630903"/>
        <w:docPartObj>
          <w:docPartGallery w:val="Table of Contents"/>
          <w:docPartUnique/>
        </w:docPartObj>
      </w:sdtPr>
      <w:sdtEndPr>
        <w:rPr>
          <w:noProof/>
          <w:sz w:val="24"/>
          <w:szCs w:val="24"/>
        </w:rPr>
      </w:sdtEndPr>
      <w:sdtContent>
        <w:p w14:paraId="39B18F92" w14:textId="0D17AD6A" w:rsidR="00396CAC" w:rsidRPr="002E7D51" w:rsidRDefault="00396CAC" w:rsidP="003A3E58">
          <w:pPr>
            <w:pStyle w:val="TOCHeading"/>
            <w:spacing w:line="360" w:lineRule="auto"/>
            <w:jc w:val="center"/>
            <w:rPr>
              <w:rFonts w:ascii="Times New Roman" w:hAnsi="Times New Roman" w:cs="Times New Roman"/>
              <w:b/>
              <w:bCs/>
              <w:color w:val="0D0D0D" w:themeColor="text1" w:themeTint="F2"/>
              <w:sz w:val="28"/>
              <w:szCs w:val="28"/>
              <w:lang w:val="en-GB"/>
            </w:rPr>
          </w:pPr>
          <w:r w:rsidRPr="002E7D51">
            <w:rPr>
              <w:rFonts w:ascii="Times New Roman" w:hAnsi="Times New Roman" w:cs="Times New Roman"/>
              <w:b/>
              <w:bCs/>
              <w:color w:val="0D0D0D" w:themeColor="text1" w:themeTint="F2"/>
              <w:sz w:val="28"/>
              <w:szCs w:val="28"/>
              <w:lang w:val="en-GB"/>
            </w:rPr>
            <w:t>Table of Contents</w:t>
          </w:r>
        </w:p>
        <w:p w14:paraId="5F21A971" w14:textId="72040999" w:rsidR="003A3E58" w:rsidRPr="002E7D51" w:rsidRDefault="00396CAC"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r w:rsidRPr="002E7D51">
            <w:rPr>
              <w:rFonts w:ascii="Times New Roman" w:hAnsi="Times New Roman" w:cs="Times New Roman"/>
              <w:color w:val="0D0D0D" w:themeColor="text1" w:themeTint="F2"/>
            </w:rPr>
            <w:fldChar w:fldCharType="begin"/>
          </w:r>
          <w:r w:rsidRPr="002E7D51">
            <w:rPr>
              <w:rFonts w:ascii="Times New Roman" w:hAnsi="Times New Roman" w:cs="Times New Roman"/>
              <w:color w:val="0D0D0D" w:themeColor="text1" w:themeTint="F2"/>
            </w:rPr>
            <w:instrText xml:space="preserve"> TOC \o "1-3" \h \z \u </w:instrText>
          </w:r>
          <w:r w:rsidRPr="002E7D51">
            <w:rPr>
              <w:rFonts w:ascii="Times New Roman" w:hAnsi="Times New Roman" w:cs="Times New Roman"/>
              <w:color w:val="0D0D0D" w:themeColor="text1" w:themeTint="F2"/>
            </w:rPr>
            <w:fldChar w:fldCharType="separate"/>
          </w:r>
          <w:hyperlink w:anchor="_Toc213335872" w:history="1">
            <w:r w:rsidR="003A3E58" w:rsidRPr="002E7D51">
              <w:rPr>
                <w:rStyle w:val="Hyperlink"/>
                <w:rFonts w:ascii="Times New Roman" w:hAnsi="Times New Roman" w:cs="Times New Roman"/>
                <w:noProof/>
                <w:color w:val="0D0D0D" w:themeColor="text1" w:themeTint="F2"/>
              </w:rPr>
              <w:t>Introduction</w:t>
            </w:r>
            <w:r w:rsidR="003A3E58" w:rsidRPr="002E7D51">
              <w:rPr>
                <w:rFonts w:ascii="Times New Roman" w:hAnsi="Times New Roman" w:cs="Times New Roman"/>
                <w:noProof/>
                <w:webHidden/>
                <w:color w:val="0D0D0D" w:themeColor="text1" w:themeTint="F2"/>
              </w:rPr>
              <w:tab/>
            </w:r>
            <w:r w:rsidR="003A3E58" w:rsidRPr="002E7D51">
              <w:rPr>
                <w:rFonts w:ascii="Times New Roman" w:hAnsi="Times New Roman" w:cs="Times New Roman"/>
                <w:noProof/>
                <w:webHidden/>
                <w:color w:val="0D0D0D" w:themeColor="text1" w:themeTint="F2"/>
              </w:rPr>
              <w:fldChar w:fldCharType="begin"/>
            </w:r>
            <w:r w:rsidR="003A3E58" w:rsidRPr="002E7D51">
              <w:rPr>
                <w:rFonts w:ascii="Times New Roman" w:hAnsi="Times New Roman" w:cs="Times New Roman"/>
                <w:noProof/>
                <w:webHidden/>
                <w:color w:val="0D0D0D" w:themeColor="text1" w:themeTint="F2"/>
              </w:rPr>
              <w:instrText xml:space="preserve"> PAGEREF _Toc213335872 \h </w:instrText>
            </w:r>
            <w:r w:rsidR="003A3E58" w:rsidRPr="002E7D51">
              <w:rPr>
                <w:rFonts w:ascii="Times New Roman" w:hAnsi="Times New Roman" w:cs="Times New Roman"/>
                <w:noProof/>
                <w:webHidden/>
                <w:color w:val="0D0D0D" w:themeColor="text1" w:themeTint="F2"/>
              </w:rPr>
            </w:r>
            <w:r w:rsidR="003A3E58" w:rsidRPr="002E7D51">
              <w:rPr>
                <w:rFonts w:ascii="Times New Roman" w:hAnsi="Times New Roman" w:cs="Times New Roman"/>
                <w:noProof/>
                <w:webHidden/>
                <w:color w:val="0D0D0D" w:themeColor="text1" w:themeTint="F2"/>
              </w:rPr>
              <w:fldChar w:fldCharType="separate"/>
            </w:r>
            <w:r w:rsidR="003A3E58" w:rsidRPr="002E7D51">
              <w:rPr>
                <w:rFonts w:ascii="Times New Roman" w:hAnsi="Times New Roman" w:cs="Times New Roman"/>
                <w:noProof/>
                <w:webHidden/>
                <w:color w:val="0D0D0D" w:themeColor="text1" w:themeTint="F2"/>
              </w:rPr>
              <w:t>3</w:t>
            </w:r>
            <w:r w:rsidR="003A3E58" w:rsidRPr="002E7D51">
              <w:rPr>
                <w:rFonts w:ascii="Times New Roman" w:hAnsi="Times New Roman" w:cs="Times New Roman"/>
                <w:noProof/>
                <w:webHidden/>
                <w:color w:val="0D0D0D" w:themeColor="text1" w:themeTint="F2"/>
              </w:rPr>
              <w:fldChar w:fldCharType="end"/>
            </w:r>
          </w:hyperlink>
        </w:p>
        <w:p w14:paraId="296E4319" w14:textId="0186EE2B" w:rsidR="003A3E58" w:rsidRPr="002E7D51" w:rsidRDefault="003A3E58"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hyperlink w:anchor="_Toc213335873" w:history="1">
            <w:r w:rsidRPr="002E7D51">
              <w:rPr>
                <w:rStyle w:val="Hyperlink"/>
                <w:rFonts w:ascii="Times New Roman" w:hAnsi="Times New Roman" w:cs="Times New Roman"/>
                <w:noProof/>
                <w:color w:val="0D0D0D" w:themeColor="text1" w:themeTint="F2"/>
              </w:rPr>
              <w:t>Section 1: Technological Advancements and HRM/IHRM Implications</w:t>
            </w:r>
            <w:r w:rsidRPr="002E7D51">
              <w:rPr>
                <w:rFonts w:ascii="Times New Roman" w:hAnsi="Times New Roman" w:cs="Times New Roman"/>
                <w:noProof/>
                <w:webHidden/>
                <w:color w:val="0D0D0D" w:themeColor="text1" w:themeTint="F2"/>
              </w:rPr>
              <w:tab/>
            </w:r>
            <w:r w:rsidRPr="002E7D51">
              <w:rPr>
                <w:rFonts w:ascii="Times New Roman" w:hAnsi="Times New Roman" w:cs="Times New Roman"/>
                <w:noProof/>
                <w:webHidden/>
                <w:color w:val="0D0D0D" w:themeColor="text1" w:themeTint="F2"/>
              </w:rPr>
              <w:fldChar w:fldCharType="begin"/>
            </w:r>
            <w:r w:rsidRPr="002E7D51">
              <w:rPr>
                <w:rFonts w:ascii="Times New Roman" w:hAnsi="Times New Roman" w:cs="Times New Roman"/>
                <w:noProof/>
                <w:webHidden/>
                <w:color w:val="0D0D0D" w:themeColor="text1" w:themeTint="F2"/>
              </w:rPr>
              <w:instrText xml:space="preserve"> PAGEREF _Toc213335873 \h </w:instrText>
            </w:r>
            <w:r w:rsidRPr="002E7D51">
              <w:rPr>
                <w:rFonts w:ascii="Times New Roman" w:hAnsi="Times New Roman" w:cs="Times New Roman"/>
                <w:noProof/>
                <w:webHidden/>
                <w:color w:val="0D0D0D" w:themeColor="text1" w:themeTint="F2"/>
              </w:rPr>
            </w:r>
            <w:r w:rsidRPr="002E7D51">
              <w:rPr>
                <w:rFonts w:ascii="Times New Roman" w:hAnsi="Times New Roman" w:cs="Times New Roman"/>
                <w:noProof/>
                <w:webHidden/>
                <w:color w:val="0D0D0D" w:themeColor="text1" w:themeTint="F2"/>
              </w:rPr>
              <w:fldChar w:fldCharType="separate"/>
            </w:r>
            <w:r w:rsidRPr="002E7D51">
              <w:rPr>
                <w:rFonts w:ascii="Times New Roman" w:hAnsi="Times New Roman" w:cs="Times New Roman"/>
                <w:noProof/>
                <w:webHidden/>
                <w:color w:val="0D0D0D" w:themeColor="text1" w:themeTint="F2"/>
              </w:rPr>
              <w:t>3</w:t>
            </w:r>
            <w:r w:rsidRPr="002E7D51">
              <w:rPr>
                <w:rFonts w:ascii="Times New Roman" w:hAnsi="Times New Roman" w:cs="Times New Roman"/>
                <w:noProof/>
                <w:webHidden/>
                <w:color w:val="0D0D0D" w:themeColor="text1" w:themeTint="F2"/>
              </w:rPr>
              <w:fldChar w:fldCharType="end"/>
            </w:r>
          </w:hyperlink>
        </w:p>
        <w:p w14:paraId="0610D0E8" w14:textId="2CCAAD01" w:rsidR="003A3E58" w:rsidRPr="002E7D51" w:rsidRDefault="003A3E58"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hyperlink w:anchor="_Toc213335874" w:history="1">
            <w:r w:rsidRPr="002E7D51">
              <w:rPr>
                <w:rStyle w:val="Hyperlink"/>
                <w:rFonts w:ascii="Times New Roman" w:hAnsi="Times New Roman" w:cs="Times New Roman"/>
                <w:noProof/>
                <w:color w:val="0D0D0D" w:themeColor="text1" w:themeTint="F2"/>
              </w:rPr>
              <w:t>Section 2: Demographic and Geopolitical Influences</w:t>
            </w:r>
            <w:r w:rsidRPr="002E7D51">
              <w:rPr>
                <w:rFonts w:ascii="Times New Roman" w:hAnsi="Times New Roman" w:cs="Times New Roman"/>
                <w:noProof/>
                <w:webHidden/>
                <w:color w:val="0D0D0D" w:themeColor="text1" w:themeTint="F2"/>
              </w:rPr>
              <w:tab/>
            </w:r>
            <w:r w:rsidRPr="002E7D51">
              <w:rPr>
                <w:rFonts w:ascii="Times New Roman" w:hAnsi="Times New Roman" w:cs="Times New Roman"/>
                <w:noProof/>
                <w:webHidden/>
                <w:color w:val="0D0D0D" w:themeColor="text1" w:themeTint="F2"/>
              </w:rPr>
              <w:fldChar w:fldCharType="begin"/>
            </w:r>
            <w:r w:rsidRPr="002E7D51">
              <w:rPr>
                <w:rFonts w:ascii="Times New Roman" w:hAnsi="Times New Roman" w:cs="Times New Roman"/>
                <w:noProof/>
                <w:webHidden/>
                <w:color w:val="0D0D0D" w:themeColor="text1" w:themeTint="F2"/>
              </w:rPr>
              <w:instrText xml:space="preserve"> PAGEREF _Toc213335874 \h </w:instrText>
            </w:r>
            <w:r w:rsidRPr="002E7D51">
              <w:rPr>
                <w:rFonts w:ascii="Times New Roman" w:hAnsi="Times New Roman" w:cs="Times New Roman"/>
                <w:noProof/>
                <w:webHidden/>
                <w:color w:val="0D0D0D" w:themeColor="text1" w:themeTint="F2"/>
              </w:rPr>
            </w:r>
            <w:r w:rsidRPr="002E7D51">
              <w:rPr>
                <w:rFonts w:ascii="Times New Roman" w:hAnsi="Times New Roman" w:cs="Times New Roman"/>
                <w:noProof/>
                <w:webHidden/>
                <w:color w:val="0D0D0D" w:themeColor="text1" w:themeTint="F2"/>
              </w:rPr>
              <w:fldChar w:fldCharType="separate"/>
            </w:r>
            <w:r w:rsidRPr="002E7D51">
              <w:rPr>
                <w:rFonts w:ascii="Times New Roman" w:hAnsi="Times New Roman" w:cs="Times New Roman"/>
                <w:noProof/>
                <w:webHidden/>
                <w:color w:val="0D0D0D" w:themeColor="text1" w:themeTint="F2"/>
              </w:rPr>
              <w:t>4</w:t>
            </w:r>
            <w:r w:rsidRPr="002E7D51">
              <w:rPr>
                <w:rFonts w:ascii="Times New Roman" w:hAnsi="Times New Roman" w:cs="Times New Roman"/>
                <w:noProof/>
                <w:webHidden/>
                <w:color w:val="0D0D0D" w:themeColor="text1" w:themeTint="F2"/>
              </w:rPr>
              <w:fldChar w:fldCharType="end"/>
            </w:r>
          </w:hyperlink>
        </w:p>
        <w:p w14:paraId="4E2AF7F2" w14:textId="3B0074A3" w:rsidR="003A3E58" w:rsidRPr="002E7D51" w:rsidRDefault="003A3E58"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hyperlink w:anchor="_Toc213335875" w:history="1">
            <w:r w:rsidRPr="002E7D51">
              <w:rPr>
                <w:rStyle w:val="Hyperlink"/>
                <w:rFonts w:ascii="Times New Roman" w:hAnsi="Times New Roman" w:cs="Times New Roman"/>
                <w:noProof/>
                <w:color w:val="0D0D0D" w:themeColor="text1" w:themeTint="F2"/>
              </w:rPr>
              <w:t>Section 3: Addressing Skills Gaps and Talent Shortages</w:t>
            </w:r>
            <w:r w:rsidRPr="002E7D51">
              <w:rPr>
                <w:rFonts w:ascii="Times New Roman" w:hAnsi="Times New Roman" w:cs="Times New Roman"/>
                <w:noProof/>
                <w:webHidden/>
                <w:color w:val="0D0D0D" w:themeColor="text1" w:themeTint="F2"/>
              </w:rPr>
              <w:tab/>
            </w:r>
            <w:r w:rsidRPr="002E7D51">
              <w:rPr>
                <w:rFonts w:ascii="Times New Roman" w:hAnsi="Times New Roman" w:cs="Times New Roman"/>
                <w:noProof/>
                <w:webHidden/>
                <w:color w:val="0D0D0D" w:themeColor="text1" w:themeTint="F2"/>
              </w:rPr>
              <w:fldChar w:fldCharType="begin"/>
            </w:r>
            <w:r w:rsidRPr="002E7D51">
              <w:rPr>
                <w:rFonts w:ascii="Times New Roman" w:hAnsi="Times New Roman" w:cs="Times New Roman"/>
                <w:noProof/>
                <w:webHidden/>
                <w:color w:val="0D0D0D" w:themeColor="text1" w:themeTint="F2"/>
              </w:rPr>
              <w:instrText xml:space="preserve"> PAGEREF _Toc213335875 \h </w:instrText>
            </w:r>
            <w:r w:rsidRPr="002E7D51">
              <w:rPr>
                <w:rFonts w:ascii="Times New Roman" w:hAnsi="Times New Roman" w:cs="Times New Roman"/>
                <w:noProof/>
                <w:webHidden/>
                <w:color w:val="0D0D0D" w:themeColor="text1" w:themeTint="F2"/>
              </w:rPr>
            </w:r>
            <w:r w:rsidRPr="002E7D51">
              <w:rPr>
                <w:rFonts w:ascii="Times New Roman" w:hAnsi="Times New Roman" w:cs="Times New Roman"/>
                <w:noProof/>
                <w:webHidden/>
                <w:color w:val="0D0D0D" w:themeColor="text1" w:themeTint="F2"/>
              </w:rPr>
              <w:fldChar w:fldCharType="separate"/>
            </w:r>
            <w:r w:rsidRPr="002E7D51">
              <w:rPr>
                <w:rFonts w:ascii="Times New Roman" w:hAnsi="Times New Roman" w:cs="Times New Roman"/>
                <w:noProof/>
                <w:webHidden/>
                <w:color w:val="0D0D0D" w:themeColor="text1" w:themeTint="F2"/>
              </w:rPr>
              <w:t>5</w:t>
            </w:r>
            <w:r w:rsidRPr="002E7D51">
              <w:rPr>
                <w:rFonts w:ascii="Times New Roman" w:hAnsi="Times New Roman" w:cs="Times New Roman"/>
                <w:noProof/>
                <w:webHidden/>
                <w:color w:val="0D0D0D" w:themeColor="text1" w:themeTint="F2"/>
              </w:rPr>
              <w:fldChar w:fldCharType="end"/>
            </w:r>
          </w:hyperlink>
        </w:p>
        <w:p w14:paraId="6176EA6F" w14:textId="37113384" w:rsidR="003A3E58" w:rsidRPr="002E7D51" w:rsidRDefault="003A3E58"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hyperlink w:anchor="_Toc213335876" w:history="1">
            <w:r w:rsidRPr="002E7D51">
              <w:rPr>
                <w:rStyle w:val="Hyperlink"/>
                <w:rFonts w:ascii="Times New Roman" w:hAnsi="Times New Roman" w:cs="Times New Roman"/>
                <w:noProof/>
                <w:color w:val="0D0D0D" w:themeColor="text1" w:themeTint="F2"/>
              </w:rPr>
              <w:t>Section 4: Reflective Analysis – Personal Readiness for the Global Labour Market</w:t>
            </w:r>
            <w:r w:rsidRPr="002E7D51">
              <w:rPr>
                <w:rFonts w:ascii="Times New Roman" w:hAnsi="Times New Roman" w:cs="Times New Roman"/>
                <w:noProof/>
                <w:webHidden/>
                <w:color w:val="0D0D0D" w:themeColor="text1" w:themeTint="F2"/>
              </w:rPr>
              <w:tab/>
            </w:r>
            <w:r w:rsidRPr="002E7D51">
              <w:rPr>
                <w:rFonts w:ascii="Times New Roman" w:hAnsi="Times New Roman" w:cs="Times New Roman"/>
                <w:noProof/>
                <w:webHidden/>
                <w:color w:val="0D0D0D" w:themeColor="text1" w:themeTint="F2"/>
              </w:rPr>
              <w:fldChar w:fldCharType="begin"/>
            </w:r>
            <w:r w:rsidRPr="002E7D51">
              <w:rPr>
                <w:rFonts w:ascii="Times New Roman" w:hAnsi="Times New Roman" w:cs="Times New Roman"/>
                <w:noProof/>
                <w:webHidden/>
                <w:color w:val="0D0D0D" w:themeColor="text1" w:themeTint="F2"/>
              </w:rPr>
              <w:instrText xml:space="preserve"> PAGEREF _Toc213335876 \h </w:instrText>
            </w:r>
            <w:r w:rsidRPr="002E7D51">
              <w:rPr>
                <w:rFonts w:ascii="Times New Roman" w:hAnsi="Times New Roman" w:cs="Times New Roman"/>
                <w:noProof/>
                <w:webHidden/>
                <w:color w:val="0D0D0D" w:themeColor="text1" w:themeTint="F2"/>
              </w:rPr>
            </w:r>
            <w:r w:rsidRPr="002E7D51">
              <w:rPr>
                <w:rFonts w:ascii="Times New Roman" w:hAnsi="Times New Roman" w:cs="Times New Roman"/>
                <w:noProof/>
                <w:webHidden/>
                <w:color w:val="0D0D0D" w:themeColor="text1" w:themeTint="F2"/>
              </w:rPr>
              <w:fldChar w:fldCharType="separate"/>
            </w:r>
            <w:r w:rsidRPr="002E7D51">
              <w:rPr>
                <w:rFonts w:ascii="Times New Roman" w:hAnsi="Times New Roman" w:cs="Times New Roman"/>
                <w:noProof/>
                <w:webHidden/>
                <w:color w:val="0D0D0D" w:themeColor="text1" w:themeTint="F2"/>
              </w:rPr>
              <w:t>7</w:t>
            </w:r>
            <w:r w:rsidRPr="002E7D51">
              <w:rPr>
                <w:rFonts w:ascii="Times New Roman" w:hAnsi="Times New Roman" w:cs="Times New Roman"/>
                <w:noProof/>
                <w:webHidden/>
                <w:color w:val="0D0D0D" w:themeColor="text1" w:themeTint="F2"/>
              </w:rPr>
              <w:fldChar w:fldCharType="end"/>
            </w:r>
          </w:hyperlink>
        </w:p>
        <w:p w14:paraId="2A0C9744" w14:textId="474525C0" w:rsidR="003A3E58" w:rsidRPr="002E7D51" w:rsidRDefault="003A3E58"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hyperlink w:anchor="_Toc213335877" w:history="1">
            <w:r w:rsidRPr="002E7D51">
              <w:rPr>
                <w:rStyle w:val="Hyperlink"/>
                <w:rFonts w:ascii="Times New Roman" w:hAnsi="Times New Roman" w:cs="Times New Roman"/>
                <w:noProof/>
                <w:color w:val="0D0D0D" w:themeColor="text1" w:themeTint="F2"/>
              </w:rPr>
              <w:t>Conclusion</w:t>
            </w:r>
            <w:r w:rsidRPr="002E7D51">
              <w:rPr>
                <w:rFonts w:ascii="Times New Roman" w:hAnsi="Times New Roman" w:cs="Times New Roman"/>
                <w:noProof/>
                <w:webHidden/>
                <w:color w:val="0D0D0D" w:themeColor="text1" w:themeTint="F2"/>
              </w:rPr>
              <w:tab/>
            </w:r>
            <w:r w:rsidRPr="002E7D51">
              <w:rPr>
                <w:rFonts w:ascii="Times New Roman" w:hAnsi="Times New Roman" w:cs="Times New Roman"/>
                <w:noProof/>
                <w:webHidden/>
                <w:color w:val="0D0D0D" w:themeColor="text1" w:themeTint="F2"/>
              </w:rPr>
              <w:fldChar w:fldCharType="begin"/>
            </w:r>
            <w:r w:rsidRPr="002E7D51">
              <w:rPr>
                <w:rFonts w:ascii="Times New Roman" w:hAnsi="Times New Roman" w:cs="Times New Roman"/>
                <w:noProof/>
                <w:webHidden/>
                <w:color w:val="0D0D0D" w:themeColor="text1" w:themeTint="F2"/>
              </w:rPr>
              <w:instrText xml:space="preserve"> PAGEREF _Toc213335877 \h </w:instrText>
            </w:r>
            <w:r w:rsidRPr="002E7D51">
              <w:rPr>
                <w:rFonts w:ascii="Times New Roman" w:hAnsi="Times New Roman" w:cs="Times New Roman"/>
                <w:noProof/>
                <w:webHidden/>
                <w:color w:val="0D0D0D" w:themeColor="text1" w:themeTint="F2"/>
              </w:rPr>
            </w:r>
            <w:r w:rsidRPr="002E7D51">
              <w:rPr>
                <w:rFonts w:ascii="Times New Roman" w:hAnsi="Times New Roman" w:cs="Times New Roman"/>
                <w:noProof/>
                <w:webHidden/>
                <w:color w:val="0D0D0D" w:themeColor="text1" w:themeTint="F2"/>
              </w:rPr>
              <w:fldChar w:fldCharType="separate"/>
            </w:r>
            <w:r w:rsidRPr="002E7D51">
              <w:rPr>
                <w:rFonts w:ascii="Times New Roman" w:hAnsi="Times New Roman" w:cs="Times New Roman"/>
                <w:noProof/>
                <w:webHidden/>
                <w:color w:val="0D0D0D" w:themeColor="text1" w:themeTint="F2"/>
              </w:rPr>
              <w:t>9</w:t>
            </w:r>
            <w:r w:rsidRPr="002E7D51">
              <w:rPr>
                <w:rFonts w:ascii="Times New Roman" w:hAnsi="Times New Roman" w:cs="Times New Roman"/>
                <w:noProof/>
                <w:webHidden/>
                <w:color w:val="0D0D0D" w:themeColor="text1" w:themeTint="F2"/>
              </w:rPr>
              <w:fldChar w:fldCharType="end"/>
            </w:r>
          </w:hyperlink>
        </w:p>
        <w:p w14:paraId="4013D79B" w14:textId="42914CE0" w:rsidR="003A3E58" w:rsidRPr="002E7D51" w:rsidRDefault="003A3E58" w:rsidP="003A3E58">
          <w:pPr>
            <w:pStyle w:val="TOC1"/>
            <w:tabs>
              <w:tab w:val="right" w:leader="dot" w:pos="9016"/>
            </w:tabs>
            <w:spacing w:line="360" w:lineRule="auto"/>
            <w:jc w:val="center"/>
            <w:rPr>
              <w:rFonts w:ascii="Times New Roman" w:eastAsiaTheme="minorEastAsia" w:hAnsi="Times New Roman" w:cs="Times New Roman"/>
              <w:noProof/>
              <w:color w:val="0D0D0D" w:themeColor="text1" w:themeTint="F2"/>
              <w:lang w:eastAsia="en-GB"/>
            </w:rPr>
          </w:pPr>
          <w:hyperlink w:anchor="_Toc213335878" w:history="1">
            <w:r w:rsidRPr="002E7D51">
              <w:rPr>
                <w:rStyle w:val="Hyperlink"/>
                <w:rFonts w:ascii="Times New Roman" w:hAnsi="Times New Roman" w:cs="Times New Roman"/>
                <w:noProof/>
                <w:color w:val="0D0D0D" w:themeColor="text1" w:themeTint="F2"/>
              </w:rPr>
              <w:t>References</w:t>
            </w:r>
            <w:r w:rsidRPr="002E7D51">
              <w:rPr>
                <w:rFonts w:ascii="Times New Roman" w:hAnsi="Times New Roman" w:cs="Times New Roman"/>
                <w:noProof/>
                <w:webHidden/>
                <w:color w:val="0D0D0D" w:themeColor="text1" w:themeTint="F2"/>
              </w:rPr>
              <w:tab/>
            </w:r>
            <w:r w:rsidRPr="002E7D51">
              <w:rPr>
                <w:rFonts w:ascii="Times New Roman" w:hAnsi="Times New Roman" w:cs="Times New Roman"/>
                <w:noProof/>
                <w:webHidden/>
                <w:color w:val="0D0D0D" w:themeColor="text1" w:themeTint="F2"/>
              </w:rPr>
              <w:fldChar w:fldCharType="begin"/>
            </w:r>
            <w:r w:rsidRPr="002E7D51">
              <w:rPr>
                <w:rFonts w:ascii="Times New Roman" w:hAnsi="Times New Roman" w:cs="Times New Roman"/>
                <w:noProof/>
                <w:webHidden/>
                <w:color w:val="0D0D0D" w:themeColor="text1" w:themeTint="F2"/>
              </w:rPr>
              <w:instrText xml:space="preserve"> PAGEREF _Toc213335878 \h </w:instrText>
            </w:r>
            <w:r w:rsidRPr="002E7D51">
              <w:rPr>
                <w:rFonts w:ascii="Times New Roman" w:hAnsi="Times New Roman" w:cs="Times New Roman"/>
                <w:noProof/>
                <w:webHidden/>
                <w:color w:val="0D0D0D" w:themeColor="text1" w:themeTint="F2"/>
              </w:rPr>
            </w:r>
            <w:r w:rsidRPr="002E7D51">
              <w:rPr>
                <w:rFonts w:ascii="Times New Roman" w:hAnsi="Times New Roman" w:cs="Times New Roman"/>
                <w:noProof/>
                <w:webHidden/>
                <w:color w:val="0D0D0D" w:themeColor="text1" w:themeTint="F2"/>
              </w:rPr>
              <w:fldChar w:fldCharType="separate"/>
            </w:r>
            <w:r w:rsidRPr="002E7D51">
              <w:rPr>
                <w:rFonts w:ascii="Times New Roman" w:hAnsi="Times New Roman" w:cs="Times New Roman"/>
                <w:noProof/>
                <w:webHidden/>
                <w:color w:val="0D0D0D" w:themeColor="text1" w:themeTint="F2"/>
              </w:rPr>
              <w:t>10</w:t>
            </w:r>
            <w:r w:rsidRPr="002E7D51">
              <w:rPr>
                <w:rFonts w:ascii="Times New Roman" w:hAnsi="Times New Roman" w:cs="Times New Roman"/>
                <w:noProof/>
                <w:webHidden/>
                <w:color w:val="0D0D0D" w:themeColor="text1" w:themeTint="F2"/>
              </w:rPr>
              <w:fldChar w:fldCharType="end"/>
            </w:r>
          </w:hyperlink>
        </w:p>
        <w:p w14:paraId="6BDDB7EB" w14:textId="54432F39" w:rsidR="00396CAC" w:rsidRPr="002E7D51" w:rsidRDefault="00396CAC" w:rsidP="003A3E58">
          <w:pPr>
            <w:spacing w:line="360" w:lineRule="auto"/>
            <w:jc w:val="center"/>
          </w:pPr>
          <w:r w:rsidRPr="002E7D51">
            <w:rPr>
              <w:rFonts w:ascii="Times New Roman" w:hAnsi="Times New Roman" w:cs="Times New Roman"/>
              <w:b/>
              <w:bCs/>
              <w:noProof/>
              <w:color w:val="0D0D0D" w:themeColor="text1" w:themeTint="F2"/>
            </w:rPr>
            <w:fldChar w:fldCharType="end"/>
          </w:r>
        </w:p>
      </w:sdtContent>
    </w:sdt>
    <w:p w14:paraId="21DA3000" w14:textId="77777777" w:rsidR="00396CAC" w:rsidRPr="002E7D51" w:rsidRDefault="00396CAC">
      <w:pPr>
        <w:rPr>
          <w:rFonts w:ascii="Times New Roman" w:eastAsiaTheme="majorEastAsia" w:hAnsi="Times New Roman" w:cstheme="majorBidi"/>
          <w:b/>
          <w:color w:val="000000" w:themeColor="text1"/>
          <w:sz w:val="28"/>
          <w:szCs w:val="40"/>
        </w:rPr>
      </w:pPr>
      <w:r w:rsidRPr="002E7D51">
        <w:br w:type="page"/>
      </w:r>
    </w:p>
    <w:p w14:paraId="1B7481D1" w14:textId="3D0271F2" w:rsidR="007A3C52" w:rsidRPr="002E7D51" w:rsidRDefault="007A3C52" w:rsidP="009B5831">
      <w:pPr>
        <w:pStyle w:val="Heading1"/>
        <w:rPr>
          <w:b w:val="0"/>
        </w:rPr>
      </w:pPr>
      <w:bookmarkStart w:id="0" w:name="_Toc213335872"/>
      <w:r w:rsidRPr="002E7D51">
        <w:lastRenderedPageBreak/>
        <w:t>Introduction</w:t>
      </w:r>
      <w:bookmarkEnd w:id="0"/>
      <w:r w:rsidRPr="002E7D51">
        <w:t xml:space="preserve"> </w:t>
      </w:r>
    </w:p>
    <w:p w14:paraId="78F9698D" w14:textId="1F5B5441"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Technological innovation, demographic changes and geopolitical uncertainty are changing the global labour markets at a high rate. Digital platforms, advancements in artificial intelligence, automation, and redefining the way organisations appeal and retain talent is being redefined, and age and migration, and workforce diversity are transforming employment trends. Such developments exacerbate competition to skilled labour and require HR professionals to be strategic. The present report analyses the impact of these trends on the HRM and IHRM approaches with specific references to the technological change, demographic and geopolitical changes, and responses of organisations to the shortage of skills, and provides an insight into the current transformation in the global HR environment and necessity of the flexible and inclusive management of workforce</w:t>
      </w:r>
      <w:r w:rsidR="007A3C52" w:rsidRPr="002E7D51">
        <w:rPr>
          <w:rFonts w:ascii="Times New Roman" w:hAnsi="Times New Roman" w:cs="Times New Roman"/>
        </w:rPr>
        <w:t>.</w:t>
      </w:r>
    </w:p>
    <w:p w14:paraId="597E656D" w14:textId="5DCA974C" w:rsidR="007A3C52" w:rsidRPr="002E7D51" w:rsidRDefault="007A3C52" w:rsidP="009B5831">
      <w:pPr>
        <w:pStyle w:val="Heading1"/>
        <w:rPr>
          <w:b w:val="0"/>
        </w:rPr>
      </w:pPr>
      <w:bookmarkStart w:id="1" w:name="_Toc213335873"/>
      <w:r w:rsidRPr="002E7D51">
        <w:t>Section 1: Technological Advancements and HRM/IHRM Implications</w:t>
      </w:r>
      <w:bookmarkEnd w:id="1"/>
    </w:p>
    <w:p w14:paraId="0C651716" w14:textId="5F15DFE4"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The Fourth Industrial Revolution is also known as technological transformation that is transforming labour market across the globe at an unprecedented rate. The concept of artificial intelligence, automation, robotics, and digital platforms is transforming the ways in which organisations deal with people and how they organise work. The cloud-based HR systems and predictive analytics have taken root in the workforce planning, recruitment, and performance assessment</w:t>
      </w:r>
      <w:r w:rsidR="00BE2412" w:rsidRPr="002E7D51">
        <w:t xml:space="preserve"> </w:t>
      </w:r>
      <w:r w:rsidR="00BE2412" w:rsidRPr="002E7D51">
        <w:rPr>
          <w:rFonts w:ascii="Times New Roman" w:hAnsi="Times New Roman" w:cs="Times New Roman"/>
        </w:rPr>
        <w:t>(</w:t>
      </w:r>
      <w:proofErr w:type="spellStart"/>
      <w:r w:rsidR="00BE2412" w:rsidRPr="002E7D51">
        <w:rPr>
          <w:rFonts w:ascii="Times New Roman" w:hAnsi="Times New Roman" w:cs="Times New Roman"/>
        </w:rPr>
        <w:t>Aldossari</w:t>
      </w:r>
      <w:proofErr w:type="spellEnd"/>
      <w:r w:rsidR="00BE2412" w:rsidRPr="002E7D51">
        <w:rPr>
          <w:rFonts w:ascii="Times New Roman" w:hAnsi="Times New Roman" w:cs="Times New Roman"/>
        </w:rPr>
        <w:t xml:space="preserve"> and Chaudhry, 2024)</w:t>
      </w:r>
      <w:r w:rsidRPr="002E7D51">
        <w:rPr>
          <w:rFonts w:ascii="Times New Roman" w:hAnsi="Times New Roman" w:cs="Times New Roman"/>
        </w:rPr>
        <w:t>. These technologies help the HR professionals to make data-based decisions, enhance the effectiveness of operations and personalise the experience of workers. Therefore, HRM and IHRM are becoming less administrative-oriented and more strategic, evidence-based and concerned with innovation, inclusion, and workforce flexibility.</w:t>
      </w:r>
    </w:p>
    <w:p w14:paraId="1D336BA1" w14:textId="29F69FF2"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The form and nature of the labour markets have also changed significantly due to technology. Robots have replaced a significant portion of the everyday or manual workforce, especially in production and support, and have also introduced novel positions in other branches of the economy, such as data science, computer programmer, and cybersecurity. This change has contributed to the growth of the need of digital and analytical skills making both the employer and the employee to change quickly</w:t>
      </w:r>
      <w:r w:rsidR="00BE2412" w:rsidRPr="002E7D51">
        <w:t xml:space="preserve"> </w:t>
      </w:r>
      <w:r w:rsidR="00BE2412" w:rsidRPr="002E7D51">
        <w:rPr>
          <w:rFonts w:ascii="Times New Roman" w:hAnsi="Times New Roman" w:cs="Times New Roman"/>
        </w:rPr>
        <w:t>(</w:t>
      </w:r>
      <w:proofErr w:type="spellStart"/>
      <w:r w:rsidR="00BE2412" w:rsidRPr="002E7D51">
        <w:rPr>
          <w:rFonts w:ascii="Times New Roman" w:hAnsi="Times New Roman" w:cs="Times New Roman"/>
        </w:rPr>
        <w:t>Basahal</w:t>
      </w:r>
      <w:proofErr w:type="spellEnd"/>
      <w:r w:rsidR="00BE2412" w:rsidRPr="002E7D51">
        <w:rPr>
          <w:rFonts w:ascii="Times New Roman" w:hAnsi="Times New Roman" w:cs="Times New Roman"/>
        </w:rPr>
        <w:t>, Forde and MacKenzie, 2023)</w:t>
      </w:r>
      <w:r w:rsidRPr="002E7D51">
        <w:rPr>
          <w:rFonts w:ascii="Times New Roman" w:hAnsi="Times New Roman" w:cs="Times New Roman"/>
        </w:rPr>
        <w:t xml:space="preserve">. Also, labour markets around the world have been broadened due to the prevalence of remote and hybrid forms of work, which are facilitated by digital means of communication. Borders to talent can also be accessed by organisations and more flexibility and mobility is experienced by employees. Though, these advantages are coupled with some difficulties, such as higher job </w:t>
      </w:r>
      <w:r w:rsidRPr="002E7D51">
        <w:rPr>
          <w:rFonts w:ascii="Times New Roman" w:hAnsi="Times New Roman" w:cs="Times New Roman"/>
        </w:rPr>
        <w:lastRenderedPageBreak/>
        <w:t xml:space="preserve">insecurity, inequality in the digital world, and dissolved work and personal life boundaries. The rise of the gig economy and work based on platforms has further disrupted the conventional employment relations, casting doubt on fairness, inclusion and </w:t>
      </w:r>
      <w:r w:rsidR="00FD4EA7" w:rsidRPr="002E7D51">
        <w:rPr>
          <w:rFonts w:ascii="Times New Roman" w:hAnsi="Times New Roman" w:cs="Times New Roman"/>
        </w:rPr>
        <w:t>long-term</w:t>
      </w:r>
      <w:r w:rsidRPr="002E7D51">
        <w:rPr>
          <w:rFonts w:ascii="Times New Roman" w:hAnsi="Times New Roman" w:cs="Times New Roman"/>
        </w:rPr>
        <w:t xml:space="preserve"> employment stability.</w:t>
      </w:r>
    </w:p>
    <w:p w14:paraId="58B4CD26" w14:textId="01B32AE8"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To the HR professionals, these technological disruptions will have to be countered with a proactive and strategic response. To equip the employees with the future roles, organisations need to focus on constant learning and reskilling programmes</w:t>
      </w:r>
      <w:r w:rsidR="00BE2412" w:rsidRPr="002E7D51">
        <w:t xml:space="preserve"> </w:t>
      </w:r>
      <w:r w:rsidR="00BE2412" w:rsidRPr="002E7D51">
        <w:rPr>
          <w:rFonts w:ascii="Times New Roman" w:hAnsi="Times New Roman" w:cs="Times New Roman"/>
        </w:rPr>
        <w:t>(Chung and Sparrow, 2024)</w:t>
      </w:r>
      <w:r w:rsidRPr="002E7D51">
        <w:rPr>
          <w:rFonts w:ascii="Times New Roman" w:hAnsi="Times New Roman" w:cs="Times New Roman"/>
        </w:rPr>
        <w:t>. It is becoming the responsibility of HRs to adopt technology with ethical considerations in place, i.e., ensuring fairness in recruitment anti-AI initiatives, safeguarding data privacy, and ensuring equitable access to digital solutions. IHRM strategies in the international environment should be sensitive to the differences between countries in terms of technological infrastructure, regulations, and digital literacy</w:t>
      </w:r>
      <w:r w:rsidR="00BE2412" w:rsidRPr="002E7D51">
        <w:t xml:space="preserve"> </w:t>
      </w:r>
      <w:r w:rsidR="00BE2412" w:rsidRPr="002E7D51">
        <w:rPr>
          <w:rFonts w:ascii="Times New Roman" w:hAnsi="Times New Roman" w:cs="Times New Roman"/>
        </w:rPr>
        <w:t>(Dickmann, 2021)</w:t>
      </w:r>
      <w:r w:rsidRPr="002E7D51">
        <w:rPr>
          <w:rFonts w:ascii="Times New Roman" w:hAnsi="Times New Roman" w:cs="Times New Roman"/>
        </w:rPr>
        <w:t>. Good IHRM thus means stimulating virtual working, inter-cultural communication, and inclusive digital management in the teams that are located all over the world. Remote management training, flexible work policies and global talent acquisition solutions have become crucial in ensuring competitiveness in the digitalised labour markets.</w:t>
      </w:r>
    </w:p>
    <w:p w14:paraId="28FA7932" w14:textId="7FDC1507" w:rsidR="007A3C52"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After all, technological innovation is both improving the efficiency of HR and the global connexion, as well as presents ethical and social questions. HR heads should be able to juggle technology with human sensitivity and empathy leadership</w:t>
      </w:r>
      <w:r w:rsidR="00BE2412" w:rsidRPr="002E7D51">
        <w:t xml:space="preserve"> </w:t>
      </w:r>
      <w:r w:rsidR="00BE2412" w:rsidRPr="002E7D51">
        <w:rPr>
          <w:rFonts w:ascii="Times New Roman" w:hAnsi="Times New Roman" w:cs="Times New Roman"/>
        </w:rPr>
        <w:t>(Edwards et al., 2022)</w:t>
      </w:r>
      <w:r w:rsidRPr="002E7D51">
        <w:rPr>
          <w:rFonts w:ascii="Times New Roman" w:hAnsi="Times New Roman" w:cs="Times New Roman"/>
        </w:rPr>
        <w:t>. The success of HRM and IHRM in the long term will rely on the effectiveness with which organisations align the digital transformation to inclusion, adaptability, and lifelong learning to make sure that people are empowered by the technology and not replaced by it</w:t>
      </w:r>
      <w:r w:rsidR="007A3C52" w:rsidRPr="002E7D51">
        <w:rPr>
          <w:rFonts w:ascii="Times New Roman" w:hAnsi="Times New Roman" w:cs="Times New Roman"/>
        </w:rPr>
        <w:t>.</w:t>
      </w:r>
    </w:p>
    <w:p w14:paraId="5BD41806" w14:textId="13C8C15C" w:rsidR="007A3C52" w:rsidRPr="002E7D51" w:rsidRDefault="007A3C52" w:rsidP="009B5831">
      <w:pPr>
        <w:pStyle w:val="Heading1"/>
        <w:rPr>
          <w:b w:val="0"/>
        </w:rPr>
      </w:pPr>
      <w:bookmarkStart w:id="2" w:name="_Toc213335874"/>
      <w:r w:rsidRPr="002E7D51">
        <w:t>Section 2: Demographic and Geopolitical Influences</w:t>
      </w:r>
      <w:bookmarkEnd w:id="2"/>
      <w:r w:rsidRPr="002E7D51">
        <w:t xml:space="preserve"> </w:t>
      </w:r>
    </w:p>
    <w:p w14:paraId="6E2FD9F2" w14:textId="1CBFA6D5"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The strong demographic and geopolitical powers are reshaping the global labour markets, and have an impact on how organisations attract, retain and manage talent. The ageing population, the unemployed youth and the diversification of the work force are changing employment patterns and skills supply</w:t>
      </w:r>
      <w:r w:rsidR="00BE2412" w:rsidRPr="002E7D51">
        <w:t xml:space="preserve"> </w:t>
      </w:r>
      <w:r w:rsidR="00BE2412" w:rsidRPr="002E7D51">
        <w:rPr>
          <w:rFonts w:ascii="Times New Roman" w:hAnsi="Times New Roman" w:cs="Times New Roman"/>
        </w:rPr>
        <w:t>(</w:t>
      </w:r>
      <w:proofErr w:type="spellStart"/>
      <w:r w:rsidR="00BE2412" w:rsidRPr="002E7D51">
        <w:rPr>
          <w:rFonts w:ascii="Times New Roman" w:hAnsi="Times New Roman" w:cs="Times New Roman"/>
        </w:rPr>
        <w:t>Nyiawung</w:t>
      </w:r>
      <w:proofErr w:type="spellEnd"/>
      <w:r w:rsidR="00BE2412" w:rsidRPr="002E7D51">
        <w:rPr>
          <w:rFonts w:ascii="Times New Roman" w:hAnsi="Times New Roman" w:cs="Times New Roman"/>
        </w:rPr>
        <w:t>, Geary and Piabuo, 2024)</w:t>
      </w:r>
      <w:r w:rsidRPr="002E7D51">
        <w:rPr>
          <w:rFonts w:ascii="Times New Roman" w:hAnsi="Times New Roman" w:cs="Times New Roman"/>
        </w:rPr>
        <w:t>. Lots of developed economies are experiencing shrinking labour force because of the decreased birth rates and the rising age of retirement, which leaves shortages in the areas of healthcare, education, and technologies. On the other hand, the emerging economies are witnessing a young workforce upsurge, which presents an excellent source of talent (skilled and flexible). The increased power of Generation Z presents its demands to the workplace, such as flexibility, meaningful work, and digital interaction. Such demographic changes are also on the rise with cultural diversity and cross-</w:t>
      </w:r>
      <w:r w:rsidRPr="002E7D51">
        <w:rPr>
          <w:rFonts w:ascii="Times New Roman" w:hAnsi="Times New Roman" w:cs="Times New Roman"/>
        </w:rPr>
        <w:lastRenderedPageBreak/>
        <w:t>border cooperation, which forces HR professionals to become more inclusive in their management styles, which embrace multiculturalism and equity.</w:t>
      </w:r>
    </w:p>
    <w:p w14:paraId="3CC8FA19" w14:textId="4D09B2F2"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Simultaneously, geopolitical processes are becoming an additional complication of an international labour market. Brexit, the conflict between Russia and Ukraine, and reorienting trade relations have broken the chain of supply globally, as well as limited labour mobility</w:t>
      </w:r>
      <w:r w:rsidR="00BE2412" w:rsidRPr="002E7D51">
        <w:t xml:space="preserve"> </w:t>
      </w:r>
      <w:r w:rsidR="00BE2412" w:rsidRPr="002E7D51">
        <w:rPr>
          <w:rFonts w:ascii="Times New Roman" w:hAnsi="Times New Roman" w:cs="Times New Roman"/>
        </w:rPr>
        <w:t>(Patrick, Jha and Sharma, 2023)</w:t>
      </w:r>
      <w:r w:rsidRPr="002E7D51">
        <w:rPr>
          <w:rFonts w:ascii="Times New Roman" w:hAnsi="Times New Roman" w:cs="Times New Roman"/>
        </w:rPr>
        <w:t xml:space="preserve">. Elitism of the international talent pool has been inhibited by the need to tighten immigration controls in certain areas and political instability in others. Sanctions and trade conflicts cause confusion, compelling organisations to rethink the way they operate around the world and allocate workers. Climate change and environmental migration are also becoming the issues of great geopolitical concerns since people move </w:t>
      </w:r>
      <w:proofErr w:type="gramStart"/>
      <w:r w:rsidRPr="002E7D51">
        <w:rPr>
          <w:rFonts w:ascii="Times New Roman" w:hAnsi="Times New Roman" w:cs="Times New Roman"/>
        </w:rPr>
        <w:t>as a result of</w:t>
      </w:r>
      <w:proofErr w:type="gramEnd"/>
      <w:r w:rsidRPr="002E7D51">
        <w:rPr>
          <w:rFonts w:ascii="Times New Roman" w:hAnsi="Times New Roman" w:cs="Times New Roman"/>
        </w:rPr>
        <w:t xml:space="preserve"> extreme weather or lack of resources. The requirements of these conditions demand strategic agility by HR professionals who need to respond to unexpected alterations in labour availability and regulatory framework and keep an organisation in business.</w:t>
      </w:r>
    </w:p>
    <w:p w14:paraId="052F5B31" w14:textId="6CD6A379"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To address these issues, HRM and IHRM are required to be at the forefront in creating organisational resilience. Proactive diversity, equity, and inclusion programmes can be used to establish equitable and positive work environments that are responsive to demographic facts. Multicultural teams and cross-border collaboration can only be managed through cross-cultural training and inclusive leadership development</w:t>
      </w:r>
      <w:r w:rsidR="00BE2412" w:rsidRPr="002E7D51">
        <w:t xml:space="preserve"> </w:t>
      </w:r>
      <w:r w:rsidR="00BE2412" w:rsidRPr="002E7D51">
        <w:rPr>
          <w:rFonts w:ascii="Times New Roman" w:hAnsi="Times New Roman" w:cs="Times New Roman"/>
        </w:rPr>
        <w:t xml:space="preserve">(Purwanto and </w:t>
      </w:r>
      <w:proofErr w:type="spellStart"/>
      <w:r w:rsidR="00BE2412" w:rsidRPr="002E7D51">
        <w:rPr>
          <w:rFonts w:ascii="Times New Roman" w:hAnsi="Times New Roman" w:cs="Times New Roman"/>
        </w:rPr>
        <w:t>Siagian</w:t>
      </w:r>
      <w:proofErr w:type="spellEnd"/>
      <w:r w:rsidR="00BE2412" w:rsidRPr="002E7D51">
        <w:rPr>
          <w:rFonts w:ascii="Times New Roman" w:hAnsi="Times New Roman" w:cs="Times New Roman"/>
        </w:rPr>
        <w:t>, 2025)</w:t>
      </w:r>
      <w:r w:rsidRPr="002E7D51">
        <w:rPr>
          <w:rFonts w:ascii="Times New Roman" w:hAnsi="Times New Roman" w:cs="Times New Roman"/>
        </w:rPr>
        <w:t>. The global mobility programmes are forced to respond to latest travel limitations and hybrid work demands, and more frequently, risk management and scenario planning are employed to predict disruptions.</w:t>
      </w:r>
    </w:p>
    <w:p w14:paraId="3B520D3F" w14:textId="4AA7047F" w:rsidR="007A3C52"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Finally, the demographic and geopolitical changes must make HR leaders global and act locally. Agility, ethical decision-making, and cultural intelligence are the key to successful HRM and IHRM strategies</w:t>
      </w:r>
      <w:r w:rsidR="00BE2412" w:rsidRPr="002E7D51">
        <w:t xml:space="preserve"> </w:t>
      </w:r>
      <w:r w:rsidR="00BE2412" w:rsidRPr="002E7D51">
        <w:rPr>
          <w:rFonts w:ascii="Times New Roman" w:hAnsi="Times New Roman" w:cs="Times New Roman"/>
        </w:rPr>
        <w:t xml:space="preserve">(Reiche, </w:t>
      </w:r>
      <w:proofErr w:type="spellStart"/>
      <w:r w:rsidR="00BE2412" w:rsidRPr="002E7D51">
        <w:rPr>
          <w:rFonts w:ascii="Times New Roman" w:hAnsi="Times New Roman" w:cs="Times New Roman"/>
        </w:rPr>
        <w:t>Harzing</w:t>
      </w:r>
      <w:proofErr w:type="spellEnd"/>
      <w:r w:rsidR="00BE2412" w:rsidRPr="002E7D51">
        <w:rPr>
          <w:rFonts w:ascii="Times New Roman" w:hAnsi="Times New Roman" w:cs="Times New Roman"/>
        </w:rPr>
        <w:t xml:space="preserve"> and Tenzer, 2022)</w:t>
      </w:r>
      <w:r w:rsidRPr="002E7D51">
        <w:rPr>
          <w:rFonts w:ascii="Times New Roman" w:hAnsi="Times New Roman" w:cs="Times New Roman"/>
        </w:rPr>
        <w:t>. Organisations that are ambitious enough to welcome diversity, be prepared to adapt to changes that happen in the political and economic world and invest in global talent development will be on a better position to survive in the volatile and interconnected world of work</w:t>
      </w:r>
      <w:r w:rsidR="007A3C52" w:rsidRPr="002E7D51">
        <w:rPr>
          <w:rFonts w:ascii="Times New Roman" w:hAnsi="Times New Roman" w:cs="Times New Roman"/>
        </w:rPr>
        <w:t>.</w:t>
      </w:r>
    </w:p>
    <w:p w14:paraId="2245B280" w14:textId="778CE7A0" w:rsidR="007A3C52" w:rsidRPr="002E7D51" w:rsidRDefault="007A3C52" w:rsidP="009B5831">
      <w:pPr>
        <w:pStyle w:val="Heading1"/>
      </w:pPr>
      <w:bookmarkStart w:id="3" w:name="_Toc213335875"/>
      <w:r w:rsidRPr="002E7D51">
        <w:t>Section 3: Addressing Skills Gaps and Talent Shortages</w:t>
      </w:r>
      <w:bookmarkEnd w:id="3"/>
      <w:r w:rsidRPr="002E7D51">
        <w:t xml:space="preserve"> </w:t>
      </w:r>
    </w:p>
    <w:p w14:paraId="05DB8C6C" w14:textId="5F65E0F0"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 xml:space="preserve">Constant skills deficits represent one of the most acute issues in the modern labour markets. The high rate of technological advancement has been more than workforce preparedness and so is the case of information technology, healthcare and hospitality industry. </w:t>
      </w:r>
      <w:proofErr w:type="gramStart"/>
      <w:r w:rsidRPr="002E7D51">
        <w:rPr>
          <w:rFonts w:ascii="Times New Roman" w:hAnsi="Times New Roman" w:cs="Times New Roman"/>
        </w:rPr>
        <w:t>A large number of</w:t>
      </w:r>
      <w:proofErr w:type="gramEnd"/>
      <w:r w:rsidRPr="002E7D51">
        <w:rPr>
          <w:rFonts w:ascii="Times New Roman" w:hAnsi="Times New Roman" w:cs="Times New Roman"/>
        </w:rPr>
        <w:t xml:space="preserve"> </w:t>
      </w:r>
      <w:r w:rsidRPr="002E7D51">
        <w:rPr>
          <w:rFonts w:ascii="Times New Roman" w:hAnsi="Times New Roman" w:cs="Times New Roman"/>
        </w:rPr>
        <w:lastRenderedPageBreak/>
        <w:t>organisations struggle to identify applicants that fit well with the right mix of technical skills, soft skills and flexibility to suit dynamic business needs. The automation and the digital shift have added pressure to the need to have highly proficient professionals who can operate complex systems and make sense of data</w:t>
      </w:r>
      <w:r w:rsidR="00BE2412" w:rsidRPr="002E7D51">
        <w:t xml:space="preserve"> </w:t>
      </w:r>
      <w:r w:rsidR="00BE2412" w:rsidRPr="002E7D51">
        <w:rPr>
          <w:rFonts w:ascii="Times New Roman" w:hAnsi="Times New Roman" w:cs="Times New Roman"/>
        </w:rPr>
        <w:t>(</w:t>
      </w:r>
      <w:proofErr w:type="spellStart"/>
      <w:r w:rsidR="00BE2412" w:rsidRPr="002E7D51">
        <w:rPr>
          <w:rFonts w:ascii="Times New Roman" w:hAnsi="Times New Roman" w:cs="Times New Roman"/>
        </w:rPr>
        <w:t>Sukanti</w:t>
      </w:r>
      <w:proofErr w:type="spellEnd"/>
      <w:r w:rsidR="00BE2412" w:rsidRPr="002E7D51">
        <w:rPr>
          <w:rFonts w:ascii="Times New Roman" w:hAnsi="Times New Roman" w:cs="Times New Roman"/>
        </w:rPr>
        <w:t>, Harto and Pramuditha, 2021)</w:t>
      </w:r>
      <w:r w:rsidRPr="002E7D51">
        <w:rPr>
          <w:rFonts w:ascii="Times New Roman" w:hAnsi="Times New Roman" w:cs="Times New Roman"/>
        </w:rPr>
        <w:t>. At the same time, industries that require the interpersonal service skills to operate, such as healthcare and hospitality, find it difficult to attract and retain employees because of the demanding working environment and the changing idea of employee expectations. The productivity, innovation and global competitiveness are lower due to these deficits and the necessity to respond to the crisis with strategic HR measures that can match the workforce capabilities against future business needs is eminent.</w:t>
      </w:r>
    </w:p>
    <w:p w14:paraId="52A6B498" w14:textId="55104009"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Strategic Human Resource Management (SHRM) offers a variety of ways of managing such imbalances in skills. Some of the strategies such as talent forecasting, workforce planning and succession management can be used to predict the future requirement of skills. The Upskilling and reskilling programmes have now become the key points of the modern HR practise where employees are able to adapt to the changes in the technological and organisational spheres. Organisations are more collaborating with the universities, the technical institutes and the online learning providers to come up with training programmes that are related to the industry. Another way of using apprenticeship and internship to the gap between theoretical knowledge and practical experience is available</w:t>
      </w:r>
      <w:r w:rsidR="00BE2412" w:rsidRPr="002E7D51">
        <w:t xml:space="preserve"> </w:t>
      </w:r>
      <w:r w:rsidR="00BE2412" w:rsidRPr="002E7D51">
        <w:rPr>
          <w:rFonts w:ascii="Times New Roman" w:hAnsi="Times New Roman" w:cs="Times New Roman"/>
        </w:rPr>
        <w:t xml:space="preserve">(Tran, </w:t>
      </w:r>
      <w:proofErr w:type="spellStart"/>
      <w:r w:rsidR="00BE2412" w:rsidRPr="002E7D51">
        <w:rPr>
          <w:rFonts w:ascii="Times New Roman" w:hAnsi="Times New Roman" w:cs="Times New Roman"/>
        </w:rPr>
        <w:t>Muenjohn</w:t>
      </w:r>
      <w:proofErr w:type="spellEnd"/>
      <w:r w:rsidR="00BE2412" w:rsidRPr="002E7D51">
        <w:rPr>
          <w:rFonts w:ascii="Times New Roman" w:hAnsi="Times New Roman" w:cs="Times New Roman"/>
        </w:rPr>
        <w:t xml:space="preserve"> and Montague, 2024)</w:t>
      </w:r>
      <w:r w:rsidRPr="002E7D51">
        <w:rPr>
          <w:rFonts w:ascii="Times New Roman" w:hAnsi="Times New Roman" w:cs="Times New Roman"/>
        </w:rPr>
        <w:t>. Moreover, they are attracting and retaining rare talents using employer branding, good employee value propositions, as they promote a good workplace culture, flexibility, and career development. The ability to develop skills has been facilitated by digital learning platforms and internal training academies and facilitated, thus, continuous professional development in dynamic labour markets.</w:t>
      </w:r>
    </w:p>
    <w:p w14:paraId="606B0F3F" w14:textId="77777777" w:rsidR="009B5831" w:rsidRPr="002E7D51" w:rsidRDefault="009B5831" w:rsidP="009B5831">
      <w:pPr>
        <w:spacing w:line="360" w:lineRule="auto"/>
        <w:jc w:val="both"/>
        <w:rPr>
          <w:rFonts w:ascii="Times New Roman" w:hAnsi="Times New Roman" w:cs="Times New Roman"/>
        </w:rPr>
      </w:pPr>
      <w:proofErr w:type="gramStart"/>
      <w:r w:rsidRPr="002E7D51">
        <w:rPr>
          <w:rFonts w:ascii="Times New Roman" w:hAnsi="Times New Roman" w:cs="Times New Roman"/>
        </w:rPr>
        <w:t>A number of</w:t>
      </w:r>
      <w:proofErr w:type="gramEnd"/>
      <w:r w:rsidRPr="002E7D51">
        <w:rPr>
          <w:rFonts w:ascii="Times New Roman" w:hAnsi="Times New Roman" w:cs="Times New Roman"/>
        </w:rPr>
        <w:t xml:space="preserve"> industries demonstrate successful HR-based solutions to the shortage of skills. Multinational corporations in the technology industry have created internal digital academies and mentorship programmes to hasten the learning process and facilitate mobility in the careers. International recruitment and cross-training have been used by healthcare organisations with shortages of staff to ensure service remains at the same level. In the hotel sector, the flexible scheduling, recognition of employees and specific training have made the retention higher and better services. These examples show that sustainable talent strategies rely on the ability to combine recruitment, development and retention into consistent HR strategy that ties development of people with long term organisational goals.</w:t>
      </w:r>
    </w:p>
    <w:p w14:paraId="5A43A62B" w14:textId="7DCBB8DC" w:rsidR="007A3C52"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lastRenderedPageBreak/>
        <w:t>However, there still are huge challenges. The training programmes should be non-discriminatory so that the underrepresented groups do not have to worry about the barriers that they might encounter</w:t>
      </w:r>
      <w:r w:rsidR="00BE2412" w:rsidRPr="002E7D51">
        <w:t xml:space="preserve"> </w:t>
      </w:r>
      <w:r w:rsidR="00BE2412" w:rsidRPr="002E7D51">
        <w:rPr>
          <w:rFonts w:ascii="Times New Roman" w:hAnsi="Times New Roman" w:cs="Times New Roman"/>
        </w:rPr>
        <w:t>(Utama and Samaad, 2025)</w:t>
      </w:r>
      <w:r w:rsidRPr="002E7D51">
        <w:rPr>
          <w:rFonts w:ascii="Times New Roman" w:hAnsi="Times New Roman" w:cs="Times New Roman"/>
        </w:rPr>
        <w:t xml:space="preserve">. Governments, industry organisations, and higher education institutions </w:t>
      </w:r>
      <w:proofErr w:type="gramStart"/>
      <w:r w:rsidRPr="002E7D51">
        <w:rPr>
          <w:rFonts w:ascii="Times New Roman" w:hAnsi="Times New Roman" w:cs="Times New Roman"/>
        </w:rPr>
        <w:t>have to</w:t>
      </w:r>
      <w:proofErr w:type="gramEnd"/>
      <w:r w:rsidRPr="002E7D51">
        <w:rPr>
          <w:rFonts w:ascii="Times New Roman" w:hAnsi="Times New Roman" w:cs="Times New Roman"/>
        </w:rPr>
        <w:t xml:space="preserve"> work closely to ensure that the labour market policies are harmonised with the practical skill requirements. Finally, to close the international skills gap, there should be a continuous investment in individuals, creative learning products, and an HR department, which could balance a short-term operational focus with strategic thinking and long-term workforce sustainability</w:t>
      </w:r>
      <w:r w:rsidR="007A3C52" w:rsidRPr="002E7D51">
        <w:rPr>
          <w:rFonts w:ascii="Times New Roman" w:hAnsi="Times New Roman" w:cs="Times New Roman"/>
        </w:rPr>
        <w:t>.</w:t>
      </w:r>
    </w:p>
    <w:p w14:paraId="28667E3E" w14:textId="741FA877" w:rsidR="007A3C52" w:rsidRPr="002E7D51" w:rsidRDefault="007A3C52" w:rsidP="009B5831">
      <w:pPr>
        <w:pStyle w:val="Heading1"/>
        <w:rPr>
          <w:b w:val="0"/>
        </w:rPr>
      </w:pPr>
      <w:bookmarkStart w:id="4" w:name="_Toc213335876"/>
      <w:r w:rsidRPr="002E7D51">
        <w:t>Section 4: Reflective Analysis – Personal Readiness for the Global Labour Market</w:t>
      </w:r>
      <w:bookmarkEnd w:id="4"/>
      <w:r w:rsidRPr="002E7D51">
        <w:t xml:space="preserve"> </w:t>
      </w:r>
    </w:p>
    <w:p w14:paraId="29831F7E" w14:textId="77777777"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This section is meant to critically reflect on my readiness to work in a global, technology-driven, and multicultural workplace. Within the paradigm of Gibbs Reflective Cycle (1988), I discuss the experiences associated with digital competence, communication, teamwork, leadership, and self-directed learning. This model stimulates the systematic reflections using six steps, descriptions, feelings, evaluation, analysis, conclusion, and action plan that enables a closer perspective on my learning process and development requirements in the environment of international HRM.</w:t>
      </w:r>
    </w:p>
    <w:p w14:paraId="6A6F7DBB" w14:textId="11D005DB" w:rsidR="006B7465" w:rsidRPr="002E7D51" w:rsidRDefault="006B7465" w:rsidP="006B7465">
      <w:pPr>
        <w:spacing w:line="360" w:lineRule="auto"/>
        <w:jc w:val="center"/>
        <w:rPr>
          <w:rFonts w:ascii="Times New Roman" w:hAnsi="Times New Roman" w:cs="Times New Roman"/>
          <w:b/>
          <w:bCs/>
        </w:rPr>
      </w:pPr>
      <w:r w:rsidRPr="002E7D51">
        <w:rPr>
          <w:b/>
          <w:bCs/>
          <w:noProof/>
        </w:rPr>
        <w:drawing>
          <wp:inline distT="0" distB="0" distL="0" distR="0" wp14:anchorId="5C991B8C" wp14:editId="3EAD7A78">
            <wp:extent cx="3143250" cy="3143250"/>
            <wp:effectExtent l="0" t="0" r="0" b="0"/>
            <wp:docPr id="1137945972"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0" cy="3143250"/>
                    </a:xfrm>
                    <a:prstGeom prst="rect">
                      <a:avLst/>
                    </a:prstGeom>
                    <a:noFill/>
                    <a:ln>
                      <a:noFill/>
                    </a:ln>
                  </pic:spPr>
                </pic:pic>
              </a:graphicData>
            </a:graphic>
          </wp:inline>
        </w:drawing>
      </w:r>
    </w:p>
    <w:p w14:paraId="54D1860D" w14:textId="26A6C335" w:rsidR="006B7465" w:rsidRPr="002E7D51" w:rsidRDefault="006B7465" w:rsidP="006B7465">
      <w:pPr>
        <w:spacing w:line="360" w:lineRule="auto"/>
        <w:jc w:val="center"/>
        <w:rPr>
          <w:rFonts w:ascii="Times New Roman" w:hAnsi="Times New Roman" w:cs="Times New Roman"/>
          <w:b/>
          <w:bCs/>
        </w:rPr>
      </w:pPr>
      <w:r w:rsidRPr="002E7D51">
        <w:rPr>
          <w:rFonts w:ascii="Times New Roman" w:hAnsi="Times New Roman" w:cs="Times New Roman"/>
          <w:b/>
          <w:bCs/>
        </w:rPr>
        <w:t>Figure 1: Gibbs reflective cycle model</w:t>
      </w:r>
    </w:p>
    <w:p w14:paraId="7DE14D9C" w14:textId="6D5EE9FF" w:rsidR="00D07A11" w:rsidRPr="002E7D51" w:rsidRDefault="00D07A11" w:rsidP="006B7465">
      <w:pPr>
        <w:spacing w:line="360" w:lineRule="auto"/>
        <w:jc w:val="center"/>
        <w:rPr>
          <w:rFonts w:ascii="Times New Roman" w:hAnsi="Times New Roman" w:cs="Times New Roman"/>
        </w:rPr>
      </w:pPr>
      <w:r w:rsidRPr="002E7D51">
        <w:rPr>
          <w:rFonts w:ascii="Times New Roman" w:hAnsi="Times New Roman" w:cs="Times New Roman"/>
        </w:rPr>
        <w:t>(Source: Gibbs, 1988)</w:t>
      </w:r>
    </w:p>
    <w:p w14:paraId="265BF34D" w14:textId="77777777" w:rsidR="009B5831" w:rsidRPr="002E7D51" w:rsidRDefault="009B5831" w:rsidP="009B5831">
      <w:pPr>
        <w:spacing w:line="360" w:lineRule="auto"/>
        <w:jc w:val="both"/>
        <w:rPr>
          <w:rFonts w:ascii="Times New Roman" w:hAnsi="Times New Roman" w:cs="Times New Roman"/>
          <w:b/>
          <w:bCs/>
        </w:rPr>
      </w:pPr>
      <w:r w:rsidRPr="002E7D51">
        <w:rPr>
          <w:rFonts w:ascii="Times New Roman" w:hAnsi="Times New Roman" w:cs="Times New Roman"/>
          <w:b/>
          <w:bCs/>
        </w:rPr>
        <w:lastRenderedPageBreak/>
        <w:t>Description</w:t>
      </w:r>
    </w:p>
    <w:p w14:paraId="3091923D" w14:textId="2E339BAF"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In my recent academic term, I engaged in a group assignment that was evaluating international HR practises of a multinational organisation. The project involved working interculturally and crossing the time zones relying on the digital tools like Microsoft Teams and Google Drive. Another assignment I had, which involved the use of data analysis to assess the efficiency of recruitment, was an HR analytics assignment</w:t>
      </w:r>
      <w:r w:rsidR="005850AF" w:rsidRPr="002E7D51">
        <w:rPr>
          <w:rFonts w:ascii="Times New Roman" w:hAnsi="Times New Roman" w:cs="Times New Roman"/>
        </w:rPr>
        <w:t xml:space="preserve"> (Gibbs, 1988)</w:t>
      </w:r>
      <w:r w:rsidRPr="002E7D51">
        <w:rPr>
          <w:rFonts w:ascii="Times New Roman" w:hAnsi="Times New Roman" w:cs="Times New Roman"/>
        </w:rPr>
        <w:t>. In addition to these studies, my internship at a recruitment agency exposed me to HR information systems and platforms in candidate management. All these experiences enabled me to implement theoretical HRM knowledge in practise and different environments.</w:t>
      </w:r>
    </w:p>
    <w:p w14:paraId="5BA3E9A7" w14:textId="77777777" w:rsidR="009B5831" w:rsidRPr="002E7D51" w:rsidRDefault="009B5831" w:rsidP="009B5831">
      <w:pPr>
        <w:spacing w:line="360" w:lineRule="auto"/>
        <w:jc w:val="both"/>
        <w:rPr>
          <w:rFonts w:ascii="Times New Roman" w:hAnsi="Times New Roman" w:cs="Times New Roman"/>
          <w:b/>
          <w:bCs/>
        </w:rPr>
      </w:pPr>
      <w:r w:rsidRPr="002E7D51">
        <w:rPr>
          <w:rFonts w:ascii="Times New Roman" w:hAnsi="Times New Roman" w:cs="Times New Roman"/>
          <w:b/>
          <w:bCs/>
        </w:rPr>
        <w:t>Feelings</w:t>
      </w:r>
    </w:p>
    <w:p w14:paraId="3A478E0D" w14:textId="77777777"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At first, I was very excited but feared taking a multicultural group project, especially how to organise online meetings and how to handle people with various communication patterns. Sometimes I was not sure whether to express my views, to be misunderstood or clash with the culture. Nonetheless, I grew to be sure about the possibility of facilitating discussions and streaming teamwork with the help of digital tools as the project went on. The analytics task was originally very daunting since my experience in the field of technology was very limited, and managing to get it done brought me a feeling of achievement and my own ambition to further enrich my technical abilities. My internship helped me to feel competent in my profession and more sensitive to the essence of adaptability in the hectic HR settings.</w:t>
      </w:r>
    </w:p>
    <w:p w14:paraId="66214F27" w14:textId="77777777" w:rsidR="009B5831" w:rsidRPr="002E7D51" w:rsidRDefault="009B5831" w:rsidP="009B5831">
      <w:pPr>
        <w:spacing w:line="360" w:lineRule="auto"/>
        <w:jc w:val="both"/>
        <w:rPr>
          <w:rFonts w:ascii="Times New Roman" w:hAnsi="Times New Roman" w:cs="Times New Roman"/>
          <w:b/>
          <w:bCs/>
        </w:rPr>
      </w:pPr>
      <w:r w:rsidRPr="002E7D51">
        <w:rPr>
          <w:rFonts w:ascii="Times New Roman" w:hAnsi="Times New Roman" w:cs="Times New Roman"/>
          <w:b/>
          <w:bCs/>
        </w:rPr>
        <w:t>Evaluation</w:t>
      </w:r>
    </w:p>
    <w:p w14:paraId="26E6817B" w14:textId="77777777"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The exposure helped me to build my interpersonal and technical expertise. The experience of working online enhanced my level of digital fluency and introduced me to the difficulties of working as a virtual team. My communication skills and the use of the appropriate style with references to the cultural context also helped to build cohesiveness in the group. I was, however, aware of some of my weaknesses especially in conflict management and confidence in handling underperformance in the team. The project involving HR analytics helped me improve my analytical thinking, although it also revealed the lack of advanced knowledge in the field of AI and automation. Altogether, these experiences confirmed the significance of lifelong learning and emotional intelligence in international HR practise.</w:t>
      </w:r>
    </w:p>
    <w:p w14:paraId="74021E40" w14:textId="77777777" w:rsidR="009B5831" w:rsidRPr="002E7D51" w:rsidRDefault="009B5831" w:rsidP="009B5831">
      <w:pPr>
        <w:spacing w:line="360" w:lineRule="auto"/>
        <w:jc w:val="both"/>
        <w:rPr>
          <w:rFonts w:ascii="Times New Roman" w:hAnsi="Times New Roman" w:cs="Times New Roman"/>
          <w:b/>
          <w:bCs/>
        </w:rPr>
      </w:pPr>
      <w:r w:rsidRPr="002E7D51">
        <w:rPr>
          <w:rFonts w:ascii="Times New Roman" w:hAnsi="Times New Roman" w:cs="Times New Roman"/>
          <w:b/>
          <w:bCs/>
        </w:rPr>
        <w:t>Analysis</w:t>
      </w:r>
    </w:p>
    <w:p w14:paraId="104F83E6" w14:textId="77777777"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lastRenderedPageBreak/>
        <w:t xml:space="preserve">Making retrospective with the aid of the Gibbs framework made me realise what my learning entailed in a bigger picture. The experiences go in line with the growing necessity of having HR professionals implementing technology and cultural intelligence in their profession. Successful HRM and IHRM are based not only on technical competency but also the capacity to drive a sense of inclusion and the workforce with diverse teams. My leadership approach, which focuses on teamwork and compassion, is in line with global HR principles; nevertheless, the reluctance to face difficulties suggests the need to develop in terms of assertiveness and resilience. The task in HR analytics has shown how the HR provides an organisation with the required strategy with the help of the data-based HR decision-making, which proves the necessity of the high level of the digital literacy of the modern HR profession. More so, my self-directed learning habit also demonstrates the flexibility that I need in a changing global labour market, but I </w:t>
      </w:r>
      <w:proofErr w:type="gramStart"/>
      <w:r w:rsidRPr="002E7D51">
        <w:rPr>
          <w:rFonts w:ascii="Times New Roman" w:hAnsi="Times New Roman" w:cs="Times New Roman"/>
        </w:rPr>
        <w:t>have to</w:t>
      </w:r>
      <w:proofErr w:type="gramEnd"/>
      <w:r w:rsidRPr="002E7D51">
        <w:rPr>
          <w:rFonts w:ascii="Times New Roman" w:hAnsi="Times New Roman" w:cs="Times New Roman"/>
        </w:rPr>
        <w:t xml:space="preserve"> be more organised in maintaining progress and assigning specific learning objectives.</w:t>
      </w:r>
    </w:p>
    <w:p w14:paraId="5583D1C4" w14:textId="77777777" w:rsidR="009B5831" w:rsidRPr="002E7D51" w:rsidRDefault="009B5831" w:rsidP="009B5831">
      <w:pPr>
        <w:spacing w:line="360" w:lineRule="auto"/>
        <w:jc w:val="both"/>
        <w:rPr>
          <w:rFonts w:ascii="Times New Roman" w:hAnsi="Times New Roman" w:cs="Times New Roman"/>
          <w:b/>
          <w:bCs/>
        </w:rPr>
      </w:pPr>
      <w:r w:rsidRPr="002E7D51">
        <w:rPr>
          <w:rFonts w:ascii="Times New Roman" w:hAnsi="Times New Roman" w:cs="Times New Roman"/>
          <w:b/>
          <w:bCs/>
        </w:rPr>
        <w:t>Conclusion</w:t>
      </w:r>
    </w:p>
    <w:p w14:paraId="3D13236C" w14:textId="77777777"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This reflection has made me identify my areas of weaknesses and achievements. My digital communication, cross-cultural teamwork, and leadership skills have become solid, but I should improve my technical knowledge of HR analytics and give myself more confidence in my ability to resolve conflicts. It has taught me that global HR requires professional success based on the capacity to combine technology with the human-based leadership. Technical competence is required in addressing the challenges of digital transformation and global workforce diversity as much as emotional intelligence, adaptability, and lifelong learning.</w:t>
      </w:r>
    </w:p>
    <w:p w14:paraId="2242AA32" w14:textId="77777777" w:rsidR="009B5831" w:rsidRPr="002E7D51" w:rsidRDefault="009B5831" w:rsidP="009B5831">
      <w:pPr>
        <w:spacing w:line="360" w:lineRule="auto"/>
        <w:jc w:val="both"/>
        <w:rPr>
          <w:rFonts w:ascii="Times New Roman" w:hAnsi="Times New Roman" w:cs="Times New Roman"/>
          <w:b/>
          <w:bCs/>
        </w:rPr>
      </w:pPr>
      <w:r w:rsidRPr="002E7D51">
        <w:rPr>
          <w:rFonts w:ascii="Times New Roman" w:hAnsi="Times New Roman" w:cs="Times New Roman"/>
          <w:b/>
          <w:bCs/>
        </w:rPr>
        <w:t>Action Plan</w:t>
      </w:r>
    </w:p>
    <w:p w14:paraId="72881056" w14:textId="06E97577" w:rsidR="009B5831"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t xml:space="preserve">It is based on these findings that I have developed a </w:t>
      </w:r>
      <w:r w:rsidR="00B01B24" w:rsidRPr="002E7D51">
        <w:rPr>
          <w:rFonts w:ascii="Times New Roman" w:hAnsi="Times New Roman" w:cs="Times New Roman"/>
        </w:rPr>
        <w:t>four-goal</w:t>
      </w:r>
      <w:r w:rsidRPr="002E7D51">
        <w:rPr>
          <w:rFonts w:ascii="Times New Roman" w:hAnsi="Times New Roman" w:cs="Times New Roman"/>
        </w:rPr>
        <w:t xml:space="preserve"> development plan. First, I will take a course in advanced HR analytics and AI applications in six months </w:t>
      </w:r>
      <w:proofErr w:type="gramStart"/>
      <w:r w:rsidRPr="002E7D51">
        <w:rPr>
          <w:rFonts w:ascii="Times New Roman" w:hAnsi="Times New Roman" w:cs="Times New Roman"/>
        </w:rPr>
        <w:t>in an effort to</w:t>
      </w:r>
      <w:proofErr w:type="gramEnd"/>
      <w:r w:rsidRPr="002E7D51">
        <w:rPr>
          <w:rFonts w:ascii="Times New Roman" w:hAnsi="Times New Roman" w:cs="Times New Roman"/>
        </w:rPr>
        <w:t xml:space="preserve"> improve my expertise in technology. Second, I will enhance my intercultural communicating and negotiation skills through taking cross-cultural management workshops and seeking leadership positions with multicultural teams. Third, I will focus on enhancing conflict management by taking short courses on leadership and emotional intelligence as well as applying it in academic or volunteering projects</w:t>
      </w:r>
      <w:r w:rsidR="00BE2412" w:rsidRPr="002E7D51">
        <w:t xml:space="preserve"> </w:t>
      </w:r>
      <w:r w:rsidR="00BE2412" w:rsidRPr="002E7D51">
        <w:rPr>
          <w:rFonts w:ascii="Times New Roman" w:hAnsi="Times New Roman" w:cs="Times New Roman"/>
        </w:rPr>
        <w:t>(Wang, 2025)</w:t>
      </w:r>
      <w:r w:rsidRPr="002E7D51">
        <w:rPr>
          <w:rFonts w:ascii="Times New Roman" w:hAnsi="Times New Roman" w:cs="Times New Roman"/>
        </w:rPr>
        <w:t xml:space="preserve">. Lastly, I will continuously learn throughout my life by keeping a reflective journal, networking in HR </w:t>
      </w:r>
      <w:r w:rsidR="00A547C8" w:rsidRPr="002E7D51">
        <w:rPr>
          <w:rFonts w:ascii="Times New Roman" w:hAnsi="Times New Roman" w:cs="Times New Roman"/>
        </w:rPr>
        <w:t>professionals’</w:t>
      </w:r>
      <w:r w:rsidRPr="002E7D51">
        <w:rPr>
          <w:rFonts w:ascii="Times New Roman" w:hAnsi="Times New Roman" w:cs="Times New Roman"/>
        </w:rPr>
        <w:t xml:space="preserve"> industries, and webinars to keep abreast of new HR trends.</w:t>
      </w:r>
    </w:p>
    <w:p w14:paraId="518B4226" w14:textId="53C1D3CE" w:rsidR="00B615AC" w:rsidRPr="002E7D51" w:rsidRDefault="009B5831" w:rsidP="009B5831">
      <w:pPr>
        <w:spacing w:line="360" w:lineRule="auto"/>
        <w:jc w:val="both"/>
        <w:rPr>
          <w:rFonts w:ascii="Times New Roman" w:hAnsi="Times New Roman" w:cs="Times New Roman"/>
        </w:rPr>
      </w:pPr>
      <w:r w:rsidRPr="002E7D51">
        <w:rPr>
          <w:rFonts w:ascii="Times New Roman" w:hAnsi="Times New Roman" w:cs="Times New Roman"/>
        </w:rPr>
        <w:lastRenderedPageBreak/>
        <w:t>Generally, the application of the Reflective Cycle by Gibbs has been an organised method of assessing my personal and professional preparedness to work in the global labour market. It has enhanced my knowledge on how reflection facilitates development and flexibility in the matters of HRM and IHRM. This exercise affirms that this process will make lifelong learning, technological responsiveness, and cultural sensitivity core to the attainment of success in an international HR career in the long term</w:t>
      </w:r>
      <w:r w:rsidR="00B615AC" w:rsidRPr="002E7D51">
        <w:rPr>
          <w:rFonts w:ascii="Times New Roman" w:hAnsi="Times New Roman" w:cs="Times New Roman"/>
        </w:rPr>
        <w:t>.</w:t>
      </w:r>
    </w:p>
    <w:p w14:paraId="4594B1BB" w14:textId="6510D9E3" w:rsidR="007A3C52" w:rsidRPr="002E7D51" w:rsidRDefault="007A3C52" w:rsidP="009B5831">
      <w:pPr>
        <w:pStyle w:val="Heading1"/>
        <w:rPr>
          <w:b w:val="0"/>
        </w:rPr>
      </w:pPr>
      <w:bookmarkStart w:id="5" w:name="_Toc213335877"/>
      <w:r w:rsidRPr="002E7D51">
        <w:t>Conclusion</w:t>
      </w:r>
      <w:bookmarkEnd w:id="5"/>
      <w:r w:rsidRPr="002E7D51">
        <w:t xml:space="preserve"> </w:t>
      </w:r>
    </w:p>
    <w:p w14:paraId="5D0D2AC0" w14:textId="238A21BE" w:rsidR="007A3C52" w:rsidRPr="002E7D51" w:rsidRDefault="00B9600B" w:rsidP="009B5831">
      <w:pPr>
        <w:spacing w:line="360" w:lineRule="auto"/>
        <w:jc w:val="both"/>
        <w:rPr>
          <w:rFonts w:ascii="Times New Roman" w:hAnsi="Times New Roman" w:cs="Times New Roman"/>
        </w:rPr>
      </w:pPr>
      <w:r w:rsidRPr="002E7D51">
        <w:rPr>
          <w:rFonts w:ascii="Times New Roman" w:hAnsi="Times New Roman" w:cs="Times New Roman"/>
        </w:rPr>
        <w:t>The report addressed the global trends in the labour market and their impact on HRM and IHRM strategies. The work is being transformed by technological innovation, demographic change and geopolitical uncertainty, so HR needs to focus on digital capability, inclusion, and adaptability. Strategic workforce planning and ongoing learning is of critical importance in addressing skills shortages. It is reflected that in the globalised, digitalised work environment, resilience and innovation relies on the integration of technical skills with cultural sensitivity, emotional intelligence, and lifelong learning to stay relevant and efficient in the changing organisational setting.</w:t>
      </w:r>
    </w:p>
    <w:p w14:paraId="1A7181A4" w14:textId="0F873571" w:rsidR="003A3E58" w:rsidRPr="002E7D51" w:rsidRDefault="003A3E58">
      <w:pPr>
        <w:rPr>
          <w:rFonts w:ascii="Times New Roman" w:hAnsi="Times New Roman" w:cs="Times New Roman"/>
        </w:rPr>
      </w:pPr>
      <w:r w:rsidRPr="002E7D51">
        <w:rPr>
          <w:rFonts w:ascii="Times New Roman" w:hAnsi="Times New Roman" w:cs="Times New Roman"/>
        </w:rPr>
        <w:br w:type="page"/>
      </w:r>
    </w:p>
    <w:p w14:paraId="5119E0C1" w14:textId="21F6E4FC" w:rsidR="003A3E58" w:rsidRPr="002E7D51" w:rsidRDefault="003A3E58" w:rsidP="003A3E58">
      <w:pPr>
        <w:pStyle w:val="Heading1"/>
      </w:pPr>
      <w:bookmarkStart w:id="6" w:name="_Toc213335878"/>
      <w:r w:rsidRPr="002E7D51">
        <w:lastRenderedPageBreak/>
        <w:t>References</w:t>
      </w:r>
      <w:bookmarkEnd w:id="6"/>
    </w:p>
    <w:p w14:paraId="6A9A3541" w14:textId="77777777" w:rsidR="0001772C" w:rsidRPr="002E7D51" w:rsidRDefault="0001772C" w:rsidP="0001772C">
      <w:pPr>
        <w:spacing w:line="360" w:lineRule="auto"/>
        <w:jc w:val="both"/>
        <w:rPr>
          <w:rFonts w:ascii="Times New Roman" w:hAnsi="Times New Roman" w:cs="Times New Roman"/>
        </w:rPr>
      </w:pPr>
      <w:proofErr w:type="spellStart"/>
      <w:r w:rsidRPr="002E7D51">
        <w:rPr>
          <w:rFonts w:ascii="Times New Roman" w:hAnsi="Times New Roman" w:cs="Times New Roman"/>
        </w:rPr>
        <w:t>Aldossari</w:t>
      </w:r>
      <w:proofErr w:type="spellEnd"/>
      <w:r w:rsidRPr="002E7D51">
        <w:rPr>
          <w:rFonts w:ascii="Times New Roman" w:hAnsi="Times New Roman" w:cs="Times New Roman"/>
        </w:rPr>
        <w:t xml:space="preserve">, M. and Chaudhry, S., 2024. Gendered precarity in Saudi Arabia: Examining the state policies and patriarchal culture in the </w:t>
      </w:r>
      <w:proofErr w:type="spellStart"/>
      <w:r w:rsidRPr="002E7D51">
        <w:rPr>
          <w:rFonts w:ascii="Times New Roman" w:hAnsi="Times New Roman" w:cs="Times New Roman"/>
        </w:rPr>
        <w:t>labor</w:t>
      </w:r>
      <w:proofErr w:type="spellEnd"/>
      <w:r w:rsidRPr="002E7D51">
        <w:rPr>
          <w:rFonts w:ascii="Times New Roman" w:hAnsi="Times New Roman" w:cs="Times New Roman"/>
        </w:rPr>
        <w:t xml:space="preserve"> market. </w:t>
      </w:r>
      <w:r w:rsidRPr="002E7D51">
        <w:rPr>
          <w:rFonts w:ascii="Times New Roman" w:hAnsi="Times New Roman" w:cs="Times New Roman"/>
          <w:i/>
          <w:iCs/>
        </w:rPr>
        <w:t>Gender, Work &amp; Organization</w:t>
      </w:r>
      <w:r w:rsidRPr="002E7D51">
        <w:rPr>
          <w:rFonts w:ascii="Times New Roman" w:hAnsi="Times New Roman" w:cs="Times New Roman"/>
        </w:rPr>
        <w:t>, </w:t>
      </w:r>
      <w:r w:rsidRPr="002E7D51">
        <w:rPr>
          <w:rFonts w:ascii="Times New Roman" w:hAnsi="Times New Roman" w:cs="Times New Roman"/>
          <w:i/>
          <w:iCs/>
        </w:rPr>
        <w:t>31</w:t>
      </w:r>
      <w:r w:rsidRPr="002E7D51">
        <w:rPr>
          <w:rFonts w:ascii="Times New Roman" w:hAnsi="Times New Roman" w:cs="Times New Roman"/>
        </w:rPr>
        <w:t>(6), pp.2698-2716.</w:t>
      </w:r>
    </w:p>
    <w:p w14:paraId="38F9EA10" w14:textId="77777777" w:rsidR="0001772C" w:rsidRPr="002E7D51" w:rsidRDefault="0001772C" w:rsidP="0001772C">
      <w:pPr>
        <w:spacing w:line="360" w:lineRule="auto"/>
        <w:jc w:val="both"/>
        <w:rPr>
          <w:rFonts w:ascii="Times New Roman" w:hAnsi="Times New Roman" w:cs="Times New Roman"/>
        </w:rPr>
      </w:pPr>
      <w:proofErr w:type="spellStart"/>
      <w:r w:rsidRPr="002E7D51">
        <w:rPr>
          <w:rFonts w:ascii="Times New Roman" w:hAnsi="Times New Roman" w:cs="Times New Roman"/>
        </w:rPr>
        <w:t>Basahal</w:t>
      </w:r>
      <w:proofErr w:type="spellEnd"/>
      <w:r w:rsidRPr="002E7D51">
        <w:rPr>
          <w:rFonts w:ascii="Times New Roman" w:hAnsi="Times New Roman" w:cs="Times New Roman"/>
        </w:rPr>
        <w:t xml:space="preserve">, A., Forde, C. and MacKenzie, R., 2023. Labour market localisation policies and organizational responses: an analysis of the aims and effects of the Saudi </w:t>
      </w:r>
      <w:proofErr w:type="spellStart"/>
      <w:r w:rsidRPr="002E7D51">
        <w:rPr>
          <w:rFonts w:ascii="Times New Roman" w:hAnsi="Times New Roman" w:cs="Times New Roman"/>
        </w:rPr>
        <w:t>Nitaqat</w:t>
      </w:r>
      <w:proofErr w:type="spellEnd"/>
      <w:r w:rsidRPr="002E7D51">
        <w:rPr>
          <w:rFonts w:ascii="Times New Roman" w:hAnsi="Times New Roman" w:cs="Times New Roman"/>
        </w:rPr>
        <w:t xml:space="preserve"> reforms. </w:t>
      </w:r>
      <w:r w:rsidRPr="002E7D51">
        <w:rPr>
          <w:rFonts w:ascii="Times New Roman" w:hAnsi="Times New Roman" w:cs="Times New Roman"/>
          <w:i/>
          <w:iCs/>
        </w:rPr>
        <w:t>International Journal of Organizational Analysis</w:t>
      </w:r>
      <w:r w:rsidRPr="002E7D51">
        <w:rPr>
          <w:rFonts w:ascii="Times New Roman" w:hAnsi="Times New Roman" w:cs="Times New Roman"/>
        </w:rPr>
        <w:t>, </w:t>
      </w:r>
      <w:r w:rsidRPr="002E7D51">
        <w:rPr>
          <w:rFonts w:ascii="Times New Roman" w:hAnsi="Times New Roman" w:cs="Times New Roman"/>
          <w:i/>
          <w:iCs/>
        </w:rPr>
        <w:t>31</w:t>
      </w:r>
      <w:r w:rsidRPr="002E7D51">
        <w:rPr>
          <w:rFonts w:ascii="Times New Roman" w:hAnsi="Times New Roman" w:cs="Times New Roman"/>
        </w:rPr>
        <w:t>(4), pp.1024-1036.</w:t>
      </w:r>
    </w:p>
    <w:p w14:paraId="66952D6B"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Chung, C. and Sparrow, P., 2024. Exploring the configuration of international HRM strategies for global integration and local responsiveness in MNEs. </w:t>
      </w:r>
      <w:r w:rsidRPr="002E7D51">
        <w:rPr>
          <w:rFonts w:ascii="Times New Roman" w:hAnsi="Times New Roman" w:cs="Times New Roman"/>
          <w:i/>
          <w:iCs/>
        </w:rPr>
        <w:t xml:space="preserve">The </w:t>
      </w:r>
      <w:proofErr w:type="spellStart"/>
      <w:r w:rsidRPr="002E7D51">
        <w:rPr>
          <w:rFonts w:ascii="Times New Roman" w:hAnsi="Times New Roman" w:cs="Times New Roman"/>
          <w:i/>
          <w:iCs/>
        </w:rPr>
        <w:t>InTernaTIonal</w:t>
      </w:r>
      <w:proofErr w:type="spellEnd"/>
      <w:r w:rsidRPr="002E7D51">
        <w:rPr>
          <w:rFonts w:ascii="Times New Roman" w:hAnsi="Times New Roman" w:cs="Times New Roman"/>
          <w:i/>
          <w:iCs/>
        </w:rPr>
        <w:t xml:space="preserve"> Journal of human resource </w:t>
      </w:r>
      <w:proofErr w:type="spellStart"/>
      <w:r w:rsidRPr="002E7D51">
        <w:rPr>
          <w:rFonts w:ascii="Times New Roman" w:hAnsi="Times New Roman" w:cs="Times New Roman"/>
          <w:i/>
          <w:iCs/>
        </w:rPr>
        <w:t>managemenT</w:t>
      </w:r>
      <w:proofErr w:type="spellEnd"/>
      <w:r w:rsidRPr="002E7D51">
        <w:rPr>
          <w:rFonts w:ascii="Times New Roman" w:hAnsi="Times New Roman" w:cs="Times New Roman"/>
        </w:rPr>
        <w:t>, </w:t>
      </w:r>
      <w:r w:rsidRPr="002E7D51">
        <w:rPr>
          <w:rFonts w:ascii="Times New Roman" w:hAnsi="Times New Roman" w:cs="Times New Roman"/>
          <w:i/>
          <w:iCs/>
        </w:rPr>
        <w:t>35</w:t>
      </w:r>
      <w:r w:rsidRPr="002E7D51">
        <w:rPr>
          <w:rFonts w:ascii="Times New Roman" w:hAnsi="Times New Roman" w:cs="Times New Roman"/>
        </w:rPr>
        <w:t>(11), pp.1943-1969.</w:t>
      </w:r>
    </w:p>
    <w:p w14:paraId="03FC5843"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Dickmann, M., 2021. International Human Resource Management-Historical Developments, Models, Policies and Practices in MNCs. </w:t>
      </w:r>
      <w:r w:rsidRPr="002E7D51">
        <w:rPr>
          <w:rFonts w:ascii="Times New Roman" w:hAnsi="Times New Roman" w:cs="Times New Roman"/>
          <w:i/>
          <w:iCs/>
        </w:rPr>
        <w:t>Contemporary Human Resource</w:t>
      </w:r>
      <w:r w:rsidRPr="002E7D51">
        <w:rPr>
          <w:rFonts w:ascii="Times New Roman" w:hAnsi="Times New Roman" w:cs="Times New Roman"/>
        </w:rPr>
        <w:t>, </w:t>
      </w:r>
      <w:r w:rsidRPr="002E7D51">
        <w:rPr>
          <w:rFonts w:ascii="Times New Roman" w:hAnsi="Times New Roman" w:cs="Times New Roman"/>
          <w:i/>
          <w:iCs/>
        </w:rPr>
        <w:t>225</w:t>
      </w:r>
      <w:r w:rsidRPr="002E7D51">
        <w:rPr>
          <w:rFonts w:ascii="Times New Roman" w:hAnsi="Times New Roman" w:cs="Times New Roman"/>
        </w:rPr>
        <w:t>.</w:t>
      </w:r>
    </w:p>
    <w:p w14:paraId="02D2B585"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Edwards, T., Almond, P., Murray, G. and Tregaskis, O., 2022. International human resource management in multinational companies: Global norm making within strategic action fields. </w:t>
      </w:r>
      <w:r w:rsidRPr="002E7D51">
        <w:rPr>
          <w:rFonts w:ascii="Times New Roman" w:hAnsi="Times New Roman" w:cs="Times New Roman"/>
          <w:i/>
          <w:iCs/>
        </w:rPr>
        <w:t>Human Resource Management Journal</w:t>
      </w:r>
      <w:r w:rsidRPr="002E7D51">
        <w:rPr>
          <w:rFonts w:ascii="Times New Roman" w:hAnsi="Times New Roman" w:cs="Times New Roman"/>
        </w:rPr>
        <w:t>, </w:t>
      </w:r>
      <w:r w:rsidRPr="002E7D51">
        <w:rPr>
          <w:rFonts w:ascii="Times New Roman" w:hAnsi="Times New Roman" w:cs="Times New Roman"/>
          <w:i/>
          <w:iCs/>
        </w:rPr>
        <w:t>32</w:t>
      </w:r>
      <w:r w:rsidRPr="002E7D51">
        <w:rPr>
          <w:rFonts w:ascii="Times New Roman" w:hAnsi="Times New Roman" w:cs="Times New Roman"/>
        </w:rPr>
        <w:t>(3), pp.683-697.</w:t>
      </w:r>
    </w:p>
    <w:p w14:paraId="7424A8AD" w14:textId="40476152" w:rsidR="00A547C8" w:rsidRPr="002E7D51" w:rsidRDefault="00A547C8" w:rsidP="0001772C">
      <w:pPr>
        <w:spacing w:line="360" w:lineRule="auto"/>
        <w:jc w:val="both"/>
        <w:rPr>
          <w:rFonts w:ascii="Times New Roman" w:hAnsi="Times New Roman" w:cs="Times New Roman"/>
        </w:rPr>
      </w:pPr>
      <w:r w:rsidRPr="002E7D51">
        <w:rPr>
          <w:rFonts w:ascii="Times New Roman" w:hAnsi="Times New Roman" w:cs="Times New Roman"/>
        </w:rPr>
        <w:t>Gibbs G (1988). Learning by Doing: A guide to teaching and learning methods. Further Education Unit. Oxford Polytechnic: Oxford.</w:t>
      </w:r>
    </w:p>
    <w:p w14:paraId="688A651D" w14:textId="77777777" w:rsidR="0001772C" w:rsidRPr="002E7D51" w:rsidRDefault="0001772C" w:rsidP="0001772C">
      <w:pPr>
        <w:spacing w:line="360" w:lineRule="auto"/>
        <w:jc w:val="both"/>
        <w:rPr>
          <w:rFonts w:ascii="Times New Roman" w:hAnsi="Times New Roman" w:cs="Times New Roman"/>
        </w:rPr>
      </w:pPr>
      <w:proofErr w:type="spellStart"/>
      <w:r w:rsidRPr="002E7D51">
        <w:rPr>
          <w:rFonts w:ascii="Times New Roman" w:hAnsi="Times New Roman" w:cs="Times New Roman"/>
        </w:rPr>
        <w:t>Nyiawung</w:t>
      </w:r>
      <w:proofErr w:type="spellEnd"/>
      <w:r w:rsidRPr="002E7D51">
        <w:rPr>
          <w:rFonts w:ascii="Times New Roman" w:hAnsi="Times New Roman" w:cs="Times New Roman"/>
        </w:rPr>
        <w:t xml:space="preserve">, J., Geary, J. and </w:t>
      </w:r>
      <w:proofErr w:type="spellStart"/>
      <w:r w:rsidRPr="002E7D51">
        <w:rPr>
          <w:rFonts w:ascii="Times New Roman" w:hAnsi="Times New Roman" w:cs="Times New Roman"/>
        </w:rPr>
        <w:t>Piabuo</w:t>
      </w:r>
      <w:proofErr w:type="spellEnd"/>
      <w:r w:rsidRPr="002E7D51">
        <w:rPr>
          <w:rFonts w:ascii="Times New Roman" w:hAnsi="Times New Roman" w:cs="Times New Roman"/>
        </w:rPr>
        <w:t xml:space="preserve">, M., 2024. Exploring the neo-colonial influence of Chinese FDI and Western power on the evolution of </w:t>
      </w:r>
      <w:proofErr w:type="spellStart"/>
      <w:r w:rsidRPr="002E7D51">
        <w:rPr>
          <w:rFonts w:ascii="Times New Roman" w:hAnsi="Times New Roman" w:cs="Times New Roman"/>
        </w:rPr>
        <w:t>labor</w:t>
      </w:r>
      <w:proofErr w:type="spellEnd"/>
      <w:r w:rsidRPr="002E7D51">
        <w:rPr>
          <w:rFonts w:ascii="Times New Roman" w:hAnsi="Times New Roman" w:cs="Times New Roman"/>
        </w:rPr>
        <w:t xml:space="preserve"> market policies in a developing country. </w:t>
      </w:r>
      <w:r w:rsidRPr="002E7D51">
        <w:rPr>
          <w:rFonts w:ascii="Times New Roman" w:hAnsi="Times New Roman" w:cs="Times New Roman"/>
          <w:i/>
          <w:iCs/>
        </w:rPr>
        <w:t>Management and Organization Review</w:t>
      </w:r>
      <w:r w:rsidRPr="002E7D51">
        <w:rPr>
          <w:rFonts w:ascii="Times New Roman" w:hAnsi="Times New Roman" w:cs="Times New Roman"/>
        </w:rPr>
        <w:t>, </w:t>
      </w:r>
      <w:r w:rsidRPr="002E7D51">
        <w:rPr>
          <w:rFonts w:ascii="Times New Roman" w:hAnsi="Times New Roman" w:cs="Times New Roman"/>
          <w:i/>
          <w:iCs/>
        </w:rPr>
        <w:t>20</w:t>
      </w:r>
      <w:r w:rsidRPr="002E7D51">
        <w:rPr>
          <w:rFonts w:ascii="Times New Roman" w:hAnsi="Times New Roman" w:cs="Times New Roman"/>
        </w:rPr>
        <w:t>(3), pp.381-404.</w:t>
      </w:r>
    </w:p>
    <w:p w14:paraId="2055F36A"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Patrick, W.S., Jha, J.K. and Sharma, K.G., 2023. Strategic international human resource management (SIHRM) framework: an integrated review and directions for future research. </w:t>
      </w:r>
      <w:r w:rsidRPr="002E7D51">
        <w:rPr>
          <w:rFonts w:ascii="Times New Roman" w:hAnsi="Times New Roman" w:cs="Times New Roman"/>
          <w:i/>
          <w:iCs/>
        </w:rPr>
        <w:t>Journal of global mobility: The home of expatriate management research</w:t>
      </w:r>
      <w:r w:rsidRPr="002E7D51">
        <w:rPr>
          <w:rFonts w:ascii="Times New Roman" w:hAnsi="Times New Roman" w:cs="Times New Roman"/>
        </w:rPr>
        <w:t>, </w:t>
      </w:r>
      <w:r w:rsidRPr="002E7D51">
        <w:rPr>
          <w:rFonts w:ascii="Times New Roman" w:hAnsi="Times New Roman" w:cs="Times New Roman"/>
          <w:i/>
          <w:iCs/>
        </w:rPr>
        <w:t>11</w:t>
      </w:r>
      <w:r w:rsidRPr="002E7D51">
        <w:rPr>
          <w:rFonts w:ascii="Times New Roman" w:hAnsi="Times New Roman" w:cs="Times New Roman"/>
        </w:rPr>
        <w:t>(2), pp.274-294.</w:t>
      </w:r>
    </w:p>
    <w:p w14:paraId="1C67E6E0"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 xml:space="preserve">Purwanto, S. and </w:t>
      </w:r>
      <w:proofErr w:type="spellStart"/>
      <w:r w:rsidRPr="002E7D51">
        <w:rPr>
          <w:rFonts w:ascii="Times New Roman" w:hAnsi="Times New Roman" w:cs="Times New Roman"/>
        </w:rPr>
        <w:t>Siagian</w:t>
      </w:r>
      <w:proofErr w:type="spellEnd"/>
      <w:r w:rsidRPr="002E7D51">
        <w:rPr>
          <w:rFonts w:ascii="Times New Roman" w:hAnsi="Times New Roman" w:cs="Times New Roman"/>
        </w:rPr>
        <w:t>, F., 2025. Strategic human resources management in the global era: Navigating opportunities and challenges. </w:t>
      </w:r>
      <w:r w:rsidRPr="002E7D51">
        <w:rPr>
          <w:rFonts w:ascii="Times New Roman" w:hAnsi="Times New Roman" w:cs="Times New Roman"/>
          <w:i/>
          <w:iCs/>
        </w:rPr>
        <w:t>Centurion MSPD Journal</w:t>
      </w:r>
      <w:r w:rsidRPr="002E7D51">
        <w:rPr>
          <w:rFonts w:ascii="Times New Roman" w:hAnsi="Times New Roman" w:cs="Times New Roman"/>
        </w:rPr>
        <w:t>, </w:t>
      </w:r>
      <w:r w:rsidRPr="002E7D51">
        <w:rPr>
          <w:rFonts w:ascii="Times New Roman" w:hAnsi="Times New Roman" w:cs="Times New Roman"/>
          <w:i/>
          <w:iCs/>
        </w:rPr>
        <w:t>1</w:t>
      </w:r>
      <w:r w:rsidRPr="002E7D51">
        <w:rPr>
          <w:rFonts w:ascii="Times New Roman" w:hAnsi="Times New Roman" w:cs="Times New Roman"/>
        </w:rPr>
        <w:t>(1).</w:t>
      </w:r>
    </w:p>
    <w:p w14:paraId="5910F026"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 xml:space="preserve">Reiche, B.S., </w:t>
      </w:r>
      <w:proofErr w:type="spellStart"/>
      <w:r w:rsidRPr="002E7D51">
        <w:rPr>
          <w:rFonts w:ascii="Times New Roman" w:hAnsi="Times New Roman" w:cs="Times New Roman"/>
        </w:rPr>
        <w:t>Harzing</w:t>
      </w:r>
      <w:proofErr w:type="spellEnd"/>
      <w:r w:rsidRPr="002E7D51">
        <w:rPr>
          <w:rFonts w:ascii="Times New Roman" w:hAnsi="Times New Roman" w:cs="Times New Roman"/>
        </w:rPr>
        <w:t>, A.W. and Tenzer, H., 2022. International human resource management.</w:t>
      </w:r>
    </w:p>
    <w:p w14:paraId="79D9B44C" w14:textId="77777777" w:rsidR="0001772C" w:rsidRPr="002E7D51" w:rsidRDefault="0001772C" w:rsidP="0001772C">
      <w:pPr>
        <w:spacing w:line="360" w:lineRule="auto"/>
        <w:jc w:val="both"/>
        <w:rPr>
          <w:rFonts w:ascii="Times New Roman" w:hAnsi="Times New Roman" w:cs="Times New Roman"/>
        </w:rPr>
      </w:pPr>
      <w:proofErr w:type="spellStart"/>
      <w:r w:rsidRPr="002E7D51">
        <w:rPr>
          <w:rFonts w:ascii="Times New Roman" w:hAnsi="Times New Roman" w:cs="Times New Roman"/>
        </w:rPr>
        <w:lastRenderedPageBreak/>
        <w:t>Sukanti</w:t>
      </w:r>
      <w:proofErr w:type="spellEnd"/>
      <w:r w:rsidRPr="002E7D51">
        <w:rPr>
          <w:rFonts w:ascii="Times New Roman" w:hAnsi="Times New Roman" w:cs="Times New Roman"/>
        </w:rPr>
        <w:t>, L., Harto, B. and Pramuditha, P., 2021. Analysis of relevance between international HRM and industry demand: A review of scientific literature. </w:t>
      </w:r>
      <w:r w:rsidRPr="002E7D51">
        <w:rPr>
          <w:rFonts w:ascii="Times New Roman" w:hAnsi="Times New Roman" w:cs="Times New Roman"/>
          <w:i/>
          <w:iCs/>
        </w:rPr>
        <w:t>International Journal of Business, Economics and Management</w:t>
      </w:r>
      <w:r w:rsidRPr="002E7D51">
        <w:rPr>
          <w:rFonts w:ascii="Times New Roman" w:hAnsi="Times New Roman" w:cs="Times New Roman"/>
        </w:rPr>
        <w:t>, </w:t>
      </w:r>
      <w:r w:rsidRPr="002E7D51">
        <w:rPr>
          <w:rFonts w:ascii="Times New Roman" w:hAnsi="Times New Roman" w:cs="Times New Roman"/>
          <w:i/>
          <w:iCs/>
        </w:rPr>
        <w:t>4</w:t>
      </w:r>
      <w:r w:rsidRPr="002E7D51">
        <w:rPr>
          <w:rFonts w:ascii="Times New Roman" w:hAnsi="Times New Roman" w:cs="Times New Roman"/>
        </w:rPr>
        <w:t>(1), pp.199-208.</w:t>
      </w:r>
    </w:p>
    <w:p w14:paraId="2FE6C74A"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Tran, T.T., Muenjohn, N. and Montague, A., 2024. Negotiating entry to the professional labour market among Vietnamese skilled migrants in Australia: The impact of cultural distance. </w:t>
      </w:r>
      <w:r w:rsidRPr="002E7D51">
        <w:rPr>
          <w:rFonts w:ascii="Times New Roman" w:hAnsi="Times New Roman" w:cs="Times New Roman"/>
          <w:i/>
          <w:iCs/>
        </w:rPr>
        <w:t>International Journal of Intercultural Relations</w:t>
      </w:r>
      <w:r w:rsidRPr="002E7D51">
        <w:rPr>
          <w:rFonts w:ascii="Times New Roman" w:hAnsi="Times New Roman" w:cs="Times New Roman"/>
        </w:rPr>
        <w:t>, </w:t>
      </w:r>
      <w:r w:rsidRPr="002E7D51">
        <w:rPr>
          <w:rFonts w:ascii="Times New Roman" w:hAnsi="Times New Roman" w:cs="Times New Roman"/>
          <w:i/>
          <w:iCs/>
        </w:rPr>
        <w:t>100</w:t>
      </w:r>
      <w:r w:rsidRPr="002E7D51">
        <w:rPr>
          <w:rFonts w:ascii="Times New Roman" w:hAnsi="Times New Roman" w:cs="Times New Roman"/>
        </w:rPr>
        <w:t>, p.101977.</w:t>
      </w:r>
    </w:p>
    <w:p w14:paraId="43782924"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Utama, Z.M. and Samaad, A.W., 2025. Modernizing HRM for Global Small and Medium-Sized Businesses. </w:t>
      </w:r>
      <w:r w:rsidRPr="002E7D51">
        <w:rPr>
          <w:rFonts w:ascii="Times New Roman" w:hAnsi="Times New Roman" w:cs="Times New Roman"/>
          <w:i/>
          <w:iCs/>
        </w:rPr>
        <w:t xml:space="preserve">Journal of </w:t>
      </w:r>
      <w:proofErr w:type="spellStart"/>
      <w:r w:rsidRPr="002E7D51">
        <w:rPr>
          <w:rFonts w:ascii="Times New Roman" w:hAnsi="Times New Roman" w:cs="Times New Roman"/>
          <w:i/>
          <w:iCs/>
        </w:rPr>
        <w:t>Center</w:t>
      </w:r>
      <w:proofErr w:type="spellEnd"/>
      <w:r w:rsidRPr="002E7D51">
        <w:rPr>
          <w:rFonts w:ascii="Times New Roman" w:hAnsi="Times New Roman" w:cs="Times New Roman"/>
          <w:i/>
          <w:iCs/>
        </w:rPr>
        <w:t xml:space="preserve"> for Energy Policy and Human Resources Capacity Development</w:t>
      </w:r>
      <w:r w:rsidRPr="002E7D51">
        <w:rPr>
          <w:rFonts w:ascii="Times New Roman" w:hAnsi="Times New Roman" w:cs="Times New Roman"/>
        </w:rPr>
        <w:t>, </w:t>
      </w:r>
      <w:r w:rsidRPr="002E7D51">
        <w:rPr>
          <w:rFonts w:ascii="Times New Roman" w:hAnsi="Times New Roman" w:cs="Times New Roman"/>
          <w:i/>
          <w:iCs/>
        </w:rPr>
        <w:t>1</w:t>
      </w:r>
      <w:r w:rsidRPr="002E7D51">
        <w:rPr>
          <w:rFonts w:ascii="Times New Roman" w:hAnsi="Times New Roman" w:cs="Times New Roman"/>
        </w:rPr>
        <w:t>(1), pp.45-60.</w:t>
      </w:r>
    </w:p>
    <w:p w14:paraId="73CF19F3" w14:textId="77777777" w:rsidR="0001772C" w:rsidRPr="002E7D51" w:rsidRDefault="0001772C" w:rsidP="0001772C">
      <w:pPr>
        <w:spacing w:line="360" w:lineRule="auto"/>
        <w:jc w:val="both"/>
        <w:rPr>
          <w:rFonts w:ascii="Times New Roman" w:hAnsi="Times New Roman" w:cs="Times New Roman"/>
        </w:rPr>
      </w:pPr>
      <w:r w:rsidRPr="002E7D51">
        <w:rPr>
          <w:rFonts w:ascii="Times New Roman" w:hAnsi="Times New Roman" w:cs="Times New Roman"/>
        </w:rPr>
        <w:t xml:space="preserve">Wang, J., 2025. Impact of bilateral influence and host </w:t>
      </w:r>
      <w:proofErr w:type="spellStart"/>
      <w:r w:rsidRPr="002E7D51">
        <w:rPr>
          <w:rFonts w:ascii="Times New Roman" w:hAnsi="Times New Roman" w:cs="Times New Roman"/>
        </w:rPr>
        <w:t>labor</w:t>
      </w:r>
      <w:proofErr w:type="spellEnd"/>
      <w:r w:rsidRPr="002E7D51">
        <w:rPr>
          <w:rFonts w:ascii="Times New Roman" w:hAnsi="Times New Roman" w:cs="Times New Roman"/>
        </w:rPr>
        <w:t xml:space="preserve"> market conditions on the deployment of </w:t>
      </w:r>
      <w:proofErr w:type="spellStart"/>
      <w:r w:rsidRPr="002E7D51">
        <w:rPr>
          <w:rFonts w:ascii="Times New Roman" w:hAnsi="Times New Roman" w:cs="Times New Roman"/>
        </w:rPr>
        <w:t>chinese</w:t>
      </w:r>
      <w:proofErr w:type="spellEnd"/>
      <w:r w:rsidRPr="002E7D51">
        <w:rPr>
          <w:rFonts w:ascii="Times New Roman" w:hAnsi="Times New Roman" w:cs="Times New Roman"/>
        </w:rPr>
        <w:t xml:space="preserve"> contracted project workers in </w:t>
      </w:r>
      <w:proofErr w:type="spellStart"/>
      <w:r w:rsidRPr="002E7D51">
        <w:rPr>
          <w:rFonts w:ascii="Times New Roman" w:hAnsi="Times New Roman" w:cs="Times New Roman"/>
        </w:rPr>
        <w:t>africa</w:t>
      </w:r>
      <w:proofErr w:type="spellEnd"/>
      <w:r w:rsidRPr="002E7D51">
        <w:rPr>
          <w:rFonts w:ascii="Times New Roman" w:hAnsi="Times New Roman" w:cs="Times New Roman"/>
        </w:rPr>
        <w:t>. </w:t>
      </w:r>
      <w:r w:rsidRPr="002E7D51">
        <w:rPr>
          <w:rFonts w:ascii="Times New Roman" w:hAnsi="Times New Roman" w:cs="Times New Roman"/>
          <w:i/>
          <w:iCs/>
        </w:rPr>
        <w:t>The International Journal of Human Resource Management</w:t>
      </w:r>
      <w:r w:rsidRPr="002E7D51">
        <w:rPr>
          <w:rFonts w:ascii="Times New Roman" w:hAnsi="Times New Roman" w:cs="Times New Roman"/>
        </w:rPr>
        <w:t>, </w:t>
      </w:r>
      <w:r w:rsidRPr="002E7D51">
        <w:rPr>
          <w:rFonts w:ascii="Times New Roman" w:hAnsi="Times New Roman" w:cs="Times New Roman"/>
          <w:i/>
          <w:iCs/>
        </w:rPr>
        <w:t>36</w:t>
      </w:r>
      <w:r w:rsidRPr="002E7D51">
        <w:rPr>
          <w:rFonts w:ascii="Times New Roman" w:hAnsi="Times New Roman" w:cs="Times New Roman"/>
        </w:rPr>
        <w:t>(6), pp.994-1024.</w:t>
      </w:r>
    </w:p>
    <w:sectPr w:rsidR="0001772C" w:rsidRPr="002E7D51" w:rsidSect="00396CAC">
      <w:footerReference w:type="default" r:id="rId9"/>
      <w:footerReference w:type="firs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4D55B" w14:textId="77777777" w:rsidR="001901D1" w:rsidRDefault="001901D1" w:rsidP="00396CAC">
      <w:pPr>
        <w:spacing w:after="0" w:line="240" w:lineRule="auto"/>
      </w:pPr>
      <w:r>
        <w:separator/>
      </w:r>
    </w:p>
  </w:endnote>
  <w:endnote w:type="continuationSeparator" w:id="0">
    <w:p w14:paraId="219C4BB5" w14:textId="77777777" w:rsidR="001901D1" w:rsidRDefault="001901D1" w:rsidP="0039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854770"/>
      <w:docPartObj>
        <w:docPartGallery w:val="Page Numbers (Bottom of Page)"/>
        <w:docPartUnique/>
      </w:docPartObj>
    </w:sdtPr>
    <w:sdtEndPr>
      <w:rPr>
        <w:rFonts w:ascii="Times New Roman" w:hAnsi="Times New Roman" w:cs="Times New Roman"/>
        <w:noProof/>
        <w:sz w:val="20"/>
        <w:szCs w:val="20"/>
      </w:rPr>
    </w:sdtEndPr>
    <w:sdtContent>
      <w:p w14:paraId="5107D068" w14:textId="3EF05C17" w:rsidR="00396CAC" w:rsidRPr="00396CAC" w:rsidRDefault="00396CAC">
        <w:pPr>
          <w:pStyle w:val="Footer"/>
          <w:jc w:val="right"/>
          <w:rPr>
            <w:rFonts w:ascii="Times New Roman" w:hAnsi="Times New Roman" w:cs="Times New Roman"/>
            <w:sz w:val="20"/>
            <w:szCs w:val="20"/>
          </w:rPr>
        </w:pPr>
        <w:r w:rsidRPr="00396CAC">
          <w:rPr>
            <w:rFonts w:ascii="Times New Roman" w:hAnsi="Times New Roman" w:cs="Times New Roman"/>
            <w:sz w:val="20"/>
            <w:szCs w:val="20"/>
          </w:rPr>
          <w:fldChar w:fldCharType="begin"/>
        </w:r>
        <w:r w:rsidRPr="00396CAC">
          <w:rPr>
            <w:rFonts w:ascii="Times New Roman" w:hAnsi="Times New Roman" w:cs="Times New Roman"/>
            <w:sz w:val="20"/>
            <w:szCs w:val="20"/>
          </w:rPr>
          <w:instrText xml:space="preserve"> PAGE   \* MERGEFORMAT </w:instrText>
        </w:r>
        <w:r w:rsidRPr="00396CAC">
          <w:rPr>
            <w:rFonts w:ascii="Times New Roman" w:hAnsi="Times New Roman" w:cs="Times New Roman"/>
            <w:sz w:val="20"/>
            <w:szCs w:val="20"/>
          </w:rPr>
          <w:fldChar w:fldCharType="separate"/>
        </w:r>
        <w:r w:rsidRPr="00396CAC">
          <w:rPr>
            <w:rFonts w:ascii="Times New Roman" w:hAnsi="Times New Roman" w:cs="Times New Roman"/>
            <w:noProof/>
            <w:sz w:val="20"/>
            <w:szCs w:val="20"/>
          </w:rPr>
          <w:t>2</w:t>
        </w:r>
        <w:r w:rsidRPr="00396CAC">
          <w:rPr>
            <w:rFonts w:ascii="Times New Roman" w:hAnsi="Times New Roman" w:cs="Times New Roman"/>
            <w:noProof/>
            <w:sz w:val="20"/>
            <w:szCs w:val="20"/>
          </w:rPr>
          <w:fldChar w:fldCharType="end"/>
        </w:r>
      </w:p>
    </w:sdtContent>
  </w:sdt>
  <w:p w14:paraId="309F4135" w14:textId="77777777" w:rsidR="00396CAC" w:rsidRDefault="00396C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4936952"/>
      <w:docPartObj>
        <w:docPartGallery w:val="Page Numbers (Bottom of Page)"/>
        <w:docPartUnique/>
      </w:docPartObj>
    </w:sdtPr>
    <w:sdtEndPr>
      <w:rPr>
        <w:noProof/>
      </w:rPr>
    </w:sdtEndPr>
    <w:sdtContent>
      <w:p w14:paraId="582821D7" w14:textId="234B3C33" w:rsidR="00D9344A" w:rsidRDefault="00D934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9E7CD8" w14:textId="77777777" w:rsidR="00D9344A" w:rsidRDefault="00D93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AEBAA" w14:textId="77777777" w:rsidR="001901D1" w:rsidRDefault="001901D1" w:rsidP="00396CAC">
      <w:pPr>
        <w:spacing w:after="0" w:line="240" w:lineRule="auto"/>
      </w:pPr>
      <w:r>
        <w:separator/>
      </w:r>
    </w:p>
  </w:footnote>
  <w:footnote w:type="continuationSeparator" w:id="0">
    <w:p w14:paraId="095C70BE" w14:textId="77777777" w:rsidR="001901D1" w:rsidRDefault="001901D1" w:rsidP="00396C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52"/>
    <w:rsid w:val="0001772C"/>
    <w:rsid w:val="001574F6"/>
    <w:rsid w:val="001901D1"/>
    <w:rsid w:val="00205AAE"/>
    <w:rsid w:val="002E7D51"/>
    <w:rsid w:val="002E7D5E"/>
    <w:rsid w:val="00337E4B"/>
    <w:rsid w:val="00396CAC"/>
    <w:rsid w:val="003A3E58"/>
    <w:rsid w:val="00406132"/>
    <w:rsid w:val="0052280F"/>
    <w:rsid w:val="005745E8"/>
    <w:rsid w:val="005850AF"/>
    <w:rsid w:val="0062474D"/>
    <w:rsid w:val="00630474"/>
    <w:rsid w:val="006703F3"/>
    <w:rsid w:val="006B7465"/>
    <w:rsid w:val="007A3C52"/>
    <w:rsid w:val="00827980"/>
    <w:rsid w:val="00841C6E"/>
    <w:rsid w:val="00873805"/>
    <w:rsid w:val="008943AE"/>
    <w:rsid w:val="008D0221"/>
    <w:rsid w:val="00942458"/>
    <w:rsid w:val="009464B3"/>
    <w:rsid w:val="009B5831"/>
    <w:rsid w:val="00A547C8"/>
    <w:rsid w:val="00A7311C"/>
    <w:rsid w:val="00AD282B"/>
    <w:rsid w:val="00B01B24"/>
    <w:rsid w:val="00B05E44"/>
    <w:rsid w:val="00B3245D"/>
    <w:rsid w:val="00B603CE"/>
    <w:rsid w:val="00B615AC"/>
    <w:rsid w:val="00B75E00"/>
    <w:rsid w:val="00B9600B"/>
    <w:rsid w:val="00BE2412"/>
    <w:rsid w:val="00C00204"/>
    <w:rsid w:val="00C56364"/>
    <w:rsid w:val="00C6532A"/>
    <w:rsid w:val="00C84EF7"/>
    <w:rsid w:val="00C87098"/>
    <w:rsid w:val="00C92E46"/>
    <w:rsid w:val="00D07A11"/>
    <w:rsid w:val="00D07EE6"/>
    <w:rsid w:val="00D77923"/>
    <w:rsid w:val="00D9344A"/>
    <w:rsid w:val="00E1086E"/>
    <w:rsid w:val="00E366B8"/>
    <w:rsid w:val="00E67964"/>
    <w:rsid w:val="00FD4E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AC82D"/>
  <w15:chartTrackingRefBased/>
  <w15:docId w15:val="{5A50C083-A643-4643-8300-C38D1D3C4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A7311C"/>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7A3C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3C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3C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3C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3C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C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C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C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11C"/>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7A3C5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7A3C5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A3C5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A3C5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A3C5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A3C5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A3C5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A3C5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A3C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5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A3C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C5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A3C52"/>
    <w:pPr>
      <w:spacing w:before="160"/>
      <w:jc w:val="center"/>
    </w:pPr>
    <w:rPr>
      <w:i/>
      <w:iCs/>
      <w:color w:val="404040" w:themeColor="text1" w:themeTint="BF"/>
    </w:rPr>
  </w:style>
  <w:style w:type="character" w:customStyle="1" w:styleId="QuoteChar">
    <w:name w:val="Quote Char"/>
    <w:basedOn w:val="DefaultParagraphFont"/>
    <w:link w:val="Quote"/>
    <w:uiPriority w:val="29"/>
    <w:rsid w:val="007A3C52"/>
    <w:rPr>
      <w:i/>
      <w:iCs/>
      <w:color w:val="404040" w:themeColor="text1" w:themeTint="BF"/>
      <w:lang w:val="en-GB"/>
    </w:rPr>
  </w:style>
  <w:style w:type="paragraph" w:styleId="ListParagraph">
    <w:name w:val="List Paragraph"/>
    <w:basedOn w:val="Normal"/>
    <w:uiPriority w:val="34"/>
    <w:qFormat/>
    <w:rsid w:val="007A3C52"/>
    <w:pPr>
      <w:ind w:left="720"/>
      <w:contextualSpacing/>
    </w:pPr>
  </w:style>
  <w:style w:type="character" w:styleId="IntenseEmphasis">
    <w:name w:val="Intense Emphasis"/>
    <w:basedOn w:val="DefaultParagraphFont"/>
    <w:uiPriority w:val="21"/>
    <w:qFormat/>
    <w:rsid w:val="007A3C52"/>
    <w:rPr>
      <w:i/>
      <w:iCs/>
      <w:color w:val="2F5496" w:themeColor="accent1" w:themeShade="BF"/>
    </w:rPr>
  </w:style>
  <w:style w:type="paragraph" w:styleId="IntenseQuote">
    <w:name w:val="Intense Quote"/>
    <w:basedOn w:val="Normal"/>
    <w:next w:val="Normal"/>
    <w:link w:val="IntenseQuoteChar"/>
    <w:uiPriority w:val="30"/>
    <w:qFormat/>
    <w:rsid w:val="007A3C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3C52"/>
    <w:rPr>
      <w:i/>
      <w:iCs/>
      <w:color w:val="2F5496" w:themeColor="accent1" w:themeShade="BF"/>
      <w:lang w:val="en-GB"/>
    </w:rPr>
  </w:style>
  <w:style w:type="character" w:styleId="IntenseReference">
    <w:name w:val="Intense Reference"/>
    <w:basedOn w:val="DefaultParagraphFont"/>
    <w:uiPriority w:val="32"/>
    <w:qFormat/>
    <w:rsid w:val="007A3C52"/>
    <w:rPr>
      <w:b/>
      <w:bCs/>
      <w:smallCaps/>
      <w:color w:val="2F5496" w:themeColor="accent1" w:themeShade="BF"/>
      <w:spacing w:val="5"/>
    </w:rPr>
  </w:style>
  <w:style w:type="paragraph" w:styleId="NoSpacing">
    <w:name w:val="No Spacing"/>
    <w:uiPriority w:val="1"/>
    <w:qFormat/>
    <w:rsid w:val="009B5831"/>
    <w:pPr>
      <w:spacing w:after="0" w:line="240" w:lineRule="auto"/>
    </w:pPr>
    <w:rPr>
      <w:lang w:val="en-GB"/>
    </w:rPr>
  </w:style>
  <w:style w:type="paragraph" w:styleId="Header">
    <w:name w:val="header"/>
    <w:basedOn w:val="Normal"/>
    <w:link w:val="HeaderChar"/>
    <w:uiPriority w:val="99"/>
    <w:unhideWhenUsed/>
    <w:rsid w:val="00396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CAC"/>
    <w:rPr>
      <w:lang w:val="en-GB"/>
    </w:rPr>
  </w:style>
  <w:style w:type="paragraph" w:styleId="Footer">
    <w:name w:val="footer"/>
    <w:basedOn w:val="Normal"/>
    <w:link w:val="FooterChar"/>
    <w:uiPriority w:val="99"/>
    <w:unhideWhenUsed/>
    <w:rsid w:val="00396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CAC"/>
    <w:rPr>
      <w:lang w:val="en-GB"/>
    </w:rPr>
  </w:style>
  <w:style w:type="paragraph" w:styleId="TOCHeading">
    <w:name w:val="TOC Heading"/>
    <w:basedOn w:val="Heading1"/>
    <w:next w:val="Normal"/>
    <w:uiPriority w:val="39"/>
    <w:unhideWhenUsed/>
    <w:qFormat/>
    <w:rsid w:val="00396CAC"/>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96CAC"/>
    <w:pPr>
      <w:spacing w:after="100"/>
    </w:pPr>
  </w:style>
  <w:style w:type="character" w:styleId="Hyperlink">
    <w:name w:val="Hyperlink"/>
    <w:basedOn w:val="DefaultParagraphFont"/>
    <w:uiPriority w:val="99"/>
    <w:unhideWhenUsed/>
    <w:rsid w:val="00396C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97EBB-FB84-441D-B4FF-2ED072C97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3347</Words>
  <Characters>19081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Dinko Radev</cp:lastModifiedBy>
  <cp:revision>51</cp:revision>
  <dcterms:created xsi:type="dcterms:W3CDTF">2025-11-06T07:50:00Z</dcterms:created>
  <dcterms:modified xsi:type="dcterms:W3CDTF">2025-11-10T11:25:00Z</dcterms:modified>
</cp:coreProperties>
</file>