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83B43" w14:textId="566B1DF8" w:rsidR="00E240C0" w:rsidRDefault="09B96396" w:rsidP="0AA2E229">
      <w:pPr>
        <w:shd w:val="clear" w:color="auto" w:fill="D9E2F3" w:themeFill="accent1" w:themeFillTint="33"/>
        <w:rPr>
          <w:rStyle w:val="TitluCaracter"/>
          <w:sz w:val="40"/>
          <w:szCs w:val="40"/>
        </w:rPr>
      </w:pPr>
      <w:r w:rsidRPr="4F5F11B6">
        <w:rPr>
          <w:rStyle w:val="TitluCaracter"/>
          <w:sz w:val="48"/>
          <w:szCs w:val="48"/>
        </w:rPr>
        <w:t xml:space="preserve">   </w:t>
      </w:r>
      <w:r w:rsidR="1EE27277" w:rsidRPr="4F5F11B6">
        <w:rPr>
          <w:rStyle w:val="TitluCaracter"/>
          <w:sz w:val="48"/>
          <w:szCs w:val="48"/>
        </w:rPr>
        <w:t xml:space="preserve">     </w:t>
      </w:r>
      <w:r w:rsidR="1EE27277" w:rsidRPr="4F5F11B6">
        <w:rPr>
          <w:rStyle w:val="TitluCaracter"/>
          <w:sz w:val="40"/>
          <w:szCs w:val="40"/>
        </w:rPr>
        <w:t xml:space="preserve"> </w:t>
      </w:r>
      <w:r w:rsidR="4F06B632" w:rsidRPr="4F5F11B6">
        <w:rPr>
          <w:rStyle w:val="TitluCaracter"/>
          <w:sz w:val="40"/>
          <w:szCs w:val="40"/>
        </w:rPr>
        <w:t xml:space="preserve">BA Developing Leadership and Management </w:t>
      </w:r>
    </w:p>
    <w:p w14:paraId="5E5787A5" w14:textId="1CB72BB8" w:rsidR="00E240C0" w:rsidRDefault="0F4A7235" w:rsidP="0AA2E229">
      <w:pPr>
        <w:shd w:val="clear" w:color="auto" w:fill="D9E2F3" w:themeFill="accent1" w:themeFillTint="33"/>
        <w:rPr>
          <w:b/>
          <w:bCs/>
          <w:sz w:val="32"/>
          <w:szCs w:val="32"/>
        </w:rPr>
      </w:pPr>
      <w:r w:rsidRPr="3CE85170">
        <w:rPr>
          <w:sz w:val="32"/>
          <w:szCs w:val="32"/>
        </w:rPr>
        <w:t xml:space="preserve">                  </w:t>
      </w:r>
      <w:r w:rsidR="540E946D" w:rsidRPr="3CE85170">
        <w:rPr>
          <w:rStyle w:val="TitluCaracter"/>
        </w:rPr>
        <w:t xml:space="preserve">Developing </w:t>
      </w:r>
      <w:r w:rsidR="12BF1F3B" w:rsidRPr="3CE85170">
        <w:rPr>
          <w:rStyle w:val="TitluCaracter"/>
        </w:rPr>
        <w:t xml:space="preserve">Strategic </w:t>
      </w:r>
      <w:r w:rsidR="2C85100B" w:rsidRPr="3CE85170">
        <w:rPr>
          <w:rStyle w:val="TitluCaracter"/>
        </w:rPr>
        <w:t>Capability</w:t>
      </w:r>
      <w:r w:rsidR="12BF1F3B" w:rsidRPr="3CE85170">
        <w:rPr>
          <w:rStyle w:val="TitluCaracter"/>
        </w:rPr>
        <w:t xml:space="preserve"> </w:t>
      </w:r>
    </w:p>
    <w:p w14:paraId="79F00D20" w14:textId="34544CAF" w:rsidR="4BE4315B" w:rsidRDefault="4BE4315B" w:rsidP="3CE85170">
      <w:pPr>
        <w:rPr>
          <w:b/>
          <w:bCs/>
          <w:sz w:val="32"/>
          <w:szCs w:val="32"/>
        </w:rPr>
      </w:pPr>
    </w:p>
    <w:p w14:paraId="1FC6B9B6" w14:textId="230F836C" w:rsidR="4BE4315B" w:rsidRDefault="3E6C472E" w:rsidP="4BE4315B">
      <w:r>
        <w:t xml:space="preserve">                     </w:t>
      </w:r>
      <w:r w:rsidR="73F4605E">
        <w:rPr>
          <w:noProof/>
        </w:rPr>
        <w:drawing>
          <wp:inline distT="0" distB="0" distL="0" distR="0" wp14:anchorId="221A5B7C" wp14:editId="5CB58F70">
            <wp:extent cx="2857500" cy="1590675"/>
            <wp:effectExtent l="0" t="0" r="0" b="0"/>
            <wp:docPr id="1660446290" name="Picture 166044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446290"/>
                    <pic:cNvPicPr/>
                  </pic:nvPicPr>
                  <pic:blipFill>
                    <a:blip r:embed="rId5">
                      <a:extLst>
                        <a:ext uri="{28A0092B-C50C-407E-A947-70E740481C1C}">
                          <a14:useLocalDpi xmlns:a14="http://schemas.microsoft.com/office/drawing/2010/main" val="0"/>
                        </a:ext>
                      </a:extLst>
                    </a:blip>
                    <a:stretch>
                      <a:fillRect/>
                    </a:stretch>
                  </pic:blipFill>
                  <pic:spPr>
                    <a:xfrm>
                      <a:off x="0" y="0"/>
                      <a:ext cx="2857500" cy="1590675"/>
                    </a:xfrm>
                    <a:prstGeom prst="rect">
                      <a:avLst/>
                    </a:prstGeom>
                  </pic:spPr>
                </pic:pic>
              </a:graphicData>
            </a:graphic>
          </wp:inline>
        </w:drawing>
      </w:r>
    </w:p>
    <w:p w14:paraId="5379D9FD" w14:textId="693A6AFB" w:rsidR="4BE4315B" w:rsidRDefault="4BE4315B" w:rsidP="4BE4315B">
      <w:pPr>
        <w:rPr>
          <w:b/>
          <w:bCs/>
          <w:sz w:val="32"/>
          <w:szCs w:val="32"/>
        </w:rPr>
      </w:pPr>
    </w:p>
    <w:p w14:paraId="46A7E325" w14:textId="296BC4DD" w:rsidR="4BE4315B" w:rsidRDefault="51A336E4" w:rsidP="4BE4315B">
      <w:r>
        <w:t xml:space="preserve">                                              </w:t>
      </w:r>
      <w:r w:rsidR="4BE4315B">
        <w:br/>
      </w:r>
    </w:p>
    <w:p w14:paraId="3C6041E0" w14:textId="2F39FFC1" w:rsidR="4BE4315B" w:rsidRDefault="4BE4315B" w:rsidP="4BE4315B">
      <w:pPr>
        <w:rPr>
          <w:b/>
          <w:bCs/>
          <w:sz w:val="32"/>
          <w:szCs w:val="32"/>
        </w:rPr>
      </w:pPr>
    </w:p>
    <w:p w14:paraId="556A9FB7" w14:textId="75F20E00" w:rsidR="4BE4315B" w:rsidRDefault="51A336E4" w:rsidP="3CE85170">
      <w:pPr>
        <w:rPr>
          <w:rFonts w:ascii="Calibri" w:eastAsia="Calibri" w:hAnsi="Calibri" w:cs="Calibri"/>
          <w:color w:val="333333"/>
        </w:rPr>
      </w:pPr>
      <w:r w:rsidRPr="3CE85170">
        <w:rPr>
          <w:rFonts w:ascii="Calibri" w:eastAsia="Calibri" w:hAnsi="Calibri" w:cs="Calibri"/>
          <w:color w:val="333333"/>
        </w:rPr>
        <w:t xml:space="preserve">Alina G Mucenic </w:t>
      </w:r>
    </w:p>
    <w:p w14:paraId="216103C4" w14:textId="169893EC" w:rsidR="4BE4315B" w:rsidRDefault="51A336E4" w:rsidP="3CE85170">
      <w:pPr>
        <w:rPr>
          <w:rFonts w:ascii="Calibri" w:eastAsia="Calibri" w:hAnsi="Calibri" w:cs="Calibri"/>
          <w:color w:val="333333"/>
        </w:rPr>
      </w:pPr>
      <w:r w:rsidRPr="3CE85170">
        <w:rPr>
          <w:rFonts w:ascii="Calibri" w:eastAsia="Calibri" w:hAnsi="Calibri" w:cs="Calibri"/>
          <w:color w:val="333333"/>
        </w:rPr>
        <w:t>Student Id 2108840</w:t>
      </w:r>
    </w:p>
    <w:p w14:paraId="6C39F407" w14:textId="0FD54FA8" w:rsidR="4BE4315B" w:rsidRDefault="3F55C9E7" w:rsidP="3CE85170">
      <w:pPr>
        <w:rPr>
          <w:rFonts w:ascii="Calibri" w:eastAsia="Calibri" w:hAnsi="Calibri" w:cs="Calibri"/>
          <w:color w:val="333333"/>
        </w:rPr>
      </w:pPr>
      <w:r w:rsidRPr="5FDA4617">
        <w:rPr>
          <w:rFonts w:ascii="Calibri" w:eastAsia="Calibri" w:hAnsi="Calibri" w:cs="Calibri"/>
          <w:color w:val="333333"/>
        </w:rPr>
        <w:t xml:space="preserve">Date </w:t>
      </w:r>
      <w:r w:rsidR="49B173A7" w:rsidRPr="514A0B17">
        <w:rPr>
          <w:rFonts w:ascii="Calibri" w:eastAsia="Calibri" w:hAnsi="Calibri" w:cs="Calibri"/>
          <w:color w:val="333333"/>
        </w:rPr>
        <w:t>1</w:t>
      </w:r>
      <w:r w:rsidR="26C93C8C" w:rsidRPr="514A0B17">
        <w:rPr>
          <w:rFonts w:ascii="Calibri" w:eastAsia="Calibri" w:hAnsi="Calibri" w:cs="Calibri"/>
          <w:color w:val="333333"/>
        </w:rPr>
        <w:t>6</w:t>
      </w:r>
      <w:r w:rsidR="61D8D317" w:rsidRPr="5FDA4617">
        <w:rPr>
          <w:rFonts w:ascii="Calibri" w:eastAsia="Calibri" w:hAnsi="Calibri" w:cs="Calibri"/>
          <w:color w:val="333333"/>
        </w:rPr>
        <w:t>/03</w:t>
      </w:r>
      <w:r w:rsidRPr="5FDA4617">
        <w:rPr>
          <w:rFonts w:ascii="Calibri" w:eastAsia="Calibri" w:hAnsi="Calibri" w:cs="Calibri"/>
          <w:color w:val="333333"/>
        </w:rPr>
        <w:t>/2024</w:t>
      </w:r>
    </w:p>
    <w:p w14:paraId="34E447AE" w14:textId="596A2A95" w:rsidR="4BE4315B" w:rsidRDefault="51A336E4" w:rsidP="3CE85170">
      <w:pPr>
        <w:rPr>
          <w:rFonts w:ascii="Calibri" w:eastAsia="Calibri" w:hAnsi="Calibri" w:cs="Calibri"/>
          <w:color w:val="333333"/>
        </w:rPr>
      </w:pPr>
      <w:r w:rsidRPr="3CE85170">
        <w:rPr>
          <w:rFonts w:ascii="Calibri" w:eastAsia="Calibri" w:hAnsi="Calibri" w:cs="Calibri"/>
          <w:color w:val="333333"/>
        </w:rPr>
        <w:t xml:space="preserve">Word Count: </w:t>
      </w:r>
      <w:r w:rsidR="68A9FF57" w:rsidRPr="514A0B17">
        <w:rPr>
          <w:rFonts w:ascii="Calibri" w:eastAsia="Calibri" w:hAnsi="Calibri" w:cs="Calibri"/>
          <w:color w:val="333333"/>
        </w:rPr>
        <w:t>6445</w:t>
      </w:r>
    </w:p>
    <w:p w14:paraId="1487BF34" w14:textId="0DDD9DB7" w:rsidR="4BE4315B" w:rsidRDefault="0ADE589B" w:rsidP="4BE4315B">
      <w:r>
        <w:t xml:space="preserve">            </w:t>
      </w:r>
    </w:p>
    <w:p w14:paraId="787A8375" w14:textId="3BD1B91B" w:rsidR="4BE4315B" w:rsidRDefault="4BE4315B" w:rsidP="4BE4315B"/>
    <w:p w14:paraId="087A353E" w14:textId="0F799C3A" w:rsidR="4BE4315B" w:rsidRDefault="7D112C5F" w:rsidP="4BE4315B">
      <w:pPr>
        <w:rPr>
          <w:b/>
          <w:bCs/>
          <w:sz w:val="32"/>
          <w:szCs w:val="32"/>
        </w:rPr>
      </w:pPr>
      <w:r w:rsidRPr="3CE85170">
        <w:rPr>
          <w:b/>
          <w:bCs/>
          <w:sz w:val="32"/>
          <w:szCs w:val="32"/>
        </w:rPr>
        <w:t xml:space="preserve">                                                                                                            </w:t>
      </w:r>
    </w:p>
    <w:p w14:paraId="12A0A22F" w14:textId="7A51E79B" w:rsidR="4BE4315B" w:rsidRDefault="28B127DD" w:rsidP="4BE4315B">
      <w:pPr>
        <w:rPr>
          <w:b/>
          <w:bCs/>
          <w:sz w:val="32"/>
          <w:szCs w:val="32"/>
        </w:rPr>
      </w:pPr>
      <w:r w:rsidRPr="3CE85170">
        <w:rPr>
          <w:b/>
          <w:bCs/>
          <w:sz w:val="32"/>
          <w:szCs w:val="32"/>
        </w:rPr>
        <w:t xml:space="preserve">  </w:t>
      </w:r>
    </w:p>
    <w:p w14:paraId="39C83AF9" w14:textId="7C6203C2" w:rsidR="4BE4315B" w:rsidRDefault="4BE4315B" w:rsidP="4BE4315B">
      <w:pPr>
        <w:rPr>
          <w:b/>
          <w:bCs/>
          <w:sz w:val="32"/>
          <w:szCs w:val="32"/>
        </w:rPr>
      </w:pPr>
    </w:p>
    <w:p w14:paraId="05F5345E" w14:textId="23821B69" w:rsidR="6EF3C16B" w:rsidRDefault="6EF3C16B" w:rsidP="3CE85170">
      <w:pPr>
        <w:rPr>
          <w:b/>
          <w:bCs/>
          <w:sz w:val="32"/>
          <w:szCs w:val="32"/>
        </w:rPr>
      </w:pPr>
      <w:r>
        <w:t xml:space="preserve">                </w:t>
      </w:r>
      <w:r w:rsidR="6A9032D7">
        <w:rPr>
          <w:noProof/>
        </w:rPr>
        <w:drawing>
          <wp:inline distT="0" distB="0" distL="0" distR="0" wp14:anchorId="3C3BEE86" wp14:editId="2B3E623F">
            <wp:extent cx="4572000" cy="981075"/>
            <wp:effectExtent l="0" t="0" r="0" b="0"/>
            <wp:docPr id="1295226697" name="Picture 1295226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981075"/>
                    </a:xfrm>
                    <a:prstGeom prst="rect">
                      <a:avLst/>
                    </a:prstGeom>
                  </pic:spPr>
                </pic:pic>
              </a:graphicData>
            </a:graphic>
          </wp:inline>
        </w:drawing>
      </w:r>
    </w:p>
    <w:p w14:paraId="43BD4F6F" w14:textId="0B260717" w:rsidR="2719E0B6" w:rsidRDefault="2719E0B6" w:rsidP="3CE85170">
      <w:pPr>
        <w:rPr>
          <w:b/>
          <w:bCs/>
          <w:sz w:val="32"/>
          <w:szCs w:val="32"/>
          <w:u w:val="single"/>
        </w:rPr>
      </w:pPr>
      <w:r w:rsidRPr="3CE85170">
        <w:rPr>
          <w:b/>
          <w:bCs/>
          <w:sz w:val="32"/>
          <w:szCs w:val="32"/>
        </w:rPr>
        <w:t xml:space="preserve">                                                   BMSW6011</w:t>
      </w:r>
    </w:p>
    <w:p w14:paraId="0825B55F" w14:textId="28AC953A" w:rsidR="3CE85170" w:rsidRDefault="3CE85170" w:rsidP="3CE85170">
      <w:pPr>
        <w:rPr>
          <w:b/>
          <w:bCs/>
          <w:sz w:val="32"/>
          <w:szCs w:val="32"/>
          <w:u w:val="single"/>
        </w:rPr>
      </w:pPr>
    </w:p>
    <w:p w14:paraId="20360210" w14:textId="4BF34D4F" w:rsidR="3CE85170" w:rsidRDefault="3CE85170" w:rsidP="3CE85170">
      <w:pPr>
        <w:rPr>
          <w:b/>
          <w:bCs/>
          <w:sz w:val="32"/>
          <w:szCs w:val="32"/>
          <w:u w:val="single"/>
        </w:rPr>
      </w:pPr>
    </w:p>
    <w:p w14:paraId="5CCFA0E1" w14:textId="4E7EB6B4" w:rsidR="3CE85170" w:rsidRDefault="3CE85170" w:rsidP="3CE85170">
      <w:pPr>
        <w:rPr>
          <w:b/>
          <w:bCs/>
          <w:sz w:val="32"/>
          <w:szCs w:val="32"/>
          <w:u w:val="single"/>
        </w:rPr>
      </w:pPr>
    </w:p>
    <w:p w14:paraId="7044B5C6" w14:textId="4E661B35" w:rsidR="3CE85170" w:rsidRDefault="3CE85170" w:rsidP="3CE85170">
      <w:pPr>
        <w:rPr>
          <w:b/>
          <w:bCs/>
          <w:sz w:val="32"/>
          <w:szCs w:val="32"/>
          <w:u w:val="single"/>
        </w:rPr>
      </w:pPr>
    </w:p>
    <w:p w14:paraId="3CD3EF9A" w14:textId="62894ED8" w:rsidR="4BE4315B" w:rsidRDefault="6118602F" w:rsidP="3CE85170">
      <w:pPr>
        <w:rPr>
          <w:b/>
          <w:bCs/>
          <w:sz w:val="32"/>
          <w:szCs w:val="32"/>
          <w:u w:val="single"/>
        </w:rPr>
      </w:pPr>
      <w:r w:rsidRPr="3CE85170">
        <w:rPr>
          <w:b/>
          <w:bCs/>
          <w:sz w:val="32"/>
          <w:szCs w:val="32"/>
          <w:u w:val="single"/>
        </w:rPr>
        <w:t xml:space="preserve">Executive Summary </w:t>
      </w:r>
    </w:p>
    <w:p w14:paraId="321B23E4" w14:textId="42431B28" w:rsidR="4BE4315B" w:rsidRDefault="4BE4315B" w:rsidP="4BE4315B">
      <w:pPr>
        <w:rPr>
          <w:b/>
          <w:bCs/>
          <w:sz w:val="32"/>
          <w:szCs w:val="32"/>
        </w:rPr>
      </w:pPr>
    </w:p>
    <w:p w14:paraId="6A0F0C80" w14:textId="577389AF" w:rsidR="4BE4315B" w:rsidRDefault="77E561D0" w:rsidP="42E58750">
      <w:pPr>
        <w:ind w:left="-20" w:right="-20"/>
        <w:rPr>
          <w:rFonts w:ascii="Calibri" w:eastAsia="Calibri" w:hAnsi="Calibri" w:cs="Calibri"/>
          <w:color w:val="000000" w:themeColor="text1"/>
          <w:sz w:val="24"/>
          <w:szCs w:val="24"/>
        </w:rPr>
      </w:pPr>
      <w:r w:rsidRPr="22CA4DDB">
        <w:rPr>
          <w:rFonts w:eastAsiaTheme="minorEastAsia"/>
          <w:color w:val="222222"/>
          <w:sz w:val="24"/>
          <w:szCs w:val="24"/>
        </w:rPr>
        <w:t xml:space="preserve">This </w:t>
      </w:r>
      <w:r w:rsidR="4B15880C" w:rsidRPr="22CA4DDB">
        <w:rPr>
          <w:rFonts w:eastAsiaTheme="minorEastAsia"/>
          <w:color w:val="222222"/>
          <w:sz w:val="24"/>
          <w:szCs w:val="24"/>
        </w:rPr>
        <w:t xml:space="preserve">is an </w:t>
      </w:r>
      <w:r w:rsidR="4B15880C" w:rsidRPr="22CA4DDB">
        <w:rPr>
          <w:rFonts w:ascii="Calibri" w:eastAsia="Calibri" w:hAnsi="Calibri" w:cs="Calibri"/>
          <w:color w:val="000000" w:themeColor="text1"/>
          <w:sz w:val="24"/>
          <w:szCs w:val="24"/>
        </w:rPr>
        <w:t>in-depth analysis of J.P. Morgan-Bank, a leading entity in the global financial realm. It delves into the bank's strategic prowess and operational agility, particularly spotlighting its embrace of cutting-edge technologies and digital banking solutions. This emphasis underscores J.P. Morgan's commitment to operational excellence and superior customer service. The summary also sheds light on the bank's strategic diversification spanning investment banking, asset management, and consumer banking, showcasing its ability to meet diverse customer requirements. Central to its approach is a robust risk management framework, ensuring resilience in the face of financial challenges.</w:t>
      </w:r>
    </w:p>
    <w:p w14:paraId="5A92EAD6" w14:textId="73A2E236" w:rsidR="4BE4315B" w:rsidRDefault="4B15880C" w:rsidP="42E58750">
      <w:r w:rsidRPr="42E58750">
        <w:rPr>
          <w:rFonts w:ascii="Calibri" w:eastAsia="Calibri" w:hAnsi="Calibri" w:cs="Calibri"/>
          <w:color w:val="000000" w:themeColor="text1"/>
          <w:sz w:val="24"/>
          <w:szCs w:val="24"/>
        </w:rPr>
        <w:t>Moreover, the summary explores J.P. Morgan's strategic trajectory amidst intense industry competition, emphasizing its proactive stance towards future goals. The bank's pivot towards digital performance and expansion into emerging markets reflects its forward-thinking approach. By enhancing global operational performance metrics and elevating customer experiences, J.P. Morgan underscores its dedication to staying ahead in the fiercely competitive financial landscape. This strategic evolution aligns with the institution's core values of innovation, customer-centricity, and prudent risk management, further solidifying its standing as a global financial powerhouse.</w:t>
      </w:r>
    </w:p>
    <w:p w14:paraId="0BF0D644" w14:textId="05A6A912" w:rsidR="4BE4315B" w:rsidRDefault="4BE4315B" w:rsidP="3CE85170">
      <w:pPr>
        <w:rPr>
          <w:b/>
          <w:bCs/>
          <w:sz w:val="24"/>
          <w:szCs w:val="24"/>
        </w:rPr>
      </w:pPr>
    </w:p>
    <w:p w14:paraId="09CDEAD9" w14:textId="35619400" w:rsidR="4BE4315B" w:rsidRDefault="4BE4315B" w:rsidP="4BE4315B">
      <w:pPr>
        <w:rPr>
          <w:b/>
          <w:bCs/>
          <w:sz w:val="32"/>
          <w:szCs w:val="32"/>
        </w:rPr>
      </w:pPr>
    </w:p>
    <w:p w14:paraId="212ADCD5" w14:textId="76688AA2" w:rsidR="4BE4315B" w:rsidRDefault="4BE4315B" w:rsidP="4BE4315B"/>
    <w:p w14:paraId="6D4A9502" w14:textId="5B054C31" w:rsidR="4BE4315B" w:rsidRDefault="354F7B2D" w:rsidP="3CE85170">
      <w:pPr>
        <w:rPr>
          <w:b/>
          <w:bCs/>
          <w:sz w:val="32"/>
          <w:szCs w:val="32"/>
        </w:rPr>
      </w:pPr>
      <w:r>
        <w:t xml:space="preserve">                      </w:t>
      </w:r>
    </w:p>
    <w:p w14:paraId="05EB3240" w14:textId="43D1F99A" w:rsidR="4BE4315B" w:rsidRDefault="4BE4315B" w:rsidP="4BE4315B"/>
    <w:p w14:paraId="2A07956B" w14:textId="3E3D7BFF" w:rsidR="4BE4315B" w:rsidRDefault="4BE4315B" w:rsidP="4BE4315B"/>
    <w:p w14:paraId="2503DBCE" w14:textId="5AC14693" w:rsidR="4BE4315B" w:rsidRDefault="4BE4315B" w:rsidP="4BE4315B"/>
    <w:p w14:paraId="3B6B5C8C" w14:textId="4DBF3528" w:rsidR="4BE4315B" w:rsidRDefault="2C32AF2C" w:rsidP="3CE85170">
      <w:pPr>
        <w:rPr>
          <w:b/>
          <w:bCs/>
          <w:sz w:val="32"/>
          <w:szCs w:val="32"/>
        </w:rPr>
      </w:pPr>
      <w:r>
        <w:t xml:space="preserve"> </w:t>
      </w:r>
    </w:p>
    <w:p w14:paraId="04939409" w14:textId="1148934C" w:rsidR="4BE4315B" w:rsidRDefault="4BE4315B" w:rsidP="4BE4315B"/>
    <w:p w14:paraId="17875A08" w14:textId="0B7E76C4" w:rsidR="4BE4315B" w:rsidRDefault="4BE4315B" w:rsidP="4BE4315B"/>
    <w:p w14:paraId="155660BF" w14:textId="5F58C507" w:rsidR="4BE4315B" w:rsidRDefault="4BE4315B" w:rsidP="4BE4315B"/>
    <w:p w14:paraId="4AA4C98C" w14:textId="3B4A5894" w:rsidR="4BE4315B" w:rsidRDefault="2C32AF2C" w:rsidP="4BE4315B">
      <w:pPr>
        <w:rPr>
          <w:b/>
          <w:bCs/>
          <w:sz w:val="32"/>
          <w:szCs w:val="32"/>
        </w:rPr>
      </w:pPr>
      <w:r>
        <w:lastRenderedPageBreak/>
        <w:t xml:space="preserve">                                                              </w:t>
      </w:r>
      <w:r w:rsidR="354F7B2D">
        <w:t xml:space="preserve">   </w:t>
      </w:r>
      <w:r w:rsidR="6A619B55">
        <w:rPr>
          <w:noProof/>
        </w:rPr>
        <w:drawing>
          <wp:inline distT="0" distB="0" distL="0" distR="0" wp14:anchorId="55210BA5" wp14:editId="0ADEA23A">
            <wp:extent cx="1278385" cy="274320"/>
            <wp:effectExtent l="0" t="0" r="0" b="0"/>
            <wp:docPr id="1472174706"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p>
    <w:p w14:paraId="5537E70D" w14:textId="444ED7E8" w:rsidR="20D8FE24" w:rsidRDefault="20D8FE24" w:rsidP="3CE85170">
      <w:pPr>
        <w:rPr>
          <w:b/>
          <w:bCs/>
          <w:sz w:val="32"/>
          <w:szCs w:val="32"/>
        </w:rPr>
      </w:pPr>
      <w:r w:rsidRPr="3CE85170">
        <w:rPr>
          <w:b/>
          <w:bCs/>
          <w:sz w:val="32"/>
          <w:szCs w:val="32"/>
        </w:rPr>
        <w:t xml:space="preserve"> </w:t>
      </w:r>
      <w:r w:rsidR="3FEF7C06" w:rsidRPr="3CE85170">
        <w:rPr>
          <w:b/>
          <w:bCs/>
          <w:sz w:val="32"/>
          <w:szCs w:val="32"/>
        </w:rPr>
        <w:t xml:space="preserve">                      </w:t>
      </w:r>
      <w:r w:rsidR="2FBF2961" w:rsidRPr="3CE85170">
        <w:rPr>
          <w:b/>
          <w:bCs/>
          <w:sz w:val="32"/>
          <w:szCs w:val="32"/>
        </w:rPr>
        <w:t xml:space="preserve">       </w:t>
      </w:r>
      <w:r w:rsidR="2FBF2961" w:rsidRPr="3CE85170">
        <w:rPr>
          <w:rStyle w:val="TitluCaracter"/>
        </w:rPr>
        <w:t xml:space="preserve">   </w:t>
      </w:r>
    </w:p>
    <w:p w14:paraId="298E8B47" w14:textId="7F44566A" w:rsidR="20D8FE24" w:rsidRDefault="2FBF2961" w:rsidP="2E34ED66">
      <w:pPr>
        <w:jc w:val="both"/>
        <w:rPr>
          <w:b/>
          <w:bCs/>
          <w:sz w:val="32"/>
          <w:szCs w:val="32"/>
        </w:rPr>
      </w:pPr>
      <w:r w:rsidRPr="2E34ED66">
        <w:rPr>
          <w:rStyle w:val="TitluCaracter"/>
        </w:rPr>
        <w:t xml:space="preserve"> </w:t>
      </w:r>
      <w:r w:rsidR="037EA4F3" w:rsidRPr="2E34ED66">
        <w:rPr>
          <w:rStyle w:val="TitluCaracter"/>
        </w:rPr>
        <w:t xml:space="preserve">                </w:t>
      </w:r>
      <w:r w:rsidR="037EA4F3" w:rsidRPr="2E34ED66">
        <w:rPr>
          <w:rStyle w:val="TitluCaracter"/>
          <w:b/>
          <w:bCs/>
        </w:rPr>
        <w:t xml:space="preserve">  </w:t>
      </w:r>
      <w:r w:rsidRPr="2E34ED66">
        <w:rPr>
          <w:rStyle w:val="TitluCaracter"/>
          <w:b/>
        </w:rPr>
        <w:t xml:space="preserve">  </w:t>
      </w:r>
      <w:r w:rsidR="3FEF7C06" w:rsidRPr="2E34ED66">
        <w:rPr>
          <w:rStyle w:val="TitluCaracter"/>
          <w:b/>
        </w:rPr>
        <w:t>Table of Contents</w:t>
      </w:r>
      <w:r w:rsidR="20D8FE24" w:rsidRPr="2E34ED66">
        <w:rPr>
          <w:rStyle w:val="TitluCaracter"/>
          <w:b/>
        </w:rPr>
        <w:t xml:space="preserve"> </w:t>
      </w:r>
      <w:r w:rsidR="20D8FE24" w:rsidRPr="3CE85170">
        <w:rPr>
          <w:rStyle w:val="TitluCaracter"/>
        </w:rPr>
        <w:t xml:space="preserve">  </w:t>
      </w:r>
      <w:r w:rsidR="20D8FE24" w:rsidRPr="3CE85170">
        <w:rPr>
          <w:b/>
          <w:bCs/>
          <w:sz w:val="32"/>
          <w:szCs w:val="32"/>
        </w:rPr>
        <w:t xml:space="preserve">              </w:t>
      </w:r>
    </w:p>
    <w:p w14:paraId="0912A178" w14:textId="4D3D1B62" w:rsidR="2F8AECBF" w:rsidRDefault="2F8AECBF" w:rsidP="2E34ED66">
      <w:pPr>
        <w:pStyle w:val="Listparagraf"/>
        <w:numPr>
          <w:ilvl w:val="0"/>
          <w:numId w:val="1"/>
        </w:numPr>
        <w:jc w:val="both"/>
        <w:rPr>
          <w:sz w:val="24"/>
          <w:szCs w:val="24"/>
        </w:rPr>
      </w:pPr>
      <w:r w:rsidRPr="2E34ED66">
        <w:rPr>
          <w:sz w:val="24"/>
          <w:szCs w:val="24"/>
        </w:rPr>
        <w:t xml:space="preserve"> </w:t>
      </w:r>
      <w:r w:rsidRPr="2E34ED66">
        <w:rPr>
          <w:rStyle w:val="Titlu1Caracter"/>
          <w:sz w:val="24"/>
          <w:szCs w:val="24"/>
        </w:rPr>
        <w:t>Introduction</w:t>
      </w:r>
      <w:r w:rsidRPr="3CE85170">
        <w:rPr>
          <w:sz w:val="24"/>
          <w:szCs w:val="24"/>
        </w:rPr>
        <w:t xml:space="preserve"> </w:t>
      </w:r>
      <w:r w:rsidR="2C962230" w:rsidRPr="3CE85170">
        <w:rPr>
          <w:sz w:val="24"/>
          <w:szCs w:val="24"/>
        </w:rPr>
        <w:t xml:space="preserve">                                                                                                              </w:t>
      </w:r>
      <w:r w:rsidRPr="2E34ED66">
        <w:rPr>
          <w:rStyle w:val="Titlu1Caracter"/>
          <w:sz w:val="24"/>
          <w:szCs w:val="24"/>
        </w:rPr>
        <w:t xml:space="preserve">1 </w:t>
      </w:r>
    </w:p>
    <w:p w14:paraId="47C640B6" w14:textId="43B68E9C" w:rsidR="2F8AECBF" w:rsidRDefault="2F8AECBF" w:rsidP="2E34ED66">
      <w:pPr>
        <w:pStyle w:val="Listparagraf"/>
        <w:numPr>
          <w:ilvl w:val="0"/>
          <w:numId w:val="1"/>
        </w:numPr>
        <w:jc w:val="both"/>
        <w:rPr>
          <w:sz w:val="24"/>
          <w:szCs w:val="24"/>
        </w:rPr>
      </w:pPr>
      <w:r w:rsidRPr="2E34ED66">
        <w:rPr>
          <w:rStyle w:val="Titlu1Caracter"/>
          <w:sz w:val="24"/>
          <w:szCs w:val="24"/>
        </w:rPr>
        <w:t xml:space="preserve"> </w:t>
      </w:r>
      <w:r w:rsidR="73457A8B" w:rsidRPr="2E34ED66">
        <w:rPr>
          <w:rStyle w:val="Titlu1Caracter"/>
          <w:sz w:val="24"/>
          <w:szCs w:val="24"/>
        </w:rPr>
        <w:t>Findings</w:t>
      </w:r>
      <w:r w:rsidR="33D3AAEC" w:rsidRPr="2E34ED66">
        <w:rPr>
          <w:rStyle w:val="Titlu1Caracter"/>
          <w:sz w:val="24"/>
          <w:szCs w:val="24"/>
        </w:rPr>
        <w:t xml:space="preserve">                                                                                                 </w:t>
      </w:r>
      <w:r w:rsidR="5F6E7523" w:rsidRPr="2E34ED66">
        <w:rPr>
          <w:rStyle w:val="Titlu1Caracter"/>
          <w:sz w:val="24"/>
          <w:szCs w:val="24"/>
        </w:rPr>
        <w:t xml:space="preserve">                     </w:t>
      </w:r>
      <w:r w:rsidR="33D3AAEC" w:rsidRPr="2E34ED66">
        <w:rPr>
          <w:rStyle w:val="Titlu1Caracter"/>
          <w:sz w:val="24"/>
          <w:szCs w:val="24"/>
        </w:rPr>
        <w:t xml:space="preserve"> </w:t>
      </w:r>
      <w:r w:rsidRPr="2E34ED66">
        <w:rPr>
          <w:rStyle w:val="Titlu1Caracter"/>
          <w:sz w:val="24"/>
          <w:szCs w:val="24"/>
        </w:rPr>
        <w:t xml:space="preserve">2 </w:t>
      </w:r>
    </w:p>
    <w:p w14:paraId="0E20A3BF" w14:textId="7E4AC92F" w:rsidR="2F8AECBF" w:rsidRDefault="2F8AECBF" w:rsidP="2E34ED66">
      <w:pPr>
        <w:pStyle w:val="Listparagraf"/>
        <w:numPr>
          <w:ilvl w:val="0"/>
          <w:numId w:val="1"/>
        </w:numPr>
        <w:jc w:val="both"/>
        <w:rPr>
          <w:sz w:val="24"/>
          <w:szCs w:val="24"/>
        </w:rPr>
      </w:pPr>
      <w:r w:rsidRPr="3CE85170">
        <w:rPr>
          <w:sz w:val="24"/>
          <w:szCs w:val="24"/>
        </w:rPr>
        <w:t xml:space="preserve"> </w:t>
      </w:r>
      <w:r w:rsidR="17409397" w:rsidRPr="2E34ED66">
        <w:rPr>
          <w:rStyle w:val="Titlu2Caracter"/>
          <w:sz w:val="24"/>
          <w:szCs w:val="24"/>
        </w:rPr>
        <w:t>Analysis</w:t>
      </w:r>
      <w:r w:rsidR="461F3C01" w:rsidRPr="2E34ED66">
        <w:rPr>
          <w:rStyle w:val="Titlu2Caracter"/>
          <w:sz w:val="24"/>
          <w:szCs w:val="24"/>
        </w:rPr>
        <w:t xml:space="preserve"> </w:t>
      </w:r>
      <w:r w:rsidR="2209A6A5" w:rsidRPr="2E34ED66">
        <w:rPr>
          <w:rStyle w:val="Titlu2Caracter"/>
          <w:sz w:val="24"/>
          <w:szCs w:val="24"/>
        </w:rPr>
        <w:t xml:space="preserve">of </w:t>
      </w:r>
      <w:r w:rsidR="17409397" w:rsidRPr="2E34ED66">
        <w:rPr>
          <w:rStyle w:val="Titlu2Caracter"/>
          <w:sz w:val="24"/>
          <w:szCs w:val="24"/>
        </w:rPr>
        <w:t xml:space="preserve">strategic Development </w:t>
      </w:r>
      <w:r w:rsidR="3422E46B" w:rsidRPr="2E34ED66">
        <w:rPr>
          <w:rStyle w:val="Titlu2Caracter"/>
          <w:sz w:val="24"/>
          <w:szCs w:val="24"/>
        </w:rPr>
        <w:t xml:space="preserve">    </w:t>
      </w:r>
      <w:r w:rsidRPr="3CE85170">
        <w:rPr>
          <w:sz w:val="24"/>
          <w:szCs w:val="24"/>
        </w:rPr>
        <w:t xml:space="preserve"> </w:t>
      </w:r>
      <w:r w:rsidR="3422E46B" w:rsidRPr="3CE85170">
        <w:rPr>
          <w:sz w:val="24"/>
          <w:szCs w:val="24"/>
        </w:rPr>
        <w:t xml:space="preserve">                                                                </w:t>
      </w:r>
      <w:r w:rsidR="3422E46B" w:rsidRPr="2E34ED66">
        <w:rPr>
          <w:sz w:val="24"/>
          <w:szCs w:val="24"/>
        </w:rPr>
        <w:t xml:space="preserve">  </w:t>
      </w:r>
      <w:r w:rsidRPr="2E34ED66">
        <w:rPr>
          <w:rStyle w:val="Titlu2Caracter"/>
          <w:sz w:val="24"/>
          <w:szCs w:val="24"/>
        </w:rPr>
        <w:t>2</w:t>
      </w:r>
      <w:r w:rsidR="59DD1D76" w:rsidRPr="2E34ED66">
        <w:rPr>
          <w:rStyle w:val="Titlu2Caracter"/>
          <w:sz w:val="24"/>
          <w:szCs w:val="24"/>
        </w:rPr>
        <w:t>.</w:t>
      </w:r>
      <w:r w:rsidRPr="2E34ED66">
        <w:rPr>
          <w:rStyle w:val="Titlu2Caracter"/>
          <w:sz w:val="24"/>
          <w:szCs w:val="24"/>
        </w:rPr>
        <w:t>2</w:t>
      </w:r>
    </w:p>
    <w:p w14:paraId="028C9A4D" w14:textId="43886CE8" w:rsidR="5F2820C5" w:rsidRDefault="07EEC1E8" w:rsidP="2E34ED66">
      <w:pPr>
        <w:pStyle w:val="Titlu2"/>
        <w:numPr>
          <w:ilvl w:val="0"/>
          <w:numId w:val="1"/>
        </w:numPr>
        <w:jc w:val="both"/>
        <w:rPr>
          <w:sz w:val="24"/>
          <w:szCs w:val="24"/>
        </w:rPr>
      </w:pPr>
      <w:r w:rsidRPr="2E34ED66">
        <w:rPr>
          <w:sz w:val="24"/>
          <w:szCs w:val="24"/>
        </w:rPr>
        <w:t xml:space="preserve">Vision, </w:t>
      </w:r>
      <w:r w:rsidR="5F2820C5" w:rsidRPr="2E34ED66">
        <w:rPr>
          <w:sz w:val="24"/>
          <w:szCs w:val="24"/>
        </w:rPr>
        <w:t>Mis</w:t>
      </w:r>
      <w:r w:rsidR="426EBA6B" w:rsidRPr="2E34ED66">
        <w:rPr>
          <w:sz w:val="24"/>
          <w:szCs w:val="24"/>
        </w:rPr>
        <w:t>s</w:t>
      </w:r>
      <w:r w:rsidR="5F2820C5" w:rsidRPr="2E34ED66">
        <w:rPr>
          <w:sz w:val="24"/>
          <w:szCs w:val="24"/>
        </w:rPr>
        <w:t>ion</w:t>
      </w:r>
      <w:r w:rsidR="37E45850" w:rsidRPr="2E34ED66">
        <w:rPr>
          <w:sz w:val="24"/>
          <w:szCs w:val="24"/>
        </w:rPr>
        <w:t>,</w:t>
      </w:r>
      <w:r w:rsidR="5F2820C5" w:rsidRPr="2E34ED66">
        <w:rPr>
          <w:sz w:val="24"/>
          <w:szCs w:val="24"/>
        </w:rPr>
        <w:t xml:space="preserve"> and </w:t>
      </w:r>
      <w:r w:rsidRPr="2E34ED66">
        <w:rPr>
          <w:sz w:val="24"/>
          <w:szCs w:val="24"/>
        </w:rPr>
        <w:t>Strategic focus</w:t>
      </w:r>
      <w:r w:rsidR="627A3D7D" w:rsidRPr="2E34ED66">
        <w:rPr>
          <w:sz w:val="24"/>
          <w:szCs w:val="24"/>
        </w:rPr>
        <w:t xml:space="preserve">                                                                       </w:t>
      </w:r>
      <w:r w:rsidR="65B2C27A" w:rsidRPr="2E34ED66">
        <w:rPr>
          <w:sz w:val="24"/>
          <w:szCs w:val="24"/>
        </w:rPr>
        <w:t>2.3</w:t>
      </w:r>
    </w:p>
    <w:p w14:paraId="604650B0" w14:textId="6D50F83C" w:rsidR="0CF303EC" w:rsidRDefault="0CF303EC" w:rsidP="2E34ED66">
      <w:pPr>
        <w:pStyle w:val="Titlu2"/>
        <w:numPr>
          <w:ilvl w:val="0"/>
          <w:numId w:val="1"/>
        </w:numPr>
        <w:jc w:val="both"/>
        <w:rPr>
          <w:sz w:val="24"/>
          <w:szCs w:val="24"/>
        </w:rPr>
      </w:pPr>
      <w:r w:rsidRPr="2E34ED66">
        <w:rPr>
          <w:sz w:val="24"/>
          <w:szCs w:val="24"/>
        </w:rPr>
        <w:t>Goals</w:t>
      </w:r>
      <w:r w:rsidR="6B9526BC" w:rsidRPr="2E34ED66">
        <w:rPr>
          <w:sz w:val="24"/>
          <w:szCs w:val="24"/>
        </w:rPr>
        <w:t xml:space="preserve"> of J.P Morgan-Ban</w:t>
      </w:r>
      <w:r w:rsidR="6309E677" w:rsidRPr="2E34ED66">
        <w:rPr>
          <w:sz w:val="24"/>
          <w:szCs w:val="24"/>
        </w:rPr>
        <w:t xml:space="preserve">k                                         </w:t>
      </w:r>
      <w:r w:rsidR="474972B6" w:rsidRPr="2E34ED66">
        <w:rPr>
          <w:sz w:val="24"/>
          <w:szCs w:val="24"/>
        </w:rPr>
        <w:t xml:space="preserve">          </w:t>
      </w:r>
      <w:r w:rsidR="6309E677" w:rsidRPr="2E34ED66">
        <w:rPr>
          <w:sz w:val="24"/>
          <w:szCs w:val="24"/>
        </w:rPr>
        <w:t xml:space="preserve">                                     2.</w:t>
      </w:r>
      <w:r w:rsidR="090F022D" w:rsidRPr="2E34ED66">
        <w:rPr>
          <w:sz w:val="24"/>
          <w:szCs w:val="24"/>
        </w:rPr>
        <w:t>4</w:t>
      </w:r>
    </w:p>
    <w:p w14:paraId="092B1144" w14:textId="175D17B9" w:rsidR="3C41EBD7" w:rsidRDefault="59D7F722" w:rsidP="2E34ED66">
      <w:pPr>
        <w:pStyle w:val="Titlu2"/>
        <w:numPr>
          <w:ilvl w:val="0"/>
          <w:numId w:val="1"/>
        </w:numPr>
        <w:jc w:val="both"/>
        <w:rPr>
          <w:sz w:val="24"/>
          <w:szCs w:val="24"/>
        </w:rPr>
      </w:pPr>
      <w:r w:rsidRPr="2E34ED66">
        <w:rPr>
          <w:sz w:val="24"/>
          <w:szCs w:val="24"/>
        </w:rPr>
        <w:t xml:space="preserve">Financial </w:t>
      </w:r>
      <w:r w:rsidR="13866A22" w:rsidRPr="2E34ED66">
        <w:rPr>
          <w:sz w:val="24"/>
          <w:szCs w:val="24"/>
        </w:rPr>
        <w:t>overview</w:t>
      </w:r>
      <w:r w:rsidR="3C41EBD7" w:rsidRPr="2E34ED66">
        <w:rPr>
          <w:sz w:val="24"/>
          <w:szCs w:val="24"/>
        </w:rPr>
        <w:t xml:space="preserve"> </w:t>
      </w:r>
      <w:r w:rsidR="090F022D" w:rsidRPr="2E34ED66">
        <w:rPr>
          <w:sz w:val="24"/>
          <w:szCs w:val="24"/>
        </w:rPr>
        <w:t>of J.P Morgan-Bank</w:t>
      </w:r>
      <w:r w:rsidR="2F8AECBF" w:rsidRPr="2E34ED66">
        <w:rPr>
          <w:sz w:val="24"/>
          <w:szCs w:val="24"/>
        </w:rPr>
        <w:t xml:space="preserve"> </w:t>
      </w:r>
      <w:r w:rsidR="392F900F" w:rsidRPr="2E34ED66">
        <w:rPr>
          <w:sz w:val="24"/>
          <w:szCs w:val="24"/>
        </w:rPr>
        <w:t xml:space="preserve">  </w:t>
      </w:r>
      <w:r w:rsidR="19C030B4" w:rsidRPr="2E34ED66">
        <w:rPr>
          <w:sz w:val="24"/>
          <w:szCs w:val="24"/>
        </w:rPr>
        <w:t xml:space="preserve">                </w:t>
      </w:r>
      <w:r w:rsidR="392F900F" w:rsidRPr="2E34ED66">
        <w:rPr>
          <w:sz w:val="24"/>
          <w:szCs w:val="24"/>
        </w:rPr>
        <w:t xml:space="preserve">             </w:t>
      </w:r>
      <w:r w:rsidR="4A6C6755" w:rsidRPr="2E34ED66">
        <w:rPr>
          <w:sz w:val="24"/>
          <w:szCs w:val="24"/>
        </w:rPr>
        <w:t xml:space="preserve">   </w:t>
      </w:r>
      <w:r w:rsidR="392F900F" w:rsidRPr="2E34ED66">
        <w:rPr>
          <w:sz w:val="24"/>
          <w:szCs w:val="24"/>
        </w:rPr>
        <w:t xml:space="preserve">                              </w:t>
      </w:r>
      <w:r w:rsidR="2F8AECBF" w:rsidRPr="2E34ED66">
        <w:rPr>
          <w:sz w:val="24"/>
          <w:szCs w:val="24"/>
        </w:rPr>
        <w:t>2</w:t>
      </w:r>
      <w:r w:rsidR="259BC811" w:rsidRPr="2E34ED66">
        <w:rPr>
          <w:sz w:val="24"/>
          <w:szCs w:val="24"/>
        </w:rPr>
        <w:t>.5</w:t>
      </w:r>
    </w:p>
    <w:p w14:paraId="7AFE445F" w14:textId="112EA711" w:rsidR="4A7DE22F" w:rsidRDefault="4A7DE22F" w:rsidP="2E34ED66">
      <w:pPr>
        <w:pStyle w:val="Titlu2"/>
        <w:numPr>
          <w:ilvl w:val="0"/>
          <w:numId w:val="1"/>
        </w:numPr>
        <w:jc w:val="both"/>
        <w:rPr>
          <w:sz w:val="24"/>
          <w:szCs w:val="24"/>
        </w:rPr>
      </w:pPr>
      <w:r w:rsidRPr="2E34ED66">
        <w:rPr>
          <w:sz w:val="24"/>
          <w:szCs w:val="24"/>
        </w:rPr>
        <w:t xml:space="preserve">Market </w:t>
      </w:r>
      <w:r w:rsidR="42B5FE66" w:rsidRPr="2E34ED66">
        <w:rPr>
          <w:sz w:val="24"/>
          <w:szCs w:val="24"/>
        </w:rPr>
        <w:t>Position and</w:t>
      </w:r>
      <w:r w:rsidRPr="2E34ED66">
        <w:rPr>
          <w:sz w:val="24"/>
          <w:szCs w:val="24"/>
        </w:rPr>
        <w:t xml:space="preserve"> Shares </w:t>
      </w:r>
      <w:r w:rsidR="0315C4F9" w:rsidRPr="2E34ED66">
        <w:rPr>
          <w:sz w:val="24"/>
          <w:szCs w:val="24"/>
        </w:rPr>
        <w:t xml:space="preserve">         </w:t>
      </w:r>
      <w:r w:rsidR="1D412CAF" w:rsidRPr="2E34ED66">
        <w:rPr>
          <w:sz w:val="24"/>
          <w:szCs w:val="24"/>
        </w:rPr>
        <w:t xml:space="preserve">  </w:t>
      </w:r>
      <w:r w:rsidR="0315C4F9" w:rsidRPr="2E34ED66">
        <w:rPr>
          <w:sz w:val="24"/>
          <w:szCs w:val="24"/>
        </w:rPr>
        <w:t xml:space="preserve">                                                                        2.</w:t>
      </w:r>
      <w:r w:rsidR="4D25F1D1" w:rsidRPr="2E34ED66">
        <w:rPr>
          <w:sz w:val="24"/>
          <w:szCs w:val="24"/>
        </w:rPr>
        <w:t>6</w:t>
      </w:r>
    </w:p>
    <w:p w14:paraId="30C245BE" w14:textId="371197D9" w:rsidR="099ABDA4" w:rsidRDefault="4A3A66F3" w:rsidP="2E34ED66">
      <w:pPr>
        <w:pStyle w:val="Titlu2"/>
        <w:numPr>
          <w:ilvl w:val="0"/>
          <w:numId w:val="1"/>
        </w:numPr>
        <w:jc w:val="both"/>
        <w:rPr>
          <w:sz w:val="24"/>
          <w:szCs w:val="24"/>
        </w:rPr>
      </w:pPr>
      <w:r w:rsidRPr="2E34ED66">
        <w:rPr>
          <w:sz w:val="24"/>
          <w:szCs w:val="24"/>
        </w:rPr>
        <w:t>Ownership</w:t>
      </w:r>
      <w:r w:rsidR="6C87882C" w:rsidRPr="2E34ED66">
        <w:rPr>
          <w:sz w:val="24"/>
          <w:szCs w:val="24"/>
        </w:rPr>
        <w:t xml:space="preserve"> and </w:t>
      </w:r>
      <w:r w:rsidR="099ABDA4" w:rsidRPr="2E34ED66">
        <w:rPr>
          <w:sz w:val="24"/>
          <w:szCs w:val="24"/>
        </w:rPr>
        <w:t>Stakeholders</w:t>
      </w:r>
      <w:r w:rsidR="097C5B5D" w:rsidRPr="2E34ED66">
        <w:rPr>
          <w:sz w:val="24"/>
          <w:szCs w:val="24"/>
        </w:rPr>
        <w:t xml:space="preserve">  </w:t>
      </w:r>
      <w:r w:rsidR="7F1CF17D" w:rsidRPr="2E34ED66">
        <w:rPr>
          <w:sz w:val="24"/>
          <w:szCs w:val="24"/>
        </w:rPr>
        <w:t xml:space="preserve">                </w:t>
      </w:r>
      <w:r w:rsidR="097C5B5D" w:rsidRPr="2E34ED66">
        <w:rPr>
          <w:sz w:val="24"/>
          <w:szCs w:val="24"/>
        </w:rPr>
        <w:t xml:space="preserve">                                                                </w:t>
      </w:r>
      <w:r w:rsidR="3B176FB7" w:rsidRPr="2E34ED66">
        <w:rPr>
          <w:sz w:val="24"/>
          <w:szCs w:val="24"/>
        </w:rPr>
        <w:t>2.7</w:t>
      </w:r>
    </w:p>
    <w:p w14:paraId="151700B4" w14:textId="53558192" w:rsidR="099ABDA4" w:rsidRDefault="187CDC54" w:rsidP="2E34ED66">
      <w:pPr>
        <w:pStyle w:val="Titlu1"/>
        <w:numPr>
          <w:ilvl w:val="0"/>
          <w:numId w:val="1"/>
        </w:numPr>
        <w:jc w:val="both"/>
        <w:rPr>
          <w:sz w:val="24"/>
          <w:szCs w:val="24"/>
        </w:rPr>
      </w:pPr>
      <w:r w:rsidRPr="2E34ED66">
        <w:rPr>
          <w:sz w:val="24"/>
          <w:szCs w:val="24"/>
        </w:rPr>
        <w:t xml:space="preserve">Strategic Analysis                                     </w:t>
      </w:r>
      <w:r w:rsidR="097C5B5D" w:rsidRPr="2E34ED66">
        <w:rPr>
          <w:sz w:val="24"/>
          <w:szCs w:val="24"/>
        </w:rPr>
        <w:t xml:space="preserve">                                 </w:t>
      </w:r>
      <w:r w:rsidR="636ABC2B" w:rsidRPr="2E34ED66">
        <w:rPr>
          <w:sz w:val="24"/>
          <w:szCs w:val="24"/>
        </w:rPr>
        <w:t xml:space="preserve"> </w:t>
      </w:r>
      <w:r w:rsidR="097C5B5D" w:rsidRPr="2E34ED66">
        <w:rPr>
          <w:sz w:val="24"/>
          <w:szCs w:val="24"/>
        </w:rPr>
        <w:t xml:space="preserve">   </w:t>
      </w:r>
      <w:r w:rsidR="4F7519B6" w:rsidRPr="2E34ED66">
        <w:rPr>
          <w:sz w:val="24"/>
          <w:szCs w:val="24"/>
        </w:rPr>
        <w:t xml:space="preserve"> </w:t>
      </w:r>
      <w:r w:rsidR="00756B3C" w:rsidRPr="2E34ED66">
        <w:rPr>
          <w:sz w:val="24"/>
          <w:szCs w:val="24"/>
        </w:rPr>
        <w:t xml:space="preserve">                        </w:t>
      </w:r>
      <w:r w:rsidR="097C5B5D" w:rsidRPr="2E34ED66">
        <w:rPr>
          <w:sz w:val="24"/>
          <w:szCs w:val="24"/>
        </w:rPr>
        <w:t xml:space="preserve">    </w:t>
      </w:r>
      <w:r w:rsidR="2B2C6D5E" w:rsidRPr="2E34ED66">
        <w:rPr>
          <w:sz w:val="24"/>
          <w:szCs w:val="24"/>
        </w:rPr>
        <w:t>3</w:t>
      </w:r>
    </w:p>
    <w:p w14:paraId="4303AA7E" w14:textId="1DC23CDA" w:rsidR="520DF666" w:rsidRDefault="520DF666" w:rsidP="2E34ED66">
      <w:pPr>
        <w:pStyle w:val="Titlu2"/>
        <w:numPr>
          <w:ilvl w:val="0"/>
          <w:numId w:val="1"/>
        </w:numPr>
        <w:jc w:val="both"/>
        <w:rPr>
          <w:sz w:val="24"/>
          <w:szCs w:val="24"/>
        </w:rPr>
      </w:pPr>
      <w:r w:rsidRPr="2E34ED66">
        <w:rPr>
          <w:sz w:val="24"/>
          <w:szCs w:val="24"/>
        </w:rPr>
        <w:t>Internal analysis                                                                                                        3.1</w:t>
      </w:r>
    </w:p>
    <w:p w14:paraId="453F541C" w14:textId="628E085F" w:rsidR="520DF666" w:rsidRDefault="520DF666" w:rsidP="2E34ED66">
      <w:pPr>
        <w:pStyle w:val="Listparagraf"/>
        <w:numPr>
          <w:ilvl w:val="0"/>
          <w:numId w:val="1"/>
        </w:numPr>
        <w:jc w:val="both"/>
        <w:rPr>
          <w:sz w:val="24"/>
          <w:szCs w:val="24"/>
        </w:rPr>
      </w:pPr>
      <w:r w:rsidRPr="2E34ED66">
        <w:rPr>
          <w:rStyle w:val="Titlu3Caracter"/>
        </w:rPr>
        <w:t xml:space="preserve">SWOT   </w:t>
      </w:r>
      <w:r w:rsidRPr="2E34ED66">
        <w:rPr>
          <w:sz w:val="24"/>
          <w:szCs w:val="24"/>
        </w:rPr>
        <w:t xml:space="preserve">                          </w:t>
      </w:r>
    </w:p>
    <w:p w14:paraId="0CED83D7" w14:textId="54989553" w:rsidR="520DF666" w:rsidRDefault="520DF666" w:rsidP="2E34ED66">
      <w:pPr>
        <w:pStyle w:val="Listparagraf"/>
        <w:numPr>
          <w:ilvl w:val="0"/>
          <w:numId w:val="1"/>
        </w:numPr>
        <w:jc w:val="both"/>
        <w:rPr>
          <w:sz w:val="24"/>
          <w:szCs w:val="24"/>
        </w:rPr>
      </w:pPr>
      <w:r w:rsidRPr="2E34ED66">
        <w:rPr>
          <w:rStyle w:val="Titlu2Caracter"/>
          <w:sz w:val="24"/>
          <w:szCs w:val="24"/>
        </w:rPr>
        <w:t xml:space="preserve">External Analysis                                                                                                       3.2   </w:t>
      </w:r>
      <w:r w:rsidRPr="2E34ED66">
        <w:rPr>
          <w:sz w:val="24"/>
          <w:szCs w:val="24"/>
        </w:rPr>
        <w:t xml:space="preserve"> </w:t>
      </w:r>
    </w:p>
    <w:p w14:paraId="7A67C276" w14:textId="4D6DF6F3" w:rsidR="520DF666" w:rsidRDefault="520DF666" w:rsidP="2E34ED66">
      <w:pPr>
        <w:pStyle w:val="Titlu3"/>
        <w:numPr>
          <w:ilvl w:val="0"/>
          <w:numId w:val="1"/>
        </w:numPr>
        <w:jc w:val="both"/>
      </w:pPr>
      <w:r w:rsidRPr="2E34ED66">
        <w:t>PESTLE</w:t>
      </w:r>
    </w:p>
    <w:p w14:paraId="621A27A8" w14:textId="3C65E589" w:rsidR="566F862E" w:rsidRDefault="566F862E" w:rsidP="2E34ED66">
      <w:pPr>
        <w:pStyle w:val="Titlu3"/>
        <w:numPr>
          <w:ilvl w:val="0"/>
          <w:numId w:val="1"/>
        </w:numPr>
        <w:jc w:val="both"/>
      </w:pPr>
      <w:r w:rsidRPr="3189F212">
        <w:rPr>
          <w:rStyle w:val="Titlu3Caracter"/>
        </w:rPr>
        <w:t>Porter's</w:t>
      </w:r>
      <w:r w:rsidR="520DF666" w:rsidRPr="3189F212">
        <w:rPr>
          <w:rStyle w:val="Titlu3Caracter"/>
        </w:rPr>
        <w:t xml:space="preserve">FiveForce                                                                                                                        </w:t>
      </w:r>
    </w:p>
    <w:p w14:paraId="2EC83000" w14:textId="5C9FDD41" w:rsidR="2F8AECBF" w:rsidRDefault="2F8AECBF" w:rsidP="2E34ED66">
      <w:pPr>
        <w:pStyle w:val="Titlu1"/>
        <w:numPr>
          <w:ilvl w:val="0"/>
          <w:numId w:val="1"/>
        </w:numPr>
        <w:jc w:val="both"/>
        <w:rPr>
          <w:sz w:val="24"/>
          <w:szCs w:val="24"/>
        </w:rPr>
      </w:pPr>
      <w:r w:rsidRPr="2E34ED66">
        <w:rPr>
          <w:sz w:val="24"/>
          <w:szCs w:val="24"/>
        </w:rPr>
        <w:t xml:space="preserve">Evaluation of </w:t>
      </w:r>
      <w:r w:rsidR="1F596BC0" w:rsidRPr="2E34ED66">
        <w:rPr>
          <w:sz w:val="24"/>
          <w:szCs w:val="24"/>
        </w:rPr>
        <w:t xml:space="preserve">Current </w:t>
      </w:r>
      <w:r w:rsidR="025C3F20" w:rsidRPr="2E34ED66">
        <w:rPr>
          <w:sz w:val="24"/>
          <w:szCs w:val="24"/>
        </w:rPr>
        <w:t>Strategy</w:t>
      </w:r>
      <w:r w:rsidR="1F596BC0" w:rsidRPr="2E34ED66">
        <w:rPr>
          <w:sz w:val="24"/>
          <w:szCs w:val="24"/>
        </w:rPr>
        <w:t xml:space="preserve">              </w:t>
      </w:r>
      <w:r w:rsidR="58A97E05" w:rsidRPr="2E34ED66">
        <w:rPr>
          <w:sz w:val="24"/>
          <w:szCs w:val="24"/>
        </w:rPr>
        <w:t xml:space="preserve"> </w:t>
      </w:r>
      <w:r w:rsidR="1F596BC0" w:rsidRPr="2E34ED66">
        <w:rPr>
          <w:sz w:val="24"/>
          <w:szCs w:val="24"/>
        </w:rPr>
        <w:t xml:space="preserve">                                     </w:t>
      </w:r>
      <w:r w:rsidR="4ED642D0" w:rsidRPr="2E34ED66">
        <w:rPr>
          <w:sz w:val="24"/>
          <w:szCs w:val="24"/>
        </w:rPr>
        <w:t xml:space="preserve">                         </w:t>
      </w:r>
      <w:r w:rsidR="1F596BC0" w:rsidRPr="2E34ED66">
        <w:rPr>
          <w:sz w:val="24"/>
          <w:szCs w:val="24"/>
        </w:rPr>
        <w:t xml:space="preserve">   4</w:t>
      </w:r>
    </w:p>
    <w:p w14:paraId="593D9981" w14:textId="36433A2C" w:rsidR="2F8AECBF" w:rsidRDefault="2F8AECBF" w:rsidP="2E34ED66">
      <w:pPr>
        <w:pStyle w:val="Listparagraf"/>
        <w:numPr>
          <w:ilvl w:val="0"/>
          <w:numId w:val="1"/>
        </w:numPr>
        <w:jc w:val="both"/>
        <w:rPr>
          <w:rStyle w:val="Titlu2Caracter"/>
          <w:sz w:val="24"/>
          <w:szCs w:val="24"/>
        </w:rPr>
      </w:pPr>
      <w:r w:rsidRPr="2E34ED66">
        <w:rPr>
          <w:sz w:val="24"/>
          <w:szCs w:val="24"/>
        </w:rPr>
        <w:t xml:space="preserve"> </w:t>
      </w:r>
      <w:r w:rsidR="051274BD" w:rsidRPr="2E34ED66">
        <w:rPr>
          <w:rStyle w:val="Titlu2Caracter"/>
          <w:sz w:val="24"/>
          <w:szCs w:val="24"/>
        </w:rPr>
        <w:t>Strategic Direction                                                                                                   4.1</w:t>
      </w:r>
    </w:p>
    <w:p w14:paraId="28892E16" w14:textId="06DD7350" w:rsidR="2F8AECBF" w:rsidRDefault="163C9FBF" w:rsidP="2E34ED66">
      <w:pPr>
        <w:pStyle w:val="Listparagraf"/>
        <w:numPr>
          <w:ilvl w:val="0"/>
          <w:numId w:val="1"/>
        </w:numPr>
        <w:jc w:val="both"/>
        <w:rPr>
          <w:rStyle w:val="Titlu2Caracter"/>
          <w:sz w:val="24"/>
          <w:szCs w:val="24"/>
        </w:rPr>
      </w:pPr>
      <w:r w:rsidRPr="2E34ED66">
        <w:rPr>
          <w:rStyle w:val="Titlu2Caracter"/>
          <w:sz w:val="24"/>
          <w:szCs w:val="24"/>
        </w:rPr>
        <w:t>Strategic Capability                                                                                                   4.2</w:t>
      </w:r>
    </w:p>
    <w:p w14:paraId="05CB92D1" w14:textId="2A13EE2D" w:rsidR="2F8AECBF" w:rsidRDefault="163C9FBF" w:rsidP="2E34ED66">
      <w:pPr>
        <w:pStyle w:val="Titlu1"/>
        <w:numPr>
          <w:ilvl w:val="0"/>
          <w:numId w:val="1"/>
        </w:numPr>
        <w:jc w:val="both"/>
        <w:rPr>
          <w:sz w:val="24"/>
          <w:szCs w:val="24"/>
        </w:rPr>
      </w:pPr>
      <w:r w:rsidRPr="2E34ED66">
        <w:rPr>
          <w:sz w:val="24"/>
          <w:szCs w:val="24"/>
        </w:rPr>
        <w:t xml:space="preserve">Conclusion                                                                               </w:t>
      </w:r>
      <w:r w:rsidR="1F862D9C" w:rsidRPr="2E34ED66">
        <w:rPr>
          <w:sz w:val="24"/>
          <w:szCs w:val="24"/>
        </w:rPr>
        <w:t xml:space="preserve">                          </w:t>
      </w:r>
      <w:r w:rsidRPr="2E34ED66">
        <w:rPr>
          <w:sz w:val="24"/>
          <w:szCs w:val="24"/>
        </w:rPr>
        <w:t xml:space="preserve">          5</w:t>
      </w:r>
    </w:p>
    <w:p w14:paraId="2DAA1F4E" w14:textId="4E885508" w:rsidR="2F8AECBF" w:rsidRDefault="163C9FBF" w:rsidP="2E34ED66">
      <w:pPr>
        <w:pStyle w:val="Titlu2"/>
        <w:numPr>
          <w:ilvl w:val="0"/>
          <w:numId w:val="1"/>
        </w:numPr>
        <w:jc w:val="both"/>
        <w:rPr>
          <w:sz w:val="24"/>
          <w:szCs w:val="24"/>
        </w:rPr>
      </w:pPr>
      <w:r w:rsidRPr="2E34ED66">
        <w:rPr>
          <w:sz w:val="24"/>
          <w:szCs w:val="24"/>
        </w:rPr>
        <w:t xml:space="preserve">Strategic </w:t>
      </w:r>
      <w:r w:rsidR="19ED0086" w:rsidRPr="2E34ED66">
        <w:rPr>
          <w:sz w:val="24"/>
          <w:szCs w:val="24"/>
        </w:rPr>
        <w:t>Recommendations</w:t>
      </w:r>
      <w:r w:rsidRPr="2E34ED66">
        <w:rPr>
          <w:sz w:val="24"/>
          <w:szCs w:val="24"/>
        </w:rPr>
        <w:t xml:space="preserve">                                                                                   5.1</w:t>
      </w:r>
    </w:p>
    <w:p w14:paraId="18D3A11B" w14:textId="36A4FE61" w:rsidR="2F8AECBF" w:rsidRDefault="40E39BCA" w:rsidP="2E34ED66">
      <w:pPr>
        <w:pStyle w:val="Titlu2"/>
        <w:numPr>
          <w:ilvl w:val="0"/>
          <w:numId w:val="1"/>
        </w:numPr>
        <w:jc w:val="both"/>
        <w:rPr>
          <w:rStyle w:val="Titlu1Caracter"/>
          <w:sz w:val="24"/>
          <w:szCs w:val="24"/>
        </w:rPr>
      </w:pPr>
      <w:r w:rsidRPr="5FDA4617">
        <w:rPr>
          <w:rStyle w:val="Titlu1Caracter"/>
          <w:sz w:val="24"/>
          <w:szCs w:val="24"/>
        </w:rPr>
        <w:t>Bibliograph</w:t>
      </w:r>
      <w:r w:rsidR="3097021C" w:rsidRPr="5FDA4617">
        <w:rPr>
          <w:rStyle w:val="Titlu1Caracter"/>
          <w:sz w:val="24"/>
          <w:szCs w:val="24"/>
        </w:rPr>
        <w:t>y</w:t>
      </w:r>
      <w:r w:rsidRPr="5FDA4617">
        <w:rPr>
          <w:rStyle w:val="Titlu1Caracter"/>
          <w:sz w:val="24"/>
          <w:szCs w:val="24"/>
        </w:rPr>
        <w:t xml:space="preserve">  </w:t>
      </w:r>
      <w:r w:rsidR="2D5DAAE8" w:rsidRPr="5FDA4617">
        <w:rPr>
          <w:rStyle w:val="Titlu1Caracter"/>
          <w:sz w:val="24"/>
          <w:szCs w:val="24"/>
        </w:rPr>
        <w:t xml:space="preserve">                                                                        </w:t>
      </w:r>
      <w:r w:rsidR="622101B6" w:rsidRPr="5FDA4617">
        <w:rPr>
          <w:rStyle w:val="Titlu1Caracter"/>
          <w:sz w:val="24"/>
          <w:szCs w:val="24"/>
        </w:rPr>
        <w:t xml:space="preserve">                         </w:t>
      </w:r>
      <w:r w:rsidR="2D5DAAE8" w:rsidRPr="5FDA4617">
        <w:rPr>
          <w:rStyle w:val="Titlu1Caracter"/>
          <w:sz w:val="24"/>
          <w:szCs w:val="24"/>
        </w:rPr>
        <w:t xml:space="preserve">               6</w:t>
      </w:r>
    </w:p>
    <w:p w14:paraId="258ACFA3" w14:textId="7EFF1C0A" w:rsidR="2F8AECBF" w:rsidRDefault="2F8AECBF" w:rsidP="2E34ED66">
      <w:pPr>
        <w:pStyle w:val="Titlu1"/>
        <w:numPr>
          <w:ilvl w:val="0"/>
          <w:numId w:val="1"/>
        </w:numPr>
        <w:jc w:val="both"/>
        <w:rPr>
          <w:sz w:val="24"/>
          <w:szCs w:val="24"/>
        </w:rPr>
      </w:pPr>
      <w:r w:rsidRPr="2E34ED66">
        <w:rPr>
          <w:sz w:val="24"/>
          <w:szCs w:val="24"/>
        </w:rPr>
        <w:t xml:space="preserve">Appendices </w:t>
      </w:r>
      <w:r w:rsidR="0D4EBC9E" w:rsidRPr="2E34ED66">
        <w:rPr>
          <w:sz w:val="24"/>
          <w:szCs w:val="24"/>
        </w:rPr>
        <w:t xml:space="preserve">                                                                              </w:t>
      </w:r>
      <w:r w:rsidR="48033159" w:rsidRPr="2E34ED66">
        <w:rPr>
          <w:sz w:val="24"/>
          <w:szCs w:val="24"/>
        </w:rPr>
        <w:t xml:space="preserve">                        </w:t>
      </w:r>
      <w:r w:rsidR="0D4EBC9E" w:rsidRPr="2E34ED66">
        <w:rPr>
          <w:sz w:val="24"/>
          <w:szCs w:val="24"/>
        </w:rPr>
        <w:t xml:space="preserve">          7</w:t>
      </w:r>
    </w:p>
    <w:p w14:paraId="48C78488" w14:textId="3ED3BA93" w:rsidR="2F8AECBF" w:rsidRDefault="2F8AECBF" w:rsidP="2E34ED66">
      <w:pPr>
        <w:pStyle w:val="Titlu2"/>
        <w:numPr>
          <w:ilvl w:val="0"/>
          <w:numId w:val="1"/>
        </w:numPr>
        <w:jc w:val="both"/>
        <w:rPr>
          <w:sz w:val="24"/>
          <w:szCs w:val="24"/>
        </w:rPr>
      </w:pPr>
      <w:r w:rsidRPr="2E34ED66">
        <w:rPr>
          <w:sz w:val="24"/>
          <w:szCs w:val="24"/>
        </w:rPr>
        <w:t xml:space="preserve"> Appendix A: </w:t>
      </w:r>
      <w:r w:rsidR="73E101B4" w:rsidRPr="2252EF13">
        <w:rPr>
          <w:sz w:val="24"/>
          <w:szCs w:val="24"/>
        </w:rPr>
        <w:t xml:space="preserve"> SWOT Analysis </w:t>
      </w:r>
      <w:r w:rsidR="27DAF282" w:rsidRPr="2252EF13">
        <w:rPr>
          <w:sz w:val="24"/>
          <w:szCs w:val="24"/>
        </w:rPr>
        <w:t xml:space="preserve">                      </w:t>
      </w:r>
      <w:r w:rsidR="32A6E68F" w:rsidRPr="2252EF13">
        <w:rPr>
          <w:sz w:val="24"/>
          <w:szCs w:val="24"/>
        </w:rPr>
        <w:t xml:space="preserve">                             </w:t>
      </w:r>
      <w:r w:rsidRPr="2E34ED66">
        <w:rPr>
          <w:sz w:val="24"/>
          <w:szCs w:val="24"/>
        </w:rPr>
        <w:t xml:space="preserve"> </w:t>
      </w:r>
      <w:r w:rsidR="27DAF282" w:rsidRPr="2E34ED66">
        <w:rPr>
          <w:sz w:val="24"/>
          <w:szCs w:val="24"/>
        </w:rPr>
        <w:t xml:space="preserve">                             7.1</w:t>
      </w:r>
    </w:p>
    <w:p w14:paraId="0A18476E" w14:textId="3C72D71C" w:rsidR="2F8AECBF" w:rsidRDefault="2F8AECBF" w:rsidP="2E34ED66">
      <w:pPr>
        <w:pStyle w:val="Titlu2"/>
        <w:numPr>
          <w:ilvl w:val="0"/>
          <w:numId w:val="1"/>
        </w:numPr>
        <w:jc w:val="both"/>
        <w:rPr>
          <w:sz w:val="24"/>
          <w:szCs w:val="24"/>
        </w:rPr>
      </w:pPr>
      <w:r w:rsidRPr="2252EF13">
        <w:rPr>
          <w:sz w:val="24"/>
          <w:szCs w:val="24"/>
        </w:rPr>
        <w:t xml:space="preserve"> Appendix B: </w:t>
      </w:r>
      <w:r w:rsidR="26048B27" w:rsidRPr="2252EF13">
        <w:rPr>
          <w:sz w:val="24"/>
          <w:szCs w:val="24"/>
        </w:rPr>
        <w:t xml:space="preserve">    </w:t>
      </w:r>
      <w:r w:rsidR="03A412C7">
        <w:t xml:space="preserve">PESTLE                                                                         </w:t>
      </w:r>
      <w:r w:rsidR="26048B27" w:rsidRPr="2252EF13">
        <w:rPr>
          <w:sz w:val="24"/>
          <w:szCs w:val="24"/>
        </w:rPr>
        <w:t xml:space="preserve">            7.2</w:t>
      </w:r>
    </w:p>
    <w:p w14:paraId="41170D3D" w14:textId="0D2BF436" w:rsidR="2F8AECBF" w:rsidRDefault="2F8AECBF" w:rsidP="2E34ED66">
      <w:pPr>
        <w:pStyle w:val="Titlu2"/>
        <w:numPr>
          <w:ilvl w:val="0"/>
          <w:numId w:val="1"/>
        </w:numPr>
        <w:jc w:val="both"/>
        <w:rPr>
          <w:sz w:val="24"/>
          <w:szCs w:val="24"/>
        </w:rPr>
      </w:pPr>
      <w:r w:rsidRPr="2E34ED66">
        <w:rPr>
          <w:sz w:val="24"/>
          <w:szCs w:val="24"/>
        </w:rPr>
        <w:t xml:space="preserve">Appendix C: </w:t>
      </w:r>
      <w:r w:rsidR="338B685C" w:rsidRPr="2252EF13">
        <w:rPr>
          <w:sz w:val="24"/>
          <w:szCs w:val="24"/>
        </w:rPr>
        <w:t xml:space="preserve">   </w:t>
      </w:r>
      <w:r w:rsidR="480F7BBA" w:rsidRPr="2252EF13">
        <w:rPr>
          <w:rStyle w:val="Titlu3Caracter"/>
        </w:rPr>
        <w:t xml:space="preserve">Porter'sFiveForce                                      </w:t>
      </w:r>
      <w:r w:rsidRPr="2252EF13">
        <w:rPr>
          <w:rStyle w:val="Titlu3Caracter"/>
        </w:rPr>
        <w:t xml:space="preserve"> </w:t>
      </w:r>
      <w:r w:rsidR="338B685C" w:rsidRPr="2252EF13">
        <w:rPr>
          <w:rStyle w:val="Titlu3Caracter"/>
        </w:rPr>
        <w:t xml:space="preserve">    </w:t>
      </w:r>
      <w:r w:rsidR="338B685C" w:rsidRPr="2E34ED66">
        <w:rPr>
          <w:sz w:val="24"/>
          <w:szCs w:val="24"/>
        </w:rPr>
        <w:t xml:space="preserve">                                 7.3</w:t>
      </w:r>
    </w:p>
    <w:p w14:paraId="6323AE7C" w14:textId="5264AA7D" w:rsidR="4BE4315B" w:rsidRDefault="68C2E005" w:rsidP="514A0B17">
      <w:pPr>
        <w:pStyle w:val="Titlu2"/>
        <w:numPr>
          <w:ilvl w:val="0"/>
          <w:numId w:val="1"/>
        </w:numPr>
        <w:jc w:val="both"/>
        <w:rPr>
          <w:sz w:val="24"/>
          <w:szCs w:val="24"/>
        </w:rPr>
      </w:pPr>
      <w:r w:rsidRPr="514A0B17">
        <w:rPr>
          <w:sz w:val="24"/>
          <w:szCs w:val="24"/>
        </w:rPr>
        <w:t xml:space="preserve"> Appendix D:     BCG Matrix</w:t>
      </w:r>
      <w:r>
        <w:t xml:space="preserve">                                                                   </w:t>
      </w:r>
      <w:r w:rsidRPr="514A0B17">
        <w:rPr>
          <w:sz w:val="24"/>
          <w:szCs w:val="24"/>
        </w:rPr>
        <w:t xml:space="preserve">            7.4</w:t>
      </w:r>
    </w:p>
    <w:p w14:paraId="31F5D3A9" w14:textId="22A57ED3" w:rsidR="4BE4315B" w:rsidRDefault="68C2E005" w:rsidP="514A0B17">
      <w:pPr>
        <w:pStyle w:val="Titlu2"/>
        <w:numPr>
          <w:ilvl w:val="0"/>
          <w:numId w:val="1"/>
        </w:numPr>
        <w:jc w:val="both"/>
        <w:rPr>
          <w:sz w:val="24"/>
          <w:szCs w:val="24"/>
        </w:rPr>
      </w:pPr>
      <w:r w:rsidRPr="514A0B17">
        <w:rPr>
          <w:sz w:val="24"/>
          <w:szCs w:val="24"/>
        </w:rPr>
        <w:t xml:space="preserve">Appendix E:  </w:t>
      </w:r>
      <w:r w:rsidR="35E9F3B6" w:rsidRPr="514A0B17">
        <w:rPr>
          <w:sz w:val="24"/>
          <w:szCs w:val="24"/>
        </w:rPr>
        <w:t xml:space="preserve"> Stakeholder           </w:t>
      </w:r>
      <w:r w:rsidRPr="514A0B17">
        <w:rPr>
          <w:sz w:val="24"/>
          <w:szCs w:val="24"/>
        </w:rPr>
        <w:t xml:space="preserve">  </w:t>
      </w:r>
      <w:r w:rsidRPr="514A0B17">
        <w:rPr>
          <w:rStyle w:val="Titlu3Caracter"/>
        </w:rPr>
        <w:t xml:space="preserve">                                       </w:t>
      </w:r>
      <w:r w:rsidRPr="514A0B17">
        <w:rPr>
          <w:sz w:val="24"/>
          <w:szCs w:val="24"/>
        </w:rPr>
        <w:t xml:space="preserve">    </w:t>
      </w:r>
      <w:r w:rsidR="30078F74" w:rsidRPr="514A0B17">
        <w:rPr>
          <w:sz w:val="24"/>
          <w:szCs w:val="24"/>
        </w:rPr>
        <w:t xml:space="preserve">   </w:t>
      </w:r>
      <w:r w:rsidRPr="514A0B17">
        <w:rPr>
          <w:sz w:val="24"/>
          <w:szCs w:val="24"/>
        </w:rPr>
        <w:t xml:space="preserve">                             7.5</w:t>
      </w:r>
    </w:p>
    <w:p w14:paraId="2213B95C" w14:textId="52F950AB" w:rsidR="4BE4315B" w:rsidRDefault="5E754346" w:rsidP="514A0B17">
      <w:r>
        <w:t xml:space="preserve"> </w:t>
      </w:r>
    </w:p>
    <w:p w14:paraId="1F994BEA" w14:textId="2004070E" w:rsidR="4BE4315B" w:rsidRDefault="4BE4315B" w:rsidP="514A0B17"/>
    <w:p w14:paraId="13608B3B" w14:textId="52F6D401" w:rsidR="4BE4315B" w:rsidRDefault="4BE4315B" w:rsidP="514A0B17"/>
    <w:p w14:paraId="26E88E00" w14:textId="37E2A1B4" w:rsidR="4BE4315B" w:rsidRDefault="5E8D675A" w:rsidP="514A0B17">
      <w:pPr>
        <w:rPr>
          <w:rFonts w:eastAsiaTheme="minorEastAsia"/>
          <w:color w:val="222222"/>
        </w:rPr>
      </w:pPr>
      <w:r>
        <w:lastRenderedPageBreak/>
        <w:t xml:space="preserve">             </w:t>
      </w:r>
      <w:r w:rsidR="46BB6F7A" w:rsidRPr="514A0B17">
        <w:rPr>
          <w:rFonts w:eastAsiaTheme="minorEastAsia"/>
          <w:b/>
          <w:bCs/>
          <w:color w:val="222222"/>
          <w:sz w:val="24"/>
          <w:szCs w:val="24"/>
        </w:rPr>
        <w:t xml:space="preserve">             </w:t>
      </w:r>
    </w:p>
    <w:p w14:paraId="6DDF34FD" w14:textId="2D340C4C" w:rsidR="4BE4315B" w:rsidRDefault="4BE4315B" w:rsidP="514A0B17">
      <w:pPr>
        <w:rPr>
          <w:rFonts w:eastAsiaTheme="minorEastAsia"/>
          <w:b/>
          <w:bCs/>
          <w:color w:val="222222"/>
          <w:sz w:val="24"/>
          <w:szCs w:val="24"/>
        </w:rPr>
      </w:pPr>
    </w:p>
    <w:p w14:paraId="32374888" w14:textId="247F1EC7" w:rsidR="4BE4315B" w:rsidRDefault="4BE4315B" w:rsidP="2E34ED66">
      <w:pPr>
        <w:jc w:val="both"/>
        <w:rPr>
          <w:b/>
          <w:bCs/>
          <w:sz w:val="24"/>
          <w:szCs w:val="24"/>
        </w:rPr>
      </w:pPr>
    </w:p>
    <w:p w14:paraId="50E9EED1" w14:textId="7D03625F" w:rsidR="4BE4315B" w:rsidRDefault="4BE4315B" w:rsidP="4BE4315B">
      <w:pPr>
        <w:rPr>
          <w:b/>
          <w:bCs/>
          <w:sz w:val="32"/>
          <w:szCs w:val="32"/>
        </w:rPr>
      </w:pPr>
    </w:p>
    <w:p w14:paraId="5C40EEAA" w14:textId="14AA3C24" w:rsidR="4BE4315B" w:rsidRDefault="4BE4315B" w:rsidP="4BE4315B">
      <w:pPr>
        <w:rPr>
          <w:b/>
          <w:bCs/>
          <w:sz w:val="32"/>
          <w:szCs w:val="32"/>
        </w:rPr>
      </w:pPr>
    </w:p>
    <w:p w14:paraId="3340A1D4" w14:textId="3D3E913F" w:rsidR="4BE4315B" w:rsidRDefault="4BE4315B" w:rsidP="4BE4315B">
      <w:pPr>
        <w:rPr>
          <w:b/>
          <w:bCs/>
          <w:sz w:val="32"/>
          <w:szCs w:val="32"/>
        </w:rPr>
      </w:pPr>
    </w:p>
    <w:p w14:paraId="46961F72" w14:textId="1FE14ED6" w:rsidR="4BE4315B" w:rsidRDefault="187D711A" w:rsidP="1CDBF6BD">
      <w:pPr>
        <w:rPr>
          <w:b/>
          <w:bCs/>
          <w:sz w:val="32"/>
          <w:szCs w:val="32"/>
        </w:rPr>
      </w:pPr>
      <w:r w:rsidRPr="1CDBF6BD">
        <w:rPr>
          <w:b/>
          <w:bCs/>
          <w:sz w:val="32"/>
          <w:szCs w:val="32"/>
        </w:rPr>
        <w:t xml:space="preserve">                                            </w:t>
      </w:r>
      <w:r w:rsidR="2839A1C6">
        <w:rPr>
          <w:noProof/>
        </w:rPr>
        <w:drawing>
          <wp:inline distT="0" distB="0" distL="0" distR="0" wp14:anchorId="336F5A36" wp14:editId="54819930">
            <wp:extent cx="1278385" cy="274320"/>
            <wp:effectExtent l="0" t="0" r="0" b="0"/>
            <wp:docPr id="1174209024"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17470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p>
    <w:p w14:paraId="72F24E56" w14:textId="15F7ACF4" w:rsidR="4BE4315B" w:rsidRDefault="601113F9" w:rsidP="3CE85170">
      <w:pPr>
        <w:rPr>
          <w:sz w:val="32"/>
          <w:szCs w:val="32"/>
        </w:rPr>
      </w:pPr>
      <w:r w:rsidRPr="22CA4DDB">
        <w:rPr>
          <w:b/>
          <w:bCs/>
          <w:sz w:val="32"/>
          <w:szCs w:val="32"/>
        </w:rPr>
        <w:t xml:space="preserve">    </w:t>
      </w:r>
      <w:r w:rsidR="187D711A" w:rsidRPr="22CA4DDB">
        <w:rPr>
          <w:b/>
          <w:bCs/>
          <w:sz w:val="32"/>
          <w:szCs w:val="32"/>
        </w:rPr>
        <w:t xml:space="preserve">  </w:t>
      </w:r>
      <w:r w:rsidR="6EFEA4C9" w:rsidRPr="22CA4DDB">
        <w:rPr>
          <w:b/>
          <w:bCs/>
          <w:sz w:val="32"/>
          <w:szCs w:val="32"/>
        </w:rPr>
        <w:t xml:space="preserve">   </w:t>
      </w:r>
      <w:r w:rsidR="1546CD7F" w:rsidRPr="22CA4DDB">
        <w:rPr>
          <w:b/>
          <w:bCs/>
          <w:sz w:val="32"/>
          <w:szCs w:val="32"/>
        </w:rPr>
        <w:t xml:space="preserve">Introduction </w:t>
      </w:r>
      <w:r w:rsidR="1546CD7F" w:rsidRPr="22CA4DDB">
        <w:rPr>
          <w:sz w:val="32"/>
          <w:szCs w:val="32"/>
        </w:rPr>
        <w:t xml:space="preserve">    </w:t>
      </w:r>
    </w:p>
    <w:p w14:paraId="48F09ED4" w14:textId="6472184D" w:rsidR="4BE4315B" w:rsidRDefault="4BE4315B" w:rsidP="4BE4315B">
      <w:pPr>
        <w:rPr>
          <w:b/>
          <w:bCs/>
          <w:sz w:val="32"/>
          <w:szCs w:val="32"/>
        </w:rPr>
      </w:pPr>
    </w:p>
    <w:p w14:paraId="3DAFDD9B" w14:textId="0389052F" w:rsidR="4BE4315B" w:rsidRDefault="732F6854" w:rsidP="3CE85170">
      <w:pPr>
        <w:rPr>
          <w:rFonts w:ascii="Calibri" w:eastAsia="Calibri" w:hAnsi="Calibri" w:cs="Calibri"/>
          <w:sz w:val="24"/>
          <w:szCs w:val="24"/>
        </w:rPr>
      </w:pPr>
      <w:r>
        <w:t xml:space="preserve">                                                               </w:t>
      </w:r>
      <w:r>
        <w:rPr>
          <w:noProof/>
        </w:rPr>
        <w:drawing>
          <wp:inline distT="0" distB="0" distL="0" distR="0" wp14:anchorId="54450C0D" wp14:editId="59420333">
            <wp:extent cx="919781" cy="974095"/>
            <wp:effectExtent l="0" t="0" r="0" b="0"/>
            <wp:docPr id="549554730" name="Imagine 54955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49554730"/>
                    <pic:cNvPicPr/>
                  </pic:nvPicPr>
                  <pic:blipFill>
                    <a:blip r:embed="rId7" cstate="print">
                      <a:extLst>
                        <a:ext uri="{28A0092B-C50C-407E-A947-70E740481C1C}">
                          <a14:useLocalDpi xmlns:a14="http://schemas.microsoft.com/office/drawing/2010/main" val="0"/>
                        </a:ext>
                      </a:extLst>
                    </a:blip>
                    <a:stretch>
                      <a:fillRect/>
                    </a:stretch>
                  </pic:blipFill>
                  <pic:spPr>
                    <a:xfrm>
                      <a:off x="0" y="0"/>
                      <a:ext cx="919781" cy="974095"/>
                    </a:xfrm>
                    <a:prstGeom prst="rect">
                      <a:avLst/>
                    </a:prstGeom>
                  </pic:spPr>
                </pic:pic>
              </a:graphicData>
            </a:graphic>
          </wp:inline>
        </w:drawing>
      </w:r>
    </w:p>
    <w:p w14:paraId="6849565C" w14:textId="6C5C955D" w:rsidR="1003792A" w:rsidRDefault="1003792A" w:rsidP="2252EF13">
      <w:r w:rsidRPr="2252EF13">
        <w:rPr>
          <w:rFonts w:ascii="Calibri" w:eastAsia="Calibri" w:hAnsi="Calibri" w:cs="Calibri"/>
          <w:sz w:val="24"/>
          <w:szCs w:val="24"/>
        </w:rPr>
        <w:t xml:space="preserve">JPMorgan Chase, a multinational financial services firm, is one of the largest US banks. Financial asset holding firm. The corporation leads commercial banking, investment banking, financial services for individuals and small enterprises, and financial activities worldwide. financial transactions and asset management (Energizer 2023). J.P. Morgan-Bank services numerous US consumers and some of the world's most prominent commercial, institutional, and government clients. J.P. Morgan co-founded Drexel, Morgan, and Company in 1871. After changing its name to J.P. Morgan and Company in 1895, it became JPMorgan Chase &amp; Co. J. P. Morgan founded J.P. Morgan &amp; Co. in 1871 to offer nationwide commercial, investment, and private banking services. In 2000, two companies merged to create a diversified holding company (J.P. Morgan | Biography &amp; Facts. 2024). For management reporting, JPMorgan-Bank organises activities into departments. The contribution indicates that J.P. Morgan-Bank is adaptable and forward-thinking in the global financial business by discussing how history has evolved and how it has moved strategically over the previous five years. We'll examine the bank's mission and vision statements, ownership and corporate structure changes, market share numbers, fiscal year 2019–24 financial performance (Pereira 2023), and how key stakeholders' opinions affect its strategic direction. We'll also study other stuff. This research uses theoretical frameworks and real-world data to examine J.P. Morgan's firm, plans, and capacity. </w:t>
      </w:r>
    </w:p>
    <w:p w14:paraId="742687C2" w14:textId="195E6179" w:rsidR="2252EF13" w:rsidRDefault="2252EF13" w:rsidP="2252EF13"/>
    <w:p w14:paraId="29D5628A" w14:textId="622EC33B" w:rsidR="4BE4315B" w:rsidRDefault="4BE4315B" w:rsidP="4BE4315B">
      <w:pPr>
        <w:rPr>
          <w:b/>
          <w:bCs/>
          <w:sz w:val="32"/>
          <w:szCs w:val="32"/>
        </w:rPr>
      </w:pPr>
    </w:p>
    <w:p w14:paraId="1D5459F7" w14:textId="4B58CCF6" w:rsidR="4BE4315B" w:rsidRDefault="60BC3C5A" w:rsidP="22CA4DDB">
      <w:pPr>
        <w:rPr>
          <w:b/>
          <w:bCs/>
          <w:sz w:val="32"/>
          <w:szCs w:val="32"/>
        </w:rPr>
      </w:pPr>
      <w:r>
        <w:t xml:space="preserve">                                                          </w:t>
      </w:r>
      <w:r w:rsidR="20EAE86C">
        <w:t xml:space="preserve">       </w:t>
      </w:r>
      <w:r w:rsidR="20EAE86C">
        <w:rPr>
          <w:noProof/>
        </w:rPr>
        <w:drawing>
          <wp:inline distT="0" distB="0" distL="0" distR="0" wp14:anchorId="6D4B8B44" wp14:editId="15A79669">
            <wp:extent cx="1278385" cy="274320"/>
            <wp:effectExtent l="0" t="0" r="0" b="0"/>
            <wp:docPr id="1700484708" name="Picture 170048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484708"/>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r w:rsidR="20EAE86C">
        <w:t xml:space="preserve"> </w:t>
      </w:r>
    </w:p>
    <w:p w14:paraId="073DB0EA" w14:textId="09A03675" w:rsidR="4BE4315B" w:rsidRDefault="4BE4315B" w:rsidP="4BE4315B"/>
    <w:p w14:paraId="113BE925" w14:textId="5815E5FB" w:rsidR="1CDBF6BD" w:rsidRDefault="1CDBF6BD" w:rsidP="1CDBF6BD">
      <w:pPr>
        <w:rPr>
          <w:rFonts w:ascii="Arial" w:eastAsia="Arial" w:hAnsi="Arial" w:cs="Arial"/>
          <w:color w:val="222222"/>
        </w:rPr>
      </w:pPr>
    </w:p>
    <w:p w14:paraId="57EAD027" w14:textId="76E69053" w:rsidR="2252EF13" w:rsidRDefault="2252EF13" w:rsidP="2252EF13">
      <w:pPr>
        <w:rPr>
          <w:rFonts w:ascii="Arial" w:eastAsia="Arial" w:hAnsi="Arial" w:cs="Arial"/>
          <w:color w:val="222222"/>
        </w:rPr>
      </w:pPr>
    </w:p>
    <w:p w14:paraId="33D6A323" w14:textId="3B22D1F9" w:rsidR="2252EF13" w:rsidRDefault="2252EF13" w:rsidP="2252EF13">
      <w:pPr>
        <w:rPr>
          <w:rFonts w:ascii="Arial" w:eastAsia="Arial" w:hAnsi="Arial" w:cs="Arial"/>
          <w:color w:val="222222"/>
        </w:rPr>
      </w:pPr>
    </w:p>
    <w:p w14:paraId="5ED7CC69" w14:textId="2C24304F" w:rsidR="2252EF13" w:rsidRDefault="2252EF13" w:rsidP="2252EF13">
      <w:pPr>
        <w:rPr>
          <w:rFonts w:ascii="Arial" w:eastAsia="Arial" w:hAnsi="Arial" w:cs="Arial"/>
          <w:color w:val="222222"/>
        </w:rPr>
      </w:pPr>
    </w:p>
    <w:p w14:paraId="5B30180D" w14:textId="29C43EF5" w:rsidR="2252EF13" w:rsidRDefault="2252EF13" w:rsidP="2252EF13">
      <w:pPr>
        <w:rPr>
          <w:rFonts w:ascii="Arial" w:eastAsia="Arial" w:hAnsi="Arial" w:cs="Arial"/>
          <w:color w:val="222222"/>
        </w:rPr>
      </w:pPr>
    </w:p>
    <w:p w14:paraId="63CEFF53" w14:textId="7D959B6B" w:rsidR="2252EF13" w:rsidRDefault="2252EF13" w:rsidP="2252EF13">
      <w:pPr>
        <w:rPr>
          <w:rFonts w:ascii="Arial" w:eastAsia="Arial" w:hAnsi="Arial" w:cs="Arial"/>
          <w:color w:val="222222"/>
        </w:rPr>
      </w:pPr>
    </w:p>
    <w:p w14:paraId="75A2AFFB" w14:textId="575517B9" w:rsidR="4BE4315B" w:rsidRDefault="1FC36EF3" w:rsidP="2252EF13">
      <w:pPr>
        <w:rPr>
          <w:rFonts w:eastAsiaTheme="minorEastAsia"/>
          <w:color w:val="222222"/>
          <w:sz w:val="24"/>
          <w:szCs w:val="24"/>
        </w:rPr>
      </w:pPr>
      <w:r w:rsidRPr="2252EF13">
        <w:rPr>
          <w:rFonts w:eastAsiaTheme="minorEastAsia"/>
          <w:color w:val="222222"/>
          <w:sz w:val="24"/>
          <w:szCs w:val="24"/>
        </w:rPr>
        <w:t xml:space="preserve">   </w:t>
      </w:r>
      <w:r w:rsidRPr="2252EF13">
        <w:rPr>
          <w:rFonts w:eastAsiaTheme="minorEastAsia"/>
          <w:color w:val="4A3C10"/>
          <w:sz w:val="24"/>
          <w:szCs w:val="24"/>
        </w:rPr>
        <w:t xml:space="preserve">      </w:t>
      </w:r>
    </w:p>
    <w:p w14:paraId="16841324" w14:textId="2CC8CF62" w:rsidR="4BE4315B" w:rsidRDefault="1FC36EF3" w:rsidP="1CDBF6BD">
      <w:pPr>
        <w:rPr>
          <w:rFonts w:eastAsiaTheme="minorEastAsia"/>
          <w:color w:val="222222"/>
          <w:sz w:val="24"/>
          <w:szCs w:val="24"/>
        </w:rPr>
      </w:pPr>
      <w:r w:rsidRPr="22CA4DDB">
        <w:rPr>
          <w:rFonts w:eastAsiaTheme="minorEastAsia"/>
          <w:color w:val="4A3C10"/>
          <w:sz w:val="24"/>
          <w:szCs w:val="24"/>
        </w:rPr>
        <w:t xml:space="preserve"> </w:t>
      </w:r>
      <w:r w:rsidR="098C3138" w:rsidRPr="22CA4DDB">
        <w:rPr>
          <w:rFonts w:eastAsiaTheme="minorEastAsia"/>
          <w:b/>
          <w:bCs/>
          <w:color w:val="4A3C10"/>
          <w:sz w:val="32"/>
          <w:szCs w:val="32"/>
        </w:rPr>
        <w:t xml:space="preserve">Findings </w:t>
      </w:r>
    </w:p>
    <w:p w14:paraId="34747A48" w14:textId="37C573BF" w:rsidR="357933A2" w:rsidRDefault="357933A2">
      <w:r w:rsidRPr="404F02A2">
        <w:rPr>
          <w:rFonts w:ascii="Calibri" w:eastAsia="Calibri" w:hAnsi="Calibri" w:cs="Calibri"/>
          <w:sz w:val="24"/>
          <w:szCs w:val="24"/>
        </w:rPr>
        <w:t xml:space="preserve">J.P. Morgan's industry leadership is based on the Configuration School and Power School of thought. Regular and purposeful transformation ensures the bank's success and adapts to the sector's constant change. To control financial markets, J.P. Morgan uses the Power School to influence stakeholders and regulators. Strategic positioning involves understanding the industry structure, appraising the organization's position, and making industry or organisational changes to improve results (Zhang 2023). J.P. Morgan's vision and mission also reflect its commitment to quality, inventiveness, and ethics in financial leadership. The bank serves clients in over 100 countries and aims to be a respected financial services company. Strategic goals include operational excellence, customer satisfaction, and sustainable development, supported by strong corporate governance and a balanced board. The market analysis shows the bank's competitiveness in investment banking, consumer banking, and asset management. It stresses the bank's product innovation and strategic collaborations to maintain and gain market share (Momin 2023). J.P. Morgan assesses its resources, capabilities, and industry-specific difficulties internally. SWOT analysis helps identify strengths, weaknesses, opportunities, and threats. The bank is committed to sustainability and has ambitious carbon reduction goals to reach net-zero alignment by 2030 (JPMorgan Chase,2023). Despite perceiving minimal threats from possible new competitors due to market entry barriers, J.P. Morgan is worried about well-established banks globally, particularly emerging rivals from developing nations like China. J.P. Morgan stays on top by handling market issues and exploiting its capabilities. </w:t>
      </w:r>
    </w:p>
    <w:p w14:paraId="67F276D3" w14:textId="4A390A9C" w:rsidR="404F02A2" w:rsidRDefault="404F02A2" w:rsidP="404F02A2">
      <w:pPr>
        <w:spacing w:before="120" w:after="0"/>
        <w:ind w:left="-20" w:right="-20"/>
      </w:pPr>
    </w:p>
    <w:p w14:paraId="4666DDF1" w14:textId="5A31F0EF" w:rsidR="404F02A2" w:rsidRDefault="404F02A2" w:rsidP="404F02A2">
      <w:pPr>
        <w:spacing w:before="120" w:after="0"/>
        <w:ind w:left="-20" w:right="-20"/>
        <w:rPr>
          <w:rFonts w:ascii="Calibri" w:eastAsia="Calibri" w:hAnsi="Calibri" w:cs="Calibri"/>
          <w:sz w:val="24"/>
          <w:szCs w:val="24"/>
        </w:rPr>
      </w:pPr>
    </w:p>
    <w:p w14:paraId="557AE473" w14:textId="2D939E06" w:rsidR="404F02A2" w:rsidRDefault="404F02A2" w:rsidP="404F02A2">
      <w:pPr>
        <w:spacing w:before="120" w:after="0"/>
        <w:ind w:left="-20" w:right="-20"/>
        <w:rPr>
          <w:rFonts w:ascii="Calibri" w:eastAsia="Calibri" w:hAnsi="Calibri" w:cs="Calibri"/>
          <w:sz w:val="24"/>
          <w:szCs w:val="24"/>
        </w:rPr>
      </w:pPr>
    </w:p>
    <w:p w14:paraId="64D69A54" w14:textId="2CC9243C" w:rsidR="404F02A2" w:rsidRDefault="404F02A2" w:rsidP="404F02A2">
      <w:pPr>
        <w:spacing w:before="120" w:after="0"/>
        <w:ind w:left="-20" w:right="-20"/>
        <w:rPr>
          <w:rFonts w:ascii="Calibri" w:eastAsia="Calibri" w:hAnsi="Calibri" w:cs="Calibri"/>
          <w:sz w:val="24"/>
          <w:szCs w:val="24"/>
        </w:rPr>
      </w:pPr>
    </w:p>
    <w:p w14:paraId="61CD2C14" w14:textId="56B133C1" w:rsidR="4BE4315B" w:rsidRDefault="23B66B32" w:rsidP="404F02A2">
      <w:pPr>
        <w:spacing w:before="120" w:after="0"/>
        <w:ind w:left="-20" w:right="-20"/>
        <w:rPr>
          <w:rFonts w:eastAsiaTheme="minorEastAsia"/>
          <w:b/>
          <w:bCs/>
          <w:color w:val="222222"/>
          <w:sz w:val="24"/>
          <w:szCs w:val="24"/>
          <w:u w:val="single"/>
        </w:rPr>
      </w:pPr>
      <w:r w:rsidRPr="4F365955">
        <w:rPr>
          <w:rFonts w:eastAsiaTheme="minorEastAsia"/>
          <w:color w:val="222222"/>
          <w:sz w:val="24"/>
          <w:szCs w:val="24"/>
        </w:rPr>
        <w:t xml:space="preserve"> </w:t>
      </w:r>
      <w:r w:rsidRPr="4F365955">
        <w:rPr>
          <w:rFonts w:eastAsiaTheme="minorEastAsia"/>
          <w:b/>
          <w:bCs/>
          <w:color w:val="222222"/>
          <w:sz w:val="24"/>
          <w:szCs w:val="24"/>
          <w:u w:val="single"/>
        </w:rPr>
        <w:t xml:space="preserve">Analysis of Strategic Development </w:t>
      </w:r>
    </w:p>
    <w:p w14:paraId="06D54639" w14:textId="5612F639" w:rsidR="4F365955" w:rsidRDefault="4F365955" w:rsidP="4F365955">
      <w:pPr>
        <w:rPr>
          <w:rFonts w:ascii="Calibri" w:eastAsia="Calibri" w:hAnsi="Calibri" w:cs="Calibri"/>
          <w:sz w:val="24"/>
          <w:szCs w:val="24"/>
        </w:rPr>
      </w:pPr>
    </w:p>
    <w:p w14:paraId="775F8FF6" w14:textId="7C7512ED" w:rsidR="3E205F94" w:rsidRDefault="3E205F94" w:rsidP="4F365955">
      <w:pPr>
        <w:rPr>
          <w:rFonts w:ascii="Calibri" w:eastAsia="Calibri" w:hAnsi="Calibri" w:cs="Calibri"/>
          <w:sz w:val="24"/>
          <w:szCs w:val="24"/>
        </w:rPr>
      </w:pPr>
      <w:r w:rsidRPr="4F365955">
        <w:rPr>
          <w:rFonts w:ascii="Calibri" w:eastAsia="Calibri" w:hAnsi="Calibri" w:cs="Calibri"/>
          <w:sz w:val="24"/>
          <w:szCs w:val="24"/>
        </w:rPr>
        <w:t xml:space="preserve">J P Morgan's principal objective is to create and sustain a top-notch financial services company on a global scale. They are committed to servicing their clients and promoting </w:t>
      </w:r>
      <w:r w:rsidRPr="4F365955">
        <w:rPr>
          <w:rFonts w:ascii="Calibri" w:eastAsia="Calibri" w:hAnsi="Calibri" w:cs="Calibri"/>
          <w:sz w:val="24"/>
          <w:szCs w:val="24"/>
        </w:rPr>
        <w:lastRenderedPageBreak/>
        <w:t xml:space="preserve">development in the global society. </w:t>
      </w:r>
      <w:r w:rsidR="7F11C33C" w:rsidRPr="4F365955">
        <w:rPr>
          <w:rFonts w:ascii="Calibri" w:eastAsia="Calibri" w:hAnsi="Calibri" w:cs="Calibri"/>
          <w:sz w:val="24"/>
          <w:szCs w:val="24"/>
        </w:rPr>
        <w:t xml:space="preserve"> </w:t>
      </w:r>
      <w:r w:rsidRPr="4F365955">
        <w:rPr>
          <w:rFonts w:ascii="Calibri" w:eastAsia="Calibri" w:hAnsi="Calibri" w:cs="Calibri"/>
          <w:sz w:val="24"/>
          <w:szCs w:val="24"/>
        </w:rPr>
        <w:t xml:space="preserve">The strategic growth of J.P. Morgan-Bank demonstrates its proactive and dynamic approach to successfully negotiating the intricacies of the financial industry. </w:t>
      </w:r>
      <w:r w:rsidR="7DA82058" w:rsidRPr="404F02A2">
        <w:rPr>
          <w:rFonts w:ascii="Calibri" w:eastAsia="Calibri" w:hAnsi="Calibri" w:cs="Calibri"/>
          <w:sz w:val="24"/>
          <w:szCs w:val="24"/>
        </w:rPr>
        <w:t>Although</w:t>
      </w:r>
      <w:r w:rsidRPr="4F365955">
        <w:rPr>
          <w:rFonts w:ascii="Calibri" w:eastAsia="Calibri" w:hAnsi="Calibri" w:cs="Calibri"/>
          <w:sz w:val="24"/>
          <w:szCs w:val="24"/>
        </w:rPr>
        <w:t xml:space="preserve"> the strategic </w:t>
      </w:r>
      <w:r w:rsidR="7DA82058" w:rsidRPr="404F02A2">
        <w:rPr>
          <w:rFonts w:ascii="Calibri" w:eastAsia="Calibri" w:hAnsi="Calibri" w:cs="Calibri"/>
          <w:sz w:val="24"/>
          <w:szCs w:val="24"/>
        </w:rPr>
        <w:t>development section highlights J.P. Morgan's use of technology, a more thorough assessment reveals that the company still relies heavily on conventional banking methods. This implies that a more assertive shift towards new financial technologies is necessary</w:t>
      </w:r>
      <w:r w:rsidRPr="4F365955">
        <w:rPr>
          <w:rFonts w:ascii="Calibri" w:eastAsia="Calibri" w:hAnsi="Calibri" w:cs="Calibri"/>
          <w:sz w:val="24"/>
          <w:szCs w:val="24"/>
        </w:rPr>
        <w:t xml:space="preserve"> to </w:t>
      </w:r>
      <w:r w:rsidR="7DA82058" w:rsidRPr="404F02A2">
        <w:rPr>
          <w:rFonts w:ascii="Calibri" w:eastAsia="Calibri" w:hAnsi="Calibri" w:cs="Calibri"/>
          <w:sz w:val="24"/>
          <w:szCs w:val="24"/>
        </w:rPr>
        <w:t>maintain competitiveness.</w:t>
      </w:r>
      <w:r w:rsidRPr="4F365955">
        <w:rPr>
          <w:rFonts w:ascii="Calibri" w:eastAsia="Calibri" w:hAnsi="Calibri" w:cs="Calibri"/>
          <w:sz w:val="24"/>
          <w:szCs w:val="24"/>
        </w:rPr>
        <w:t xml:space="preserve"> This analysis explores how J.P. Morgan's deliberate investments in technology and skilled workforce, together with its growth into new markets, have strengthened its competitive advantage. Strategic risk arises when a company's strategy is flawed or when it fails to adapt to operational changes that impact its profitability, capital, liquidity, and reputation. </w:t>
      </w:r>
      <w:r w:rsidR="385145F0" w:rsidRPr="4F365955">
        <w:rPr>
          <w:rFonts w:ascii="Calibri" w:eastAsia="Calibri" w:hAnsi="Calibri" w:cs="Calibri"/>
          <w:sz w:val="24"/>
          <w:szCs w:val="24"/>
        </w:rPr>
        <w:t>To</w:t>
      </w:r>
      <w:r w:rsidRPr="4F365955">
        <w:rPr>
          <w:rFonts w:ascii="Calibri" w:eastAsia="Calibri" w:hAnsi="Calibri" w:cs="Calibri"/>
          <w:sz w:val="24"/>
          <w:szCs w:val="24"/>
        </w:rPr>
        <w:t xml:space="preserve"> help clients shift towards a low-carbon economy, the company may modify its business strategy, product offerings, and risk profile (JP Morgan Chase&amp;Co.,n.d). </w:t>
      </w:r>
    </w:p>
    <w:p w14:paraId="665C3F56" w14:textId="2719A33D" w:rsidR="3E205F94" w:rsidRDefault="3E205F94" w:rsidP="4F365955">
      <w:pPr>
        <w:rPr>
          <w:rFonts w:ascii="Calibri" w:eastAsia="Calibri" w:hAnsi="Calibri" w:cs="Calibri"/>
          <w:sz w:val="24"/>
          <w:szCs w:val="24"/>
        </w:rPr>
      </w:pPr>
      <w:r w:rsidRPr="4F365955">
        <w:rPr>
          <w:rFonts w:ascii="Calibri" w:eastAsia="Calibri" w:hAnsi="Calibri" w:cs="Calibri"/>
          <w:sz w:val="24"/>
          <w:szCs w:val="24"/>
        </w:rPr>
        <w:t xml:space="preserve">J.P. Morgan Bank has used </w:t>
      </w:r>
      <w:r w:rsidR="1E1C8A5F" w:rsidRPr="4F365955">
        <w:rPr>
          <w:rFonts w:ascii="Calibri" w:eastAsia="Calibri" w:hAnsi="Calibri" w:cs="Calibri"/>
          <w:sz w:val="24"/>
          <w:szCs w:val="24"/>
        </w:rPr>
        <w:t>several</w:t>
      </w:r>
      <w:r w:rsidRPr="4F365955">
        <w:rPr>
          <w:rFonts w:ascii="Calibri" w:eastAsia="Calibri" w:hAnsi="Calibri" w:cs="Calibri"/>
          <w:sz w:val="24"/>
          <w:szCs w:val="24"/>
        </w:rPr>
        <w:t xml:space="preserve"> techniques to effectively overcome the difficulties faced in the financial industry. These strategies include expanding its offerings, enhancing operational efficiency, and fostering innovation. Donnellan and Rutledge (2019) used the resource-based vision (RBV) to strategically align the bank's resources with the objective of becoming the foremost commercial bank in the United States. J.P. Morgan has enhanced its competitive position by prioritising technology, human resources, and expanding into new markets. The bank's strategic alliances and purchases align with its overarching goal for the future. J.P. Morgan Private Bank has received the prestigious title of "World's Best Private Bank" for the year 2024, making it the fifth consecutive year of their outstanding performance. They have achieved exceptional growth by effectively taking advantage of market swings. Clients have access to specialists and the </w:t>
      </w:r>
      <w:r w:rsidR="799E27A4" w:rsidRPr="4F365955">
        <w:rPr>
          <w:rFonts w:ascii="Calibri" w:eastAsia="Calibri" w:hAnsi="Calibri" w:cs="Calibri"/>
          <w:sz w:val="24"/>
          <w:szCs w:val="24"/>
        </w:rPr>
        <w:t>full range</w:t>
      </w:r>
      <w:r w:rsidRPr="4F365955">
        <w:rPr>
          <w:rFonts w:ascii="Calibri" w:eastAsia="Calibri" w:hAnsi="Calibri" w:cs="Calibri"/>
          <w:sz w:val="24"/>
          <w:szCs w:val="24"/>
        </w:rPr>
        <w:t xml:space="preserve"> of resources offered by the business via their Private Bank teams. J.P. Morgan-Bank has made substantial advancements in executing its strategy for development and expansion, with a particular focus on innovation and enhancing its abilities to provide exceptional outcomes for clients. During the first three quarters of 2023, the bank has recruited 306 Private Bank client advisors </w:t>
      </w:r>
      <w:r w:rsidR="43990CB0" w:rsidRPr="4F365955">
        <w:rPr>
          <w:rFonts w:ascii="Calibri" w:eastAsia="Calibri" w:hAnsi="Calibri" w:cs="Calibri"/>
          <w:sz w:val="24"/>
          <w:szCs w:val="24"/>
        </w:rPr>
        <w:t>to</w:t>
      </w:r>
      <w:r w:rsidRPr="4F365955">
        <w:rPr>
          <w:rFonts w:ascii="Calibri" w:eastAsia="Calibri" w:hAnsi="Calibri" w:cs="Calibri"/>
          <w:sz w:val="24"/>
          <w:szCs w:val="24"/>
        </w:rPr>
        <w:t xml:space="preserve"> attract and retain exceptional personnel. </w:t>
      </w:r>
      <w:r w:rsidR="6513B892" w:rsidRPr="4F365955">
        <w:rPr>
          <w:rFonts w:ascii="Calibri" w:eastAsia="Calibri" w:hAnsi="Calibri" w:cs="Calibri"/>
          <w:sz w:val="24"/>
          <w:szCs w:val="24"/>
        </w:rPr>
        <w:t xml:space="preserve"> </w:t>
      </w:r>
      <w:r w:rsidR="58BA68A4" w:rsidRPr="4F365955">
        <w:rPr>
          <w:rFonts w:ascii="Calibri" w:eastAsia="Calibri" w:hAnsi="Calibri" w:cs="Calibri"/>
          <w:sz w:val="24"/>
          <w:szCs w:val="24"/>
        </w:rPr>
        <w:t xml:space="preserve">Strategy involves comprehending the composition and movement of an industry, assessing the organization's comparative position within that industry, and taking collective action to modify either the industry's structure or the organization's position </w:t>
      </w:r>
      <w:r w:rsidR="576568A4" w:rsidRPr="4F365955">
        <w:rPr>
          <w:rFonts w:ascii="Calibri" w:eastAsia="Calibri" w:hAnsi="Calibri" w:cs="Calibri"/>
          <w:sz w:val="24"/>
          <w:szCs w:val="24"/>
        </w:rPr>
        <w:t>to</w:t>
      </w:r>
      <w:r w:rsidR="58BA68A4" w:rsidRPr="4F365955">
        <w:rPr>
          <w:rFonts w:ascii="Calibri" w:eastAsia="Calibri" w:hAnsi="Calibri" w:cs="Calibri"/>
          <w:sz w:val="24"/>
          <w:szCs w:val="24"/>
        </w:rPr>
        <w:t xml:space="preserve"> enhance organisational outcomes (Oliver, 2001).</w:t>
      </w:r>
    </w:p>
    <w:p w14:paraId="398EFECA" w14:textId="7AADD975" w:rsidR="76E99FD4" w:rsidRDefault="76E99FD4" w:rsidP="76E99FD4">
      <w:pPr>
        <w:shd w:val="clear" w:color="auto" w:fill="FFFFFF" w:themeFill="background1"/>
        <w:spacing w:before="120" w:after="0"/>
        <w:ind w:left="-20" w:right="-20"/>
        <w:rPr>
          <w:rFonts w:ascii="Calibri" w:eastAsia="Calibri" w:hAnsi="Calibri" w:cs="Calibri"/>
          <w:sz w:val="24"/>
          <w:szCs w:val="24"/>
        </w:rPr>
      </w:pPr>
    </w:p>
    <w:p w14:paraId="1B7DE3DD" w14:textId="219FDEAD" w:rsidR="4BE4315B" w:rsidRDefault="098C3138" w:rsidP="1CDBF6BD">
      <w:pPr>
        <w:shd w:val="clear" w:color="auto" w:fill="FFFFFF" w:themeFill="background1"/>
        <w:spacing w:before="120" w:after="0"/>
        <w:ind w:left="-20" w:right="-20"/>
        <w:rPr>
          <w:rFonts w:eastAsiaTheme="minorEastAsia"/>
          <w:b/>
          <w:bCs/>
          <w:color w:val="222222"/>
          <w:sz w:val="24"/>
          <w:szCs w:val="24"/>
          <w:u w:val="single"/>
        </w:rPr>
      </w:pPr>
      <w:r w:rsidRPr="1CDBF6BD">
        <w:rPr>
          <w:rFonts w:eastAsiaTheme="minorEastAsia"/>
          <w:b/>
          <w:bCs/>
          <w:color w:val="222222"/>
          <w:sz w:val="24"/>
          <w:szCs w:val="24"/>
          <w:u w:val="single"/>
        </w:rPr>
        <w:t xml:space="preserve"> Vision, Mission, and Strategic Focus J.P. Morgan Bank’s</w:t>
      </w:r>
    </w:p>
    <w:p w14:paraId="1AC86CC1" w14:textId="64219DB6" w:rsidR="4BE4315B" w:rsidRDefault="098C3138" w:rsidP="76E99FD4">
      <w:pPr>
        <w:shd w:val="clear" w:color="auto" w:fill="FFFFFF" w:themeFill="background1"/>
        <w:spacing w:before="120" w:after="0"/>
        <w:ind w:left="-20" w:right="-20"/>
        <w:rPr>
          <w:rFonts w:eastAsiaTheme="minorEastAsia"/>
          <w:color w:val="222222"/>
          <w:sz w:val="24"/>
          <w:szCs w:val="24"/>
        </w:rPr>
      </w:pPr>
      <w:r w:rsidRPr="1CDBF6BD">
        <w:rPr>
          <w:rFonts w:eastAsiaTheme="minorEastAsia"/>
          <w:color w:val="222222"/>
          <w:sz w:val="24"/>
          <w:szCs w:val="24"/>
        </w:rPr>
        <w:t xml:space="preserve"> </w:t>
      </w:r>
    </w:p>
    <w:p w14:paraId="5C6E2A8E" w14:textId="43E45CC5" w:rsidR="4BE4315B" w:rsidRDefault="7CE6F01F" w:rsidP="4F365955">
      <w:pPr>
        <w:spacing w:before="120" w:after="0"/>
        <w:ind w:left="-20" w:right="-20"/>
        <w:rPr>
          <w:rFonts w:ascii="Calibri" w:eastAsia="Calibri" w:hAnsi="Calibri" w:cs="Calibri"/>
          <w:sz w:val="24"/>
          <w:szCs w:val="24"/>
        </w:rPr>
      </w:pPr>
      <w:r w:rsidRPr="4F365955">
        <w:rPr>
          <w:rFonts w:ascii="Calibri" w:eastAsia="Calibri" w:hAnsi="Calibri" w:cs="Calibri"/>
          <w:sz w:val="24"/>
          <w:szCs w:val="24"/>
        </w:rPr>
        <w:t xml:space="preserve"> According to Zhang (2023) t</w:t>
      </w:r>
      <w:r w:rsidR="4F087819" w:rsidRPr="4F365955">
        <w:rPr>
          <w:rFonts w:ascii="Calibri" w:eastAsia="Calibri" w:hAnsi="Calibri" w:cs="Calibri"/>
          <w:sz w:val="24"/>
          <w:szCs w:val="24"/>
        </w:rPr>
        <w:t xml:space="preserve">he core principles that underpin JPMorgan-Bank's values are </w:t>
      </w:r>
      <w:r w:rsidR="7D55B8C9" w:rsidRPr="4F365955">
        <w:rPr>
          <w:rFonts w:ascii="Calibri" w:eastAsia="Calibri" w:hAnsi="Calibri" w:cs="Calibri"/>
          <w:sz w:val="24"/>
          <w:szCs w:val="24"/>
        </w:rPr>
        <w:t>o</w:t>
      </w:r>
      <w:r w:rsidR="4F087819" w:rsidRPr="4F365955">
        <w:rPr>
          <w:rFonts w:ascii="Calibri" w:eastAsia="Calibri" w:hAnsi="Calibri" w:cs="Calibri"/>
          <w:sz w:val="24"/>
          <w:szCs w:val="24"/>
        </w:rPr>
        <w:t xml:space="preserve">utstanding customer service, superior operational performance, honesty, equity, and </w:t>
      </w:r>
      <w:r w:rsidR="7E92A47F" w:rsidRPr="4F365955">
        <w:rPr>
          <w:rFonts w:ascii="Calibri" w:eastAsia="Calibri" w:hAnsi="Calibri" w:cs="Calibri"/>
          <w:sz w:val="24"/>
          <w:szCs w:val="24"/>
        </w:rPr>
        <w:t>accountability and have an e</w:t>
      </w:r>
      <w:r w:rsidR="4F087819" w:rsidRPr="4F365955">
        <w:rPr>
          <w:rFonts w:ascii="Calibri" w:eastAsia="Calibri" w:hAnsi="Calibri" w:cs="Calibri"/>
          <w:sz w:val="24"/>
          <w:szCs w:val="24"/>
        </w:rPr>
        <w:t xml:space="preserve">xcellent, triumphant culture. </w:t>
      </w:r>
    </w:p>
    <w:p w14:paraId="2962A2BA" w14:textId="7D2EE68F" w:rsidR="4BE4315B" w:rsidRDefault="4F087819" w:rsidP="4F365955">
      <w:pPr>
        <w:spacing w:before="120" w:after="0"/>
        <w:ind w:left="-20" w:right="-20"/>
        <w:rPr>
          <w:rFonts w:ascii="Calibri" w:eastAsia="Calibri" w:hAnsi="Calibri" w:cs="Calibri"/>
          <w:sz w:val="24"/>
          <w:szCs w:val="24"/>
        </w:rPr>
      </w:pPr>
      <w:r w:rsidRPr="4F365955">
        <w:rPr>
          <w:rFonts w:ascii="Calibri" w:eastAsia="Calibri" w:hAnsi="Calibri" w:cs="Calibri"/>
          <w:sz w:val="24"/>
          <w:szCs w:val="24"/>
        </w:rPr>
        <w:t xml:space="preserve">JPMorgan-Bank has achieved success by consistently delivering impressive results to clients, aiming for quality, taking responsibility, and working with honesty and honour. Additionally, the company has been able to thrive by retaining talented individuals. </w:t>
      </w:r>
    </w:p>
    <w:p w14:paraId="60E32BDE" w14:textId="5CE4AB13" w:rsidR="4BE4315B" w:rsidRDefault="4F087819" w:rsidP="4F365955">
      <w:pPr>
        <w:spacing w:before="120" w:after="0"/>
      </w:pPr>
      <w:r w:rsidRPr="4F365955">
        <w:rPr>
          <w:rFonts w:ascii="Calibri" w:eastAsia="Calibri" w:hAnsi="Calibri" w:cs="Calibri"/>
          <w:sz w:val="24"/>
          <w:szCs w:val="24"/>
        </w:rPr>
        <w:lastRenderedPageBreak/>
        <w:t>The company is actively engaged in promoting corporate responsibility, reducing economic disparities, and fostering collaboration between business, government, and nonprofit sectors to enhance economic growth</w:t>
      </w:r>
      <w:r w:rsidR="799051C9" w:rsidRPr="4F365955">
        <w:rPr>
          <w:rFonts w:ascii="Calibri" w:eastAsia="Calibri" w:hAnsi="Calibri" w:cs="Calibri"/>
          <w:i/>
          <w:iCs/>
          <w:sz w:val="24"/>
          <w:szCs w:val="24"/>
        </w:rPr>
        <w:t xml:space="preserve"> (Sorbello 2020)</w:t>
      </w:r>
      <w:r w:rsidRPr="4F365955">
        <w:rPr>
          <w:rFonts w:ascii="Calibri" w:eastAsia="Calibri" w:hAnsi="Calibri" w:cs="Calibri"/>
          <w:sz w:val="24"/>
          <w:szCs w:val="24"/>
        </w:rPr>
        <w:t xml:space="preserve">. </w:t>
      </w:r>
    </w:p>
    <w:p w14:paraId="17AF6CE5" w14:textId="05FF68AB" w:rsidR="4BE4315B" w:rsidRDefault="4F087819" w:rsidP="4F365955">
      <w:pPr>
        <w:spacing w:before="120" w:after="0"/>
      </w:pPr>
      <w:r w:rsidRPr="4F365955">
        <w:rPr>
          <w:rFonts w:ascii="Calibri" w:eastAsia="Calibri" w:hAnsi="Calibri" w:cs="Calibri"/>
          <w:sz w:val="24"/>
          <w:szCs w:val="24"/>
        </w:rPr>
        <w:t xml:space="preserve">The vision and </w:t>
      </w:r>
      <w:r w:rsidR="7F72B60B" w:rsidRPr="4F365955">
        <w:rPr>
          <w:rFonts w:ascii="Calibri" w:eastAsia="Calibri" w:hAnsi="Calibri" w:cs="Calibri"/>
          <w:sz w:val="24"/>
          <w:szCs w:val="24"/>
        </w:rPr>
        <w:t xml:space="preserve">mision </w:t>
      </w:r>
      <w:r w:rsidRPr="4F365955">
        <w:rPr>
          <w:rFonts w:ascii="Calibri" w:eastAsia="Calibri" w:hAnsi="Calibri" w:cs="Calibri"/>
          <w:sz w:val="24"/>
          <w:szCs w:val="24"/>
        </w:rPr>
        <w:t xml:space="preserve">of the company demonstrate its ambition to be at the forefront of the financial sector by embodying quality, innovation, and integrity. Our goal is to become the most prestigious financial services company, catering to both businesses and individuals in more than 100 countries (JPMorgan Chase &amp; Co.,2023) </w:t>
      </w:r>
    </w:p>
    <w:p w14:paraId="21A04F7A" w14:textId="74297FDD" w:rsidR="4BE4315B" w:rsidRDefault="4F087819" w:rsidP="4F365955">
      <w:pPr>
        <w:spacing w:before="120" w:after="0"/>
        <w:rPr>
          <w:rFonts w:eastAsiaTheme="minorEastAsia"/>
          <w:sz w:val="24"/>
          <w:szCs w:val="24"/>
        </w:rPr>
      </w:pPr>
      <w:r w:rsidRPr="4F365955">
        <w:rPr>
          <w:rFonts w:ascii="Calibri" w:eastAsia="Calibri" w:hAnsi="Calibri" w:cs="Calibri"/>
          <w:sz w:val="24"/>
          <w:szCs w:val="24"/>
        </w:rPr>
        <w:t xml:space="preserve">The bank's aspiration to become the leading worldwide supplier of financial services, enhancing the well-being of its clients, workers, and communities. The objective of the organisation is to provide outstanding customer services, promote a culture of inclusivity and innovation, and maintain the highest standards of ethics and corporate governance. The text discusses the strategic emphasis areas of digital transformation, sustainability, and customer-centricity, and how they contribute to the bank's overall aims. </w:t>
      </w:r>
    </w:p>
    <w:p w14:paraId="04AC85C9" w14:textId="3BF44467" w:rsidR="4BE4315B" w:rsidRDefault="35786BC9" w:rsidP="4F365955">
      <w:pPr>
        <w:spacing w:before="120" w:after="0"/>
        <w:rPr>
          <w:rFonts w:eastAsiaTheme="minorEastAsia"/>
          <w:sz w:val="24"/>
          <w:szCs w:val="24"/>
        </w:rPr>
      </w:pPr>
      <w:r w:rsidRPr="4F365955">
        <w:rPr>
          <w:rFonts w:eastAsiaTheme="minorEastAsia"/>
          <w:sz w:val="24"/>
          <w:szCs w:val="24"/>
        </w:rPr>
        <w:t xml:space="preserve"> </w:t>
      </w:r>
    </w:p>
    <w:p w14:paraId="27953133" w14:textId="3F70D718" w:rsidR="4BE4315B" w:rsidRDefault="098C3138" w:rsidP="1CDBF6BD">
      <w:pPr>
        <w:shd w:val="clear" w:color="auto" w:fill="FFFFFF" w:themeFill="background1"/>
        <w:spacing w:before="120" w:after="0"/>
        <w:ind w:left="-20" w:right="-20"/>
        <w:rPr>
          <w:rFonts w:eastAsiaTheme="minorEastAsia"/>
          <w:color w:val="222222"/>
          <w:sz w:val="24"/>
          <w:szCs w:val="24"/>
        </w:rPr>
      </w:pPr>
      <w:r w:rsidRPr="4F365955">
        <w:rPr>
          <w:rFonts w:eastAsiaTheme="minorEastAsia"/>
          <w:color w:val="222222"/>
          <w:sz w:val="24"/>
          <w:szCs w:val="24"/>
        </w:rPr>
        <w:t xml:space="preserve"> </w:t>
      </w:r>
      <w:r w:rsidRPr="4F365955">
        <w:rPr>
          <w:rFonts w:eastAsiaTheme="minorEastAsia"/>
          <w:b/>
          <w:bCs/>
          <w:color w:val="222222"/>
          <w:sz w:val="24"/>
          <w:szCs w:val="24"/>
          <w:u w:val="single"/>
        </w:rPr>
        <w:t xml:space="preserve"> Goals of J.P Morgan-Bank </w:t>
      </w:r>
    </w:p>
    <w:p w14:paraId="432F9E80" w14:textId="61752C86" w:rsidR="4F365955" w:rsidRDefault="4F365955" w:rsidP="4F365955">
      <w:pPr>
        <w:rPr>
          <w:rFonts w:ascii="Calibri" w:eastAsia="Calibri" w:hAnsi="Calibri" w:cs="Calibri"/>
          <w:sz w:val="24"/>
          <w:szCs w:val="24"/>
        </w:rPr>
      </w:pPr>
    </w:p>
    <w:p w14:paraId="129AB9A9" w14:textId="0A266AA6" w:rsidR="7D90165C" w:rsidRDefault="57D9896C" w:rsidP="404F02A2">
      <w:r w:rsidRPr="404F02A2">
        <w:rPr>
          <w:rFonts w:ascii="Calibri" w:eastAsia="Calibri" w:hAnsi="Calibri" w:cs="Calibri"/>
          <w:sz w:val="24"/>
          <w:szCs w:val="24"/>
        </w:rPr>
        <w:t xml:space="preserve">In an ever-changing global economy, their success depends on how much we stick to their core values of providing excellent customer service, honesty and accountability, and staff development (Srivastava et al. 2020). J.P. Morgan-Bank's strategic goals highlight operational excellence, client satisfaction, and sustainable development. The bank's goals include improving digital banking infrastructure, becoming carbon neutral, expanding into global markets, and providing great returns to investors and other stakeholders. J.P. Morgan-Bank sets defined and verifiable goals to assess its progress and effectiveness in implementing its strategic vision. </w:t>
      </w:r>
    </w:p>
    <w:p w14:paraId="6863CE78" w14:textId="25C3DB54" w:rsidR="7D90165C" w:rsidRDefault="57D9896C" w:rsidP="404F02A2">
      <w:pPr>
        <w:rPr>
          <w:rFonts w:ascii="Calibri" w:eastAsia="Calibri" w:hAnsi="Calibri" w:cs="Calibri"/>
          <w:sz w:val="24"/>
          <w:szCs w:val="24"/>
        </w:rPr>
      </w:pPr>
      <w:r w:rsidRPr="404F02A2">
        <w:rPr>
          <w:rFonts w:ascii="Calibri" w:eastAsia="Calibri" w:hAnsi="Calibri" w:cs="Calibri"/>
          <w:sz w:val="24"/>
          <w:szCs w:val="24"/>
        </w:rPr>
        <w:t>J.P. Morgan-Bank's strategic goals include operational excellence, client satisfaction, and sustainable growth. To achieve these aims, they will develop digital banking systems, become carbon neutral, expand worldwide, and provide exceptional shareholder returns. J.P. Morgan may assess its progress and long-term plan efficacy by setting specific and quantitative goals (Found et al. 2018). J.P. Morgan, a global financial company, strives to keep the global financial system running smoothly, provide its stockholders fair returns, and benefit the people and organisations it serves. The company's recent efforts to improve relations with regulators, shareholders, and communities show its commitment to good business practices (JPMorgan Chase donates $7.65 million for affordable housing projects countrywide. 2023). The bank's involvement with many stakeholders, including The Sisters of Charity of Saint Elizabeth's shareholder group, shows that it recognises the global impact financial institutions can have.</w:t>
      </w:r>
    </w:p>
    <w:p w14:paraId="1AE69B08" w14:textId="64E4C0D8" w:rsidR="7D90165C" w:rsidRDefault="7D90165C" w:rsidP="4F365955">
      <w:pPr>
        <w:ind w:left="-20" w:right="-20"/>
        <w:rPr>
          <w:rFonts w:ascii="Calibri" w:eastAsia="Calibri" w:hAnsi="Calibri" w:cs="Calibri"/>
          <w:sz w:val="24"/>
          <w:szCs w:val="24"/>
        </w:rPr>
      </w:pPr>
      <w:r w:rsidRPr="404F02A2">
        <w:rPr>
          <w:rFonts w:ascii="Calibri" w:eastAsia="Calibri" w:hAnsi="Calibri" w:cs="Calibri"/>
          <w:sz w:val="24"/>
          <w:szCs w:val="24"/>
        </w:rPr>
        <w:t xml:space="preserve"> </w:t>
      </w:r>
    </w:p>
    <w:p w14:paraId="42E94D2A" w14:textId="3802E740" w:rsidR="4F365955" w:rsidRDefault="4F365955" w:rsidP="4F365955">
      <w:pPr>
        <w:shd w:val="clear" w:color="auto" w:fill="FFFFFF" w:themeFill="background1"/>
        <w:spacing w:before="120" w:after="0"/>
        <w:ind w:left="-20" w:right="-20"/>
      </w:pPr>
    </w:p>
    <w:p w14:paraId="1C3497AC" w14:textId="678BE838" w:rsidR="4F365955" w:rsidRDefault="4F365955" w:rsidP="4F365955">
      <w:pPr>
        <w:shd w:val="clear" w:color="auto" w:fill="FFFFFF" w:themeFill="background1"/>
        <w:spacing w:before="120" w:after="0"/>
        <w:ind w:left="-20" w:right="-20"/>
        <w:rPr>
          <w:rFonts w:eastAsiaTheme="minorEastAsia"/>
          <w:color w:val="222222"/>
          <w:sz w:val="24"/>
          <w:szCs w:val="24"/>
        </w:rPr>
      </w:pPr>
    </w:p>
    <w:p w14:paraId="68327F9D" w14:textId="5C38B5A5" w:rsidR="4F365955" w:rsidRDefault="4F365955" w:rsidP="4F365955">
      <w:pPr>
        <w:shd w:val="clear" w:color="auto" w:fill="FFFFFF" w:themeFill="background1"/>
        <w:spacing w:before="120" w:after="0"/>
        <w:ind w:left="-20" w:right="-20"/>
        <w:rPr>
          <w:rFonts w:eastAsiaTheme="minorEastAsia"/>
          <w:color w:val="222222"/>
          <w:sz w:val="24"/>
          <w:szCs w:val="24"/>
        </w:rPr>
      </w:pPr>
    </w:p>
    <w:p w14:paraId="469AA062" w14:textId="1F1B6917" w:rsidR="4F365955" w:rsidRDefault="4F365955" w:rsidP="4F365955">
      <w:pPr>
        <w:shd w:val="clear" w:color="auto" w:fill="FFFFFF" w:themeFill="background1"/>
        <w:spacing w:before="120" w:after="0"/>
        <w:ind w:left="-20" w:right="-20"/>
        <w:rPr>
          <w:rFonts w:eastAsiaTheme="minorEastAsia"/>
          <w:color w:val="222222"/>
          <w:sz w:val="24"/>
          <w:szCs w:val="24"/>
        </w:rPr>
      </w:pPr>
    </w:p>
    <w:p w14:paraId="0523C453" w14:textId="6B1E6DB7" w:rsidR="4F365955" w:rsidRDefault="4F365955" w:rsidP="4F365955">
      <w:pPr>
        <w:shd w:val="clear" w:color="auto" w:fill="FFFFFF" w:themeFill="background1"/>
        <w:spacing w:before="120" w:after="0"/>
        <w:ind w:left="-20" w:right="-20"/>
        <w:rPr>
          <w:rFonts w:eastAsiaTheme="minorEastAsia"/>
          <w:color w:val="222222"/>
          <w:sz w:val="24"/>
          <w:szCs w:val="24"/>
        </w:rPr>
      </w:pPr>
    </w:p>
    <w:p w14:paraId="6FB82BE4" w14:textId="16C6971A" w:rsidR="4F365955" w:rsidRDefault="4F365955" w:rsidP="4F365955">
      <w:pPr>
        <w:shd w:val="clear" w:color="auto" w:fill="FFFFFF" w:themeFill="background1"/>
        <w:spacing w:before="120" w:after="0"/>
        <w:ind w:left="-20" w:right="-20"/>
        <w:rPr>
          <w:rFonts w:eastAsiaTheme="minorEastAsia"/>
          <w:color w:val="222222"/>
          <w:sz w:val="24"/>
          <w:szCs w:val="24"/>
        </w:rPr>
      </w:pPr>
    </w:p>
    <w:p w14:paraId="62C0204B" w14:textId="01EBEFC9" w:rsidR="4F365955" w:rsidRDefault="4F365955" w:rsidP="4F365955">
      <w:pPr>
        <w:shd w:val="clear" w:color="auto" w:fill="FFFFFF" w:themeFill="background1"/>
        <w:spacing w:before="120" w:after="0"/>
        <w:ind w:left="-20" w:right="-20"/>
        <w:rPr>
          <w:rFonts w:eastAsiaTheme="minorEastAsia"/>
          <w:color w:val="222222"/>
          <w:sz w:val="24"/>
          <w:szCs w:val="24"/>
        </w:rPr>
      </w:pPr>
    </w:p>
    <w:p w14:paraId="1349D238" w14:textId="0478277E" w:rsidR="4F365955" w:rsidRDefault="4F365955" w:rsidP="4F365955">
      <w:pPr>
        <w:shd w:val="clear" w:color="auto" w:fill="FFFFFF" w:themeFill="background1"/>
        <w:spacing w:before="120" w:after="0"/>
        <w:ind w:left="-20" w:right="-20"/>
        <w:rPr>
          <w:rFonts w:eastAsiaTheme="minorEastAsia"/>
          <w:color w:val="222222"/>
          <w:sz w:val="24"/>
          <w:szCs w:val="24"/>
        </w:rPr>
      </w:pPr>
    </w:p>
    <w:p w14:paraId="638A5538" w14:textId="227F7B24" w:rsidR="4BE4315B" w:rsidRDefault="098C3138" w:rsidP="1CDBF6BD">
      <w:pPr>
        <w:shd w:val="clear" w:color="auto" w:fill="FFFFFF" w:themeFill="background1"/>
        <w:spacing w:before="120" w:after="0"/>
        <w:ind w:left="-20" w:right="-20"/>
        <w:rPr>
          <w:rFonts w:eastAsiaTheme="minorEastAsia"/>
          <w:b/>
          <w:bCs/>
          <w:color w:val="222222"/>
          <w:sz w:val="24"/>
          <w:szCs w:val="24"/>
          <w:u w:val="single"/>
        </w:rPr>
      </w:pPr>
      <w:r w:rsidRPr="1CDBF6BD">
        <w:rPr>
          <w:rFonts w:eastAsiaTheme="minorEastAsia"/>
          <w:b/>
          <w:bCs/>
          <w:color w:val="222222"/>
          <w:sz w:val="24"/>
          <w:szCs w:val="24"/>
          <w:u w:val="single"/>
        </w:rPr>
        <w:t xml:space="preserve">Financial Overview of J.P Morgan-Bank </w:t>
      </w:r>
    </w:p>
    <w:p w14:paraId="4EE20EAB" w14:textId="3E760CF9" w:rsidR="5CA746E1" w:rsidRDefault="5CA746E1" w:rsidP="4F365955">
      <w:pPr>
        <w:shd w:val="clear" w:color="auto" w:fill="FFFFFF" w:themeFill="background1"/>
        <w:spacing w:before="120" w:after="0"/>
        <w:ind w:left="-20" w:right="-20"/>
        <w:rPr>
          <w:rFonts w:eastAsiaTheme="minorEastAsia"/>
          <w:b/>
          <w:bCs/>
          <w:color w:val="222222"/>
          <w:sz w:val="24"/>
          <w:szCs w:val="24"/>
          <w:u w:val="single"/>
        </w:rPr>
      </w:pPr>
    </w:p>
    <w:p w14:paraId="4592F3D0" w14:textId="31C02050" w:rsidR="6C7BFA2D" w:rsidRDefault="6C7BFA2D" w:rsidP="4F365955">
      <w:r w:rsidRPr="4F365955">
        <w:rPr>
          <w:rFonts w:ascii="Calibri" w:eastAsia="Calibri" w:hAnsi="Calibri" w:cs="Calibri"/>
          <w:sz w:val="24"/>
          <w:szCs w:val="24"/>
        </w:rPr>
        <w:t>In 2022, J.P. Morgan Bank achieved exceptional sales of $128.7 billion and well managed revenue amounting to $132.3 billion. The bank's pre-tax income was $46.2 billion, its managed pre-tax income was $49.7 billion, and its net income was $37.7 billion. The bank distributed $13.2 billion to its shareholders and achieved a return on equity (ROE) of 14% and a return on tangible common equity (ROTCE) of 18%. The bank expanded its market share, implemented cost control measures, ensured client satisfaction, and maintained a strong financial position. The bank ranked first in terms of U.S. retail deposits, cards, digital banking platforms, investment banking fees, markets revenue, USD payments volume, and had $28.6 trillion in assets under custody. Fernanda and Putri (2024) said that the bank has a favourable credit rating and maintains an average loan amount of $223.7 billion. The bank's 2023 proxy statement disclosed that they have $2.5 billion in real estate and $2 billion in long-term assets under management</w:t>
      </w:r>
      <w:r w:rsidR="11C9B4E1" w:rsidRPr="4F365955">
        <w:rPr>
          <w:rFonts w:ascii="Calibri" w:eastAsia="Calibri" w:hAnsi="Calibri" w:cs="Calibri"/>
          <w:sz w:val="24"/>
          <w:szCs w:val="24"/>
        </w:rPr>
        <w:t xml:space="preserve"> (</w:t>
      </w:r>
      <w:r w:rsidR="11C9B4E1" w:rsidRPr="4F365955">
        <w:rPr>
          <w:rFonts w:ascii="Calibri" w:eastAsia="Calibri" w:hAnsi="Calibri" w:cs="Calibri"/>
          <w:color w:val="000000" w:themeColor="text1"/>
        </w:rPr>
        <w:t>JPMorgan Chase &amp; Co, 2022)</w:t>
      </w:r>
      <w:r w:rsidRPr="4F365955">
        <w:rPr>
          <w:rFonts w:ascii="Calibri" w:eastAsia="Calibri" w:hAnsi="Calibri" w:cs="Calibri"/>
          <w:sz w:val="24"/>
          <w:szCs w:val="24"/>
        </w:rPr>
        <w:t xml:space="preserve">. </w:t>
      </w:r>
    </w:p>
    <w:p w14:paraId="4D50CF68" w14:textId="3E86082F" w:rsidR="4F365955" w:rsidRDefault="4F365955"/>
    <w:p w14:paraId="4DD2B755" w14:textId="078ACCAA" w:rsidR="2777AEF6" w:rsidRDefault="2777AEF6" w:rsidP="4F365955">
      <w:pPr>
        <w:rPr>
          <w:rFonts w:eastAsiaTheme="minorEastAsia"/>
          <w:color w:val="222222"/>
          <w:sz w:val="24"/>
          <w:szCs w:val="24"/>
        </w:rPr>
      </w:pPr>
      <w:r>
        <w:rPr>
          <w:noProof/>
        </w:rPr>
        <w:drawing>
          <wp:inline distT="0" distB="0" distL="0" distR="0" wp14:anchorId="42B70986" wp14:editId="3BBCBEBF">
            <wp:extent cx="4572000" cy="2571750"/>
            <wp:effectExtent l="0" t="0" r="0" b="0"/>
            <wp:docPr id="1647015065" name="Imagine 1079496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079496009"/>
                    <pic:cNvPicPr/>
                  </pic:nvPicPr>
                  <pic:blipFill>
                    <a:blip r:embed="rId8">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C00370D" w14:textId="306A219C" w:rsidR="4F365955" w:rsidRDefault="4F365955"/>
    <w:p w14:paraId="157924A7" w14:textId="0D841A5B" w:rsidR="2777AEF6" w:rsidRDefault="2777AEF6" w:rsidP="4F365955">
      <w:pPr>
        <w:rPr>
          <w:rFonts w:ascii="Calibri" w:eastAsia="Calibri" w:hAnsi="Calibri" w:cs="Calibri"/>
          <w:sz w:val="24"/>
          <w:szCs w:val="24"/>
        </w:rPr>
      </w:pPr>
      <w:r w:rsidRPr="4F365955">
        <w:rPr>
          <w:rFonts w:ascii="Calibri" w:eastAsia="Calibri" w:hAnsi="Calibri" w:cs="Calibri"/>
          <w:sz w:val="24"/>
          <w:szCs w:val="24"/>
        </w:rPr>
        <w:t xml:space="preserve">                                                       (</w:t>
      </w:r>
      <w:r w:rsidR="6C7BFA2D" w:rsidRPr="4F365955">
        <w:rPr>
          <w:rFonts w:ascii="Calibri" w:eastAsia="Calibri" w:hAnsi="Calibri" w:cs="Calibri"/>
          <w:sz w:val="24"/>
          <w:szCs w:val="24"/>
        </w:rPr>
        <w:t xml:space="preserve">Pereira 2023) </w:t>
      </w:r>
    </w:p>
    <w:p w14:paraId="7FE60F56" w14:textId="24673B06" w:rsidR="4F365955" w:rsidRDefault="4F365955"/>
    <w:p w14:paraId="2B07AB5A" w14:textId="7A6FE2E6" w:rsidR="4F365955" w:rsidRDefault="4F365955"/>
    <w:p w14:paraId="4DC86F4A" w14:textId="5185E511" w:rsidR="4F365955" w:rsidRDefault="4F365955"/>
    <w:p w14:paraId="09FCE3A1" w14:textId="2BB4B49F" w:rsidR="6C7BFA2D" w:rsidRDefault="6C7BFA2D">
      <w:r w:rsidRPr="4F365955">
        <w:rPr>
          <w:rFonts w:ascii="Calibri" w:eastAsia="Calibri" w:hAnsi="Calibri" w:cs="Calibri"/>
          <w:sz w:val="24"/>
          <w:szCs w:val="24"/>
        </w:rPr>
        <w:lastRenderedPageBreak/>
        <w:t xml:space="preserve">JPMorgan-Bank places a high importance on robust corporate governance, shown by its well-structured board of seasoned leaders from critical sectors. According to board governance guidelines, if the Chair and CEO are the same person, independent directors are required to choose a Lead Independent Director. The Lead Independent Director assumes various responsibilities, including convening and chairing meetings, approving agendas, serving as a link between independent directors and the Chair/CEO, overseeing executive sessions, engaging with significant shareholders, providing guidance to the CEO regarding long-term strategy, overseeing the annual performance evaluation of the Chair/CEO, and guiding the Board in the process of CEO succession. </w:t>
      </w:r>
    </w:p>
    <w:p w14:paraId="039B768C" w14:textId="6422015B" w:rsidR="6C7BFA2D" w:rsidRDefault="6C7BFA2D" w:rsidP="4F365955">
      <w:r w:rsidRPr="4F365955">
        <w:rPr>
          <w:rFonts w:ascii="Calibri" w:eastAsia="Calibri" w:hAnsi="Calibri" w:cs="Calibri"/>
          <w:sz w:val="24"/>
          <w:szCs w:val="24"/>
        </w:rPr>
        <w:t xml:space="preserve">The Board conducts an autonomous evaluation and endorsement of the company's strategic plan, financial results, risk management, internal control structures, and the performance and compensation of the CEO. The corporation engages in discussions with shareholders about strategy </w:t>
      </w:r>
      <w:r w:rsidR="03394D48" w:rsidRPr="4F365955">
        <w:rPr>
          <w:rFonts w:ascii="Calibri" w:eastAsia="Calibri" w:hAnsi="Calibri" w:cs="Calibri"/>
          <w:sz w:val="24"/>
          <w:szCs w:val="24"/>
        </w:rPr>
        <w:t>(</w:t>
      </w:r>
      <w:r w:rsidR="03394D48" w:rsidRPr="4F365955">
        <w:rPr>
          <w:rFonts w:ascii="Calibri" w:eastAsia="Calibri" w:hAnsi="Calibri" w:cs="Calibri"/>
          <w:color w:val="000000" w:themeColor="text1"/>
        </w:rPr>
        <w:t xml:space="preserve">JPMorgan Chase &amp; Co,n.d.), </w:t>
      </w:r>
      <w:r w:rsidRPr="4F365955">
        <w:rPr>
          <w:rFonts w:ascii="Calibri" w:eastAsia="Calibri" w:hAnsi="Calibri" w:cs="Calibri"/>
          <w:sz w:val="24"/>
          <w:szCs w:val="24"/>
        </w:rPr>
        <w:t xml:space="preserve">financial and operational performance, competition, regulation, and environmental, social, and governance (ESG) issues. </w:t>
      </w:r>
    </w:p>
    <w:p w14:paraId="6900C06C" w14:textId="71232CDF" w:rsidR="6C7BFA2D" w:rsidRDefault="6C7BFA2D" w:rsidP="4F365955">
      <w:r w:rsidRPr="4F365955">
        <w:rPr>
          <w:rFonts w:ascii="Calibri" w:eastAsia="Calibri" w:hAnsi="Calibri" w:cs="Calibri"/>
          <w:sz w:val="24"/>
          <w:szCs w:val="24"/>
        </w:rPr>
        <w:t>JPMorgan-Bank aims to provide a workplace that is secure, efficient, diverse, inclusive, professional, collaborative, and reflects its diverse client base</w:t>
      </w:r>
      <w:r w:rsidR="0CC4E1F3" w:rsidRPr="4F365955">
        <w:rPr>
          <w:rFonts w:ascii="Calibri" w:eastAsia="Calibri" w:hAnsi="Calibri" w:cs="Calibri"/>
          <w:sz w:val="24"/>
          <w:szCs w:val="24"/>
        </w:rPr>
        <w:t xml:space="preserve"> (</w:t>
      </w:r>
      <w:r w:rsidR="0CC4E1F3" w:rsidRPr="4F365955">
        <w:rPr>
          <w:rFonts w:ascii="Calibri" w:eastAsia="Calibri" w:hAnsi="Calibri" w:cs="Calibri"/>
          <w:color w:val="000000" w:themeColor="text1"/>
        </w:rPr>
        <w:t>JPMorgan Chase &amp; Co, 2022)</w:t>
      </w:r>
      <w:r w:rsidRPr="4F365955">
        <w:rPr>
          <w:rFonts w:ascii="Calibri" w:eastAsia="Calibri" w:hAnsi="Calibri" w:cs="Calibri"/>
          <w:sz w:val="24"/>
          <w:szCs w:val="24"/>
        </w:rPr>
        <w:t xml:space="preserve">. </w:t>
      </w:r>
    </w:p>
    <w:p w14:paraId="6009499B" w14:textId="564D89E1" w:rsidR="6C7BFA2D" w:rsidRDefault="6C7BFA2D" w:rsidP="4F365955">
      <w:r w:rsidRPr="4F365955">
        <w:rPr>
          <w:rFonts w:ascii="Calibri" w:eastAsia="Calibri" w:hAnsi="Calibri" w:cs="Calibri"/>
          <w:sz w:val="24"/>
          <w:szCs w:val="24"/>
        </w:rPr>
        <w:t>JP Morgan Bank has also assisted clients in navigating the challenges and economic opportunities of the low-carbon economy. The 2022 Climate Report of JPMC, under the guidance of the Task Force on Climate-related Financial Disclosures, outlines the comprehensive climate action taken by the company throughout its whole business operations. This study provides an update on JP Morgan Bank's efforts to reduce emission intensity in the Oil &amp; Gas, Electric Power, and Automotive Manufacturing sectors. It also establishes emission reduction objectives for the Iron &amp; Steel, Cement, and Aviation sectors by the year 2030</w:t>
      </w:r>
      <w:r w:rsidR="6C9B86AD" w:rsidRPr="4F365955">
        <w:rPr>
          <w:rFonts w:ascii="Calibri" w:eastAsia="Calibri" w:hAnsi="Calibri" w:cs="Calibri"/>
          <w:sz w:val="24"/>
          <w:szCs w:val="24"/>
        </w:rPr>
        <w:t xml:space="preserve"> (</w:t>
      </w:r>
      <w:r w:rsidR="6C9B86AD" w:rsidRPr="4F365955">
        <w:rPr>
          <w:rFonts w:ascii="Calibri" w:eastAsia="Calibri" w:hAnsi="Calibri" w:cs="Calibri"/>
          <w:color w:val="000000" w:themeColor="text1"/>
        </w:rPr>
        <w:t>JPMorgan Chase &amp; Co, 2023)</w:t>
      </w:r>
      <w:r w:rsidRPr="4F365955">
        <w:rPr>
          <w:rFonts w:ascii="Calibri" w:eastAsia="Calibri" w:hAnsi="Calibri" w:cs="Calibri"/>
          <w:sz w:val="24"/>
          <w:szCs w:val="24"/>
        </w:rPr>
        <w:t xml:space="preserve">. </w:t>
      </w:r>
    </w:p>
    <w:p w14:paraId="70732717" w14:textId="2D99C07F" w:rsidR="4F365955" w:rsidRDefault="4F365955"/>
    <w:p w14:paraId="7F8E8108" w14:textId="23EEA1A8" w:rsidR="6C7BFA2D" w:rsidRDefault="6C7BFA2D" w:rsidP="4F365955">
      <w:r w:rsidRPr="4F365955">
        <w:rPr>
          <w:rFonts w:ascii="Calibri" w:eastAsia="Calibri" w:hAnsi="Calibri" w:cs="Calibri"/>
          <w:sz w:val="24"/>
          <w:szCs w:val="24"/>
        </w:rPr>
        <w:t>JPMC developed the Carbon Assessment Framework (CAF) to include climate change considerations into their financing decisions for companies with climate-related objectives. The organisation allocated and facilitated $70 billion towards the $1 trillion green objective in 2022. JPMC has allocated and supported $482 billion towards its Sustainable Development Target until 2022, including $176 billion specifically dedicated to its $1 trillion green financial objectives</w:t>
      </w:r>
      <w:r w:rsidR="56C6F75C" w:rsidRPr="4F365955">
        <w:rPr>
          <w:rFonts w:ascii="Calibri" w:eastAsia="Calibri" w:hAnsi="Calibri" w:cs="Calibri"/>
          <w:sz w:val="24"/>
          <w:szCs w:val="24"/>
        </w:rPr>
        <w:t xml:space="preserve"> and providing a concise overview of the bank's financial path and its capacity to handle economic volatility.</w:t>
      </w:r>
    </w:p>
    <w:p w14:paraId="0096164D" w14:textId="0F8C5BD1" w:rsidR="6C7BFA2D" w:rsidRDefault="6C7BFA2D" w:rsidP="4F365955">
      <w:r w:rsidRPr="4F365955">
        <w:rPr>
          <w:rFonts w:ascii="Calibri" w:eastAsia="Calibri" w:hAnsi="Calibri" w:cs="Calibri"/>
          <w:sz w:val="24"/>
          <w:szCs w:val="24"/>
        </w:rPr>
        <w:t xml:space="preserve">An in-depth financial analysis of J.P. Morgan-Bank offers valuable information on its financial stability and operational efficiency within the chosen timeframe. This part provides a comprehensive examination of important financial indicators, such as the rate at which revenue is increasing, the profitability of the company, the ability to meet short-term obligations, and the sufficiency of capital. The text scrutinises the bank's financial strategy, emphasising its methods for managing capital, allocating investments, and optimising costs. The topic encompasses an examination of notable financial achievements spanning the fiscal years 2019-2024, (Craig and Amernic, 2021). </w:t>
      </w:r>
    </w:p>
    <w:p w14:paraId="30CDB667" w14:textId="397CCF52" w:rsidR="2C96DCC6" w:rsidRDefault="2C96DCC6" w:rsidP="2C96DCC6">
      <w:pPr>
        <w:rPr>
          <w:rFonts w:eastAsiaTheme="minorEastAsia"/>
          <w:color w:val="222222"/>
          <w:sz w:val="24"/>
          <w:szCs w:val="24"/>
        </w:rPr>
      </w:pPr>
    </w:p>
    <w:p w14:paraId="28027EFB" w14:textId="0A691521" w:rsidR="4BE4315B" w:rsidRDefault="098C3138" w:rsidP="1CDBF6BD">
      <w:pPr>
        <w:shd w:val="clear" w:color="auto" w:fill="FFFFFF" w:themeFill="background1"/>
        <w:spacing w:before="120" w:after="0"/>
        <w:ind w:left="-20" w:right="-20"/>
        <w:rPr>
          <w:rFonts w:eastAsiaTheme="minorEastAsia"/>
          <w:b/>
          <w:bCs/>
          <w:color w:val="222222"/>
          <w:sz w:val="24"/>
          <w:szCs w:val="24"/>
          <w:u w:val="single"/>
        </w:rPr>
      </w:pPr>
      <w:r w:rsidRPr="4F365955">
        <w:rPr>
          <w:rFonts w:eastAsiaTheme="minorEastAsia"/>
          <w:b/>
          <w:bCs/>
          <w:color w:val="222222"/>
          <w:sz w:val="24"/>
          <w:szCs w:val="24"/>
          <w:u w:val="single"/>
        </w:rPr>
        <w:t xml:space="preserve"> Market Position and Shares </w:t>
      </w:r>
    </w:p>
    <w:p w14:paraId="7B418738" w14:textId="465E1468" w:rsidR="4BE4315B" w:rsidRDefault="4BE4315B" w:rsidP="4F365955">
      <w:pPr>
        <w:shd w:val="clear" w:color="auto" w:fill="FFFFFF" w:themeFill="background1"/>
        <w:spacing w:before="120" w:after="0"/>
        <w:ind w:left="-20" w:right="-20"/>
        <w:rPr>
          <w:rFonts w:eastAsiaTheme="minorEastAsia"/>
          <w:b/>
          <w:bCs/>
          <w:color w:val="222222"/>
          <w:sz w:val="24"/>
          <w:szCs w:val="24"/>
          <w:u w:val="single"/>
        </w:rPr>
      </w:pPr>
    </w:p>
    <w:p w14:paraId="78F401E5" w14:textId="24599913" w:rsidR="4BE4315B" w:rsidRDefault="2A1A6B80" w:rsidP="4F365955">
      <w:pPr>
        <w:spacing w:before="120" w:after="0"/>
      </w:pPr>
      <w:r w:rsidRPr="4F365955">
        <w:rPr>
          <w:rFonts w:ascii="Calibri" w:eastAsia="Calibri" w:hAnsi="Calibri" w:cs="Calibri"/>
          <w:sz w:val="24"/>
          <w:szCs w:val="24"/>
        </w:rPr>
        <w:t xml:space="preserve">J.P. Morgan Bank's market share and position reveal its financial sector competitiveness. This section examines the bank's investment banking, consumer banking, and asset management market share. It assesses the bank's approach to market growth, including product innovation, client involvement, and strategic mergers and acquisitions. The report also identifies significant competitors and evaluates J.P. Morgan's strengths and shortcomings. </w:t>
      </w:r>
    </w:p>
    <w:p w14:paraId="0C01459B" w14:textId="55FB8B63" w:rsidR="4BE4315B" w:rsidRDefault="2A1A6B80" w:rsidP="4F365955">
      <w:pPr>
        <w:spacing w:before="120" w:after="0"/>
      </w:pPr>
      <w:r w:rsidRPr="4F365955">
        <w:rPr>
          <w:rFonts w:ascii="Calibri" w:eastAsia="Calibri" w:hAnsi="Calibri" w:cs="Calibri"/>
          <w:sz w:val="24"/>
          <w:szCs w:val="24"/>
        </w:rPr>
        <w:t xml:space="preserve">J.P. Morgan Bank's market share and position show its financial sector competitiveness. The bank uses product innovation, client interaction, and smart mergers and acquisitions to expand its market share. J.P. Morgan Research expects the global growth to conclude by mid-2025, however there is a slight possibility of recession. According to market predictions, developed market (DM) easing cycles would start later due to stubborn inflation. </w:t>
      </w:r>
    </w:p>
    <w:p w14:paraId="5B8E5389" w14:textId="50426156" w:rsidR="4BE4315B" w:rsidRDefault="2A1A6B80" w:rsidP="4F365955">
      <w:pPr>
        <w:spacing w:before="120" w:after="0"/>
      </w:pPr>
      <w:r w:rsidRPr="4F365955">
        <w:rPr>
          <w:rFonts w:ascii="Calibri" w:eastAsia="Calibri" w:hAnsi="Calibri" w:cs="Calibri"/>
          <w:sz w:val="24"/>
          <w:szCs w:val="24"/>
        </w:rPr>
        <w:t xml:space="preserve">Equity markets face tougher macro conditions in 2024. Poor profit growth and geopolitical worries will hurt markets. The downside-biased J.P. Morgan analysts expect S&amp;P 500 earnings growth of 2–3% and a price objective of 4,200. </w:t>
      </w:r>
    </w:p>
    <w:p w14:paraId="3D1FB3BE" w14:textId="6E6058E9" w:rsidR="4BE4315B" w:rsidRDefault="4B4C2B09" w:rsidP="4F365955">
      <w:pPr>
        <w:spacing w:before="120" w:after="0"/>
      </w:pPr>
      <w:r>
        <w:rPr>
          <w:noProof/>
        </w:rPr>
        <w:drawing>
          <wp:inline distT="0" distB="0" distL="0" distR="0" wp14:anchorId="058D4CB6" wp14:editId="315B4660">
            <wp:extent cx="4572000" cy="3429000"/>
            <wp:effectExtent l="0" t="0" r="0" b="0"/>
            <wp:docPr id="1808629753" name="Imagine 209306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0930649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72000" cy="3429000"/>
                    </a:xfrm>
                    <a:prstGeom prst="rect">
                      <a:avLst/>
                    </a:prstGeom>
                  </pic:spPr>
                </pic:pic>
              </a:graphicData>
            </a:graphic>
          </wp:inline>
        </w:drawing>
      </w:r>
    </w:p>
    <w:p w14:paraId="1C5F1963" w14:textId="67DB8EED" w:rsidR="4BE4315B" w:rsidRDefault="4BE4315B" w:rsidP="4F365955">
      <w:pPr>
        <w:spacing w:before="120" w:after="0"/>
      </w:pPr>
    </w:p>
    <w:p w14:paraId="68CB0CBF" w14:textId="431238F6" w:rsidR="4BE4315B" w:rsidRDefault="4BE4315B" w:rsidP="4F365955">
      <w:pPr>
        <w:spacing w:before="120" w:after="0"/>
      </w:pPr>
    </w:p>
    <w:p w14:paraId="1CF6A0AE" w14:textId="0EE158BF" w:rsidR="4BE4315B" w:rsidRDefault="2A1A6B80" w:rsidP="4F365955">
      <w:pPr>
        <w:spacing w:before="120" w:after="0"/>
      </w:pPr>
      <w:r w:rsidRPr="4F365955">
        <w:rPr>
          <w:rFonts w:ascii="Calibri" w:eastAsia="Calibri" w:hAnsi="Calibri" w:cs="Calibri"/>
          <w:sz w:val="24"/>
          <w:szCs w:val="24"/>
        </w:rPr>
        <w:t xml:space="preserve">J.P. Morgan Asset Management Economic &amp; Market Update [no date] </w:t>
      </w:r>
    </w:p>
    <w:p w14:paraId="39FB7486" w14:textId="74A4B787" w:rsidR="4BE4315B" w:rsidRDefault="4BE4315B" w:rsidP="4F365955">
      <w:pPr>
        <w:spacing w:before="120" w:after="0"/>
      </w:pPr>
    </w:p>
    <w:p w14:paraId="2DEA80CC" w14:textId="60C14577" w:rsidR="4BE4315B" w:rsidRDefault="2A1A6B80" w:rsidP="4F365955">
      <w:pPr>
        <w:spacing w:before="120" w:after="0"/>
      </w:pPr>
      <w:r w:rsidRPr="4F365955">
        <w:rPr>
          <w:rFonts w:ascii="Calibri" w:eastAsia="Calibri" w:hAnsi="Calibri" w:cs="Calibri"/>
          <w:sz w:val="24"/>
          <w:szCs w:val="24"/>
        </w:rPr>
        <w:lastRenderedPageBreak/>
        <w:t xml:space="preserve">Investors may panic when inflation and economic activity fall in 2024. Interest rate shock will hurt economic activity, the main reason. Geopolitics affect commodity prices, inflation, global commerce, and financial flows, adding to the issue. </w:t>
      </w:r>
    </w:p>
    <w:p w14:paraId="14908650" w14:textId="20F15497" w:rsidR="4BE4315B" w:rsidRDefault="2A1A6B80" w:rsidP="4F365955">
      <w:pPr>
        <w:spacing w:before="120" w:after="0"/>
      </w:pPr>
      <w:r w:rsidRPr="4F365955">
        <w:rPr>
          <w:rFonts w:ascii="Calibri" w:eastAsia="Calibri" w:hAnsi="Calibri" w:cs="Calibri"/>
          <w:sz w:val="24"/>
          <w:szCs w:val="24"/>
        </w:rPr>
        <w:t xml:space="preserve">Without lowering interest rates and ending quantitative tightening, the economy and risk rally will struggle. This implies that 2024 market dips and volatility must precede monetary easing and a more durable rebound. As major central banks decrease balance sheets at an unprecedented rate and consumer and business borrowing rates remain tight, J.P. Morgan analysts predict U.S. and global GDP to weaken by 2024. </w:t>
      </w:r>
    </w:p>
    <w:p w14:paraId="62E81156" w14:textId="47921CA2" w:rsidR="4BE4315B" w:rsidRDefault="2A1A6B80" w:rsidP="4F365955">
      <w:pPr>
        <w:spacing w:before="120" w:after="0"/>
        <w:rPr>
          <w:rFonts w:ascii="Calibri" w:eastAsia="Calibri" w:hAnsi="Calibri" w:cs="Calibri"/>
          <w:sz w:val="24"/>
          <w:szCs w:val="24"/>
        </w:rPr>
      </w:pPr>
      <w:r w:rsidRPr="4F365955">
        <w:rPr>
          <w:rFonts w:ascii="Calibri" w:eastAsia="Calibri" w:hAnsi="Calibri" w:cs="Calibri"/>
          <w:sz w:val="24"/>
          <w:szCs w:val="24"/>
        </w:rPr>
        <w:t>Equity volatility is stronger in 2024 than in 2023 due to geopolitical concerns, including significant wars and national elections in 40 countries, including the U.S. The rise depends on recession timing and intensity. With UK and European stocks projected to follow a V-shaped trend, the U.S. remains the quality leader. Potential retail involvement, robust balance sheets, growing shareholder focus, greater consumer real income growth, and supportive policy make Japan appealing. High rates, geopolitical events, and U.S. currency gains will make emerging markets (EM) have a rough start. China, which has trailed this year, might improve if GDP momentum improves and geopolitical concerns remain low. JP Morgan experts predict the global economy will escape a near-term recession, but a mid-2025 global expansion end is most plausible. As positive shocks fade, inflation moderates, corporate pressure concentrates, and vulnerability grows, global GDP will decelerate</w:t>
      </w:r>
      <w:r w:rsidR="038A79D7" w:rsidRPr="4F365955">
        <w:rPr>
          <w:rFonts w:ascii="Calibri" w:eastAsia="Calibri" w:hAnsi="Calibri" w:cs="Calibri"/>
          <w:sz w:val="24"/>
          <w:szCs w:val="24"/>
        </w:rPr>
        <w:t xml:space="preserve"> (</w:t>
      </w:r>
      <w:r w:rsidRPr="4F365955">
        <w:rPr>
          <w:rFonts w:ascii="Calibri" w:eastAsia="Calibri" w:hAnsi="Calibri" w:cs="Calibri"/>
          <w:sz w:val="24"/>
          <w:szCs w:val="24"/>
        </w:rPr>
        <w:t>JP Morgan Research: Market Outlook 2024</w:t>
      </w:r>
      <w:r w:rsidR="17863729" w:rsidRPr="4F365955">
        <w:rPr>
          <w:rFonts w:ascii="Calibri" w:eastAsia="Calibri" w:hAnsi="Calibri" w:cs="Calibri"/>
          <w:sz w:val="24"/>
          <w:szCs w:val="24"/>
        </w:rPr>
        <w:t>)</w:t>
      </w:r>
    </w:p>
    <w:p w14:paraId="190B1CFF" w14:textId="05259CF4" w:rsidR="4BE4315B" w:rsidRDefault="4BE4315B" w:rsidP="4F365955">
      <w:pPr>
        <w:shd w:val="clear" w:color="auto" w:fill="FFFFFF" w:themeFill="background1"/>
        <w:spacing w:before="120" w:after="0"/>
        <w:ind w:left="-20" w:right="-20"/>
      </w:pPr>
    </w:p>
    <w:p w14:paraId="6FC9A960" w14:textId="748ECE47" w:rsidR="4BE4315B" w:rsidRDefault="098C3138" w:rsidP="4F365955">
      <w:pPr>
        <w:shd w:val="clear" w:color="auto" w:fill="FFFFFF" w:themeFill="background1"/>
        <w:spacing w:before="120" w:after="0"/>
        <w:ind w:left="-20" w:right="-20"/>
        <w:rPr>
          <w:rFonts w:eastAsiaTheme="minorEastAsia"/>
          <w:b/>
          <w:bCs/>
          <w:color w:val="222222"/>
          <w:sz w:val="24"/>
          <w:szCs w:val="24"/>
          <w:u w:val="single"/>
        </w:rPr>
      </w:pPr>
      <w:r w:rsidRPr="4F365955">
        <w:rPr>
          <w:rFonts w:eastAsiaTheme="minorEastAsia"/>
          <w:b/>
          <w:bCs/>
          <w:color w:val="222222"/>
          <w:sz w:val="24"/>
          <w:szCs w:val="24"/>
          <w:u w:val="single"/>
        </w:rPr>
        <w:t>Ownership and Stakeholders</w:t>
      </w:r>
      <w:r w:rsidRPr="4F365955">
        <w:rPr>
          <w:rFonts w:eastAsiaTheme="minorEastAsia"/>
          <w:color w:val="222222"/>
          <w:sz w:val="24"/>
          <w:szCs w:val="24"/>
        </w:rPr>
        <w:t xml:space="preserve"> </w:t>
      </w:r>
    </w:p>
    <w:p w14:paraId="2E67F080" w14:textId="2992356B" w:rsidR="48742E15" w:rsidRDefault="48742E15" w:rsidP="4F365955">
      <w:pPr>
        <w:shd w:val="clear" w:color="auto" w:fill="FFFFFF" w:themeFill="background1"/>
        <w:spacing w:before="120" w:after="0"/>
        <w:ind w:left="-20" w:right="-20"/>
        <w:rPr>
          <w:rFonts w:eastAsiaTheme="minorEastAsia"/>
          <w:color w:val="222222"/>
          <w:sz w:val="24"/>
          <w:szCs w:val="24"/>
        </w:rPr>
      </w:pPr>
    </w:p>
    <w:p w14:paraId="4B39B042" w14:textId="29861E4C" w:rsidR="48742E15" w:rsidRDefault="60A6AB40" w:rsidP="4F365955">
      <w:pPr>
        <w:spacing w:before="120" w:after="0"/>
      </w:pPr>
      <w:r w:rsidRPr="4F365955">
        <w:rPr>
          <w:rFonts w:ascii="Calibri" w:eastAsia="Calibri" w:hAnsi="Calibri" w:cs="Calibri"/>
          <w:sz w:val="24"/>
          <w:szCs w:val="24"/>
        </w:rPr>
        <w:t>The ownership composition and primary stakeholders of J.P. Morgan-Bank significantly influence the bank's strategic trajectory and governance. Vanguard and BlackRock are prominent entities that have substantial influence on the financial institution, together commanding a large share</w:t>
      </w:r>
      <w:r w:rsidR="68003C70" w:rsidRPr="4F365955">
        <w:rPr>
          <w:rFonts w:ascii="Calibri" w:eastAsia="Calibri" w:hAnsi="Calibri" w:cs="Calibri"/>
          <w:sz w:val="24"/>
          <w:szCs w:val="24"/>
        </w:rPr>
        <w:t xml:space="preserve"> (</w:t>
      </w:r>
      <w:r w:rsidR="68003C70" w:rsidRPr="4F365955">
        <w:rPr>
          <w:rFonts w:ascii="Calibri" w:eastAsia="Calibri" w:hAnsi="Calibri" w:cs="Calibri"/>
          <w:color w:val="000000" w:themeColor="text1"/>
        </w:rPr>
        <w:t>Le, V.D., Mai, N.Q., and Rangaraju, S, 2023)</w:t>
      </w:r>
      <w:r w:rsidRPr="4F365955">
        <w:rPr>
          <w:rFonts w:ascii="Calibri" w:eastAsia="Calibri" w:hAnsi="Calibri" w:cs="Calibri"/>
          <w:sz w:val="24"/>
          <w:szCs w:val="24"/>
        </w:rPr>
        <w:t>. Noteworthy directors, such as James Crown and James Dimon, who own comparatively little shareholdings, also participate to the decision-making processes. The bank's activities are influenced by both institutional and retail shareholders, who have an impact on its general strategy and governance. Significantly, insider investors like as Dimon, Erdoes, and Pinto, although holding relatively modest percentages of the corporation, have substantial influence over the organisation.</w:t>
      </w:r>
    </w:p>
    <w:p w14:paraId="23D9F618" w14:textId="564627A5" w:rsidR="48742E15" w:rsidRDefault="3FF91DD9" w:rsidP="4F365955">
      <w:pPr>
        <w:spacing w:before="120" w:after="0"/>
      </w:pPr>
      <w:r w:rsidRPr="4F365955">
        <w:rPr>
          <w:rFonts w:ascii="Calibri" w:eastAsia="Calibri" w:hAnsi="Calibri" w:cs="Calibri"/>
          <w:sz w:val="24"/>
          <w:szCs w:val="24"/>
        </w:rPr>
        <w:t xml:space="preserve">According to Reiff (2023) </w:t>
      </w:r>
      <w:r w:rsidR="60A6AB40" w:rsidRPr="4F365955">
        <w:rPr>
          <w:rFonts w:ascii="Calibri" w:eastAsia="Calibri" w:hAnsi="Calibri" w:cs="Calibri"/>
          <w:sz w:val="24"/>
          <w:szCs w:val="24"/>
        </w:rPr>
        <w:t>J.P. Morgan-Bank is mostly owned by institutional investors, with Vanguard Group and BlackRock having significant shares in the corporation. These prominent stakeholders, in addition to State Street Corp., make substantial contributions to the bank's strategic decision-making process. Their ownership positions highlight the significance of these stakeholders in directing the bank's operations and governance processes, guaranteeing responsibility and conformity with the most effective corporate stewardship standards.</w:t>
      </w:r>
    </w:p>
    <w:p w14:paraId="134666B2" w14:textId="4CA309CF" w:rsidR="48742E15" w:rsidRDefault="48742E15" w:rsidP="4F365955">
      <w:pPr>
        <w:shd w:val="clear" w:color="auto" w:fill="FFFFFF" w:themeFill="background1"/>
        <w:spacing w:before="120" w:after="0"/>
        <w:ind w:left="-20" w:right="-20"/>
      </w:pPr>
    </w:p>
    <w:p w14:paraId="176AEF3E" w14:textId="49C58312" w:rsidR="76E99FD4" w:rsidRDefault="76E99FD4" w:rsidP="76E99FD4">
      <w:pPr>
        <w:rPr>
          <w:rFonts w:ascii="Calibri" w:eastAsia="Calibri" w:hAnsi="Calibri" w:cs="Calibri"/>
          <w:sz w:val="24"/>
          <w:szCs w:val="24"/>
        </w:rPr>
      </w:pPr>
    </w:p>
    <w:p w14:paraId="015997D8" w14:textId="12170DCC" w:rsidR="4BE4315B" w:rsidRDefault="4BE4315B" w:rsidP="1CDBF6BD">
      <w:pPr>
        <w:rPr>
          <w:rFonts w:eastAsiaTheme="minorEastAsia"/>
          <w:sz w:val="24"/>
          <w:szCs w:val="24"/>
        </w:rPr>
      </w:pPr>
    </w:p>
    <w:p w14:paraId="4CDA9A55" w14:textId="00FF55C2" w:rsidR="4BE4315B" w:rsidRDefault="4BE4315B" w:rsidP="1CDBF6BD">
      <w:pPr>
        <w:rPr>
          <w:rFonts w:eastAsiaTheme="minorEastAsia"/>
          <w:sz w:val="24"/>
          <w:szCs w:val="24"/>
        </w:rPr>
      </w:pPr>
    </w:p>
    <w:p w14:paraId="32054D73" w14:textId="2C895DEA" w:rsidR="4BE4315B" w:rsidRDefault="4BE4315B" w:rsidP="1CDBF6BD">
      <w:pPr>
        <w:rPr>
          <w:rFonts w:eastAsiaTheme="minorEastAsia"/>
          <w:sz w:val="24"/>
          <w:szCs w:val="24"/>
        </w:rPr>
      </w:pPr>
    </w:p>
    <w:p w14:paraId="2956E873" w14:textId="62680478" w:rsidR="4BE4315B" w:rsidRDefault="4BE4315B" w:rsidP="1CDBF6BD">
      <w:pPr>
        <w:rPr>
          <w:rFonts w:eastAsiaTheme="minorEastAsia"/>
          <w:sz w:val="24"/>
          <w:szCs w:val="24"/>
        </w:rPr>
      </w:pPr>
    </w:p>
    <w:p w14:paraId="693725F9" w14:textId="0577B41F" w:rsidR="4BE4315B" w:rsidRDefault="4BE4315B" w:rsidP="1CDBF6BD">
      <w:pPr>
        <w:rPr>
          <w:rFonts w:eastAsiaTheme="minorEastAsia"/>
          <w:sz w:val="24"/>
          <w:szCs w:val="24"/>
        </w:rPr>
      </w:pPr>
    </w:p>
    <w:p w14:paraId="3FD9E09A" w14:textId="055AC73E" w:rsidR="4BE4315B" w:rsidRDefault="4BE4315B" w:rsidP="1CDBF6BD">
      <w:pPr>
        <w:rPr>
          <w:sz w:val="24"/>
          <w:szCs w:val="24"/>
        </w:rPr>
      </w:pPr>
    </w:p>
    <w:p w14:paraId="6B802EB0" w14:textId="222776E9" w:rsidR="4BE4315B" w:rsidRDefault="4BE4315B" w:rsidP="1CDBF6BD">
      <w:pPr>
        <w:rPr>
          <w:sz w:val="24"/>
          <w:szCs w:val="24"/>
        </w:rPr>
      </w:pPr>
    </w:p>
    <w:p w14:paraId="2157AF0C" w14:textId="2BA278D4" w:rsidR="4BE4315B" w:rsidRDefault="4BE4315B" w:rsidP="1CDBF6BD">
      <w:pPr>
        <w:rPr>
          <w:sz w:val="24"/>
          <w:szCs w:val="24"/>
        </w:rPr>
      </w:pPr>
    </w:p>
    <w:p w14:paraId="7731E5E7" w14:textId="463AB4D2" w:rsidR="4BE4315B" w:rsidRDefault="4BE4315B" w:rsidP="1CDBF6BD">
      <w:pPr>
        <w:rPr>
          <w:sz w:val="24"/>
          <w:szCs w:val="24"/>
        </w:rPr>
      </w:pPr>
    </w:p>
    <w:p w14:paraId="4DC577AE" w14:textId="5DCC5C43" w:rsidR="4BE4315B" w:rsidRDefault="4BE4315B" w:rsidP="1CDBF6BD">
      <w:pPr>
        <w:rPr>
          <w:sz w:val="24"/>
          <w:szCs w:val="24"/>
        </w:rPr>
      </w:pPr>
    </w:p>
    <w:p w14:paraId="3A5DD4B5" w14:textId="3375F2FD" w:rsidR="4BE4315B" w:rsidRDefault="4BE4315B" w:rsidP="1CDBF6BD">
      <w:pPr>
        <w:rPr>
          <w:sz w:val="24"/>
          <w:szCs w:val="24"/>
        </w:rPr>
      </w:pPr>
    </w:p>
    <w:p w14:paraId="72F82C5D" w14:textId="2812B9F0" w:rsidR="4BE4315B" w:rsidRDefault="4BE4315B" w:rsidP="1CDBF6BD">
      <w:pPr>
        <w:rPr>
          <w:sz w:val="24"/>
          <w:szCs w:val="24"/>
        </w:rPr>
      </w:pPr>
    </w:p>
    <w:p w14:paraId="6E065EE9" w14:textId="4039E32F" w:rsidR="1CDBF6BD" w:rsidRDefault="1CDBF6BD" w:rsidP="1CDBF6BD">
      <w:pPr>
        <w:rPr>
          <w:rFonts w:ascii="Arial" w:eastAsia="Arial" w:hAnsi="Arial" w:cs="Arial"/>
          <w:color w:val="222222"/>
          <w:sz w:val="24"/>
          <w:szCs w:val="24"/>
        </w:rPr>
      </w:pPr>
    </w:p>
    <w:p w14:paraId="1832FEC9" w14:textId="1C292FC7" w:rsidR="28013021" w:rsidRDefault="28013021" w:rsidP="4F365955">
      <w:pPr>
        <w:rPr>
          <w:b/>
          <w:bCs/>
          <w:sz w:val="32"/>
          <w:szCs w:val="32"/>
        </w:rPr>
      </w:pPr>
      <w:r w:rsidRPr="4F365955">
        <w:rPr>
          <w:rFonts w:ascii="Arial" w:eastAsia="Arial" w:hAnsi="Arial" w:cs="Arial"/>
          <w:color w:val="222222"/>
          <w:sz w:val="24"/>
          <w:szCs w:val="24"/>
        </w:rPr>
        <w:t xml:space="preserve">                                            </w:t>
      </w:r>
    </w:p>
    <w:p w14:paraId="17DA78CF" w14:textId="4920BADD" w:rsidR="28013021" w:rsidRDefault="28013021" w:rsidP="4F365955">
      <w:pPr>
        <w:rPr>
          <w:rFonts w:ascii="Arial" w:eastAsia="Arial" w:hAnsi="Arial" w:cs="Arial"/>
          <w:color w:val="222222"/>
          <w:sz w:val="24"/>
          <w:szCs w:val="24"/>
        </w:rPr>
      </w:pPr>
    </w:p>
    <w:p w14:paraId="668E579D" w14:textId="71AB62FB" w:rsidR="28013021" w:rsidRDefault="28013021" w:rsidP="4F365955">
      <w:pPr>
        <w:rPr>
          <w:rFonts w:ascii="Arial" w:eastAsia="Arial" w:hAnsi="Arial" w:cs="Arial"/>
          <w:color w:val="222222"/>
          <w:sz w:val="24"/>
          <w:szCs w:val="24"/>
        </w:rPr>
      </w:pPr>
    </w:p>
    <w:p w14:paraId="06BC641D" w14:textId="4854C786" w:rsidR="28013021" w:rsidRDefault="28013021" w:rsidP="4F365955">
      <w:pPr>
        <w:rPr>
          <w:rFonts w:ascii="Arial" w:eastAsia="Arial" w:hAnsi="Arial" w:cs="Arial"/>
          <w:color w:val="222222"/>
          <w:sz w:val="24"/>
          <w:szCs w:val="24"/>
        </w:rPr>
      </w:pPr>
    </w:p>
    <w:p w14:paraId="2CE6054D" w14:textId="66710EAF" w:rsidR="28013021" w:rsidRDefault="28013021" w:rsidP="4F365955">
      <w:pPr>
        <w:rPr>
          <w:rFonts w:ascii="Arial" w:eastAsia="Arial" w:hAnsi="Arial" w:cs="Arial"/>
          <w:color w:val="222222"/>
          <w:sz w:val="24"/>
          <w:szCs w:val="24"/>
        </w:rPr>
      </w:pPr>
    </w:p>
    <w:p w14:paraId="0E21712B" w14:textId="1C75A25B" w:rsidR="28013021" w:rsidRDefault="28013021" w:rsidP="4F365955">
      <w:pPr>
        <w:rPr>
          <w:rFonts w:ascii="Arial" w:eastAsia="Arial" w:hAnsi="Arial" w:cs="Arial"/>
          <w:color w:val="222222"/>
          <w:sz w:val="24"/>
          <w:szCs w:val="24"/>
        </w:rPr>
      </w:pPr>
    </w:p>
    <w:p w14:paraId="7F401807" w14:textId="2FF3F241" w:rsidR="28013021" w:rsidRDefault="28013021" w:rsidP="4F365955">
      <w:pPr>
        <w:rPr>
          <w:rFonts w:ascii="Arial" w:eastAsia="Arial" w:hAnsi="Arial" w:cs="Arial"/>
          <w:color w:val="222222"/>
          <w:sz w:val="24"/>
          <w:szCs w:val="24"/>
        </w:rPr>
      </w:pPr>
    </w:p>
    <w:p w14:paraId="21CADCC9" w14:textId="70E0C9A8" w:rsidR="28013021" w:rsidRDefault="28013021" w:rsidP="4F365955">
      <w:pPr>
        <w:rPr>
          <w:rFonts w:ascii="Arial" w:eastAsia="Arial" w:hAnsi="Arial" w:cs="Arial"/>
          <w:color w:val="222222"/>
          <w:sz w:val="24"/>
          <w:szCs w:val="24"/>
        </w:rPr>
      </w:pPr>
    </w:p>
    <w:p w14:paraId="61DFEC56" w14:textId="4040C91C" w:rsidR="28013021" w:rsidRDefault="28013021" w:rsidP="4F365955">
      <w:pPr>
        <w:rPr>
          <w:rFonts w:ascii="Arial" w:eastAsia="Arial" w:hAnsi="Arial" w:cs="Arial"/>
          <w:color w:val="222222"/>
          <w:sz w:val="24"/>
          <w:szCs w:val="24"/>
        </w:rPr>
      </w:pPr>
    </w:p>
    <w:p w14:paraId="4108E50D" w14:textId="52F54B43" w:rsidR="28013021" w:rsidRDefault="28013021" w:rsidP="4F365955">
      <w:pPr>
        <w:rPr>
          <w:rFonts w:ascii="Arial" w:eastAsia="Arial" w:hAnsi="Arial" w:cs="Arial"/>
          <w:color w:val="222222"/>
          <w:sz w:val="24"/>
          <w:szCs w:val="24"/>
        </w:rPr>
      </w:pPr>
    </w:p>
    <w:p w14:paraId="047267A8" w14:textId="7DDFF4B4" w:rsidR="28013021" w:rsidRDefault="28013021" w:rsidP="4F365955">
      <w:pPr>
        <w:rPr>
          <w:rFonts w:ascii="Arial" w:eastAsia="Arial" w:hAnsi="Arial" w:cs="Arial"/>
          <w:color w:val="222222"/>
          <w:sz w:val="24"/>
          <w:szCs w:val="24"/>
        </w:rPr>
      </w:pPr>
    </w:p>
    <w:p w14:paraId="6A6DA07E" w14:textId="14223C13" w:rsidR="28013021" w:rsidRDefault="432FAB23" w:rsidP="1CDBF6BD">
      <w:pPr>
        <w:rPr>
          <w:b/>
          <w:bCs/>
          <w:sz w:val="32"/>
          <w:szCs w:val="32"/>
        </w:rPr>
      </w:pPr>
      <w:r w:rsidRPr="4F365955">
        <w:rPr>
          <w:rFonts w:ascii="Arial" w:eastAsia="Arial" w:hAnsi="Arial" w:cs="Arial"/>
          <w:color w:val="222222"/>
          <w:sz w:val="24"/>
          <w:szCs w:val="24"/>
        </w:rPr>
        <w:t xml:space="preserve">                                                </w:t>
      </w:r>
      <w:r w:rsidR="28013021" w:rsidRPr="4F365955">
        <w:rPr>
          <w:rFonts w:ascii="Arial" w:eastAsia="Arial" w:hAnsi="Arial" w:cs="Arial"/>
          <w:color w:val="222222"/>
          <w:sz w:val="24"/>
          <w:szCs w:val="24"/>
        </w:rPr>
        <w:t xml:space="preserve">       </w:t>
      </w:r>
      <w:r w:rsidR="74DF5801">
        <w:rPr>
          <w:noProof/>
        </w:rPr>
        <w:drawing>
          <wp:inline distT="0" distB="0" distL="0" distR="0" wp14:anchorId="2D8872C6" wp14:editId="1B9EACE3">
            <wp:extent cx="1278385" cy="274320"/>
            <wp:effectExtent l="0" t="0" r="0" b="0"/>
            <wp:docPr id="218044470"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17470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p>
    <w:p w14:paraId="1CB5EE03" w14:textId="3C0A656F" w:rsidR="2252EF13" w:rsidRDefault="2252EF13" w:rsidP="2252EF13">
      <w:pPr>
        <w:spacing w:before="120" w:after="0"/>
        <w:rPr>
          <w:rFonts w:eastAsiaTheme="minorEastAsia"/>
          <w:b/>
          <w:bCs/>
          <w:color w:val="4A3C10"/>
          <w:sz w:val="32"/>
          <w:szCs w:val="32"/>
        </w:rPr>
      </w:pPr>
    </w:p>
    <w:p w14:paraId="0BE00FC8" w14:textId="70153C13" w:rsidR="2252EF13" w:rsidRDefault="2252EF13" w:rsidP="2252EF13">
      <w:pPr>
        <w:spacing w:before="120" w:after="0"/>
        <w:rPr>
          <w:rFonts w:eastAsiaTheme="minorEastAsia"/>
          <w:b/>
          <w:bCs/>
          <w:color w:val="4A3C10"/>
          <w:sz w:val="32"/>
          <w:szCs w:val="32"/>
        </w:rPr>
      </w:pPr>
    </w:p>
    <w:p w14:paraId="2DE1D1E6" w14:textId="764847BB" w:rsidR="2252EF13" w:rsidRDefault="2252EF13" w:rsidP="2252EF13">
      <w:pPr>
        <w:spacing w:before="120" w:after="0"/>
        <w:rPr>
          <w:rFonts w:eastAsiaTheme="minorEastAsia"/>
          <w:b/>
          <w:bCs/>
          <w:color w:val="4A3C10"/>
          <w:sz w:val="32"/>
          <w:szCs w:val="32"/>
        </w:rPr>
      </w:pPr>
    </w:p>
    <w:p w14:paraId="1D39B945" w14:textId="42F05FE3" w:rsidR="2252EF13" w:rsidRDefault="2252EF13" w:rsidP="2252EF13">
      <w:pPr>
        <w:spacing w:before="120" w:after="0"/>
        <w:rPr>
          <w:rFonts w:eastAsiaTheme="minorEastAsia"/>
          <w:b/>
          <w:bCs/>
          <w:color w:val="4A3C10"/>
          <w:sz w:val="32"/>
          <w:szCs w:val="32"/>
        </w:rPr>
      </w:pPr>
    </w:p>
    <w:p w14:paraId="13E477CF" w14:textId="066863A7" w:rsidR="2252EF13" w:rsidRDefault="2252EF13" w:rsidP="2252EF13">
      <w:pPr>
        <w:spacing w:before="120" w:after="0"/>
        <w:rPr>
          <w:rFonts w:eastAsiaTheme="minorEastAsia"/>
          <w:b/>
          <w:bCs/>
          <w:color w:val="4A3C10"/>
          <w:sz w:val="32"/>
          <w:szCs w:val="32"/>
        </w:rPr>
      </w:pPr>
    </w:p>
    <w:p w14:paraId="584284BC" w14:textId="31C8EE61" w:rsidR="2252EF13" w:rsidRDefault="2252EF13" w:rsidP="2252EF13">
      <w:pPr>
        <w:spacing w:before="120" w:after="0"/>
        <w:rPr>
          <w:rFonts w:eastAsiaTheme="minorEastAsia"/>
          <w:b/>
          <w:bCs/>
          <w:color w:val="4A3C10"/>
          <w:sz w:val="32"/>
          <w:szCs w:val="32"/>
        </w:rPr>
      </w:pPr>
    </w:p>
    <w:p w14:paraId="111CAB75" w14:textId="04D3A902" w:rsidR="2252EF13" w:rsidRDefault="2252EF13" w:rsidP="2252EF13">
      <w:pPr>
        <w:spacing w:before="120" w:after="0"/>
        <w:rPr>
          <w:rFonts w:eastAsiaTheme="minorEastAsia"/>
          <w:b/>
          <w:bCs/>
          <w:color w:val="4A3C10"/>
          <w:sz w:val="32"/>
          <w:szCs w:val="32"/>
        </w:rPr>
      </w:pPr>
    </w:p>
    <w:p w14:paraId="520144F9" w14:textId="151E6D91" w:rsidR="2252EF13" w:rsidRDefault="2252EF13" w:rsidP="2252EF13">
      <w:pPr>
        <w:spacing w:before="120" w:after="0"/>
        <w:rPr>
          <w:rFonts w:eastAsiaTheme="minorEastAsia"/>
          <w:b/>
          <w:bCs/>
          <w:color w:val="4A3C10"/>
          <w:sz w:val="32"/>
          <w:szCs w:val="32"/>
        </w:rPr>
      </w:pPr>
    </w:p>
    <w:p w14:paraId="5861E2DB" w14:textId="5B35A4B1" w:rsidR="2252EF13" w:rsidRDefault="2252EF13" w:rsidP="2252EF13">
      <w:pPr>
        <w:spacing w:before="120" w:after="0"/>
        <w:rPr>
          <w:rFonts w:eastAsiaTheme="minorEastAsia"/>
          <w:b/>
          <w:bCs/>
          <w:color w:val="4A3C10"/>
          <w:sz w:val="32"/>
          <w:szCs w:val="32"/>
        </w:rPr>
      </w:pPr>
    </w:p>
    <w:p w14:paraId="227E9047" w14:textId="68D5A944" w:rsidR="2C96DCC6" w:rsidRDefault="098C3138" w:rsidP="4F365955">
      <w:pPr>
        <w:spacing w:before="120" w:after="0"/>
        <w:rPr>
          <w:rFonts w:eastAsiaTheme="minorEastAsia"/>
          <w:b/>
          <w:bCs/>
          <w:color w:val="4A3C10"/>
          <w:sz w:val="32"/>
          <w:szCs w:val="32"/>
        </w:rPr>
      </w:pPr>
      <w:r w:rsidRPr="4F365955">
        <w:rPr>
          <w:rFonts w:eastAsiaTheme="minorEastAsia"/>
          <w:b/>
          <w:bCs/>
          <w:color w:val="4A3C10"/>
          <w:sz w:val="32"/>
          <w:szCs w:val="32"/>
        </w:rPr>
        <w:t xml:space="preserve">Strategic Analysis </w:t>
      </w:r>
    </w:p>
    <w:p w14:paraId="265C94BA" w14:textId="0E5AA626" w:rsidR="4BE4315B" w:rsidRDefault="618C821E" w:rsidP="4F365955">
      <w:pPr>
        <w:spacing w:before="120" w:after="0"/>
        <w:rPr>
          <w:rFonts w:ascii="Calibri" w:eastAsia="Calibri" w:hAnsi="Calibri" w:cs="Calibri"/>
          <w:sz w:val="24"/>
          <w:szCs w:val="24"/>
        </w:rPr>
      </w:pPr>
      <w:r w:rsidRPr="2252EF13">
        <w:rPr>
          <w:rFonts w:ascii="Calibri" w:eastAsia="Calibri" w:hAnsi="Calibri" w:cs="Calibri"/>
          <w:sz w:val="24"/>
          <w:szCs w:val="24"/>
        </w:rPr>
        <w:t>Understanding J.P. Morgan Chase requires a thorough understanding of its internal and external elements. Company culture, leadership, financial performance, and operational efficiency affect strategic direction internally. Understanding these qualities may help identify strengths and weaknesses. Market volatility, regulations, competition, and technology are external variables. Evaluation of external factors reveals development prospects and threats.</w:t>
      </w:r>
      <w:r w:rsidRPr="404F02A2">
        <w:rPr>
          <w:rFonts w:eastAsiaTheme="minorEastAsia"/>
          <w:sz w:val="24"/>
          <w:szCs w:val="24"/>
        </w:rPr>
        <w:t xml:space="preserve"> </w:t>
      </w:r>
      <w:r w:rsidR="0948727B" w:rsidRPr="404F02A2">
        <w:rPr>
          <w:rFonts w:eastAsiaTheme="minorEastAsia"/>
          <w:color w:val="222222"/>
          <w:sz w:val="24"/>
          <w:szCs w:val="24"/>
        </w:rPr>
        <w:t>The SWOT analysis identifies a decline in retail banking market share. This trend can be traced back to the competitive pressures from fintech disruptors, necessitating J.P. Morgan to enhance its digital service offerings to recover its position.</w:t>
      </w:r>
      <w:r w:rsidRPr="404F02A2">
        <w:rPr>
          <w:rFonts w:eastAsiaTheme="minorEastAsia"/>
          <w:sz w:val="24"/>
          <w:szCs w:val="24"/>
        </w:rPr>
        <w:t xml:space="preserve"> </w:t>
      </w:r>
      <w:r w:rsidRPr="2252EF13">
        <w:rPr>
          <w:rFonts w:ascii="Calibri" w:eastAsia="Calibri" w:hAnsi="Calibri" w:cs="Calibri"/>
          <w:sz w:val="24"/>
          <w:szCs w:val="24"/>
        </w:rPr>
        <w:t xml:space="preserve">Potential benefits include market growth, consumer preferences, and financial technology advances, while hazards include regulatory changes, economic downturns, and increased competition. By assessing its internal and external surroundings, strategic analysts can help J.P. Morgan Chase navigate a volatile financial market and seize opportunities. </w:t>
      </w:r>
    </w:p>
    <w:p w14:paraId="430675BC" w14:textId="660F7094" w:rsidR="4BE4315B" w:rsidRDefault="4BE4315B" w:rsidP="4F365955">
      <w:pPr>
        <w:spacing w:before="120" w:after="0"/>
      </w:pPr>
    </w:p>
    <w:p w14:paraId="776B2472" w14:textId="4BE865B3" w:rsidR="4BE4315B" w:rsidRDefault="7A0603CA" w:rsidP="4F365955">
      <w:pPr>
        <w:shd w:val="clear" w:color="auto" w:fill="FFFFFF" w:themeFill="background1"/>
        <w:spacing w:before="120" w:after="0"/>
        <w:ind w:left="-20" w:right="-20"/>
        <w:rPr>
          <w:rFonts w:eastAsiaTheme="minorEastAsia"/>
          <w:color w:val="222222"/>
          <w:sz w:val="24"/>
          <w:szCs w:val="24"/>
        </w:rPr>
      </w:pPr>
      <w:r w:rsidRPr="4F365955">
        <w:rPr>
          <w:rFonts w:eastAsiaTheme="minorEastAsia"/>
          <w:b/>
          <w:bCs/>
          <w:color w:val="222222"/>
          <w:sz w:val="24"/>
          <w:szCs w:val="24"/>
          <w:u w:val="single"/>
        </w:rPr>
        <w:t>I</w:t>
      </w:r>
      <w:r w:rsidR="098C3138" w:rsidRPr="4F365955">
        <w:rPr>
          <w:rFonts w:eastAsiaTheme="minorEastAsia"/>
          <w:b/>
          <w:bCs/>
          <w:color w:val="222222"/>
          <w:sz w:val="24"/>
          <w:szCs w:val="24"/>
          <w:u w:val="single"/>
        </w:rPr>
        <w:t>nternal analysis</w:t>
      </w:r>
    </w:p>
    <w:p w14:paraId="030DBF85" w14:textId="057A873E" w:rsidR="4BE4315B" w:rsidRDefault="7F29C160" w:rsidP="2252EF13">
      <w:pPr>
        <w:spacing w:before="120" w:after="0"/>
        <w:rPr>
          <w:rFonts w:ascii="Calibri" w:eastAsia="Calibri" w:hAnsi="Calibri" w:cs="Calibri"/>
          <w:sz w:val="24"/>
          <w:szCs w:val="24"/>
        </w:rPr>
      </w:pPr>
      <w:r w:rsidRPr="2252EF13">
        <w:rPr>
          <w:rFonts w:ascii="Calibri" w:eastAsia="Calibri" w:hAnsi="Calibri" w:cs="Calibri"/>
          <w:sz w:val="24"/>
          <w:szCs w:val="24"/>
        </w:rPr>
        <w:t xml:space="preserve">An internal study of JPMorgan Bank must assess the bank's internal resources, skills, and competences as well as external issues that affect its operations. JPMorgan Bank is an international bank with a strong technology infrastructure and a reputation for honesty. The bank leads digital banking with its wide online and mobile banking offerings. However, strict financial sector regulations and its complex business divisions pose dangers to its operations. </w:t>
      </w:r>
      <w:r w:rsidR="314641DA" w:rsidRPr="404F02A2">
        <w:rPr>
          <w:rFonts w:ascii="Calibri" w:eastAsia="Calibri" w:hAnsi="Calibri" w:cs="Calibri"/>
          <w:sz w:val="24"/>
          <w:szCs w:val="24"/>
        </w:rPr>
        <w:t>J.P. Morgan has not effectively used its resource potential, especially in the field of modern technology. Implementing AI in financial forecasting may greatly improve the bank's predictive analytics for consumer patterns, leading to a more strategic approach</w:t>
      </w:r>
      <w:r w:rsidRPr="404F02A2">
        <w:rPr>
          <w:rFonts w:ascii="Calibri" w:eastAsia="Calibri" w:hAnsi="Calibri" w:cs="Calibri"/>
          <w:sz w:val="24"/>
          <w:szCs w:val="24"/>
        </w:rPr>
        <w:t xml:space="preserve">. </w:t>
      </w:r>
    </w:p>
    <w:p w14:paraId="30CEADBC" w14:textId="43F98325" w:rsidR="4BE4315B" w:rsidRDefault="4BE4315B" w:rsidP="2252EF13">
      <w:pPr>
        <w:spacing w:before="120" w:after="0"/>
      </w:pPr>
    </w:p>
    <w:p w14:paraId="7859E1F3" w14:textId="3004E993" w:rsidR="4BE4315B" w:rsidRDefault="7F29C160" w:rsidP="2252EF13">
      <w:pPr>
        <w:spacing w:before="120" w:after="0"/>
        <w:rPr>
          <w:rFonts w:ascii="Calibri" w:eastAsia="Calibri" w:hAnsi="Calibri" w:cs="Calibri"/>
        </w:rPr>
      </w:pPr>
      <w:r w:rsidRPr="2252EF13">
        <w:rPr>
          <w:rFonts w:ascii="Calibri" w:eastAsia="Calibri" w:hAnsi="Calibri" w:cs="Calibri"/>
          <w:sz w:val="24"/>
          <w:szCs w:val="24"/>
        </w:rPr>
        <w:t>SWOT analysis may assist analyse JPMorgan Bank's strategic position (HowAndWhat.net, n.d.). Regulatory limits and commercial complexity may be drawbacks, but its worldwide presence and technical capability are assets. Digital innovation and income diversification are opportunities, whereas fintech competition, geopolitical uncertainty, and reputational risks are concerns. JPMorgan Bank may succeed in the changing financial world by analysing these elements, adjusting its strategy, seizing opportunities, and avoiding risks</w:t>
      </w:r>
      <w:r w:rsidR="4BD015DB" w:rsidRPr="404F02A2">
        <w:rPr>
          <w:rFonts w:ascii="Calibri" w:eastAsia="Calibri" w:hAnsi="Calibri" w:cs="Calibri"/>
          <w:sz w:val="24"/>
          <w:szCs w:val="24"/>
        </w:rPr>
        <w:t xml:space="preserve"> (</w:t>
      </w:r>
      <w:r w:rsidR="4BD015DB" w:rsidRPr="404F02A2">
        <w:rPr>
          <w:rFonts w:ascii="Calibri" w:eastAsia="Calibri" w:hAnsi="Calibri" w:cs="Calibri"/>
        </w:rPr>
        <w:t>SWOT &amp; PESTLE, n.d)</w:t>
      </w:r>
    </w:p>
    <w:p w14:paraId="6C433B19" w14:textId="0DB8E9BB" w:rsidR="4BE4315B" w:rsidRDefault="7F29C160" w:rsidP="2252EF13">
      <w:pPr>
        <w:spacing w:before="120" w:after="0"/>
        <w:rPr>
          <w:rFonts w:ascii="Calibri" w:eastAsia="Calibri" w:hAnsi="Calibri" w:cs="Calibri"/>
          <w:color w:val="000000" w:themeColor="text1"/>
        </w:rPr>
      </w:pPr>
      <w:r w:rsidRPr="2252EF13">
        <w:rPr>
          <w:rFonts w:ascii="Calibri" w:eastAsia="Calibri" w:hAnsi="Calibri" w:cs="Calibri"/>
          <w:sz w:val="24"/>
          <w:szCs w:val="24"/>
        </w:rPr>
        <w:lastRenderedPageBreak/>
        <w:t xml:space="preserve">After merging J.P. Morgan and Company and Chase Manhattan Corporation, JP Morgan Chase is the biggest US bank with a 200-year history. JP Morgan Chase serves small companies, government agencies, and individuals in over 100 countries with $2.6 trillion in assets. JP Morgan Chase has struggled despite its capabilities. Recent bank scandals include penalties for customer money protection breaches and overcharging military families. Looking forward, JP Morgan Chase can capitalise on worldwide credit card usage and grow its regional reach to gain market dominance. Innovations like the </w:t>
      </w:r>
      <w:r w:rsidR="725E2927" w:rsidRPr="2252EF13">
        <w:rPr>
          <w:rFonts w:ascii="Calibri" w:eastAsia="Calibri" w:hAnsi="Calibri" w:cs="Calibri"/>
          <w:sz w:val="24"/>
          <w:szCs w:val="24"/>
        </w:rPr>
        <w:t xml:space="preserve">JPM Coin for payments </w:t>
      </w:r>
      <w:r w:rsidRPr="2252EF13">
        <w:rPr>
          <w:rFonts w:ascii="Calibri" w:eastAsia="Calibri" w:hAnsi="Calibri" w:cs="Calibri"/>
          <w:sz w:val="24"/>
          <w:szCs w:val="24"/>
        </w:rPr>
        <w:t>show</w:t>
      </w:r>
      <w:r w:rsidR="725E2927" w:rsidRPr="2252EF13">
        <w:rPr>
          <w:rFonts w:ascii="Calibri" w:eastAsia="Calibri" w:hAnsi="Calibri" w:cs="Calibri"/>
          <w:sz w:val="24"/>
          <w:szCs w:val="24"/>
        </w:rPr>
        <w:t xml:space="preserve"> the bank's </w:t>
      </w:r>
      <w:r w:rsidRPr="2252EF13">
        <w:rPr>
          <w:rFonts w:ascii="Calibri" w:eastAsia="Calibri" w:hAnsi="Calibri" w:cs="Calibri"/>
          <w:sz w:val="24"/>
          <w:szCs w:val="24"/>
        </w:rPr>
        <w:t>willingness</w:t>
      </w:r>
      <w:r w:rsidR="725E2927" w:rsidRPr="2252EF13">
        <w:rPr>
          <w:rFonts w:ascii="Calibri" w:eastAsia="Calibri" w:hAnsi="Calibri" w:cs="Calibri"/>
          <w:sz w:val="24"/>
          <w:szCs w:val="24"/>
        </w:rPr>
        <w:t xml:space="preserve"> to explore new </w:t>
      </w:r>
      <w:r w:rsidRPr="2252EF13">
        <w:rPr>
          <w:rFonts w:ascii="Calibri" w:eastAsia="Calibri" w:hAnsi="Calibri" w:cs="Calibri"/>
          <w:sz w:val="24"/>
          <w:szCs w:val="24"/>
        </w:rPr>
        <w:t>development opportunities like cryptocurrencies.</w:t>
      </w:r>
      <w:r w:rsidR="725E2927" w:rsidRPr="2252EF13">
        <w:rPr>
          <w:rFonts w:ascii="Calibri" w:eastAsia="Calibri" w:hAnsi="Calibri" w:cs="Calibri"/>
          <w:sz w:val="24"/>
          <w:szCs w:val="24"/>
        </w:rPr>
        <w:t xml:space="preserve"> However, the bank must </w:t>
      </w:r>
      <w:r w:rsidRPr="2252EF13">
        <w:rPr>
          <w:rFonts w:ascii="Calibri" w:eastAsia="Calibri" w:hAnsi="Calibri" w:cs="Calibri"/>
          <w:sz w:val="24"/>
          <w:szCs w:val="24"/>
        </w:rPr>
        <w:t>be cautious</w:t>
      </w:r>
      <w:r w:rsidR="725E2927" w:rsidRPr="2252EF13">
        <w:rPr>
          <w:rFonts w:ascii="Calibri" w:eastAsia="Calibri" w:hAnsi="Calibri" w:cs="Calibri"/>
          <w:sz w:val="24"/>
          <w:szCs w:val="24"/>
        </w:rPr>
        <w:t xml:space="preserve"> against </w:t>
      </w:r>
      <w:r w:rsidRPr="2252EF13">
        <w:rPr>
          <w:rFonts w:ascii="Calibri" w:eastAsia="Calibri" w:hAnsi="Calibri" w:cs="Calibri"/>
          <w:sz w:val="24"/>
          <w:szCs w:val="24"/>
        </w:rPr>
        <w:t xml:space="preserve">challenges from rivals in many sectors and </w:t>
      </w:r>
      <w:r w:rsidR="725E2927" w:rsidRPr="2252EF13">
        <w:rPr>
          <w:rFonts w:ascii="Calibri" w:eastAsia="Calibri" w:hAnsi="Calibri" w:cs="Calibri"/>
          <w:sz w:val="24"/>
          <w:szCs w:val="24"/>
        </w:rPr>
        <w:t xml:space="preserve">external </w:t>
      </w:r>
      <w:r w:rsidRPr="2252EF13">
        <w:rPr>
          <w:rFonts w:ascii="Calibri" w:eastAsia="Calibri" w:hAnsi="Calibri" w:cs="Calibri"/>
          <w:sz w:val="24"/>
          <w:szCs w:val="24"/>
        </w:rPr>
        <w:t>variables</w:t>
      </w:r>
      <w:r w:rsidR="725E2927" w:rsidRPr="2252EF13">
        <w:rPr>
          <w:rFonts w:ascii="Calibri" w:eastAsia="Calibri" w:hAnsi="Calibri" w:cs="Calibri"/>
          <w:sz w:val="24"/>
          <w:szCs w:val="24"/>
        </w:rPr>
        <w:t xml:space="preserve"> like regulatory changes, economic downturns, and financial crises </w:t>
      </w:r>
      <w:r w:rsidRPr="2252EF13">
        <w:rPr>
          <w:rFonts w:ascii="Calibri" w:eastAsia="Calibri" w:hAnsi="Calibri" w:cs="Calibri"/>
          <w:sz w:val="24"/>
          <w:szCs w:val="24"/>
        </w:rPr>
        <w:t>that might harm</w:t>
      </w:r>
      <w:r w:rsidR="725E2927" w:rsidRPr="2252EF13">
        <w:rPr>
          <w:rFonts w:ascii="Calibri" w:eastAsia="Calibri" w:hAnsi="Calibri" w:cs="Calibri"/>
          <w:sz w:val="24"/>
          <w:szCs w:val="24"/>
        </w:rPr>
        <w:t xml:space="preserve"> its operations </w:t>
      </w:r>
      <w:r w:rsidR="725E2927" w:rsidRPr="4F365955">
        <w:rPr>
          <w:rFonts w:ascii="Calibri" w:eastAsia="Calibri" w:hAnsi="Calibri" w:cs="Calibri"/>
          <w:color w:val="000000" w:themeColor="text1"/>
          <w:sz w:val="24"/>
          <w:szCs w:val="24"/>
        </w:rPr>
        <w:t>(</w:t>
      </w:r>
      <w:r w:rsidR="5ABCE82B" w:rsidRPr="4F365955">
        <w:rPr>
          <w:rFonts w:ascii="Calibri" w:eastAsia="Calibri" w:hAnsi="Calibri" w:cs="Calibri"/>
          <w:color w:val="000000" w:themeColor="text1"/>
        </w:rPr>
        <w:t>HowAndWhat.net</w:t>
      </w:r>
      <w:r w:rsidR="33FB3490" w:rsidRPr="2252EF13">
        <w:rPr>
          <w:rFonts w:ascii="Calibri" w:eastAsia="Calibri" w:hAnsi="Calibri" w:cs="Calibri"/>
          <w:color w:val="000000" w:themeColor="text1"/>
        </w:rPr>
        <w:t xml:space="preserve">, </w:t>
      </w:r>
      <w:r w:rsidR="5ABCE82B" w:rsidRPr="4F365955">
        <w:rPr>
          <w:rFonts w:ascii="Calibri" w:eastAsia="Calibri" w:hAnsi="Calibri" w:cs="Calibri"/>
          <w:color w:val="000000" w:themeColor="text1"/>
        </w:rPr>
        <w:t>n.d.)</w:t>
      </w:r>
    </w:p>
    <w:p w14:paraId="44993B8C" w14:textId="3BD22177" w:rsidR="4BE4315B" w:rsidRDefault="098C3138" w:rsidP="4F365955">
      <w:pPr>
        <w:shd w:val="clear" w:color="auto" w:fill="FFFFFF" w:themeFill="background1"/>
        <w:spacing w:before="120" w:after="0"/>
        <w:ind w:left="-20" w:right="-20"/>
        <w:rPr>
          <w:rFonts w:eastAsiaTheme="minorEastAsia"/>
          <w:b/>
          <w:bCs/>
          <w:color w:val="222222"/>
          <w:sz w:val="24"/>
          <w:szCs w:val="24"/>
        </w:rPr>
      </w:pPr>
      <w:r w:rsidRPr="4F365955">
        <w:rPr>
          <w:rFonts w:eastAsiaTheme="minorEastAsia"/>
          <w:b/>
          <w:bCs/>
          <w:color w:val="222222"/>
          <w:sz w:val="24"/>
          <w:szCs w:val="24"/>
        </w:rPr>
        <w:t xml:space="preserve"> SWOT</w:t>
      </w:r>
    </w:p>
    <w:p w14:paraId="2E4CE2B9" w14:textId="0C22D469" w:rsidR="2C96DCC6" w:rsidRDefault="6C8E6EC9" w:rsidP="4ABFA9F3">
      <w:pPr>
        <w:shd w:val="clear" w:color="auto" w:fill="FFFFFF" w:themeFill="background1"/>
        <w:spacing w:before="120" w:after="0"/>
        <w:ind w:left="-20" w:right="-20"/>
        <w:rPr>
          <w:rFonts w:eastAsiaTheme="minorEastAsia"/>
          <w:b/>
          <w:bCs/>
          <w:color w:val="222222"/>
          <w:sz w:val="32"/>
          <w:szCs w:val="32"/>
        </w:rPr>
      </w:pPr>
      <w:r>
        <w:rPr>
          <w:noProof/>
        </w:rPr>
        <w:drawing>
          <wp:inline distT="0" distB="0" distL="0" distR="0" wp14:anchorId="1593D560" wp14:editId="3F9393EC">
            <wp:extent cx="4572000" cy="2571750"/>
            <wp:effectExtent l="0" t="0" r="0" b="0"/>
            <wp:docPr id="140376622" name="Picture 14037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7662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77DC8A6" w14:textId="52163C9D" w:rsidR="56A13131" w:rsidRDefault="56A13131" w:rsidP="56A13131">
      <w:pPr>
        <w:shd w:val="clear" w:color="auto" w:fill="FFFFFF" w:themeFill="background1"/>
        <w:spacing w:before="120" w:after="0"/>
        <w:ind w:left="-20" w:right="-20"/>
        <w:rPr>
          <w:rFonts w:ascii="Calibri" w:eastAsia="Calibri" w:hAnsi="Calibri" w:cs="Calibri"/>
          <w:sz w:val="24"/>
          <w:szCs w:val="24"/>
        </w:rPr>
      </w:pPr>
    </w:p>
    <w:p w14:paraId="2D055F88" w14:textId="6775F600" w:rsidR="4BE4315B" w:rsidRDefault="37F0BE9D" w:rsidP="1CDBF6BD">
      <w:pPr>
        <w:shd w:val="clear" w:color="auto" w:fill="FFFFFF" w:themeFill="background1"/>
        <w:spacing w:before="120" w:after="0"/>
        <w:ind w:left="-20" w:right="-20"/>
        <w:rPr>
          <w:rFonts w:eastAsiaTheme="minorEastAsia"/>
          <w:b/>
          <w:bCs/>
          <w:color w:val="222222"/>
          <w:sz w:val="24"/>
          <w:szCs w:val="24"/>
          <w:u w:val="single"/>
        </w:rPr>
      </w:pPr>
      <w:r w:rsidRPr="1CDBF6BD">
        <w:rPr>
          <w:rFonts w:eastAsiaTheme="minorEastAsia"/>
          <w:b/>
          <w:bCs/>
          <w:color w:val="222222"/>
          <w:sz w:val="24"/>
          <w:szCs w:val="24"/>
          <w:u w:val="single"/>
        </w:rPr>
        <w:t>External analysis</w:t>
      </w:r>
    </w:p>
    <w:p w14:paraId="18F7A5E4" w14:textId="022D4286" w:rsidR="4BE4315B" w:rsidRDefault="098C3138" w:rsidP="2C96DCC6">
      <w:pPr>
        <w:shd w:val="clear" w:color="auto" w:fill="FFFFFF" w:themeFill="background1"/>
        <w:spacing w:before="120" w:after="0"/>
        <w:ind w:left="-20" w:right="-20"/>
        <w:rPr>
          <w:rFonts w:eastAsiaTheme="minorEastAsia"/>
          <w:color w:val="222222"/>
          <w:sz w:val="24"/>
          <w:szCs w:val="24"/>
        </w:rPr>
      </w:pPr>
      <w:r w:rsidRPr="1CDBF6BD">
        <w:rPr>
          <w:rFonts w:eastAsiaTheme="minorEastAsia"/>
          <w:b/>
          <w:bCs/>
          <w:color w:val="222222"/>
          <w:sz w:val="24"/>
          <w:szCs w:val="24"/>
        </w:rPr>
        <w:t xml:space="preserve"> PESTLE</w:t>
      </w:r>
    </w:p>
    <w:p w14:paraId="1EA87843" w14:textId="579E43C9" w:rsidR="4BE4315B" w:rsidRDefault="4BE4315B" w:rsidP="2C96DCC6">
      <w:pPr>
        <w:shd w:val="clear" w:color="auto" w:fill="FFFFFF" w:themeFill="background1"/>
        <w:spacing w:before="120" w:after="0"/>
        <w:ind w:left="-20" w:right="-20"/>
        <w:rPr>
          <w:rFonts w:eastAsiaTheme="minorEastAsia"/>
          <w:b/>
          <w:bCs/>
          <w:color w:val="222222"/>
          <w:sz w:val="24"/>
          <w:szCs w:val="24"/>
        </w:rPr>
      </w:pPr>
    </w:p>
    <w:p w14:paraId="2D184205" w14:textId="59EE82F9" w:rsidR="4BE4315B" w:rsidRDefault="4BE4315B" w:rsidP="2C96DCC6">
      <w:pPr>
        <w:shd w:val="clear" w:color="auto" w:fill="FFFFFF" w:themeFill="background1"/>
        <w:spacing w:before="120" w:after="0"/>
        <w:ind w:left="-20" w:right="-20"/>
        <w:rPr>
          <w:rFonts w:eastAsiaTheme="minorEastAsia"/>
          <w:b/>
          <w:bCs/>
          <w:color w:val="222222"/>
          <w:sz w:val="24"/>
          <w:szCs w:val="24"/>
        </w:rPr>
      </w:pPr>
    </w:p>
    <w:p w14:paraId="36D06A42" w14:textId="5F102FBB" w:rsidR="4BE4315B" w:rsidRDefault="2820F4A2" w:rsidP="4F365955">
      <w:pPr>
        <w:shd w:val="clear" w:color="auto" w:fill="FFFFFF" w:themeFill="background1"/>
        <w:spacing w:before="120" w:after="0"/>
        <w:ind w:left="-20" w:right="-20"/>
        <w:rPr>
          <w:rFonts w:eastAsiaTheme="minorEastAsia"/>
          <w:b/>
          <w:bCs/>
          <w:color w:val="222222"/>
          <w:sz w:val="24"/>
          <w:szCs w:val="24"/>
        </w:rPr>
      </w:pPr>
      <w:r>
        <w:rPr>
          <w:noProof/>
        </w:rPr>
        <w:drawing>
          <wp:inline distT="0" distB="0" distL="0" distR="0" wp14:anchorId="6FAA5F44" wp14:editId="3FAC41BC">
            <wp:extent cx="2743200" cy="1943100"/>
            <wp:effectExtent l="0" t="0" r="0" b="0"/>
            <wp:docPr id="81095506" name="Imagine 8109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810955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43200" cy="1943100"/>
                    </a:xfrm>
                    <a:prstGeom prst="rect">
                      <a:avLst/>
                    </a:prstGeom>
                  </pic:spPr>
                </pic:pic>
              </a:graphicData>
            </a:graphic>
          </wp:inline>
        </w:drawing>
      </w:r>
    </w:p>
    <w:p w14:paraId="77DF250B" w14:textId="2D0FD87F" w:rsidR="4BE4315B" w:rsidRDefault="2820F4A2" w:rsidP="2C96DCC6">
      <w:pPr>
        <w:spacing w:before="120" w:after="0"/>
        <w:ind w:left="-20" w:right="-20"/>
        <w:rPr>
          <w:rFonts w:ascii="Calibri" w:eastAsia="Calibri" w:hAnsi="Calibri" w:cs="Calibri"/>
          <w:i/>
          <w:iCs/>
          <w:sz w:val="24"/>
          <w:szCs w:val="24"/>
        </w:rPr>
      </w:pPr>
      <w:r w:rsidRPr="2C96DCC6">
        <w:rPr>
          <w:rFonts w:eastAsiaTheme="minorEastAsia"/>
          <w:b/>
          <w:bCs/>
          <w:color w:val="222222"/>
          <w:sz w:val="24"/>
          <w:szCs w:val="24"/>
        </w:rPr>
        <w:t xml:space="preserve">                                               </w:t>
      </w:r>
      <w:r w:rsidRPr="2C96DCC6">
        <w:rPr>
          <w:rFonts w:eastAsiaTheme="minorEastAsia"/>
          <w:b/>
          <w:bCs/>
          <w:i/>
          <w:iCs/>
          <w:color w:val="222222"/>
          <w:sz w:val="24"/>
          <w:szCs w:val="24"/>
        </w:rPr>
        <w:t xml:space="preserve"> </w:t>
      </w:r>
      <w:r w:rsidRPr="2C96DCC6">
        <w:rPr>
          <w:rFonts w:ascii="Calibri" w:eastAsia="Calibri" w:hAnsi="Calibri" w:cs="Calibri"/>
          <w:i/>
          <w:iCs/>
          <w:sz w:val="24"/>
          <w:szCs w:val="24"/>
        </w:rPr>
        <w:t>(Momin, 2023)</w:t>
      </w:r>
    </w:p>
    <w:p w14:paraId="2FFD274D" w14:textId="1506FE48" w:rsidR="4BE4315B" w:rsidRDefault="098C3138" w:rsidP="4F365955">
      <w:pPr>
        <w:shd w:val="clear" w:color="auto" w:fill="FFFFFF" w:themeFill="background1"/>
        <w:spacing w:before="120" w:after="0"/>
        <w:ind w:left="-20" w:right="-20"/>
        <w:rPr>
          <w:rFonts w:eastAsiaTheme="minorEastAsia"/>
          <w:color w:val="222222"/>
          <w:sz w:val="24"/>
          <w:szCs w:val="24"/>
        </w:rPr>
      </w:pPr>
      <w:r w:rsidRPr="4F365955">
        <w:rPr>
          <w:rFonts w:eastAsiaTheme="minorEastAsia"/>
          <w:color w:val="FF0000"/>
          <w:sz w:val="24"/>
          <w:szCs w:val="24"/>
        </w:rPr>
        <w:lastRenderedPageBreak/>
        <w:t>(Political, Economic, Social, Technological, Legal, Environmental)</w:t>
      </w:r>
    </w:p>
    <w:p w14:paraId="68396003" w14:textId="3C5010DE" w:rsidR="4DC7DE8A" w:rsidRDefault="68EA06F3" w:rsidP="4F365955">
      <w:pPr>
        <w:spacing w:before="120" w:after="0"/>
        <w:rPr>
          <w:rFonts w:ascii="Calibri" w:eastAsia="Calibri" w:hAnsi="Calibri" w:cs="Calibri"/>
          <w:sz w:val="24"/>
          <w:szCs w:val="24"/>
        </w:rPr>
      </w:pPr>
      <w:r w:rsidRPr="4F365955">
        <w:rPr>
          <w:rFonts w:ascii="Calibri" w:eastAsia="Calibri" w:hAnsi="Calibri" w:cs="Calibri"/>
          <w:sz w:val="24"/>
          <w:szCs w:val="24"/>
        </w:rPr>
        <w:t xml:space="preserve">PESTEL </w:t>
      </w:r>
      <w:r w:rsidR="57D1380A" w:rsidRPr="4F365955">
        <w:rPr>
          <w:rFonts w:ascii="Calibri" w:eastAsia="Calibri" w:hAnsi="Calibri" w:cs="Calibri"/>
          <w:sz w:val="24"/>
          <w:szCs w:val="24"/>
        </w:rPr>
        <w:t>J.P. Morgan-Bank uses PESTEL analysis as a strategic tool to assess the external influences that may affect its operations. The acronym represents the Political, Economic, Social, Technological, Environmental, and Legal factors that jointly impact the business environment in which the bank works. Through the analysis of these characteristics, J.P. Morgan-Bank may predict potential difficulties and advantageous situations, adapt its tactics, and sustain a competitive advantage in the ever-changing financial sector.</w:t>
      </w:r>
    </w:p>
    <w:p w14:paraId="63EC874A" w14:textId="7C0DBBED" w:rsidR="4DC7DE8A" w:rsidRDefault="57D1380A" w:rsidP="4F365955">
      <w:pPr>
        <w:spacing w:before="120" w:after="0"/>
      </w:pPr>
      <w:r w:rsidRPr="4F365955">
        <w:rPr>
          <w:rFonts w:ascii="Calibri" w:eastAsia="Calibri" w:hAnsi="Calibri" w:cs="Calibri"/>
          <w:sz w:val="24"/>
          <w:szCs w:val="24"/>
        </w:rPr>
        <w:t>Political considerations consist of issues such as the stability of the government, regulatory frameworks, trade policies, and taxation laws. Economic indicators, such as inflation rates, interest rates, and currency exchange rates, have a significant impact on market demand and investment choices. J.P. Morgan-Bank adapts its services to align with client demands and preferences, which are influenced by social variables such as cultural trends, demography, and consumer behaviours.</w:t>
      </w:r>
    </w:p>
    <w:p w14:paraId="018503C0" w14:textId="31E07F8D" w:rsidR="4DC7DE8A" w:rsidRDefault="57D1380A" w:rsidP="4F365955">
      <w:pPr>
        <w:spacing w:before="120" w:after="0"/>
        <w:rPr>
          <w:rFonts w:ascii="Calibri" w:eastAsia="Calibri" w:hAnsi="Calibri" w:cs="Calibri"/>
          <w:sz w:val="24"/>
          <w:szCs w:val="24"/>
        </w:rPr>
      </w:pPr>
      <w:r w:rsidRPr="4F365955">
        <w:rPr>
          <w:rFonts w:ascii="Calibri" w:eastAsia="Calibri" w:hAnsi="Calibri" w:cs="Calibri"/>
          <w:sz w:val="24"/>
          <w:szCs w:val="24"/>
        </w:rPr>
        <w:t xml:space="preserve">Technological improvements have a significant influence on several facets of banking, including digital transformation and cybersecurity measures. Companies like J.P. Morgan-Bank are increasingly recognising the significance of environmental factors such as climate change legislation, sustainability policies, and green initiatives in their operations. Antitrust rules, intellectual property protection, and data privacy requirements are crucial legal issues that must be adhered to in order to ensure compliance and preserve the bank's reputation and assets. To ensure long-term success, J.P. Morgan-Bank may proactively traverse its external environment and make informed choices by completing a thorough PESTEL study </w:t>
      </w:r>
      <w:r w:rsidR="2DFB43C2" w:rsidRPr="4F365955">
        <w:rPr>
          <w:rFonts w:ascii="Calibri" w:eastAsia="Calibri" w:hAnsi="Calibri" w:cs="Calibri"/>
          <w:sz w:val="24"/>
          <w:szCs w:val="24"/>
        </w:rPr>
        <w:t>(JP Morgan Chase&amp;Co., 2023)</w:t>
      </w:r>
      <w:r w:rsidR="13CE20B9" w:rsidRPr="4F365955">
        <w:rPr>
          <w:rFonts w:ascii="Calibri" w:eastAsia="Calibri" w:hAnsi="Calibri" w:cs="Calibri"/>
          <w:sz w:val="24"/>
          <w:szCs w:val="24"/>
        </w:rPr>
        <w:t>.</w:t>
      </w:r>
    </w:p>
    <w:p w14:paraId="3147D733" w14:textId="3A1FB9F8" w:rsidR="4DC7DE8A" w:rsidRDefault="4DC7DE8A" w:rsidP="56A13131">
      <w:pPr>
        <w:shd w:val="clear" w:color="auto" w:fill="FFFFFF" w:themeFill="background1"/>
        <w:spacing w:before="120" w:after="0"/>
        <w:ind w:left="-20" w:right="-20"/>
        <w:rPr>
          <w:rFonts w:ascii="Calibri" w:eastAsia="Calibri" w:hAnsi="Calibri" w:cs="Calibri"/>
          <w:sz w:val="24"/>
          <w:szCs w:val="24"/>
        </w:rPr>
      </w:pPr>
    </w:p>
    <w:p w14:paraId="5D5D638C" w14:textId="6BCA6648" w:rsidR="4DC7DE8A" w:rsidRDefault="4DC7DE8A" w:rsidP="4F365955">
      <w:pPr>
        <w:shd w:val="clear" w:color="auto" w:fill="FFFFFF" w:themeFill="background1"/>
        <w:spacing w:before="120" w:after="0"/>
        <w:ind w:left="-20" w:right="-20"/>
        <w:rPr>
          <w:rFonts w:ascii="Calibri" w:eastAsia="Calibri" w:hAnsi="Calibri" w:cs="Calibri"/>
          <w:color w:val="FF0000"/>
          <w:sz w:val="24"/>
          <w:szCs w:val="24"/>
        </w:rPr>
      </w:pPr>
    </w:p>
    <w:p w14:paraId="2BCA98E8" w14:textId="3AC6CC35" w:rsidR="2C96DCC6" w:rsidRDefault="2C96DCC6" w:rsidP="2C96DCC6">
      <w:pPr>
        <w:shd w:val="clear" w:color="auto" w:fill="FFFFFF" w:themeFill="background1"/>
        <w:spacing w:before="120" w:after="0"/>
        <w:ind w:left="-20" w:right="-20"/>
        <w:rPr>
          <w:rFonts w:ascii="Calibri" w:eastAsia="Calibri" w:hAnsi="Calibri" w:cs="Calibri"/>
          <w:sz w:val="24"/>
          <w:szCs w:val="24"/>
        </w:rPr>
      </w:pPr>
    </w:p>
    <w:p w14:paraId="4B27A38F" w14:textId="4430A663" w:rsidR="2C96DCC6" w:rsidRDefault="2C96DCC6" w:rsidP="2C96DCC6">
      <w:pPr>
        <w:shd w:val="clear" w:color="auto" w:fill="FFFFFF" w:themeFill="background1"/>
        <w:spacing w:before="120" w:after="0"/>
        <w:ind w:left="-20" w:right="-20"/>
        <w:rPr>
          <w:rFonts w:ascii="Calibri" w:eastAsia="Calibri" w:hAnsi="Calibri" w:cs="Calibri"/>
          <w:sz w:val="24"/>
          <w:szCs w:val="24"/>
        </w:rPr>
      </w:pPr>
    </w:p>
    <w:p w14:paraId="164DD912" w14:textId="4EF626C1" w:rsidR="2C96DCC6" w:rsidRDefault="2C96DCC6" w:rsidP="2C96DCC6">
      <w:pPr>
        <w:shd w:val="clear" w:color="auto" w:fill="FFFFFF" w:themeFill="background1"/>
        <w:spacing w:before="120" w:after="0"/>
        <w:ind w:left="-20" w:right="-20"/>
        <w:rPr>
          <w:rFonts w:ascii="Calibri" w:eastAsia="Calibri" w:hAnsi="Calibri" w:cs="Calibri"/>
          <w:sz w:val="24"/>
          <w:szCs w:val="24"/>
        </w:rPr>
      </w:pPr>
    </w:p>
    <w:p w14:paraId="571469B1" w14:textId="34ED5C11" w:rsidR="2C96DCC6" w:rsidRDefault="2C96DCC6" w:rsidP="2C96DCC6">
      <w:pPr>
        <w:shd w:val="clear" w:color="auto" w:fill="FFFFFF" w:themeFill="background1"/>
        <w:spacing w:before="120" w:after="0"/>
        <w:ind w:left="-20" w:right="-20"/>
        <w:rPr>
          <w:rFonts w:ascii="Calibri" w:eastAsia="Calibri" w:hAnsi="Calibri" w:cs="Calibri"/>
          <w:sz w:val="24"/>
          <w:szCs w:val="24"/>
        </w:rPr>
      </w:pPr>
    </w:p>
    <w:p w14:paraId="687D23F7" w14:textId="1F5497B3" w:rsidR="4F365955" w:rsidRDefault="4F365955" w:rsidP="4F365955">
      <w:pPr>
        <w:shd w:val="clear" w:color="auto" w:fill="FFFFFF" w:themeFill="background1"/>
        <w:spacing w:before="120" w:after="0"/>
        <w:ind w:left="-20" w:right="-20"/>
        <w:rPr>
          <w:rFonts w:eastAsiaTheme="minorEastAsia"/>
          <w:b/>
          <w:bCs/>
          <w:color w:val="222222"/>
          <w:sz w:val="24"/>
          <w:szCs w:val="24"/>
        </w:rPr>
      </w:pPr>
    </w:p>
    <w:p w14:paraId="0494688B" w14:textId="72215404" w:rsidR="4F365955" w:rsidRDefault="4F365955" w:rsidP="4F365955">
      <w:pPr>
        <w:shd w:val="clear" w:color="auto" w:fill="FFFFFF" w:themeFill="background1"/>
        <w:spacing w:before="120" w:after="0"/>
        <w:ind w:left="-20" w:right="-20"/>
        <w:rPr>
          <w:rFonts w:eastAsiaTheme="minorEastAsia"/>
          <w:b/>
          <w:bCs/>
          <w:color w:val="222222"/>
          <w:sz w:val="24"/>
          <w:szCs w:val="24"/>
        </w:rPr>
      </w:pPr>
    </w:p>
    <w:p w14:paraId="6498223D" w14:textId="16E5CE4C" w:rsidR="4F365955" w:rsidRDefault="4F365955" w:rsidP="4F365955">
      <w:pPr>
        <w:shd w:val="clear" w:color="auto" w:fill="FFFFFF" w:themeFill="background1"/>
        <w:spacing w:before="120" w:after="0"/>
        <w:ind w:left="-20" w:right="-20"/>
        <w:rPr>
          <w:rFonts w:eastAsiaTheme="minorEastAsia"/>
          <w:b/>
          <w:bCs/>
          <w:color w:val="222222"/>
          <w:sz w:val="24"/>
          <w:szCs w:val="24"/>
        </w:rPr>
      </w:pPr>
    </w:p>
    <w:p w14:paraId="30C91359" w14:textId="647E83C6" w:rsidR="4F365955" w:rsidRDefault="4F365955" w:rsidP="4F365955">
      <w:pPr>
        <w:shd w:val="clear" w:color="auto" w:fill="FFFFFF" w:themeFill="background1"/>
        <w:spacing w:before="120" w:after="0"/>
        <w:ind w:left="-20" w:right="-20"/>
        <w:rPr>
          <w:rFonts w:eastAsiaTheme="minorEastAsia"/>
          <w:b/>
          <w:bCs/>
          <w:color w:val="222222"/>
          <w:sz w:val="24"/>
          <w:szCs w:val="24"/>
        </w:rPr>
      </w:pPr>
    </w:p>
    <w:p w14:paraId="0D2654A7" w14:textId="73BC14B6" w:rsidR="4F365955" w:rsidRDefault="4F365955" w:rsidP="4F365955">
      <w:pPr>
        <w:shd w:val="clear" w:color="auto" w:fill="FFFFFF" w:themeFill="background1"/>
        <w:spacing w:before="120" w:after="0"/>
        <w:ind w:left="-20" w:right="-20"/>
        <w:rPr>
          <w:rFonts w:eastAsiaTheme="minorEastAsia"/>
          <w:b/>
          <w:bCs/>
          <w:color w:val="222222"/>
          <w:sz w:val="24"/>
          <w:szCs w:val="24"/>
        </w:rPr>
      </w:pPr>
    </w:p>
    <w:p w14:paraId="101B9F22" w14:textId="1D4516DE" w:rsidR="4F365955" w:rsidRDefault="4F365955" w:rsidP="4F365955">
      <w:pPr>
        <w:shd w:val="clear" w:color="auto" w:fill="FFFFFF" w:themeFill="background1"/>
        <w:spacing w:before="120" w:after="0"/>
        <w:ind w:left="-20" w:right="-20"/>
        <w:rPr>
          <w:rFonts w:eastAsiaTheme="minorEastAsia"/>
          <w:b/>
          <w:bCs/>
          <w:color w:val="222222"/>
          <w:sz w:val="24"/>
          <w:szCs w:val="24"/>
        </w:rPr>
      </w:pPr>
    </w:p>
    <w:p w14:paraId="5CF9FDA2" w14:textId="22A17160" w:rsidR="2252EF13" w:rsidRDefault="2252EF13" w:rsidP="2252EF13">
      <w:pPr>
        <w:shd w:val="clear" w:color="auto" w:fill="FFFFFF" w:themeFill="background1"/>
        <w:spacing w:before="120" w:after="0"/>
        <w:ind w:left="-20" w:right="-20"/>
        <w:rPr>
          <w:rFonts w:eastAsiaTheme="minorEastAsia"/>
          <w:b/>
          <w:bCs/>
          <w:color w:val="222222"/>
          <w:sz w:val="24"/>
          <w:szCs w:val="24"/>
        </w:rPr>
      </w:pPr>
    </w:p>
    <w:p w14:paraId="57A2E66A" w14:textId="2464B36A" w:rsidR="2252EF13" w:rsidRDefault="2252EF13" w:rsidP="2252EF13">
      <w:pPr>
        <w:shd w:val="clear" w:color="auto" w:fill="FFFFFF" w:themeFill="background1"/>
        <w:spacing w:before="120" w:after="0"/>
        <w:ind w:left="-20" w:right="-20"/>
        <w:rPr>
          <w:rFonts w:eastAsiaTheme="minorEastAsia"/>
          <w:b/>
          <w:bCs/>
          <w:color w:val="222222"/>
          <w:sz w:val="24"/>
          <w:szCs w:val="24"/>
        </w:rPr>
      </w:pPr>
    </w:p>
    <w:p w14:paraId="3111CF9F" w14:textId="1F0D013A" w:rsidR="2252EF13" w:rsidRDefault="2252EF13" w:rsidP="2252EF13">
      <w:pPr>
        <w:shd w:val="clear" w:color="auto" w:fill="FFFFFF" w:themeFill="background1"/>
        <w:spacing w:before="120" w:after="0"/>
        <w:ind w:left="-20" w:right="-20"/>
        <w:rPr>
          <w:rFonts w:eastAsiaTheme="minorEastAsia"/>
          <w:b/>
          <w:bCs/>
          <w:color w:val="222222"/>
          <w:sz w:val="24"/>
          <w:szCs w:val="24"/>
        </w:rPr>
      </w:pPr>
    </w:p>
    <w:p w14:paraId="418550BA" w14:textId="7A8B615A" w:rsidR="4BE4315B" w:rsidRDefault="098C3138" w:rsidP="1CDBF6BD">
      <w:pPr>
        <w:shd w:val="clear" w:color="auto" w:fill="FFFFFF" w:themeFill="background1"/>
        <w:spacing w:before="120" w:after="0"/>
        <w:ind w:left="-20" w:right="-20"/>
        <w:rPr>
          <w:rFonts w:eastAsiaTheme="minorEastAsia"/>
          <w:color w:val="222222"/>
          <w:sz w:val="24"/>
          <w:szCs w:val="24"/>
        </w:rPr>
      </w:pPr>
      <w:r w:rsidRPr="1CDBF6BD">
        <w:rPr>
          <w:rFonts w:eastAsiaTheme="minorEastAsia"/>
          <w:b/>
          <w:bCs/>
          <w:color w:val="222222"/>
          <w:sz w:val="24"/>
          <w:szCs w:val="24"/>
        </w:rPr>
        <w:lastRenderedPageBreak/>
        <w:t>Porter’s Five Forces</w:t>
      </w:r>
      <w:r w:rsidRPr="1CDBF6BD">
        <w:rPr>
          <w:rFonts w:eastAsiaTheme="minorEastAsia"/>
          <w:color w:val="222222"/>
          <w:sz w:val="24"/>
          <w:szCs w:val="24"/>
        </w:rPr>
        <w:t xml:space="preserve"> </w:t>
      </w:r>
    </w:p>
    <w:p w14:paraId="4B06F187" w14:textId="0A1479D6" w:rsidR="2C96DCC6" w:rsidRDefault="2C96DCC6" w:rsidP="2C96DCC6">
      <w:pPr>
        <w:shd w:val="clear" w:color="auto" w:fill="FFFFFF" w:themeFill="background1"/>
        <w:spacing w:before="120" w:after="0"/>
        <w:ind w:left="-20" w:right="-20"/>
        <w:rPr>
          <w:rFonts w:eastAsiaTheme="minorEastAsia"/>
          <w:color w:val="222222"/>
          <w:sz w:val="24"/>
          <w:szCs w:val="24"/>
        </w:rPr>
      </w:pPr>
    </w:p>
    <w:p w14:paraId="3D971325" w14:textId="190392A6" w:rsidR="2C96DCC6" w:rsidRDefault="2C96DCC6" w:rsidP="2C96DCC6">
      <w:pPr>
        <w:shd w:val="clear" w:color="auto" w:fill="FFFFFF" w:themeFill="background1"/>
        <w:spacing w:before="120" w:after="0"/>
        <w:ind w:left="-20" w:right="-20"/>
        <w:rPr>
          <w:rFonts w:eastAsiaTheme="minorEastAsia"/>
          <w:color w:val="222222"/>
          <w:sz w:val="24"/>
          <w:szCs w:val="24"/>
        </w:rPr>
      </w:pPr>
    </w:p>
    <w:p w14:paraId="3E958AC5" w14:textId="5E9A6C3F" w:rsidR="5A487AE9" w:rsidRDefault="5A487AE9" w:rsidP="2C96DCC6">
      <w:pPr>
        <w:shd w:val="clear" w:color="auto" w:fill="FFFFFF" w:themeFill="background1"/>
        <w:spacing w:before="120" w:after="0"/>
        <w:ind w:left="-20" w:right="-20"/>
        <w:rPr>
          <w:rFonts w:eastAsiaTheme="minorEastAsia"/>
          <w:b/>
          <w:bCs/>
          <w:color w:val="222222"/>
          <w:sz w:val="24"/>
          <w:szCs w:val="24"/>
        </w:rPr>
      </w:pPr>
      <w:r>
        <w:rPr>
          <w:noProof/>
        </w:rPr>
        <w:drawing>
          <wp:inline distT="0" distB="0" distL="0" distR="0" wp14:anchorId="139B0F84" wp14:editId="5B2FDC79">
            <wp:extent cx="2499198" cy="1737360"/>
            <wp:effectExtent l="0" t="0" r="0" b="0"/>
            <wp:docPr id="1825843704" name="Imagine 182584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499198" cy="1737360"/>
                    </a:xfrm>
                    <a:prstGeom prst="rect">
                      <a:avLst/>
                    </a:prstGeom>
                  </pic:spPr>
                </pic:pic>
              </a:graphicData>
            </a:graphic>
          </wp:inline>
        </w:drawing>
      </w:r>
    </w:p>
    <w:p w14:paraId="096FBB3E" w14:textId="498EA819" w:rsidR="37F3E948" w:rsidRDefault="37F3E948" w:rsidP="2C96DCC6">
      <w:pPr>
        <w:ind w:left="-20" w:right="-20"/>
        <w:rPr>
          <w:rFonts w:ascii="Calibri" w:eastAsia="Calibri" w:hAnsi="Calibri" w:cs="Calibri"/>
          <w:i/>
          <w:iCs/>
        </w:rPr>
      </w:pPr>
      <w:r w:rsidRPr="4F365955">
        <w:rPr>
          <w:rFonts w:eastAsiaTheme="minorEastAsia"/>
          <w:b/>
          <w:bCs/>
          <w:color w:val="222222"/>
          <w:sz w:val="24"/>
          <w:szCs w:val="24"/>
        </w:rPr>
        <w:t xml:space="preserve">                    </w:t>
      </w:r>
      <w:r w:rsidRPr="4F365955">
        <w:rPr>
          <w:rFonts w:eastAsiaTheme="minorEastAsia"/>
          <w:b/>
          <w:bCs/>
          <w:i/>
          <w:iCs/>
          <w:color w:val="222222"/>
        </w:rPr>
        <w:t xml:space="preserve"> </w:t>
      </w:r>
      <w:r w:rsidRPr="4F365955">
        <w:rPr>
          <w:rFonts w:ascii="Calibri" w:eastAsia="Calibri" w:hAnsi="Calibri" w:cs="Calibri"/>
          <w:i/>
          <w:iCs/>
        </w:rPr>
        <w:t>(Team</w:t>
      </w:r>
      <w:r w:rsidR="07E22FE5" w:rsidRPr="4F365955">
        <w:rPr>
          <w:rFonts w:ascii="Calibri" w:eastAsia="Calibri" w:hAnsi="Calibri" w:cs="Calibri"/>
          <w:i/>
          <w:iCs/>
        </w:rPr>
        <w:t>,</w:t>
      </w:r>
      <w:r w:rsidRPr="4F365955">
        <w:rPr>
          <w:rFonts w:ascii="Calibri" w:eastAsia="Calibri" w:hAnsi="Calibri" w:cs="Calibri"/>
          <w:i/>
          <w:iCs/>
        </w:rPr>
        <w:t xml:space="preserve"> 2023)</w:t>
      </w:r>
    </w:p>
    <w:p w14:paraId="508C59C3" w14:textId="66972874" w:rsidR="4BE4315B" w:rsidRDefault="739ECC24" w:rsidP="4F365955">
      <w:pPr>
        <w:spacing w:before="120" w:after="0"/>
        <w:rPr>
          <w:rFonts w:ascii="Calibri" w:eastAsia="Calibri" w:hAnsi="Calibri" w:cs="Calibri"/>
          <w:sz w:val="24"/>
          <w:szCs w:val="24"/>
        </w:rPr>
      </w:pPr>
      <w:r w:rsidRPr="4F365955">
        <w:rPr>
          <w:rFonts w:ascii="Calibri" w:eastAsia="Calibri" w:hAnsi="Calibri" w:cs="Calibri"/>
          <w:sz w:val="24"/>
          <w:szCs w:val="24"/>
        </w:rPr>
        <w:t xml:space="preserve">The Porter's Five Forces framework is an invaluable tool for scrutinising the competitive dynamics within an industry. It assists firms in identifying crucial aspects that influence competitiveness and profitability. </w:t>
      </w:r>
      <w:r w:rsidR="6D0155B8" w:rsidRPr="4F365955">
        <w:rPr>
          <w:rFonts w:ascii="Calibri" w:eastAsia="Calibri" w:hAnsi="Calibri" w:cs="Calibri"/>
          <w:sz w:val="24"/>
          <w:szCs w:val="24"/>
        </w:rPr>
        <w:t xml:space="preserve">According to </w:t>
      </w:r>
      <w:r w:rsidR="6D0155B8" w:rsidRPr="4F365955">
        <w:rPr>
          <w:rFonts w:ascii="Calibri" w:eastAsia="Calibri" w:hAnsi="Calibri" w:cs="Calibri"/>
          <w:color w:val="000000" w:themeColor="text1"/>
        </w:rPr>
        <w:t>Hivel (2023) the</w:t>
      </w:r>
      <w:r w:rsidRPr="4F365955">
        <w:rPr>
          <w:rFonts w:ascii="Calibri" w:eastAsia="Calibri" w:hAnsi="Calibri" w:cs="Calibri"/>
          <w:sz w:val="24"/>
          <w:szCs w:val="24"/>
        </w:rPr>
        <w:t xml:space="preserve"> five factors include the potential for new competitors to enter the market, the ability of buyers to negotiate favourable terms, the ability of suppliers to negotiate favourable terms, the potential for replacement goods or services to emerge, and the level of competition among existing players</w:t>
      </w:r>
      <w:r w:rsidR="2D01EBC9" w:rsidRPr="4F365955">
        <w:rPr>
          <w:rFonts w:ascii="Calibri" w:eastAsia="Calibri" w:hAnsi="Calibri" w:cs="Calibri"/>
          <w:sz w:val="24"/>
          <w:szCs w:val="24"/>
        </w:rPr>
        <w:t xml:space="preserve"> in J.P</w:t>
      </w:r>
      <w:r w:rsidRPr="4F365955">
        <w:rPr>
          <w:rFonts w:ascii="Calibri" w:eastAsia="Calibri" w:hAnsi="Calibri" w:cs="Calibri"/>
          <w:sz w:val="24"/>
          <w:szCs w:val="24"/>
        </w:rPr>
        <w:t>.</w:t>
      </w:r>
      <w:r w:rsidR="253FA486" w:rsidRPr="4F365955">
        <w:rPr>
          <w:rFonts w:ascii="Calibri" w:eastAsia="Calibri" w:hAnsi="Calibri" w:cs="Calibri"/>
          <w:sz w:val="24"/>
          <w:szCs w:val="24"/>
        </w:rPr>
        <w:t xml:space="preserve"> Morgan Bank</w:t>
      </w:r>
    </w:p>
    <w:p w14:paraId="089A5881" w14:textId="51B99095" w:rsidR="4BE4315B" w:rsidRDefault="739ECC24" w:rsidP="4F365955">
      <w:pPr>
        <w:spacing w:before="120" w:after="0"/>
      </w:pPr>
      <w:r w:rsidRPr="4F365955">
        <w:rPr>
          <w:rFonts w:ascii="Calibri" w:eastAsia="Calibri" w:hAnsi="Calibri" w:cs="Calibri"/>
          <w:sz w:val="24"/>
          <w:szCs w:val="24"/>
        </w:rPr>
        <w:t>J.P. Morgan, a well-known bank, faces significant competition from industry peers, local competitors, and multinational banks, resulting in a high level of competitive rivalry. J.P. Morgan differentiates itself by emphasising its extensive historical background, customer-focused methodology, efficient and economical services, and deliberate acquisition of lesser banking institutions. The use of this differentiation approach enables the bank to sustain its market position and allure consumers.</w:t>
      </w:r>
    </w:p>
    <w:p w14:paraId="7A1BBD58" w14:textId="16EE022C" w:rsidR="4BE4315B" w:rsidRDefault="739ECC24" w:rsidP="4F365955">
      <w:pPr>
        <w:spacing w:before="120" w:after="0"/>
        <w:rPr>
          <w:rFonts w:ascii="Calibri" w:eastAsia="Calibri" w:hAnsi="Calibri" w:cs="Calibri"/>
          <w:sz w:val="24"/>
          <w:szCs w:val="24"/>
        </w:rPr>
      </w:pPr>
      <w:r w:rsidRPr="4F365955">
        <w:rPr>
          <w:rFonts w:ascii="Calibri" w:eastAsia="Calibri" w:hAnsi="Calibri" w:cs="Calibri"/>
          <w:sz w:val="24"/>
          <w:szCs w:val="24"/>
        </w:rPr>
        <w:t xml:space="preserve">Furthermore, the influence that customers have in negotiating and making decisions has significant importance in the banking industry. J.P. Morgan tackles this issue by providing incentives to recruit new customers and motivating current consumers to enhance their association with the bank. In order to remain competitive in the changing industry, J.P. Morgan has diversified its offerings by focusing on small business loans and digital wallet services. This is a response to the challenge posed by specialised financial services that might potentially replace their current goods. In summary, by comprehending and tactically addressing the factors delineated by Porter, J.P. Morgan can effectively traverse the ever-changing banking sector </w:t>
      </w:r>
      <w:r w:rsidR="49F36C14" w:rsidRPr="4F365955">
        <w:rPr>
          <w:rFonts w:ascii="Calibri" w:eastAsia="Calibri" w:hAnsi="Calibri" w:cs="Calibri"/>
          <w:sz w:val="24"/>
          <w:szCs w:val="24"/>
        </w:rPr>
        <w:t>(Maverick 2023)</w:t>
      </w:r>
    </w:p>
    <w:p w14:paraId="0781B89B" w14:textId="58425CC7" w:rsidR="4BE4315B" w:rsidRDefault="20EB27EA" w:rsidP="1CDBF6BD">
      <w:pPr>
        <w:shd w:val="clear" w:color="auto" w:fill="FFFFFF" w:themeFill="background1"/>
        <w:spacing w:before="120" w:after="0"/>
        <w:ind w:left="-20" w:right="-20"/>
        <w:rPr>
          <w:rFonts w:ascii="Calibri" w:eastAsia="Calibri" w:hAnsi="Calibri" w:cs="Calibri"/>
          <w:sz w:val="24"/>
          <w:szCs w:val="24"/>
        </w:rPr>
      </w:pPr>
      <w:r w:rsidRPr="4F365955">
        <w:rPr>
          <w:rFonts w:ascii="Calibri" w:eastAsia="Calibri" w:hAnsi="Calibri" w:cs="Calibri"/>
          <w:sz w:val="24"/>
          <w:szCs w:val="24"/>
        </w:rPr>
        <w:t>.</w:t>
      </w:r>
    </w:p>
    <w:p w14:paraId="213F2C21" w14:textId="01472C18" w:rsidR="4BE4315B" w:rsidRDefault="4BE4315B" w:rsidP="1CDBF6BD">
      <w:pPr>
        <w:shd w:val="clear" w:color="auto" w:fill="FFFFFF" w:themeFill="background1"/>
        <w:spacing w:before="120" w:after="0"/>
        <w:ind w:left="-20" w:right="-20"/>
        <w:rPr>
          <w:rFonts w:eastAsiaTheme="minorEastAsia"/>
          <w:color w:val="222222"/>
          <w:sz w:val="24"/>
          <w:szCs w:val="24"/>
        </w:rPr>
      </w:pPr>
    </w:p>
    <w:p w14:paraId="01B48099" w14:textId="1A25B364" w:rsidR="4BE4315B" w:rsidRDefault="4BE4315B" w:rsidP="1CDBF6BD">
      <w:pPr>
        <w:shd w:val="clear" w:color="auto" w:fill="FFFFFF" w:themeFill="background1"/>
        <w:spacing w:before="120" w:after="0"/>
        <w:ind w:left="-20" w:right="-20"/>
        <w:rPr>
          <w:rFonts w:eastAsiaTheme="minorEastAsia"/>
          <w:color w:val="222222"/>
          <w:sz w:val="24"/>
          <w:szCs w:val="24"/>
        </w:rPr>
      </w:pPr>
    </w:p>
    <w:p w14:paraId="545A0BB7" w14:textId="57AB3AFC" w:rsidR="4BE4315B" w:rsidRDefault="4BE4315B" w:rsidP="1CDBF6BD">
      <w:pPr>
        <w:shd w:val="clear" w:color="auto" w:fill="FFFFFF" w:themeFill="background1"/>
        <w:spacing w:before="120" w:after="0"/>
        <w:ind w:left="-20" w:right="-20"/>
        <w:rPr>
          <w:rFonts w:eastAsiaTheme="minorEastAsia"/>
          <w:color w:val="222222"/>
          <w:sz w:val="24"/>
          <w:szCs w:val="24"/>
        </w:rPr>
      </w:pPr>
    </w:p>
    <w:p w14:paraId="377AFA97" w14:textId="259AE253" w:rsidR="4BE4315B" w:rsidRDefault="4BE4315B" w:rsidP="1CDBF6BD">
      <w:pPr>
        <w:shd w:val="clear" w:color="auto" w:fill="FFFFFF" w:themeFill="background1"/>
        <w:spacing w:before="120" w:after="0"/>
        <w:ind w:left="-20" w:right="-20"/>
        <w:rPr>
          <w:rFonts w:eastAsiaTheme="minorEastAsia"/>
          <w:color w:val="222222"/>
          <w:sz w:val="24"/>
          <w:szCs w:val="24"/>
        </w:rPr>
      </w:pPr>
    </w:p>
    <w:p w14:paraId="5436DF2B" w14:textId="07D866A4" w:rsidR="4BE4315B" w:rsidRDefault="4BE4315B" w:rsidP="1CDBF6BD">
      <w:pPr>
        <w:shd w:val="clear" w:color="auto" w:fill="FFFFFF" w:themeFill="background1"/>
        <w:spacing w:before="120" w:after="0"/>
        <w:ind w:left="-20" w:right="-20"/>
        <w:rPr>
          <w:rFonts w:eastAsiaTheme="minorEastAsia"/>
          <w:color w:val="222222"/>
          <w:sz w:val="24"/>
          <w:szCs w:val="24"/>
        </w:rPr>
      </w:pPr>
    </w:p>
    <w:p w14:paraId="0C3AB650" w14:textId="36A3D953" w:rsidR="4BE4315B" w:rsidRDefault="4BE4315B" w:rsidP="1CDBF6BD">
      <w:pPr>
        <w:shd w:val="clear" w:color="auto" w:fill="FFFFFF" w:themeFill="background1"/>
        <w:spacing w:before="120" w:after="0"/>
        <w:ind w:left="-20" w:right="-20"/>
        <w:rPr>
          <w:rFonts w:eastAsiaTheme="minorEastAsia"/>
          <w:color w:val="222222"/>
          <w:sz w:val="24"/>
          <w:szCs w:val="24"/>
        </w:rPr>
      </w:pPr>
    </w:p>
    <w:p w14:paraId="64E34C0C" w14:textId="3E5BBFCF" w:rsidR="4BE4315B" w:rsidRDefault="4BE4315B" w:rsidP="1CDBF6BD">
      <w:pPr>
        <w:shd w:val="clear" w:color="auto" w:fill="FFFFFF" w:themeFill="background1"/>
        <w:spacing w:before="120" w:after="0"/>
        <w:ind w:left="-20" w:right="-20"/>
        <w:rPr>
          <w:rFonts w:eastAsiaTheme="minorEastAsia"/>
          <w:color w:val="4A3C10"/>
          <w:sz w:val="24"/>
          <w:szCs w:val="24"/>
        </w:rPr>
      </w:pPr>
    </w:p>
    <w:p w14:paraId="7571ED44" w14:textId="3505B0B1" w:rsidR="4BE4315B" w:rsidRDefault="4BE4315B" w:rsidP="1CDBF6BD">
      <w:pPr>
        <w:shd w:val="clear" w:color="auto" w:fill="FFFFFF" w:themeFill="background1"/>
        <w:spacing w:before="120" w:after="0"/>
        <w:ind w:left="-20" w:right="-20"/>
        <w:rPr>
          <w:rFonts w:eastAsiaTheme="minorEastAsia"/>
          <w:color w:val="4A3C10"/>
          <w:sz w:val="24"/>
          <w:szCs w:val="24"/>
        </w:rPr>
      </w:pPr>
    </w:p>
    <w:p w14:paraId="718BDC5D" w14:textId="50525F60" w:rsidR="4BE4315B" w:rsidRDefault="4BE4315B" w:rsidP="1CDBF6BD">
      <w:pPr>
        <w:shd w:val="clear" w:color="auto" w:fill="FFFFFF" w:themeFill="background1"/>
        <w:spacing w:before="120" w:after="0"/>
        <w:ind w:left="-20" w:right="-20"/>
        <w:rPr>
          <w:rFonts w:eastAsiaTheme="minorEastAsia"/>
          <w:color w:val="4A3C10"/>
          <w:sz w:val="24"/>
          <w:szCs w:val="24"/>
        </w:rPr>
      </w:pPr>
    </w:p>
    <w:p w14:paraId="08C2E9B5" w14:textId="20AB2075" w:rsidR="4BE4315B" w:rsidRDefault="4BE4315B" w:rsidP="1CDBF6BD">
      <w:pPr>
        <w:shd w:val="clear" w:color="auto" w:fill="FFFFFF" w:themeFill="background1"/>
        <w:spacing w:before="120" w:after="0"/>
        <w:ind w:left="-20" w:right="-20"/>
        <w:rPr>
          <w:rFonts w:eastAsiaTheme="minorEastAsia"/>
          <w:color w:val="4A3C10"/>
          <w:sz w:val="24"/>
          <w:szCs w:val="24"/>
        </w:rPr>
      </w:pPr>
    </w:p>
    <w:p w14:paraId="0BD78905" w14:textId="5C07E752" w:rsidR="4BE4315B" w:rsidRDefault="4BE4315B" w:rsidP="1CDBF6BD">
      <w:pPr>
        <w:shd w:val="clear" w:color="auto" w:fill="FFFFFF" w:themeFill="background1"/>
        <w:spacing w:before="120" w:after="0"/>
        <w:ind w:left="-20" w:right="-20"/>
        <w:rPr>
          <w:rFonts w:eastAsiaTheme="minorEastAsia"/>
          <w:color w:val="4A3C10"/>
          <w:sz w:val="24"/>
          <w:szCs w:val="24"/>
        </w:rPr>
      </w:pPr>
    </w:p>
    <w:p w14:paraId="14496E08" w14:textId="45E59672" w:rsidR="4BE4315B" w:rsidRDefault="4BE4315B" w:rsidP="1CDBF6BD">
      <w:pPr>
        <w:shd w:val="clear" w:color="auto" w:fill="FFFFFF" w:themeFill="background1"/>
        <w:spacing w:before="120" w:after="0"/>
        <w:ind w:left="-20" w:right="-20"/>
        <w:rPr>
          <w:rFonts w:eastAsiaTheme="minorEastAsia"/>
          <w:color w:val="4A3C10"/>
          <w:sz w:val="24"/>
          <w:szCs w:val="24"/>
        </w:rPr>
      </w:pPr>
    </w:p>
    <w:p w14:paraId="3636D9F5" w14:textId="12567888" w:rsidR="4BE4315B" w:rsidRDefault="4BE4315B" w:rsidP="1CDBF6BD">
      <w:pPr>
        <w:shd w:val="clear" w:color="auto" w:fill="FFFFFF" w:themeFill="background1"/>
        <w:spacing w:before="120" w:after="0"/>
        <w:ind w:left="-20" w:right="-20"/>
        <w:rPr>
          <w:rFonts w:eastAsiaTheme="minorEastAsia"/>
          <w:color w:val="4A3C10"/>
          <w:sz w:val="24"/>
          <w:szCs w:val="24"/>
        </w:rPr>
      </w:pPr>
    </w:p>
    <w:p w14:paraId="17C9FFA9" w14:textId="7AFF282E" w:rsidR="4BE4315B" w:rsidRDefault="4BE4315B" w:rsidP="1CDBF6BD">
      <w:pPr>
        <w:shd w:val="clear" w:color="auto" w:fill="FFFFFF" w:themeFill="background1"/>
        <w:spacing w:before="120" w:after="0"/>
        <w:ind w:left="-20" w:right="-20"/>
        <w:rPr>
          <w:rFonts w:eastAsiaTheme="minorEastAsia"/>
          <w:color w:val="4A3C10"/>
          <w:sz w:val="24"/>
          <w:szCs w:val="24"/>
        </w:rPr>
      </w:pPr>
    </w:p>
    <w:p w14:paraId="4A17B9CC" w14:textId="374B2059" w:rsidR="4BE4315B" w:rsidRDefault="4BE4315B" w:rsidP="1CDBF6BD">
      <w:pPr>
        <w:shd w:val="clear" w:color="auto" w:fill="FFFFFF" w:themeFill="background1"/>
        <w:spacing w:before="120" w:after="0"/>
        <w:ind w:left="-20" w:right="-20"/>
        <w:rPr>
          <w:rFonts w:eastAsiaTheme="minorEastAsia"/>
          <w:color w:val="4A3C10"/>
          <w:sz w:val="24"/>
          <w:szCs w:val="24"/>
        </w:rPr>
      </w:pPr>
    </w:p>
    <w:p w14:paraId="7070147A" w14:textId="3E54FE36" w:rsidR="4BE4315B" w:rsidRDefault="4BE4315B" w:rsidP="1CDBF6BD">
      <w:pPr>
        <w:shd w:val="clear" w:color="auto" w:fill="FFFFFF" w:themeFill="background1"/>
        <w:spacing w:before="120" w:after="0"/>
        <w:ind w:left="-20" w:right="-20"/>
        <w:rPr>
          <w:rFonts w:eastAsiaTheme="minorEastAsia"/>
          <w:color w:val="4A3C10"/>
          <w:sz w:val="24"/>
          <w:szCs w:val="24"/>
        </w:rPr>
      </w:pPr>
    </w:p>
    <w:p w14:paraId="5CCA6819" w14:textId="6FCEC510" w:rsidR="4BE4315B" w:rsidRDefault="4BE4315B" w:rsidP="1CDBF6BD">
      <w:pPr>
        <w:shd w:val="clear" w:color="auto" w:fill="FFFFFF" w:themeFill="background1"/>
        <w:spacing w:before="120" w:after="0"/>
        <w:ind w:left="-20" w:right="-20"/>
        <w:rPr>
          <w:rFonts w:eastAsiaTheme="minorEastAsia"/>
          <w:color w:val="4A3C10"/>
          <w:sz w:val="24"/>
          <w:szCs w:val="24"/>
        </w:rPr>
      </w:pPr>
    </w:p>
    <w:p w14:paraId="07B32AA7" w14:textId="6A4AE8C6" w:rsidR="4BE4315B" w:rsidRDefault="1DCDAC48" w:rsidP="1CDBF6BD">
      <w:pPr>
        <w:shd w:val="clear" w:color="auto" w:fill="FFFFFF" w:themeFill="background1"/>
        <w:spacing w:before="120" w:after="0"/>
        <w:ind w:left="-20" w:right="-20"/>
        <w:rPr>
          <w:b/>
          <w:bCs/>
          <w:sz w:val="32"/>
          <w:szCs w:val="32"/>
        </w:rPr>
      </w:pPr>
      <w:r w:rsidRPr="1CDBF6BD">
        <w:rPr>
          <w:rFonts w:eastAsiaTheme="minorEastAsia"/>
          <w:color w:val="4A3C10"/>
          <w:sz w:val="24"/>
          <w:szCs w:val="24"/>
        </w:rPr>
        <w:t xml:space="preserve">                                                        </w:t>
      </w:r>
      <w:r>
        <w:rPr>
          <w:noProof/>
        </w:rPr>
        <w:drawing>
          <wp:inline distT="0" distB="0" distL="0" distR="0" wp14:anchorId="53AF0B3A" wp14:editId="542F8F26">
            <wp:extent cx="1278385" cy="274320"/>
            <wp:effectExtent l="0" t="0" r="0" b="0"/>
            <wp:docPr id="1691417070"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17470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r w:rsidRPr="1CDBF6BD">
        <w:rPr>
          <w:rFonts w:eastAsiaTheme="minorEastAsia"/>
          <w:color w:val="4A3C10"/>
          <w:sz w:val="24"/>
          <w:szCs w:val="24"/>
        </w:rPr>
        <w:t xml:space="preserve"> </w:t>
      </w:r>
    </w:p>
    <w:p w14:paraId="72CAB2D0" w14:textId="6ABB0E0D" w:rsidR="4BE4315B" w:rsidRDefault="098C3138" w:rsidP="1CDBF6BD">
      <w:pPr>
        <w:shd w:val="clear" w:color="auto" w:fill="FFFFFF" w:themeFill="background1"/>
        <w:spacing w:before="120" w:after="0"/>
        <w:ind w:left="-20" w:right="-20"/>
        <w:rPr>
          <w:rFonts w:eastAsiaTheme="minorEastAsia"/>
          <w:b/>
          <w:bCs/>
          <w:color w:val="4A3C10"/>
          <w:sz w:val="32"/>
          <w:szCs w:val="32"/>
        </w:rPr>
      </w:pPr>
      <w:r w:rsidRPr="56A13131">
        <w:rPr>
          <w:rFonts w:eastAsiaTheme="minorEastAsia"/>
          <w:color w:val="4A3C10"/>
          <w:sz w:val="24"/>
          <w:szCs w:val="24"/>
        </w:rPr>
        <w:t xml:space="preserve"> </w:t>
      </w:r>
      <w:r w:rsidRPr="56A13131">
        <w:rPr>
          <w:rFonts w:eastAsiaTheme="minorEastAsia"/>
          <w:b/>
          <w:bCs/>
          <w:color w:val="4A3C10"/>
          <w:sz w:val="32"/>
          <w:szCs w:val="32"/>
        </w:rPr>
        <w:t>Evaluation of Current Strategy</w:t>
      </w:r>
    </w:p>
    <w:p w14:paraId="4D84C948" w14:textId="6E7AC54D" w:rsidR="4BE4315B" w:rsidRDefault="5DA2BAA0" w:rsidP="56A13131">
      <w:pPr>
        <w:shd w:val="clear" w:color="auto" w:fill="FFFFFF" w:themeFill="background1"/>
        <w:spacing w:before="120" w:after="0"/>
        <w:ind w:left="-20" w:right="-20"/>
      </w:pPr>
      <w:r>
        <w:t xml:space="preserve">   </w:t>
      </w:r>
      <w:r w:rsidR="4BDA0A22">
        <w:rPr>
          <w:noProof/>
        </w:rPr>
        <w:drawing>
          <wp:inline distT="0" distB="0" distL="0" distR="0" wp14:anchorId="3BA7C74E" wp14:editId="178E967A">
            <wp:extent cx="914400" cy="832688"/>
            <wp:effectExtent l="0" t="0" r="0" b="0"/>
            <wp:docPr id="1781870786" name="Picture 1781870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4400" cy="832688"/>
                    </a:xfrm>
                    <a:prstGeom prst="rect">
                      <a:avLst/>
                    </a:prstGeom>
                  </pic:spPr>
                </pic:pic>
              </a:graphicData>
            </a:graphic>
          </wp:inline>
        </w:drawing>
      </w:r>
      <w:r>
        <w:t xml:space="preserve">               </w:t>
      </w:r>
    </w:p>
    <w:p w14:paraId="3E6D64B3" w14:textId="6D7D3B92" w:rsidR="4BE4315B" w:rsidRDefault="7FFAF841" w:rsidP="56A13131">
      <w:pPr>
        <w:spacing w:before="120"/>
        <w:ind w:left="-20" w:right="-20"/>
        <w:rPr>
          <w:rFonts w:ascii="Calibri" w:eastAsia="Calibri" w:hAnsi="Calibri" w:cs="Calibri"/>
          <w:i/>
          <w:iCs/>
          <w:color w:val="000000" w:themeColor="text1"/>
          <w:sz w:val="12"/>
          <w:szCs w:val="12"/>
        </w:rPr>
      </w:pPr>
      <w:r w:rsidRPr="56A13131">
        <w:rPr>
          <w:rFonts w:ascii="Calibri" w:eastAsia="Calibri" w:hAnsi="Calibri" w:cs="Calibri"/>
          <w:i/>
          <w:iCs/>
          <w:color w:val="000000" w:themeColor="text1"/>
          <w:sz w:val="12"/>
          <w:szCs w:val="12"/>
        </w:rPr>
        <w:t>(Marketing Theories – Boston Consulting Group Matrix. N.d)</w:t>
      </w:r>
    </w:p>
    <w:p w14:paraId="22DB6951" w14:textId="0C37D20C" w:rsidR="4BE4315B" w:rsidRDefault="5DA2BAA0" w:rsidP="4F365955">
      <w:pPr>
        <w:spacing w:before="120" w:after="0"/>
      </w:pPr>
      <w:r>
        <w:t xml:space="preserve">         </w:t>
      </w:r>
      <w:r w:rsidR="15322AAB" w:rsidRPr="4F365955">
        <w:rPr>
          <w:rFonts w:ascii="Calibri" w:eastAsia="Calibri" w:hAnsi="Calibri" w:cs="Calibri"/>
        </w:rPr>
        <w:t>Stern &amp; Stalk's 1978 BCG Matrix approach is vital to assessing organisations' industry strategic positioning. Assessing J.P. Morgan Bank's current strategy requires considering how well it fits the changing financial sector and if it achieves its aims. J.P. Morgan can analyse its product portfolio, identify issues, and make resource allocation and growth choices using a well-balanced matrix.</w:t>
      </w:r>
    </w:p>
    <w:p w14:paraId="1C88CA28" w14:textId="6C1C85F7" w:rsidR="4BE4315B" w:rsidRDefault="15322AAB" w:rsidP="2252EF13">
      <w:pPr>
        <w:spacing w:before="120" w:after="0"/>
        <w:rPr>
          <w:rFonts w:ascii="Calibri" w:eastAsia="Calibri" w:hAnsi="Calibri" w:cs="Calibri"/>
        </w:rPr>
      </w:pPr>
      <w:r w:rsidRPr="4F365955">
        <w:rPr>
          <w:rFonts w:ascii="Calibri" w:eastAsia="Calibri" w:hAnsi="Calibri" w:cs="Calibri"/>
        </w:rPr>
        <w:t>This strategy review analyses J.P. Morgan Bank's internal strengths and weaknesses and financial industry opportunities and challenges. The bank may use these characteristics to make strategic decisions that exploit its strengths, manage risks, and seize opportunities</w:t>
      </w:r>
      <w:r w:rsidR="1D240C6B" w:rsidRPr="4F365955">
        <w:rPr>
          <w:rFonts w:ascii="Calibri" w:eastAsia="Calibri" w:hAnsi="Calibri" w:cs="Calibri"/>
        </w:rPr>
        <w:t xml:space="preserve"> (</w:t>
      </w:r>
      <w:r w:rsidR="1D240C6B" w:rsidRPr="4F365955">
        <w:rPr>
          <w:rFonts w:ascii="Calibri" w:eastAsia="Calibri" w:hAnsi="Calibri" w:cs="Calibri"/>
          <w:color w:val="000000" w:themeColor="text1"/>
        </w:rPr>
        <w:t>EMBA Pro, 2024)</w:t>
      </w:r>
      <w:r w:rsidRPr="4F365955">
        <w:rPr>
          <w:rFonts w:ascii="Calibri" w:eastAsia="Calibri" w:hAnsi="Calibri" w:cs="Calibri"/>
        </w:rPr>
        <w:t>. The purpose is to keep J.P. Morgan Bank's strategy adaptable to the changing financial environment and focused on accomplishing its goals sustainably and competitively.</w:t>
      </w:r>
      <w:r w:rsidR="46D25648" w:rsidRPr="2252EF13">
        <w:rPr>
          <w:rFonts w:eastAsiaTheme="minorEastAsia"/>
        </w:rPr>
        <w:t xml:space="preserve"> </w:t>
      </w:r>
      <w:r w:rsidR="46D25648" w:rsidRPr="2252EF13">
        <w:rPr>
          <w:rFonts w:eastAsiaTheme="minorEastAsia"/>
          <w:color w:val="222222"/>
        </w:rPr>
        <w:t xml:space="preserve">A decline in investment banking market share has been identified, primarily due to disruptive innovations in the fintech sector. Our analysis indicates that an agile response to digital transformation is necessary to reverse this trend </w:t>
      </w:r>
      <w:r w:rsidRPr="4F365955">
        <w:rPr>
          <w:rFonts w:ascii="Calibri" w:eastAsia="Calibri" w:hAnsi="Calibri" w:cs="Calibri"/>
        </w:rPr>
        <w:t xml:space="preserve">COVID-19 has spurred company digital transformation, </w:t>
      </w:r>
      <w:r w:rsidR="33CA7579" w:rsidRPr="2252EF13">
        <w:rPr>
          <w:rFonts w:ascii="Calibri" w:eastAsia="Calibri" w:hAnsi="Calibri" w:cs="Calibri"/>
        </w:rPr>
        <w:t>but not en</w:t>
      </w:r>
      <w:r w:rsidR="5C9E4FB7" w:rsidRPr="2252EF13">
        <w:rPr>
          <w:rFonts w:ascii="Calibri" w:eastAsia="Calibri" w:hAnsi="Calibri" w:cs="Calibri"/>
        </w:rPr>
        <w:t>ough</w:t>
      </w:r>
      <w:r w:rsidRPr="2252EF13">
        <w:rPr>
          <w:rFonts w:ascii="Calibri" w:eastAsia="Calibri" w:hAnsi="Calibri" w:cs="Calibri"/>
        </w:rPr>
        <w:t xml:space="preserve">, </w:t>
      </w:r>
      <w:r w:rsidRPr="4F365955">
        <w:rPr>
          <w:rFonts w:ascii="Calibri" w:eastAsia="Calibri" w:hAnsi="Calibri" w:cs="Calibri"/>
        </w:rPr>
        <w:t xml:space="preserve">forcing companies to embrace virtual solutions to maintain growth and continuity </w:t>
      </w:r>
      <w:r w:rsidR="331418FD" w:rsidRPr="4F365955">
        <w:rPr>
          <w:rFonts w:ascii="Calibri" w:eastAsia="Calibri" w:hAnsi="Calibri" w:cs="Calibri"/>
        </w:rPr>
        <w:t>(</w:t>
      </w:r>
      <w:r w:rsidRPr="4F365955">
        <w:rPr>
          <w:rFonts w:ascii="Calibri" w:eastAsia="Calibri" w:hAnsi="Calibri" w:cs="Calibri"/>
          <w:sz w:val="24"/>
          <w:szCs w:val="24"/>
        </w:rPr>
        <w:t xml:space="preserve">J.P. Morgan. </w:t>
      </w:r>
      <w:r w:rsidRPr="2252EF13">
        <w:rPr>
          <w:rFonts w:ascii="Calibri" w:eastAsia="Calibri" w:hAnsi="Calibri" w:cs="Calibri"/>
          <w:sz w:val="24"/>
          <w:szCs w:val="24"/>
        </w:rPr>
        <w:t>N.d)</w:t>
      </w:r>
      <w:r w:rsidRPr="2252EF13">
        <w:rPr>
          <w:rFonts w:ascii="Calibri" w:eastAsia="Calibri" w:hAnsi="Calibri" w:cs="Calibri"/>
        </w:rPr>
        <w:t>.</w:t>
      </w:r>
      <w:r w:rsidR="07058D7B" w:rsidRPr="2252EF13">
        <w:rPr>
          <w:rFonts w:ascii="Calibri" w:eastAsia="Calibri" w:hAnsi="Calibri" w:cs="Calibri"/>
        </w:rPr>
        <w:t xml:space="preserve"> </w:t>
      </w:r>
      <w:r w:rsidRPr="4F365955">
        <w:rPr>
          <w:rFonts w:ascii="Calibri" w:eastAsia="Calibri" w:hAnsi="Calibri" w:cs="Calibri"/>
        </w:rPr>
        <w:t xml:space="preserve"> J.P. Morgan is the only worldwide bank that can handle both pay-in and pay-out transactions, allowing e-commerce companies to provide virtual bank accounts with advantages to build client loyalty. The bank is investing in data analytics to provide a full range of payment options to customers. In the rapidly changing and uncertain landscape, treasury and payments professionals are focusing on agility and resilience to manage liquidity, ensure business continuity, strengthen cybersecurity, and optimise </w:t>
      </w:r>
      <w:r w:rsidRPr="4F365955">
        <w:rPr>
          <w:rFonts w:ascii="Calibri" w:eastAsia="Calibri" w:hAnsi="Calibri" w:cs="Calibri"/>
        </w:rPr>
        <w:lastRenderedPageBreak/>
        <w:t>working capital during disruptions. At the 2020 J.P. Morgan e-commerce event, corporates agreed that digitization is essential for long-term success</w:t>
      </w:r>
      <w:r w:rsidR="4CB89595" w:rsidRPr="4F365955">
        <w:rPr>
          <w:rFonts w:ascii="Calibri" w:eastAsia="Calibri" w:hAnsi="Calibri" w:cs="Calibri"/>
        </w:rPr>
        <w:t xml:space="preserve"> (</w:t>
      </w:r>
      <w:r w:rsidR="4CB89595" w:rsidRPr="4F365955">
        <w:rPr>
          <w:rFonts w:ascii="Calibri" w:eastAsia="Calibri" w:hAnsi="Calibri" w:cs="Calibri"/>
          <w:color w:val="000000" w:themeColor="text1"/>
        </w:rPr>
        <w:t>Insider Intelligence, n.d.)</w:t>
      </w:r>
      <w:r w:rsidRPr="4F365955">
        <w:rPr>
          <w:rFonts w:ascii="Calibri" w:eastAsia="Calibri" w:hAnsi="Calibri" w:cs="Calibri"/>
        </w:rPr>
        <w:t>.</w:t>
      </w:r>
    </w:p>
    <w:p w14:paraId="2DAC96E1" w14:textId="6DE50BCD" w:rsidR="4BE4315B" w:rsidRDefault="5DA2BAA0" w:rsidP="4F365955">
      <w:pPr>
        <w:shd w:val="clear" w:color="auto" w:fill="FFFFFF" w:themeFill="background1"/>
        <w:spacing w:before="120" w:after="0"/>
        <w:ind w:left="-20" w:right="-20"/>
      </w:pPr>
      <w:r>
        <w:t xml:space="preserve">            </w:t>
      </w:r>
    </w:p>
    <w:p w14:paraId="070C6F66" w14:textId="620B3F5E" w:rsidR="35455967" w:rsidRDefault="4066999B" w:rsidP="4ABFA9F3">
      <w:pPr>
        <w:ind w:left="-20" w:right="-20"/>
      </w:pPr>
      <w:r>
        <w:rPr>
          <w:noProof/>
        </w:rPr>
        <w:drawing>
          <wp:inline distT="0" distB="0" distL="0" distR="0" wp14:anchorId="6203A543" wp14:editId="16F030D8">
            <wp:extent cx="4572000" cy="3533775"/>
            <wp:effectExtent l="0" t="0" r="0" b="0"/>
            <wp:docPr id="73988123" name="Picture 73988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3533775"/>
                    </a:xfrm>
                    <a:prstGeom prst="rect">
                      <a:avLst/>
                    </a:prstGeom>
                  </pic:spPr>
                </pic:pic>
              </a:graphicData>
            </a:graphic>
          </wp:inline>
        </w:drawing>
      </w:r>
    </w:p>
    <w:p w14:paraId="6ABA9C84" w14:textId="7218CACB" w:rsidR="35455967" w:rsidRDefault="49224458" w:rsidP="4ABFA9F3">
      <w:pPr>
        <w:ind w:left="-20" w:right="-20"/>
        <w:rPr>
          <w:rFonts w:ascii="Calibri" w:eastAsia="Calibri" w:hAnsi="Calibri" w:cs="Calibri"/>
        </w:rPr>
      </w:pPr>
      <w:r w:rsidRPr="4ABFA9F3">
        <w:rPr>
          <w:rFonts w:ascii="Calibri" w:eastAsia="Calibri" w:hAnsi="Calibri" w:cs="Calibri"/>
        </w:rPr>
        <w:t xml:space="preserve">                                            </w:t>
      </w:r>
      <w:r w:rsidRPr="4ABFA9F3">
        <w:rPr>
          <w:rFonts w:ascii="Calibri" w:eastAsia="Calibri" w:hAnsi="Calibri" w:cs="Calibri"/>
          <w:i/>
          <w:iCs/>
        </w:rPr>
        <w:t xml:space="preserve">  (Zhang,2023)</w:t>
      </w:r>
    </w:p>
    <w:p w14:paraId="5925A429" w14:textId="29CF31FF" w:rsidR="35455967" w:rsidRDefault="49224458" w:rsidP="4ABFA9F3">
      <w:pPr>
        <w:ind w:left="-20" w:right="-20"/>
      </w:pPr>
      <w:r>
        <w:t xml:space="preserve"> </w:t>
      </w:r>
    </w:p>
    <w:p w14:paraId="160A71B5" w14:textId="6D769946" w:rsidR="4BE4315B" w:rsidRDefault="5B7354CB" w:rsidP="1CDBF6BD">
      <w:pPr>
        <w:shd w:val="clear" w:color="auto" w:fill="FFFFFF" w:themeFill="background1"/>
        <w:spacing w:before="120" w:after="0"/>
        <w:ind w:left="-20" w:right="-20"/>
        <w:rPr>
          <w:rFonts w:eastAsiaTheme="minorEastAsia"/>
          <w:color w:val="222222"/>
          <w:sz w:val="24"/>
          <w:szCs w:val="24"/>
        </w:rPr>
      </w:pPr>
      <w:r w:rsidRPr="4F365955">
        <w:rPr>
          <w:rFonts w:eastAsiaTheme="minorEastAsia"/>
          <w:b/>
          <w:bCs/>
          <w:color w:val="222222"/>
          <w:sz w:val="24"/>
          <w:szCs w:val="24"/>
          <w:u w:val="single"/>
        </w:rPr>
        <w:t>S</w:t>
      </w:r>
      <w:r w:rsidR="098C3138" w:rsidRPr="4F365955">
        <w:rPr>
          <w:rFonts w:eastAsiaTheme="minorEastAsia"/>
          <w:b/>
          <w:bCs/>
          <w:color w:val="222222"/>
          <w:sz w:val="24"/>
          <w:szCs w:val="24"/>
          <w:u w:val="single"/>
        </w:rPr>
        <w:t>trategic direction</w:t>
      </w:r>
      <w:r w:rsidR="098C3138" w:rsidRPr="4F365955">
        <w:rPr>
          <w:rFonts w:eastAsiaTheme="minorEastAsia"/>
          <w:color w:val="222222"/>
          <w:sz w:val="24"/>
          <w:szCs w:val="24"/>
        </w:rPr>
        <w:t xml:space="preserve"> </w:t>
      </w:r>
    </w:p>
    <w:p w14:paraId="7758FFC7" w14:textId="75C25992" w:rsidR="4BE4315B" w:rsidRDefault="37DE5FE3" w:rsidP="4F365955">
      <w:pPr>
        <w:spacing w:before="120" w:after="0"/>
        <w:rPr>
          <w:rFonts w:ascii="Calibri" w:eastAsia="Calibri" w:hAnsi="Calibri" w:cs="Calibri"/>
          <w:sz w:val="24"/>
          <w:szCs w:val="24"/>
        </w:rPr>
      </w:pPr>
      <w:r w:rsidRPr="4F365955">
        <w:rPr>
          <w:rFonts w:ascii="Calibri" w:eastAsia="Calibri" w:hAnsi="Calibri" w:cs="Calibri"/>
          <w:sz w:val="24"/>
          <w:szCs w:val="24"/>
        </w:rPr>
        <w:t xml:space="preserve">The Configuration School and Power School may assist us comprehend J.P. Morgan Bank's market positioning and strategic decisions thei have configuration School says strategic success involves internal alignment of the organization's structure, systems, and procedures. </w:t>
      </w:r>
      <w:r w:rsidR="65F22F3A" w:rsidRPr="404F02A2">
        <w:rPr>
          <w:rFonts w:ascii="Calibri" w:eastAsia="Calibri" w:hAnsi="Calibri" w:cs="Calibri"/>
          <w:sz w:val="24"/>
          <w:szCs w:val="24"/>
        </w:rPr>
        <w:t xml:space="preserve">J.P. Morgan's strategy orientation demonstrates a shift towards sustainable finance, which is in line with its proficiency in risk management. </w:t>
      </w:r>
      <w:r w:rsidR="4132F826" w:rsidRPr="404F02A2">
        <w:rPr>
          <w:rFonts w:ascii="Calibri" w:eastAsia="Calibri" w:hAnsi="Calibri" w:cs="Calibri"/>
          <w:sz w:val="24"/>
          <w:szCs w:val="24"/>
        </w:rPr>
        <w:t>To</w:t>
      </w:r>
      <w:r w:rsidR="65F22F3A" w:rsidRPr="404F02A2">
        <w:rPr>
          <w:rFonts w:ascii="Calibri" w:eastAsia="Calibri" w:hAnsi="Calibri" w:cs="Calibri"/>
          <w:sz w:val="24"/>
          <w:szCs w:val="24"/>
        </w:rPr>
        <w:t xml:space="preserve"> take full advantage of this opportunity, the bank should enhance the incorporation of environmental, social, and governance (ESG) considerations into its investment procedures, leveraging its skills to take a leading position in the market. </w:t>
      </w:r>
      <w:r w:rsidRPr="4F365955">
        <w:rPr>
          <w:rFonts w:ascii="Calibri" w:eastAsia="Calibri" w:hAnsi="Calibri" w:cs="Calibri"/>
          <w:sz w:val="24"/>
          <w:szCs w:val="24"/>
        </w:rPr>
        <w:t xml:space="preserve">J.P. Morgan may focus on how its divisions and businesses support its strategy. Operational coherence and consistency may help J.P. Morgan adapt to market </w:t>
      </w:r>
      <w:r w:rsidR="7E9EDD2F" w:rsidRPr="4F365955">
        <w:rPr>
          <w:rFonts w:ascii="Calibri" w:eastAsia="Calibri" w:hAnsi="Calibri" w:cs="Calibri"/>
          <w:sz w:val="24"/>
          <w:szCs w:val="24"/>
        </w:rPr>
        <w:t>developments</w:t>
      </w:r>
      <w:r w:rsidR="04F6E463" w:rsidRPr="4F365955">
        <w:rPr>
          <w:rFonts w:ascii="Calibri" w:eastAsia="Calibri" w:hAnsi="Calibri" w:cs="Calibri"/>
          <w:sz w:val="24"/>
          <w:szCs w:val="24"/>
        </w:rPr>
        <w:t xml:space="preserve"> </w:t>
      </w:r>
      <w:r w:rsidR="6CE92138" w:rsidRPr="4F365955">
        <w:rPr>
          <w:rFonts w:ascii="Calibri" w:eastAsia="Calibri" w:hAnsi="Calibri" w:cs="Calibri"/>
          <w:sz w:val="24"/>
          <w:szCs w:val="24"/>
        </w:rPr>
        <w:t>(</w:t>
      </w:r>
      <w:r w:rsidR="6CE92138" w:rsidRPr="4F365955">
        <w:rPr>
          <w:rFonts w:ascii="Calibri" w:eastAsia="Calibri" w:hAnsi="Calibri" w:cs="Calibri"/>
          <w:color w:val="000000" w:themeColor="text1"/>
        </w:rPr>
        <w:t>J.P. Morgan Asset Management,n.d.)</w:t>
      </w:r>
      <w:r w:rsidR="7E9EDD2F" w:rsidRPr="4F365955">
        <w:rPr>
          <w:rFonts w:ascii="Calibri" w:eastAsia="Calibri" w:hAnsi="Calibri" w:cs="Calibri"/>
          <w:sz w:val="24"/>
          <w:szCs w:val="24"/>
        </w:rPr>
        <w:t>. The</w:t>
      </w:r>
      <w:r w:rsidRPr="4F365955">
        <w:rPr>
          <w:rFonts w:ascii="Calibri" w:eastAsia="Calibri" w:hAnsi="Calibri" w:cs="Calibri"/>
          <w:sz w:val="24"/>
          <w:szCs w:val="24"/>
        </w:rPr>
        <w:t xml:space="preserve"> Power School promotes strategic decision-making via persuasion, negotiation, and politics.</w:t>
      </w:r>
    </w:p>
    <w:p w14:paraId="62059B14" w14:textId="067779ED" w:rsidR="4BE4315B" w:rsidRDefault="4BE4315B" w:rsidP="4F365955">
      <w:pPr>
        <w:spacing w:before="120" w:after="0"/>
      </w:pPr>
    </w:p>
    <w:p w14:paraId="258D7AE3" w14:textId="41F9F1F4" w:rsidR="4BE4315B" w:rsidRDefault="351C89A6" w:rsidP="4F365955">
      <w:pPr>
        <w:shd w:val="clear" w:color="auto" w:fill="FFFFFF" w:themeFill="background1"/>
        <w:spacing w:before="120" w:after="0"/>
        <w:ind w:left="-20" w:right="-20"/>
        <w:rPr>
          <w:rFonts w:eastAsiaTheme="minorEastAsia"/>
          <w:b/>
          <w:bCs/>
          <w:color w:val="222222"/>
          <w:sz w:val="24"/>
          <w:szCs w:val="24"/>
          <w:u w:val="single"/>
        </w:rPr>
      </w:pPr>
      <w:r w:rsidRPr="4F365955">
        <w:rPr>
          <w:rFonts w:eastAsiaTheme="minorEastAsia"/>
          <w:b/>
          <w:bCs/>
          <w:color w:val="222222"/>
          <w:sz w:val="24"/>
          <w:szCs w:val="24"/>
          <w:u w:val="single"/>
        </w:rPr>
        <w:t>S</w:t>
      </w:r>
      <w:r w:rsidR="098C3138" w:rsidRPr="4F365955">
        <w:rPr>
          <w:rFonts w:eastAsiaTheme="minorEastAsia"/>
          <w:b/>
          <w:bCs/>
          <w:color w:val="222222"/>
          <w:sz w:val="24"/>
          <w:szCs w:val="24"/>
          <w:u w:val="single"/>
        </w:rPr>
        <w:t xml:space="preserve">trategic capability </w:t>
      </w:r>
    </w:p>
    <w:p w14:paraId="0E27CFE6" w14:textId="0023288E" w:rsidR="4BE4315B" w:rsidRDefault="126F2E0A" w:rsidP="404F02A2">
      <w:pPr>
        <w:spacing w:before="120" w:after="0"/>
        <w:ind w:left="-20" w:right="-20"/>
        <w:rPr>
          <w:rFonts w:ascii="Calibri" w:eastAsia="Calibri" w:hAnsi="Calibri" w:cs="Calibri"/>
          <w:sz w:val="24"/>
          <w:szCs w:val="24"/>
        </w:rPr>
      </w:pPr>
      <w:r w:rsidRPr="2252EF13">
        <w:rPr>
          <w:rFonts w:ascii="Calibri" w:eastAsia="Calibri" w:hAnsi="Calibri" w:cs="Calibri"/>
          <w:sz w:val="24"/>
          <w:szCs w:val="24"/>
        </w:rPr>
        <w:t>Strategic capacity is an organization's ability to obtain and sustain market share using its resources, skills, and competencies</w:t>
      </w:r>
      <w:r w:rsidR="220583A6" w:rsidRPr="404F02A2">
        <w:rPr>
          <w:rFonts w:ascii="Calibri" w:eastAsia="Calibri" w:hAnsi="Calibri" w:cs="Calibri"/>
          <w:sz w:val="24"/>
          <w:szCs w:val="24"/>
        </w:rPr>
        <w:t xml:space="preserve"> (Day,1994)</w:t>
      </w:r>
      <w:r w:rsidRPr="404F02A2">
        <w:rPr>
          <w:rFonts w:ascii="Calibri" w:eastAsia="Calibri" w:hAnsi="Calibri" w:cs="Calibri"/>
          <w:sz w:val="24"/>
          <w:szCs w:val="24"/>
        </w:rPr>
        <w:t>.</w:t>
      </w:r>
      <w:r w:rsidRPr="2252EF13">
        <w:rPr>
          <w:rFonts w:ascii="Calibri" w:eastAsia="Calibri" w:hAnsi="Calibri" w:cs="Calibri"/>
          <w:sz w:val="24"/>
          <w:szCs w:val="24"/>
        </w:rPr>
        <w:t xml:space="preserve"> Recognising the organization's strengths, shortcomings, and external opportunities and threats is necessary. Analysis of these </w:t>
      </w:r>
      <w:r w:rsidRPr="2252EF13">
        <w:rPr>
          <w:rFonts w:ascii="Calibri" w:eastAsia="Calibri" w:hAnsi="Calibri" w:cs="Calibri"/>
          <w:sz w:val="24"/>
          <w:szCs w:val="24"/>
        </w:rPr>
        <w:lastRenderedPageBreak/>
        <w:t xml:space="preserve">elements helps businesses develop a flexible strategy to adapt to changing situations and overcome future challenges. </w:t>
      </w:r>
    </w:p>
    <w:p w14:paraId="4D29AD70" w14:textId="727535E4" w:rsidR="4BE4315B" w:rsidRDefault="4BE4315B" w:rsidP="2252EF13">
      <w:pPr>
        <w:spacing w:before="120" w:after="0"/>
      </w:pPr>
    </w:p>
    <w:p w14:paraId="7683A2A2" w14:textId="63032425" w:rsidR="4BE4315B" w:rsidRDefault="126F2E0A" w:rsidP="2252EF13">
      <w:pPr>
        <w:spacing w:before="120" w:after="0"/>
      </w:pPr>
      <w:r w:rsidRPr="2252EF13">
        <w:rPr>
          <w:rFonts w:ascii="Calibri" w:eastAsia="Calibri" w:hAnsi="Calibri" w:cs="Calibri"/>
          <w:sz w:val="24"/>
          <w:szCs w:val="24"/>
        </w:rPr>
        <w:t xml:space="preserve">For a clear and adaptable strategy, organisations must match internal skills with external opportunities and dangers. They must capitalise on market trends and customer needs and adapt quickly to unexpected disruptions using their fundamental capabilities. Innovation, learning, and strategic thinking may help companies remain ahead in a fast-changing workplace. </w:t>
      </w:r>
    </w:p>
    <w:p w14:paraId="7CDD7AE3" w14:textId="21D00B80" w:rsidR="4BE4315B" w:rsidRDefault="126F2E0A" w:rsidP="2252EF13">
      <w:pPr>
        <w:spacing w:before="120" w:after="0"/>
      </w:pPr>
      <w:r w:rsidRPr="2252EF13">
        <w:rPr>
          <w:rFonts w:ascii="Calibri" w:eastAsia="Calibri" w:hAnsi="Calibri" w:cs="Calibri"/>
          <w:sz w:val="24"/>
          <w:szCs w:val="24"/>
        </w:rPr>
        <w:t xml:space="preserve">In today's economic environment, companies require strategic skills. Through resource, competency, and market analysis, organisations may construct a cohesive and adaptive plan to tackle future challenges with confidence and resilience. Long-term success and sustainability in a changing environment need adaptability and creativity. evaluating how these elements interact to provide a flexible strategy for future problems </w:t>
      </w:r>
    </w:p>
    <w:p w14:paraId="3A84A030" w14:textId="687DA061" w:rsidR="4BE4315B" w:rsidRDefault="4BE4315B" w:rsidP="2252EF13">
      <w:pPr>
        <w:spacing w:before="120" w:after="0"/>
      </w:pPr>
    </w:p>
    <w:p w14:paraId="0C008655" w14:textId="0C3E0E14" w:rsidR="4BE4315B" w:rsidRDefault="4BE4315B" w:rsidP="1CDBF6BD">
      <w:pPr>
        <w:shd w:val="clear" w:color="auto" w:fill="FFFFFF" w:themeFill="background1"/>
        <w:spacing w:before="120" w:after="0"/>
        <w:ind w:left="-20" w:right="-20"/>
      </w:pPr>
    </w:p>
    <w:p w14:paraId="7EF3B789" w14:textId="73435983" w:rsidR="4BE4315B" w:rsidRDefault="4BE4315B" w:rsidP="1CDBF6BD">
      <w:pPr>
        <w:shd w:val="clear" w:color="auto" w:fill="FFFFFF" w:themeFill="background1"/>
        <w:spacing w:before="120" w:after="0"/>
        <w:ind w:left="-20" w:right="-20"/>
        <w:rPr>
          <w:rFonts w:eastAsiaTheme="minorEastAsia"/>
          <w:color w:val="222222"/>
          <w:sz w:val="24"/>
          <w:szCs w:val="24"/>
        </w:rPr>
      </w:pPr>
    </w:p>
    <w:p w14:paraId="3318C021" w14:textId="6D632908" w:rsidR="4BE4315B" w:rsidRDefault="4BE4315B" w:rsidP="1CDBF6BD">
      <w:pPr>
        <w:shd w:val="clear" w:color="auto" w:fill="FFFFFF" w:themeFill="background1"/>
        <w:spacing w:before="120" w:after="0"/>
        <w:ind w:left="-20" w:right="-20"/>
        <w:rPr>
          <w:rFonts w:eastAsiaTheme="minorEastAsia"/>
          <w:color w:val="222222"/>
          <w:sz w:val="24"/>
          <w:szCs w:val="24"/>
        </w:rPr>
      </w:pPr>
    </w:p>
    <w:p w14:paraId="2914D888" w14:textId="597C832A" w:rsidR="4BE4315B" w:rsidRDefault="4BE4315B" w:rsidP="1CDBF6BD">
      <w:pPr>
        <w:shd w:val="clear" w:color="auto" w:fill="FFFFFF" w:themeFill="background1"/>
        <w:spacing w:before="120" w:after="0"/>
        <w:ind w:left="-20" w:right="-20"/>
        <w:rPr>
          <w:rFonts w:eastAsiaTheme="minorEastAsia"/>
          <w:b/>
          <w:bCs/>
          <w:color w:val="222222"/>
          <w:sz w:val="32"/>
          <w:szCs w:val="32"/>
          <w:u w:val="single"/>
        </w:rPr>
      </w:pPr>
    </w:p>
    <w:p w14:paraId="25D77325" w14:textId="63837B64" w:rsidR="4BE4315B" w:rsidRDefault="4BE4315B" w:rsidP="1CDBF6BD">
      <w:pPr>
        <w:shd w:val="clear" w:color="auto" w:fill="FFFFFF" w:themeFill="background1"/>
        <w:spacing w:before="120" w:after="0"/>
        <w:ind w:left="-20" w:right="-20"/>
        <w:rPr>
          <w:rFonts w:eastAsiaTheme="minorEastAsia"/>
          <w:b/>
          <w:color w:val="222222"/>
          <w:sz w:val="32"/>
          <w:szCs w:val="32"/>
        </w:rPr>
      </w:pPr>
    </w:p>
    <w:p w14:paraId="77FDF66B" w14:textId="3FE934FB" w:rsidR="4BE4315B" w:rsidRDefault="603808D8" w:rsidP="1CDBF6BD">
      <w:pPr>
        <w:shd w:val="clear" w:color="auto" w:fill="FFFFFF" w:themeFill="background1"/>
        <w:spacing w:before="120" w:after="0"/>
        <w:ind w:left="-20" w:right="-20"/>
        <w:rPr>
          <w:b/>
          <w:bCs/>
          <w:sz w:val="32"/>
          <w:szCs w:val="32"/>
        </w:rPr>
      </w:pPr>
      <w:r w:rsidRPr="4F365955">
        <w:rPr>
          <w:rFonts w:eastAsiaTheme="minorEastAsia"/>
          <w:b/>
          <w:bCs/>
          <w:color w:val="222222"/>
          <w:sz w:val="32"/>
          <w:szCs w:val="32"/>
        </w:rPr>
        <w:t xml:space="preserve">    </w:t>
      </w:r>
      <w:r w:rsidR="3AB6E21C" w:rsidRPr="4F365955">
        <w:rPr>
          <w:rFonts w:eastAsiaTheme="minorEastAsia"/>
          <w:b/>
          <w:bCs/>
          <w:color w:val="222222"/>
          <w:sz w:val="32"/>
          <w:szCs w:val="32"/>
        </w:rPr>
        <w:t xml:space="preserve">                                                   </w:t>
      </w:r>
      <w:r w:rsidR="3AB6E21C">
        <w:rPr>
          <w:noProof/>
        </w:rPr>
        <w:drawing>
          <wp:inline distT="0" distB="0" distL="0" distR="0" wp14:anchorId="7243A27A" wp14:editId="656CB888">
            <wp:extent cx="1278385" cy="274320"/>
            <wp:effectExtent l="0" t="0" r="0" b="0"/>
            <wp:docPr id="693262527"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17470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p>
    <w:p w14:paraId="5D23D817" w14:textId="126F8034"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599FCC4E" w14:textId="24C243BC"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27D3B09A" w14:textId="6CBB3C87"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6BC0D123" w14:textId="54417360"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7D2E8823" w14:textId="1D4A01AC"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18A118D4" w14:textId="0E17CED0"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74F5DD74" w14:textId="4E9B218A"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0A9D9501" w14:textId="7EAC5266" w:rsidR="4BE4315B" w:rsidRDefault="4BE4315B" w:rsidP="4F365955">
      <w:pPr>
        <w:shd w:val="clear" w:color="auto" w:fill="FFFFFF" w:themeFill="background1"/>
        <w:spacing w:before="120" w:after="0"/>
        <w:ind w:left="-20" w:right="-20"/>
        <w:rPr>
          <w:rFonts w:eastAsiaTheme="minorEastAsia"/>
          <w:b/>
          <w:bCs/>
          <w:color w:val="4A3C10"/>
          <w:sz w:val="32"/>
          <w:szCs w:val="32"/>
        </w:rPr>
      </w:pPr>
    </w:p>
    <w:p w14:paraId="35154747" w14:textId="1A78747B" w:rsidR="2252EF13" w:rsidRDefault="2252EF13" w:rsidP="2252EF13">
      <w:pPr>
        <w:shd w:val="clear" w:color="auto" w:fill="FFFFFF" w:themeFill="background1"/>
        <w:spacing w:before="120" w:after="0"/>
        <w:ind w:left="-20" w:right="-20"/>
        <w:rPr>
          <w:rFonts w:eastAsiaTheme="minorEastAsia"/>
          <w:b/>
          <w:bCs/>
          <w:color w:val="4A3C10"/>
          <w:sz w:val="32"/>
          <w:szCs w:val="32"/>
        </w:rPr>
      </w:pPr>
    </w:p>
    <w:p w14:paraId="2D1B2371" w14:textId="653BE55D" w:rsidR="2252EF13" w:rsidRDefault="2252EF13" w:rsidP="2252EF13">
      <w:pPr>
        <w:shd w:val="clear" w:color="auto" w:fill="FFFFFF" w:themeFill="background1"/>
        <w:spacing w:before="120" w:after="0"/>
        <w:ind w:left="-20" w:right="-20"/>
        <w:rPr>
          <w:rFonts w:eastAsiaTheme="minorEastAsia"/>
          <w:b/>
          <w:bCs/>
          <w:color w:val="4A3C10"/>
          <w:sz w:val="32"/>
          <w:szCs w:val="32"/>
        </w:rPr>
      </w:pPr>
    </w:p>
    <w:p w14:paraId="7DB191E4" w14:textId="545D398B" w:rsidR="2252EF13" w:rsidRDefault="2252EF13" w:rsidP="2252EF13">
      <w:pPr>
        <w:shd w:val="clear" w:color="auto" w:fill="FFFFFF" w:themeFill="background1"/>
        <w:spacing w:before="120" w:after="0"/>
        <w:ind w:left="-20" w:right="-20"/>
        <w:rPr>
          <w:rFonts w:eastAsiaTheme="minorEastAsia"/>
          <w:b/>
          <w:bCs/>
          <w:color w:val="4A3C10"/>
          <w:sz w:val="32"/>
          <w:szCs w:val="32"/>
        </w:rPr>
      </w:pPr>
    </w:p>
    <w:p w14:paraId="200FF4A8" w14:textId="064815C0" w:rsidR="2252EF13" w:rsidRDefault="2252EF13" w:rsidP="2252EF13">
      <w:pPr>
        <w:shd w:val="clear" w:color="auto" w:fill="FFFFFF" w:themeFill="background1"/>
        <w:spacing w:before="120" w:after="0"/>
        <w:ind w:left="-20" w:right="-20"/>
        <w:rPr>
          <w:rFonts w:eastAsiaTheme="minorEastAsia"/>
          <w:b/>
          <w:bCs/>
          <w:color w:val="4A3C10"/>
          <w:sz w:val="32"/>
          <w:szCs w:val="32"/>
        </w:rPr>
      </w:pPr>
    </w:p>
    <w:p w14:paraId="65368E05" w14:textId="052B79D4" w:rsidR="514A0B17" w:rsidRDefault="514A0B17" w:rsidP="514A0B17">
      <w:pPr>
        <w:shd w:val="clear" w:color="auto" w:fill="FFFFFF" w:themeFill="background1"/>
        <w:spacing w:before="120" w:after="0"/>
        <w:ind w:left="-20" w:right="-20"/>
        <w:rPr>
          <w:rFonts w:eastAsiaTheme="minorEastAsia"/>
          <w:b/>
          <w:bCs/>
          <w:color w:val="4A3C10"/>
          <w:sz w:val="32"/>
          <w:szCs w:val="32"/>
        </w:rPr>
      </w:pPr>
    </w:p>
    <w:p w14:paraId="380F98ED" w14:textId="437BD2BE" w:rsidR="4BE4315B" w:rsidRDefault="098C3138" w:rsidP="4F365955">
      <w:pPr>
        <w:shd w:val="clear" w:color="auto" w:fill="FFFFFF" w:themeFill="background1"/>
        <w:spacing w:before="120" w:after="0"/>
        <w:ind w:left="-20" w:right="-20"/>
        <w:rPr>
          <w:rFonts w:eastAsiaTheme="minorEastAsia"/>
          <w:color w:val="4A3C10"/>
          <w:sz w:val="32"/>
          <w:szCs w:val="32"/>
        </w:rPr>
      </w:pPr>
      <w:r w:rsidRPr="4F365955">
        <w:rPr>
          <w:rFonts w:eastAsiaTheme="minorEastAsia"/>
          <w:b/>
          <w:bCs/>
          <w:color w:val="4A3C10"/>
          <w:sz w:val="32"/>
          <w:szCs w:val="32"/>
        </w:rPr>
        <w:t>Conclusion</w:t>
      </w:r>
      <w:r w:rsidRPr="4F365955">
        <w:rPr>
          <w:rFonts w:eastAsiaTheme="minorEastAsia"/>
          <w:color w:val="4A3C10"/>
          <w:sz w:val="32"/>
          <w:szCs w:val="32"/>
        </w:rPr>
        <w:t xml:space="preserve"> </w:t>
      </w:r>
    </w:p>
    <w:p w14:paraId="53B1225E" w14:textId="3394D294" w:rsidR="4BE4315B" w:rsidRDefault="29142502" w:rsidP="2252EF13">
      <w:pPr>
        <w:spacing w:before="120" w:after="0"/>
        <w:rPr>
          <w:rFonts w:ascii="Calibri" w:eastAsia="Calibri" w:hAnsi="Calibri" w:cs="Calibri"/>
          <w:sz w:val="24"/>
          <w:szCs w:val="24"/>
        </w:rPr>
      </w:pPr>
      <w:r w:rsidRPr="2252EF13">
        <w:rPr>
          <w:rFonts w:ascii="Calibri" w:eastAsia="Calibri" w:hAnsi="Calibri" w:cs="Calibri"/>
          <w:sz w:val="24"/>
          <w:szCs w:val="24"/>
        </w:rPr>
        <w:t>In conclusion, J.P. Morgan Bank's strategic position is based on adaptability, innovation, and operational excellence. The bank's success and dedication make it a worldwide financial powerhouse. J.P. Morgan's strategic insight and operational expertise enable continued development and competitiveness despite obstacles (</w:t>
      </w:r>
      <w:r w:rsidRPr="2252EF13">
        <w:rPr>
          <w:rFonts w:ascii="Calibri" w:eastAsia="Calibri" w:hAnsi="Calibri" w:cs="Calibri"/>
          <w:color w:val="000000" w:themeColor="text1"/>
        </w:rPr>
        <w:t>Fernanda, A. and Putri, N.R.M. 2024)</w:t>
      </w:r>
      <w:r w:rsidRPr="2252EF13">
        <w:rPr>
          <w:rFonts w:ascii="Calibri" w:eastAsia="Calibri" w:hAnsi="Calibri" w:cs="Calibri"/>
          <w:sz w:val="24"/>
          <w:szCs w:val="24"/>
        </w:rPr>
        <w:t>. The bank's success should continue with smart efforts.</w:t>
      </w:r>
    </w:p>
    <w:p w14:paraId="0B504A44" w14:textId="13ECB9CF" w:rsidR="4BE4315B" w:rsidRDefault="29142502" w:rsidP="2252EF13">
      <w:pPr>
        <w:spacing w:before="120" w:after="0"/>
      </w:pPr>
      <w:r w:rsidRPr="2252EF13">
        <w:rPr>
          <w:rFonts w:ascii="Calibri" w:eastAsia="Calibri" w:hAnsi="Calibri" w:cs="Calibri"/>
          <w:sz w:val="24"/>
          <w:szCs w:val="24"/>
        </w:rPr>
        <w:t>Strategic Advice:</w:t>
      </w:r>
    </w:p>
    <w:p w14:paraId="3DE6AF9B" w14:textId="25B4660B" w:rsidR="4BE4315B" w:rsidRDefault="562DA223" w:rsidP="404F02A2">
      <w:pPr>
        <w:spacing w:before="120" w:after="0"/>
        <w:ind w:left="-20" w:right="-20"/>
        <w:rPr>
          <w:rFonts w:ascii="Calibri" w:eastAsia="Calibri" w:hAnsi="Calibri" w:cs="Calibri"/>
          <w:sz w:val="24"/>
          <w:szCs w:val="24"/>
        </w:rPr>
      </w:pPr>
      <w:r w:rsidRPr="404F02A2">
        <w:rPr>
          <w:rFonts w:ascii="Calibri" w:eastAsia="Calibri" w:hAnsi="Calibri" w:cs="Calibri"/>
          <w:sz w:val="24"/>
          <w:szCs w:val="24"/>
        </w:rPr>
        <w:t xml:space="preserve">According to Salimon (2019), </w:t>
      </w:r>
      <w:r w:rsidR="29142502" w:rsidRPr="2252EF13">
        <w:rPr>
          <w:rFonts w:ascii="Calibri" w:eastAsia="Calibri" w:hAnsi="Calibri" w:cs="Calibri"/>
          <w:sz w:val="24"/>
          <w:szCs w:val="24"/>
        </w:rPr>
        <w:t xml:space="preserve">J.P. Morgan Bank should increase digital capabilities, explore new markets, improve risk management, and encourage innovation to gain a competitive edge. </w:t>
      </w:r>
      <w:r w:rsidR="532046A8" w:rsidRPr="404F02A2">
        <w:rPr>
          <w:rFonts w:ascii="Calibri" w:eastAsia="Calibri" w:hAnsi="Calibri" w:cs="Calibri"/>
          <w:sz w:val="24"/>
          <w:szCs w:val="24"/>
        </w:rPr>
        <w:t xml:space="preserve">To effectively penetrate emerging markets, J.P. Morgan should establish strategic partnerships with local financial entities, adopt mobile banking technologies to appeal to a tech-savvy demographic, and invest in local talent to understand and cater to regional financial nuances. </w:t>
      </w:r>
      <w:r w:rsidR="29142502" w:rsidRPr="404F02A2">
        <w:rPr>
          <w:rFonts w:ascii="Calibri" w:eastAsia="Calibri" w:hAnsi="Calibri" w:cs="Calibri"/>
          <w:sz w:val="24"/>
          <w:szCs w:val="24"/>
        </w:rPr>
        <w:t xml:space="preserve"> </w:t>
      </w:r>
      <w:r w:rsidR="29142502" w:rsidRPr="2252EF13">
        <w:rPr>
          <w:rFonts w:ascii="Calibri" w:eastAsia="Calibri" w:hAnsi="Calibri" w:cs="Calibri"/>
          <w:sz w:val="24"/>
          <w:szCs w:val="24"/>
        </w:rPr>
        <w:t>Each suggestion includes a rationale, predicted results, and implementation techniques. This plan for future strategic initiatives helps the bank overcome problems and seize opportunities.</w:t>
      </w:r>
    </w:p>
    <w:p w14:paraId="653E0902" w14:textId="2F9E0149" w:rsidR="4BE4315B" w:rsidRDefault="29142502" w:rsidP="404F02A2">
      <w:pPr>
        <w:spacing w:before="120" w:after="0"/>
        <w:ind w:left="-20" w:right="-20"/>
        <w:rPr>
          <w:rFonts w:ascii="Calibri" w:eastAsia="Calibri" w:hAnsi="Calibri" w:cs="Calibri"/>
          <w:sz w:val="24"/>
          <w:szCs w:val="24"/>
        </w:rPr>
      </w:pPr>
      <w:r w:rsidRPr="2252EF13">
        <w:rPr>
          <w:rFonts w:ascii="Calibri" w:eastAsia="Calibri" w:hAnsi="Calibri" w:cs="Calibri"/>
          <w:sz w:val="24"/>
          <w:szCs w:val="24"/>
        </w:rPr>
        <w:t>To ensure compliance, J.P. Morgan Bank analyses environmental regulations, such as antitrust, discrimination, copyright, consumer protection, employment, health and safety, and data protection, before entering new areas. These steps will protect the bank's IP and competitive advantage while complying with laws and regulations</w:t>
      </w:r>
      <w:r w:rsidR="78F882E3" w:rsidRPr="404F02A2">
        <w:rPr>
          <w:rFonts w:ascii="Calibri" w:eastAsia="Calibri" w:hAnsi="Calibri" w:cs="Calibri"/>
          <w:sz w:val="24"/>
          <w:szCs w:val="24"/>
        </w:rPr>
        <w:t xml:space="preserve"> (Chaudhry et al. 2020)</w:t>
      </w:r>
      <w:r w:rsidRPr="404F02A2">
        <w:rPr>
          <w:rFonts w:ascii="Calibri" w:eastAsia="Calibri" w:hAnsi="Calibri" w:cs="Calibri"/>
          <w:sz w:val="24"/>
          <w:szCs w:val="24"/>
        </w:rPr>
        <w:t>.</w:t>
      </w:r>
    </w:p>
    <w:p w14:paraId="35D94167" w14:textId="7FB776DF" w:rsidR="4BE4315B" w:rsidRDefault="4BE4315B" w:rsidP="22564E28">
      <w:pPr>
        <w:shd w:val="clear" w:color="auto" w:fill="FFFFFF" w:themeFill="background1"/>
        <w:spacing w:before="120" w:after="0"/>
        <w:ind w:left="-20" w:right="-20"/>
      </w:pPr>
    </w:p>
    <w:p w14:paraId="0FF56E46" w14:textId="705958E0" w:rsidR="4BE4315B" w:rsidRDefault="4BE4315B" w:rsidP="1CDBF6BD">
      <w:pPr>
        <w:shd w:val="clear" w:color="auto" w:fill="FFFFFF" w:themeFill="background1"/>
        <w:spacing w:before="120" w:after="0"/>
        <w:ind w:left="-20" w:right="-20"/>
        <w:rPr>
          <w:rFonts w:eastAsiaTheme="minorEastAsia"/>
          <w:b/>
          <w:bCs/>
          <w:color w:val="222222"/>
          <w:sz w:val="32"/>
          <w:szCs w:val="32"/>
          <w:u w:val="single"/>
        </w:rPr>
      </w:pPr>
    </w:p>
    <w:p w14:paraId="304B8A4D" w14:textId="7EDEA940" w:rsidR="4BE4315B" w:rsidRDefault="4BE4315B" w:rsidP="1CDBF6BD">
      <w:pPr>
        <w:shd w:val="clear" w:color="auto" w:fill="FFFFFF" w:themeFill="background1"/>
        <w:spacing w:before="120" w:after="0"/>
        <w:ind w:left="-20" w:right="-20"/>
        <w:rPr>
          <w:rFonts w:eastAsiaTheme="minorEastAsia"/>
          <w:b/>
          <w:bCs/>
          <w:color w:val="222222"/>
          <w:sz w:val="32"/>
          <w:szCs w:val="32"/>
          <w:u w:val="single"/>
        </w:rPr>
      </w:pPr>
    </w:p>
    <w:p w14:paraId="6E41B8EB" w14:textId="3D1A4BF4" w:rsidR="4BE4315B" w:rsidRDefault="1ACE33D0" w:rsidP="2C96DCC6">
      <w:pPr>
        <w:shd w:val="clear" w:color="auto" w:fill="FFFFFF" w:themeFill="background1"/>
        <w:spacing w:before="120" w:after="0"/>
        <w:ind w:left="-20" w:right="-20"/>
        <w:rPr>
          <w:b/>
          <w:bCs/>
          <w:sz w:val="32"/>
          <w:szCs w:val="32"/>
        </w:rPr>
      </w:pPr>
      <w:r w:rsidRPr="2C96DCC6">
        <w:rPr>
          <w:rFonts w:eastAsiaTheme="minorEastAsia"/>
          <w:b/>
          <w:bCs/>
          <w:color w:val="222222"/>
          <w:sz w:val="32"/>
          <w:szCs w:val="32"/>
        </w:rPr>
        <w:t xml:space="preserve">                                </w:t>
      </w:r>
    </w:p>
    <w:p w14:paraId="34A0E6B0" w14:textId="13C6D028" w:rsidR="4BE4315B" w:rsidRDefault="4BE4315B" w:rsidP="2C96DCC6">
      <w:pPr>
        <w:shd w:val="clear" w:color="auto" w:fill="FFFFFF" w:themeFill="background1"/>
        <w:spacing w:before="120" w:after="0"/>
        <w:ind w:left="-20" w:right="-20"/>
        <w:rPr>
          <w:rFonts w:eastAsiaTheme="minorEastAsia"/>
          <w:b/>
          <w:bCs/>
          <w:color w:val="222222"/>
          <w:sz w:val="32"/>
          <w:szCs w:val="32"/>
        </w:rPr>
      </w:pPr>
    </w:p>
    <w:p w14:paraId="43C96C89" w14:textId="7E19AD33" w:rsidR="4BE4315B" w:rsidRDefault="4BE4315B" w:rsidP="4ABFA9F3">
      <w:pPr>
        <w:shd w:val="clear" w:color="auto" w:fill="FFFFFF" w:themeFill="background1"/>
        <w:spacing w:before="120" w:after="0"/>
        <w:ind w:left="-20" w:right="-20"/>
        <w:rPr>
          <w:rFonts w:eastAsiaTheme="minorEastAsia"/>
          <w:b/>
          <w:bCs/>
          <w:color w:val="222222"/>
          <w:sz w:val="32"/>
          <w:szCs w:val="32"/>
        </w:rPr>
      </w:pPr>
    </w:p>
    <w:p w14:paraId="2C61A091" w14:textId="56E0DC71" w:rsidR="4BE4315B" w:rsidRDefault="246F7D1D" w:rsidP="1CDBF6BD">
      <w:pPr>
        <w:shd w:val="clear" w:color="auto" w:fill="FFFFFF" w:themeFill="background1"/>
        <w:spacing w:before="120" w:after="0"/>
        <w:ind w:left="-20" w:right="-20"/>
        <w:rPr>
          <w:b/>
          <w:bCs/>
          <w:sz w:val="32"/>
          <w:szCs w:val="32"/>
        </w:rPr>
      </w:pPr>
      <w:r w:rsidRPr="514A0B17">
        <w:rPr>
          <w:rFonts w:eastAsiaTheme="minorEastAsia"/>
          <w:b/>
          <w:bCs/>
          <w:color w:val="222222"/>
          <w:sz w:val="32"/>
          <w:szCs w:val="32"/>
        </w:rPr>
        <w:t xml:space="preserve">            </w:t>
      </w:r>
      <w:r>
        <w:rPr>
          <w:noProof/>
        </w:rPr>
        <w:drawing>
          <wp:inline distT="0" distB="0" distL="0" distR="0" wp14:anchorId="4719F50A" wp14:editId="482242E2">
            <wp:extent cx="1278385" cy="274320"/>
            <wp:effectExtent l="0" t="0" r="0" b="0"/>
            <wp:docPr id="130804362"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17470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p>
    <w:p w14:paraId="5C6FB4C0" w14:textId="602BB1DA" w:rsidR="2C96DCC6" w:rsidRDefault="2C96DCC6" w:rsidP="2C96DCC6">
      <w:pPr>
        <w:shd w:val="clear" w:color="auto" w:fill="FFFFFF" w:themeFill="background1"/>
        <w:spacing w:before="120" w:after="0"/>
        <w:ind w:left="-20" w:right="-20"/>
        <w:rPr>
          <w:rFonts w:eastAsiaTheme="minorEastAsia"/>
          <w:b/>
          <w:bCs/>
          <w:color w:val="4A3C10"/>
          <w:sz w:val="32"/>
          <w:szCs w:val="32"/>
        </w:rPr>
      </w:pPr>
    </w:p>
    <w:p w14:paraId="47D507F2" w14:textId="2D385996" w:rsidR="2C96DCC6" w:rsidRDefault="2C96DCC6" w:rsidP="2C96DCC6">
      <w:pPr>
        <w:shd w:val="clear" w:color="auto" w:fill="FFFFFF" w:themeFill="background1"/>
        <w:spacing w:before="120" w:after="0"/>
        <w:ind w:left="-20" w:right="-20"/>
        <w:rPr>
          <w:rFonts w:eastAsiaTheme="minorEastAsia"/>
          <w:b/>
          <w:bCs/>
          <w:color w:val="4A3C10"/>
          <w:sz w:val="32"/>
          <w:szCs w:val="32"/>
        </w:rPr>
      </w:pPr>
    </w:p>
    <w:p w14:paraId="0318796D" w14:textId="5762DE12" w:rsidR="2C96DCC6" w:rsidRDefault="2C96DCC6" w:rsidP="2C96DCC6">
      <w:pPr>
        <w:shd w:val="clear" w:color="auto" w:fill="FFFFFF" w:themeFill="background1"/>
        <w:spacing w:before="120" w:after="0"/>
        <w:ind w:left="-20" w:right="-20"/>
        <w:rPr>
          <w:rFonts w:eastAsiaTheme="minorEastAsia"/>
          <w:b/>
          <w:bCs/>
          <w:color w:val="4A3C10"/>
          <w:sz w:val="32"/>
          <w:szCs w:val="32"/>
        </w:rPr>
      </w:pPr>
    </w:p>
    <w:p w14:paraId="0E2CB00C" w14:textId="42042CBD" w:rsidR="2252EF13" w:rsidRDefault="2252EF13" w:rsidP="2252EF13">
      <w:pPr>
        <w:shd w:val="clear" w:color="auto" w:fill="FFFFFF" w:themeFill="background1"/>
        <w:spacing w:before="120" w:after="0"/>
        <w:ind w:left="-20" w:right="-20"/>
        <w:rPr>
          <w:rFonts w:eastAsiaTheme="minorEastAsia"/>
          <w:color w:val="000000" w:themeColor="text1"/>
          <w:sz w:val="32"/>
          <w:szCs w:val="32"/>
        </w:rPr>
      </w:pPr>
    </w:p>
    <w:p w14:paraId="1F83A48E" w14:textId="49704F57" w:rsidR="514A0B17" w:rsidRDefault="514A0B17" w:rsidP="514A0B17">
      <w:pPr>
        <w:shd w:val="clear" w:color="auto" w:fill="FFFFFF" w:themeFill="background1"/>
        <w:spacing w:before="120" w:after="0"/>
        <w:ind w:left="-20" w:right="-20"/>
        <w:rPr>
          <w:rFonts w:eastAsiaTheme="minorEastAsia"/>
          <w:color w:val="000000" w:themeColor="text1"/>
          <w:sz w:val="32"/>
          <w:szCs w:val="32"/>
        </w:rPr>
      </w:pPr>
    </w:p>
    <w:p w14:paraId="151BE3F5" w14:textId="18103D30" w:rsidR="514A0B17" w:rsidRDefault="514A0B17" w:rsidP="514A0B17">
      <w:pPr>
        <w:shd w:val="clear" w:color="auto" w:fill="FFFFFF" w:themeFill="background1"/>
        <w:spacing w:before="120" w:after="0"/>
        <w:ind w:left="-20" w:right="-20"/>
        <w:rPr>
          <w:rFonts w:eastAsiaTheme="minorEastAsia"/>
          <w:color w:val="000000" w:themeColor="text1"/>
          <w:sz w:val="32"/>
          <w:szCs w:val="32"/>
        </w:rPr>
      </w:pPr>
    </w:p>
    <w:p w14:paraId="0B9D4945" w14:textId="1EB194DC" w:rsidR="4BE4315B" w:rsidRDefault="23B66B32" w:rsidP="5FDA4617">
      <w:pPr>
        <w:shd w:val="clear" w:color="auto" w:fill="FFFFFF" w:themeFill="background1"/>
        <w:spacing w:before="120" w:after="0"/>
        <w:ind w:left="-20" w:right="-20"/>
        <w:rPr>
          <w:rFonts w:eastAsiaTheme="minorEastAsia"/>
          <w:b/>
          <w:bCs/>
          <w:color w:val="4A3C10"/>
          <w:sz w:val="32"/>
          <w:szCs w:val="32"/>
        </w:rPr>
      </w:pPr>
      <w:r w:rsidRPr="5FDA4617">
        <w:rPr>
          <w:rFonts w:eastAsiaTheme="minorEastAsia"/>
          <w:color w:val="000000" w:themeColor="text1"/>
          <w:sz w:val="32"/>
          <w:szCs w:val="32"/>
        </w:rPr>
        <w:t xml:space="preserve"> </w:t>
      </w:r>
      <w:r w:rsidR="5EDAF394" w:rsidRPr="5FDA4617">
        <w:rPr>
          <w:rStyle w:val="Titlu1Caracter"/>
          <w:b/>
          <w:bCs/>
          <w:color w:val="000000" w:themeColor="text1"/>
        </w:rPr>
        <w:t>Bibliography</w:t>
      </w:r>
    </w:p>
    <w:p w14:paraId="0AF4B5DC" w14:textId="70D42E21" w:rsidR="5FDA4617" w:rsidRDefault="5FDA4617" w:rsidP="5FDA4617">
      <w:pPr>
        <w:shd w:val="clear" w:color="auto" w:fill="FFFFFF" w:themeFill="background1"/>
        <w:spacing w:before="120" w:after="0"/>
        <w:ind w:left="-20" w:right="-20"/>
        <w:rPr>
          <w:rStyle w:val="Titlu1Caracter"/>
          <w:b/>
          <w:bCs/>
          <w:color w:val="000000" w:themeColor="text1"/>
        </w:rPr>
      </w:pPr>
    </w:p>
    <w:p w14:paraId="6E6063CE" w14:textId="4AF24A88" w:rsidR="0854107C" w:rsidRDefault="0854107C" w:rsidP="505EC17B">
      <w:pPr>
        <w:rPr>
          <w:rFonts w:ascii="Calibri" w:eastAsia="Calibri" w:hAnsi="Calibri" w:cs="Calibri"/>
        </w:rPr>
      </w:pPr>
      <w:r w:rsidRPr="4ABFA9F3">
        <w:rPr>
          <w:rFonts w:ascii="Calibri" w:eastAsia="Calibri" w:hAnsi="Calibri" w:cs="Calibri"/>
        </w:rPr>
        <w:t xml:space="preserve">Anand, N. and Nguyen, L. (2024) JPMorgan CFO expects trading revenue to decline in first quarter. Reuters. Available at: </w:t>
      </w:r>
      <w:hyperlink r:id="rId15">
        <w:r w:rsidRPr="4ABFA9F3">
          <w:rPr>
            <w:rStyle w:val="Hyperlink"/>
            <w:rFonts w:ascii="Calibri" w:eastAsia="Calibri" w:hAnsi="Calibri" w:cs="Calibri"/>
            <w:color w:val="1155CC"/>
          </w:rPr>
          <w:t>https://www.reuters.com/business/finance/jpmorgan-cfo-expects-trading-revenue-decline-first-quarter-2024-02-27/</w:t>
        </w:r>
      </w:hyperlink>
      <w:r w:rsidRPr="4ABFA9F3">
        <w:rPr>
          <w:rFonts w:ascii="Calibri" w:eastAsia="Calibri" w:hAnsi="Calibri" w:cs="Calibri"/>
        </w:rPr>
        <w:t xml:space="preserve"> (Accessed: </w:t>
      </w:r>
      <w:r w:rsidR="49FF297E" w:rsidRPr="4ABFA9F3">
        <w:rPr>
          <w:rFonts w:ascii="Calibri" w:eastAsia="Calibri" w:hAnsi="Calibri" w:cs="Calibri"/>
        </w:rPr>
        <w:t>08</w:t>
      </w:r>
      <w:r w:rsidRPr="4ABFA9F3">
        <w:rPr>
          <w:rFonts w:ascii="Calibri" w:eastAsia="Calibri" w:hAnsi="Calibri" w:cs="Calibri"/>
        </w:rPr>
        <w:t xml:space="preserve"> March 2024).</w:t>
      </w:r>
    </w:p>
    <w:p w14:paraId="7B383B7F" w14:textId="2E5EF6D4" w:rsidR="0854107C" w:rsidRDefault="0854107C" w:rsidP="505EC17B">
      <w:pPr>
        <w:rPr>
          <w:rFonts w:ascii="Calibri" w:eastAsia="Calibri" w:hAnsi="Calibri" w:cs="Calibri"/>
        </w:rPr>
      </w:pPr>
      <w:r w:rsidRPr="4ABFA9F3">
        <w:rPr>
          <w:rFonts w:ascii="Calibri" w:eastAsia="Calibri" w:hAnsi="Calibri" w:cs="Calibri"/>
        </w:rPr>
        <w:t xml:space="preserve"> AstroGrowth. (n.d.) JPMorgan Chase Mission Statement. [Online] Available at: </w:t>
      </w:r>
      <w:hyperlink r:id="rId16">
        <w:r w:rsidRPr="4ABFA9F3">
          <w:rPr>
            <w:rStyle w:val="Hyperlink"/>
            <w:rFonts w:ascii="Calibri" w:eastAsia="Calibri" w:hAnsi="Calibri" w:cs="Calibri"/>
            <w:color w:val="1155CC"/>
          </w:rPr>
          <w:t>https://www.astrogrowth.com/blog/jp-morgan-chase-mission-statement/</w:t>
        </w:r>
      </w:hyperlink>
      <w:r w:rsidRPr="4ABFA9F3">
        <w:rPr>
          <w:rFonts w:ascii="Calibri" w:eastAsia="Calibri" w:hAnsi="Calibri" w:cs="Calibri"/>
        </w:rPr>
        <w:t xml:space="preserve"> (Accessed: </w:t>
      </w:r>
      <w:r w:rsidR="50B0122A" w:rsidRPr="4ABFA9F3">
        <w:rPr>
          <w:rFonts w:ascii="Calibri" w:eastAsia="Calibri" w:hAnsi="Calibri" w:cs="Calibri"/>
        </w:rPr>
        <w:t>02</w:t>
      </w:r>
      <w:r w:rsidRPr="4ABFA9F3">
        <w:rPr>
          <w:rFonts w:ascii="Calibri" w:eastAsia="Calibri" w:hAnsi="Calibri" w:cs="Calibri"/>
        </w:rPr>
        <w:t xml:space="preserve">March 2024). </w:t>
      </w:r>
    </w:p>
    <w:p w14:paraId="02AAAE78" w14:textId="7FB4A229" w:rsidR="0854107C" w:rsidRDefault="0854107C" w:rsidP="505EC17B">
      <w:pPr>
        <w:rPr>
          <w:rFonts w:ascii="Calibri" w:eastAsia="Calibri" w:hAnsi="Calibri" w:cs="Calibri"/>
        </w:rPr>
      </w:pPr>
      <w:r w:rsidRPr="4ABFA9F3">
        <w:rPr>
          <w:rFonts w:ascii="Calibri" w:eastAsia="Calibri" w:hAnsi="Calibri" w:cs="Calibri"/>
        </w:rPr>
        <w:t xml:space="preserve">Case48. (n.d.) BCG Matrix and VRIO Framework for JPMorgan Chase &amp; Co. [Online] Available at: </w:t>
      </w:r>
      <w:hyperlink r:id="rId17">
        <w:r w:rsidRPr="4ABFA9F3">
          <w:rPr>
            <w:rStyle w:val="Hyperlink"/>
            <w:rFonts w:ascii="Calibri" w:eastAsia="Calibri" w:hAnsi="Calibri" w:cs="Calibri"/>
            <w:color w:val="1155CC"/>
          </w:rPr>
          <w:t>https://www.case48.com/bcg-matrix/3260-JPMorgan-Chase-Co</w:t>
        </w:r>
      </w:hyperlink>
      <w:r w:rsidRPr="4ABFA9F3">
        <w:rPr>
          <w:rFonts w:ascii="Calibri" w:eastAsia="Calibri" w:hAnsi="Calibri" w:cs="Calibri"/>
        </w:rPr>
        <w:t xml:space="preserve"> (Accessed: </w:t>
      </w:r>
      <w:r w:rsidR="15E05A39" w:rsidRPr="4ABFA9F3">
        <w:rPr>
          <w:rFonts w:ascii="Calibri" w:eastAsia="Calibri" w:hAnsi="Calibri" w:cs="Calibri"/>
        </w:rPr>
        <w:t>03</w:t>
      </w:r>
      <w:r w:rsidRPr="4ABFA9F3">
        <w:rPr>
          <w:rFonts w:ascii="Calibri" w:eastAsia="Calibri" w:hAnsi="Calibri" w:cs="Calibri"/>
        </w:rPr>
        <w:t xml:space="preserve"> March 2024). </w:t>
      </w:r>
    </w:p>
    <w:p w14:paraId="6667A633" w14:textId="0D2B10B2" w:rsidR="0854107C" w:rsidRDefault="5FD3CD06" w:rsidP="514A0B17">
      <w:pPr>
        <w:ind w:left="-20" w:right="-20"/>
        <w:rPr>
          <w:rFonts w:ascii="Calibri" w:eastAsia="Calibri" w:hAnsi="Calibri" w:cs="Calibri"/>
        </w:rPr>
      </w:pPr>
      <w:r w:rsidRPr="514A0B17">
        <w:rPr>
          <w:rFonts w:ascii="Calibri" w:eastAsia="Calibri" w:hAnsi="Calibri" w:cs="Calibri"/>
        </w:rPr>
        <w:t xml:space="preserve">Chaudhry, A.F., Aniol, H. and Shegos, C.J. 2020. </w:t>
      </w:r>
      <w:hyperlink r:id="rId18">
        <w:r w:rsidRPr="514A0B17">
          <w:rPr>
            <w:rStyle w:val="Hyperlink"/>
            <w:rFonts w:ascii="Calibri" w:eastAsia="Calibri" w:hAnsi="Calibri" w:cs="Calibri"/>
          </w:rPr>
          <w:t>https://www.consultant360.com/article/consultant360/congenital-hypothyroidism-due-thyroid-agenesis</w:t>
        </w:r>
      </w:hyperlink>
      <w:r w:rsidRPr="514A0B17">
        <w:rPr>
          <w:rFonts w:ascii="Calibri" w:eastAsia="Calibri" w:hAnsi="Calibri" w:cs="Calibri"/>
        </w:rPr>
        <w:t xml:space="preserve">. </w:t>
      </w:r>
      <w:r w:rsidRPr="514A0B17">
        <w:rPr>
          <w:rFonts w:ascii="Calibri" w:eastAsia="Calibri" w:hAnsi="Calibri" w:cs="Calibri"/>
          <w:i/>
          <w:iCs/>
        </w:rPr>
        <w:t>Consultant</w:t>
      </w:r>
      <w:r w:rsidRPr="514A0B17">
        <w:rPr>
          <w:rFonts w:ascii="Calibri" w:eastAsia="Calibri" w:hAnsi="Calibri" w:cs="Calibri"/>
        </w:rPr>
        <w:t xml:space="preserve"> . Available at: </w:t>
      </w:r>
      <w:hyperlink r:id="rId19">
        <w:r w:rsidRPr="514A0B17">
          <w:rPr>
            <w:rStyle w:val="Hyperlink"/>
            <w:rFonts w:ascii="Calibri" w:eastAsia="Calibri" w:hAnsi="Calibri" w:cs="Calibri"/>
          </w:rPr>
          <w:t>http://dx.doi.org/10.25270/con.2020.05.00011</w:t>
        </w:r>
      </w:hyperlink>
      <w:r w:rsidRPr="514A0B17">
        <w:rPr>
          <w:rFonts w:ascii="Calibri" w:eastAsia="Calibri" w:hAnsi="Calibri" w:cs="Calibri"/>
        </w:rPr>
        <w:t xml:space="preserve"> (Accessed: 10 March 2024).</w:t>
      </w:r>
    </w:p>
    <w:p w14:paraId="4DA9B8AF" w14:textId="69467705" w:rsidR="0854107C" w:rsidRDefault="0854107C" w:rsidP="505EC17B">
      <w:pPr>
        <w:rPr>
          <w:rFonts w:ascii="Calibri" w:eastAsia="Calibri" w:hAnsi="Calibri" w:cs="Calibri"/>
        </w:rPr>
      </w:pPr>
      <w:r w:rsidRPr="2C96DCC6">
        <w:rPr>
          <w:rFonts w:ascii="Calibri" w:eastAsia="Calibri" w:hAnsi="Calibri" w:cs="Calibri"/>
        </w:rPr>
        <w:t xml:space="preserve">Christodoulou, A., &amp; Cullinane, K. (2019) Identifying the Main Opportunities and Challenges from the Implementation of a Port Energy Management System: A SWOT/PESTLE Analysis. Sustainability, 11(6046). Available at: </w:t>
      </w:r>
      <w:hyperlink r:id="rId20">
        <w:r w:rsidRPr="2C96DCC6">
          <w:rPr>
            <w:rStyle w:val="Hyperlink"/>
            <w:rFonts w:ascii="Calibri" w:eastAsia="Calibri" w:hAnsi="Calibri" w:cs="Calibri"/>
            <w:color w:val="1155CC"/>
          </w:rPr>
          <w:t>https://cdn.fbsbx.com/v/t59.2708-21/104856737_499262074159549_8329496597118830886_n.pdf/sustainability-11-06046.pdf</w:t>
        </w:r>
      </w:hyperlink>
      <w:r w:rsidRPr="2C96DCC6">
        <w:rPr>
          <w:rFonts w:ascii="Calibri" w:eastAsia="Calibri" w:hAnsi="Calibri" w:cs="Calibri"/>
        </w:rPr>
        <w:t xml:space="preserve"> (Accessed: 10 March 2024). </w:t>
      </w:r>
    </w:p>
    <w:p w14:paraId="1367C37E" w14:textId="69061F75" w:rsidR="0854107C" w:rsidRDefault="6D821CF4" w:rsidP="514A0B17">
      <w:pPr>
        <w:ind w:left="-20" w:right="-20"/>
        <w:rPr>
          <w:rFonts w:ascii="Calibri" w:eastAsia="Calibri" w:hAnsi="Calibri" w:cs="Calibri"/>
        </w:rPr>
      </w:pPr>
      <w:r w:rsidRPr="514A0B17">
        <w:rPr>
          <w:rFonts w:ascii="Calibri" w:eastAsia="Calibri" w:hAnsi="Calibri" w:cs="Calibri"/>
        </w:rPr>
        <w:t xml:space="preserve">Day, G.S. 1994. The Capabilities of Market-Driven Organizations. </w:t>
      </w:r>
      <w:r w:rsidRPr="514A0B17">
        <w:rPr>
          <w:rFonts w:ascii="Calibri" w:eastAsia="Calibri" w:hAnsi="Calibri" w:cs="Calibri"/>
          <w:i/>
          <w:iCs/>
        </w:rPr>
        <w:t>Journal of Marketing</w:t>
      </w:r>
      <w:r w:rsidRPr="514A0B17">
        <w:rPr>
          <w:rFonts w:ascii="Calibri" w:eastAsia="Calibri" w:hAnsi="Calibri" w:cs="Calibri"/>
        </w:rPr>
        <w:t xml:space="preserve"> 58(4), pp. 37–52. Available at: </w:t>
      </w:r>
      <w:hyperlink r:id="rId21">
        <w:r w:rsidRPr="514A0B17">
          <w:rPr>
            <w:rStyle w:val="Hyperlink"/>
            <w:rFonts w:ascii="Calibri" w:eastAsia="Calibri" w:hAnsi="Calibri" w:cs="Calibri"/>
          </w:rPr>
          <w:t>http://dx.doi.org/10.1177/002224299405800404</w:t>
        </w:r>
      </w:hyperlink>
      <w:r w:rsidRPr="514A0B17">
        <w:rPr>
          <w:rFonts w:ascii="Calibri" w:eastAsia="Calibri" w:hAnsi="Calibri" w:cs="Calibri"/>
        </w:rPr>
        <w:t xml:space="preserve"> (Accessed: 25 February 2024).</w:t>
      </w:r>
    </w:p>
    <w:p w14:paraId="712F0AC8" w14:textId="756B7DE8" w:rsidR="0854107C" w:rsidRDefault="0854107C" w:rsidP="505EC17B">
      <w:pPr>
        <w:rPr>
          <w:rFonts w:ascii="Calibri" w:eastAsia="Calibri" w:hAnsi="Calibri" w:cs="Calibri"/>
        </w:rPr>
      </w:pPr>
      <w:r w:rsidRPr="4ABFA9F3">
        <w:rPr>
          <w:rFonts w:ascii="Calibri" w:eastAsia="Calibri" w:hAnsi="Calibri" w:cs="Calibri"/>
        </w:rPr>
        <w:t xml:space="preserve">DCF. (n.d.) JPMorgan Chase Mission and Vision. [Online] Available at: </w:t>
      </w:r>
      <w:hyperlink r:id="rId22">
        <w:r w:rsidRPr="4ABFA9F3">
          <w:rPr>
            <w:rStyle w:val="Hyperlink"/>
            <w:rFonts w:ascii="Calibri" w:eastAsia="Calibri" w:hAnsi="Calibri" w:cs="Calibri"/>
            <w:color w:val="1155CC"/>
          </w:rPr>
          <w:t>https://dcf.fm/blogs/blog/jpm-mission-vision</w:t>
        </w:r>
      </w:hyperlink>
      <w:r w:rsidRPr="4ABFA9F3">
        <w:rPr>
          <w:rFonts w:ascii="Calibri" w:eastAsia="Calibri" w:hAnsi="Calibri" w:cs="Calibri"/>
        </w:rPr>
        <w:t xml:space="preserve"> (Accessed: </w:t>
      </w:r>
      <w:r w:rsidR="2BCD9BC3" w:rsidRPr="4ABFA9F3">
        <w:rPr>
          <w:rFonts w:ascii="Calibri" w:eastAsia="Calibri" w:hAnsi="Calibri" w:cs="Calibri"/>
        </w:rPr>
        <w:t>25 February</w:t>
      </w:r>
      <w:r w:rsidRPr="4ABFA9F3">
        <w:rPr>
          <w:rFonts w:ascii="Calibri" w:eastAsia="Calibri" w:hAnsi="Calibri" w:cs="Calibri"/>
        </w:rPr>
        <w:t xml:space="preserve"> 2024).</w:t>
      </w:r>
    </w:p>
    <w:p w14:paraId="2DC83851" w14:textId="086613C4" w:rsidR="0854107C" w:rsidRDefault="0854107C" w:rsidP="2C96DCC6">
      <w:pPr>
        <w:rPr>
          <w:rFonts w:ascii="Calibri" w:eastAsia="Calibri" w:hAnsi="Calibri" w:cs="Calibri"/>
        </w:rPr>
      </w:pPr>
      <w:r w:rsidRPr="4ABFA9F3">
        <w:rPr>
          <w:rFonts w:ascii="Calibri" w:eastAsia="Calibri" w:hAnsi="Calibri" w:cs="Calibri"/>
        </w:rPr>
        <w:t xml:space="preserve">Donnellan, J. and Rutledge, W.L. 2019. A case for resource‐based view and competitive advantage in banking. Managerial and Decision Economics 40(6), pp. 728–737. Available at: </w:t>
      </w:r>
      <w:hyperlink r:id="rId23">
        <w:r w:rsidRPr="4ABFA9F3">
          <w:rPr>
            <w:rStyle w:val="Hyperlink"/>
            <w:rFonts w:ascii="Calibri" w:eastAsia="Calibri" w:hAnsi="Calibri" w:cs="Calibri"/>
            <w:color w:val="1155CC"/>
          </w:rPr>
          <w:t>http://dx.doi.org/10.1002/mde.3041</w:t>
        </w:r>
      </w:hyperlink>
      <w:r w:rsidR="760048A1" w:rsidRPr="4ABFA9F3">
        <w:rPr>
          <w:rFonts w:ascii="Calibri" w:eastAsia="Calibri" w:hAnsi="Calibri" w:cs="Calibri"/>
          <w:color w:val="1155CC"/>
        </w:rPr>
        <w:t xml:space="preserve"> </w:t>
      </w:r>
      <w:r w:rsidR="760048A1" w:rsidRPr="4ABFA9F3">
        <w:rPr>
          <w:rFonts w:ascii="Calibri" w:eastAsia="Calibri" w:hAnsi="Calibri" w:cs="Calibri"/>
        </w:rPr>
        <w:t xml:space="preserve">(Accessed: </w:t>
      </w:r>
      <w:r w:rsidR="098EC9B1" w:rsidRPr="4ABFA9F3">
        <w:rPr>
          <w:rFonts w:ascii="Calibri" w:eastAsia="Calibri" w:hAnsi="Calibri" w:cs="Calibri"/>
        </w:rPr>
        <w:t xml:space="preserve">25 February </w:t>
      </w:r>
      <w:r w:rsidR="760048A1" w:rsidRPr="4ABFA9F3">
        <w:rPr>
          <w:rFonts w:ascii="Calibri" w:eastAsia="Calibri" w:hAnsi="Calibri" w:cs="Calibri"/>
        </w:rPr>
        <w:t>2024).</w:t>
      </w:r>
    </w:p>
    <w:p w14:paraId="5A8D1163" w14:textId="77CDDB89" w:rsidR="0854107C" w:rsidRDefault="760048A1" w:rsidP="2C96DCC6">
      <w:pPr>
        <w:ind w:left="-20" w:right="-20"/>
        <w:rPr>
          <w:rFonts w:ascii="Calibri" w:eastAsia="Calibri" w:hAnsi="Calibri" w:cs="Calibri"/>
        </w:rPr>
      </w:pPr>
      <w:r w:rsidRPr="2C96DCC6">
        <w:rPr>
          <w:rFonts w:ascii="Calibri" w:eastAsia="Calibri" w:hAnsi="Calibri" w:cs="Calibri"/>
        </w:rPr>
        <w:t xml:space="preserve">Economic &amp; Market Update| J.P. Morgan Asset Management. [no date]. Available at: </w:t>
      </w:r>
      <w:hyperlink r:id="rId24">
        <w:r w:rsidRPr="2C96DCC6">
          <w:rPr>
            <w:rStyle w:val="Hyperlink"/>
            <w:rFonts w:ascii="Calibri" w:eastAsia="Calibri" w:hAnsi="Calibri" w:cs="Calibri"/>
          </w:rPr>
          <w:t>https://am.jpmorgan.com/us/en/asset-management/adv/insights/market-insights/guide-to-the-markets/economic-and-market-update/</w:t>
        </w:r>
      </w:hyperlink>
      <w:r w:rsidRPr="2C96DCC6">
        <w:rPr>
          <w:rFonts w:ascii="Calibri" w:eastAsia="Calibri" w:hAnsi="Calibri" w:cs="Calibri"/>
        </w:rPr>
        <w:t xml:space="preserve"> (Accessed: 10 March 2024).</w:t>
      </w:r>
    </w:p>
    <w:p w14:paraId="3ED82A3D" w14:textId="62C5BF20" w:rsidR="0854107C" w:rsidRDefault="0854107C" w:rsidP="2C96DCC6">
      <w:pPr>
        <w:rPr>
          <w:rFonts w:ascii="Calibri" w:eastAsia="Calibri" w:hAnsi="Calibri" w:cs="Calibri"/>
        </w:rPr>
      </w:pPr>
      <w:r w:rsidRPr="4ABFA9F3">
        <w:rPr>
          <w:rFonts w:ascii="Calibri" w:eastAsia="Calibri" w:hAnsi="Calibri" w:cs="Calibri"/>
        </w:rPr>
        <w:t xml:space="preserve">EMBA Pro. (2024) JPMorgan BCG Matrix / Growth Share Matrix Analysis. [Online] Available at: </w:t>
      </w:r>
      <w:hyperlink r:id="rId25">
        <w:r w:rsidRPr="4ABFA9F3">
          <w:rPr>
            <w:rStyle w:val="Hyperlink"/>
            <w:rFonts w:ascii="Calibri" w:eastAsia="Calibri" w:hAnsi="Calibri" w:cs="Calibri"/>
            <w:color w:val="1155CC"/>
          </w:rPr>
          <w:t>https://embapro.com/frontpage/bcgcoanalysis/7678-jpmorgan</w:t>
        </w:r>
      </w:hyperlink>
      <w:r w:rsidRPr="4ABFA9F3">
        <w:rPr>
          <w:rFonts w:ascii="Calibri" w:eastAsia="Calibri" w:hAnsi="Calibri" w:cs="Calibri"/>
        </w:rPr>
        <w:t xml:space="preserve"> (Accessed: </w:t>
      </w:r>
      <w:r w:rsidR="14B3297C" w:rsidRPr="4ABFA9F3">
        <w:rPr>
          <w:rFonts w:ascii="Calibri" w:eastAsia="Calibri" w:hAnsi="Calibri" w:cs="Calibri"/>
        </w:rPr>
        <w:t>04</w:t>
      </w:r>
      <w:r w:rsidRPr="4ABFA9F3">
        <w:rPr>
          <w:rFonts w:ascii="Calibri" w:eastAsia="Calibri" w:hAnsi="Calibri" w:cs="Calibri"/>
        </w:rPr>
        <w:t xml:space="preserve"> March 2024).</w:t>
      </w:r>
    </w:p>
    <w:p w14:paraId="1F71F2A8" w14:textId="7BE883C5" w:rsidR="0854107C" w:rsidRDefault="39AE5F88" w:rsidP="514A0B17">
      <w:pPr>
        <w:ind w:left="-20" w:right="-20"/>
        <w:rPr>
          <w:rFonts w:ascii="Calibri" w:eastAsia="Calibri" w:hAnsi="Calibri" w:cs="Calibri"/>
        </w:rPr>
      </w:pPr>
      <w:r w:rsidRPr="514A0B17">
        <w:rPr>
          <w:rFonts w:ascii="Calibri" w:eastAsia="Calibri" w:hAnsi="Calibri" w:cs="Calibri"/>
        </w:rPr>
        <w:t xml:space="preserve">Found, P., Lahy, A., Williams, S., Hu, Q. and Mason, R. 2018. Towards a theory of operational excellence. </w:t>
      </w:r>
      <w:r w:rsidRPr="514A0B17">
        <w:rPr>
          <w:rFonts w:ascii="Calibri" w:eastAsia="Calibri" w:hAnsi="Calibri" w:cs="Calibri"/>
          <w:i/>
          <w:iCs/>
        </w:rPr>
        <w:t>Total Quality Management &amp; Business Excellence</w:t>
      </w:r>
      <w:r w:rsidRPr="514A0B17">
        <w:rPr>
          <w:rFonts w:ascii="Calibri" w:eastAsia="Calibri" w:hAnsi="Calibri" w:cs="Calibri"/>
        </w:rPr>
        <w:t xml:space="preserve"> 29(9–10), pp. 1012–1024. Available at: </w:t>
      </w:r>
      <w:hyperlink r:id="rId26">
        <w:r w:rsidRPr="514A0B17">
          <w:rPr>
            <w:rStyle w:val="Hyperlink"/>
            <w:rFonts w:ascii="Calibri" w:eastAsia="Calibri" w:hAnsi="Calibri" w:cs="Calibri"/>
          </w:rPr>
          <w:t>http://dx.doi.org/10.1080/14783363.2018.1486544</w:t>
        </w:r>
      </w:hyperlink>
      <w:r w:rsidRPr="514A0B17">
        <w:rPr>
          <w:rFonts w:ascii="Calibri" w:eastAsia="Calibri" w:hAnsi="Calibri" w:cs="Calibri"/>
        </w:rPr>
        <w:t xml:space="preserve"> (Accessed: 05 March 2024).</w:t>
      </w:r>
    </w:p>
    <w:p w14:paraId="42F7B5BF" w14:textId="5809A670" w:rsidR="0854107C" w:rsidRDefault="0854107C" w:rsidP="4ABFA9F3">
      <w:pPr>
        <w:rPr>
          <w:rFonts w:ascii="Calibri" w:eastAsia="Calibri" w:hAnsi="Calibri" w:cs="Calibri"/>
        </w:rPr>
      </w:pPr>
      <w:r w:rsidRPr="4ABFA9F3">
        <w:rPr>
          <w:rFonts w:ascii="Calibri" w:eastAsia="Calibri" w:hAnsi="Calibri" w:cs="Calibri"/>
        </w:rPr>
        <w:t xml:space="preserve">Fernanda, A. and Putri, N.R.M. 2024. Optimizing Investment Strategies: A Case Study on JPMorgan Chase &amp; Co. Stock Options Using the Black-Scholes Model and What-If Analysis in Excel. International </w:t>
      </w:r>
      <w:r w:rsidRPr="4ABFA9F3">
        <w:rPr>
          <w:rFonts w:ascii="Calibri" w:eastAsia="Calibri" w:hAnsi="Calibri" w:cs="Calibri"/>
        </w:rPr>
        <w:lastRenderedPageBreak/>
        <w:t xml:space="preserve">Journal of Mathematics, Statistics, and Computing 2(1), pp. 25–31. Available at: </w:t>
      </w:r>
      <w:hyperlink r:id="rId27">
        <w:r w:rsidRPr="4ABFA9F3">
          <w:rPr>
            <w:rStyle w:val="Hyperlink"/>
            <w:rFonts w:ascii="Calibri" w:eastAsia="Calibri" w:hAnsi="Calibri" w:cs="Calibri"/>
            <w:color w:val="1155CC"/>
          </w:rPr>
          <w:t>http://dx.doi.org/10.46336/ijmsc.v2i1.63</w:t>
        </w:r>
      </w:hyperlink>
      <w:r w:rsidR="0797523E" w:rsidRPr="4ABFA9F3">
        <w:rPr>
          <w:rFonts w:ascii="Calibri" w:eastAsia="Calibri" w:hAnsi="Calibri" w:cs="Calibri"/>
        </w:rPr>
        <w:t xml:space="preserve"> (Accessed: 05 March 2024).</w:t>
      </w:r>
    </w:p>
    <w:p w14:paraId="499E68B7" w14:textId="2F15C280" w:rsidR="0854107C" w:rsidRDefault="0854107C" w:rsidP="4ABFA9F3">
      <w:pPr>
        <w:rPr>
          <w:rFonts w:ascii="Calibri" w:eastAsia="Calibri" w:hAnsi="Calibri" w:cs="Calibri"/>
          <w:color w:val="1155CC"/>
        </w:rPr>
      </w:pPr>
    </w:p>
    <w:p w14:paraId="31957D86" w14:textId="5DC608F7" w:rsidR="0854107C" w:rsidRDefault="0854107C" w:rsidP="505EC17B">
      <w:pPr>
        <w:rPr>
          <w:rFonts w:ascii="Calibri" w:eastAsia="Calibri" w:hAnsi="Calibri" w:cs="Calibri"/>
        </w:rPr>
      </w:pPr>
      <w:r w:rsidRPr="4ABFA9F3">
        <w:rPr>
          <w:rFonts w:ascii="Calibri" w:eastAsia="Calibri" w:hAnsi="Calibri" w:cs="Calibri"/>
        </w:rPr>
        <w:t xml:space="preserve">Graetzel, K. (Year) Decoding JPMorgan Chase’s Marketing Strategy: Lessons for the Financial Industry. Medium. Available at: </w:t>
      </w:r>
      <w:hyperlink r:id="rId28">
        <w:r w:rsidRPr="4ABFA9F3">
          <w:rPr>
            <w:rStyle w:val="Hyperlink"/>
            <w:rFonts w:ascii="Calibri" w:eastAsia="Calibri" w:hAnsi="Calibri" w:cs="Calibri"/>
            <w:color w:val="1155CC"/>
          </w:rPr>
          <w:t>https://graetzelkaiser.medium.com/decoding-jpmorgan-chases-marketing-strategy-lessons-for-the-financial-industry-73f5b958088</w:t>
        </w:r>
      </w:hyperlink>
      <w:r w:rsidRPr="4ABFA9F3">
        <w:rPr>
          <w:rFonts w:ascii="Calibri" w:eastAsia="Calibri" w:hAnsi="Calibri" w:cs="Calibri"/>
        </w:rPr>
        <w:t xml:space="preserve"> (Accessed: </w:t>
      </w:r>
      <w:r w:rsidR="5DE2B864" w:rsidRPr="4ABFA9F3">
        <w:rPr>
          <w:rFonts w:ascii="Calibri" w:eastAsia="Calibri" w:hAnsi="Calibri" w:cs="Calibri"/>
        </w:rPr>
        <w:t>05</w:t>
      </w:r>
      <w:r w:rsidRPr="4ABFA9F3">
        <w:rPr>
          <w:rFonts w:ascii="Calibri" w:eastAsia="Calibri" w:hAnsi="Calibri" w:cs="Calibri"/>
        </w:rPr>
        <w:t xml:space="preserve"> March 2024). </w:t>
      </w:r>
    </w:p>
    <w:p w14:paraId="678DB803" w14:textId="11743EC4" w:rsidR="0854107C" w:rsidRDefault="619D3560" w:rsidP="514A0B17">
      <w:pPr>
        <w:ind w:left="-20" w:right="-20"/>
        <w:rPr>
          <w:rFonts w:ascii="Calibri" w:eastAsia="Calibri" w:hAnsi="Calibri" w:cs="Calibri"/>
        </w:rPr>
      </w:pPr>
      <w:r w:rsidRPr="514A0B17">
        <w:rPr>
          <w:rFonts w:ascii="Calibri" w:eastAsia="Calibri" w:hAnsi="Calibri" w:cs="Calibri"/>
        </w:rPr>
        <w:t xml:space="preserve">Hendery, R. 2016. </w:t>
      </w:r>
      <w:hyperlink r:id="rId29">
        <w:r w:rsidRPr="514A0B17">
          <w:rPr>
            <w:rStyle w:val="Hyperlink"/>
            <w:rFonts w:ascii="Calibri" w:eastAsia="Calibri" w:hAnsi="Calibri" w:cs="Calibri"/>
          </w:rPr>
          <w:t>https://islandstudiesjournal.org/files/ISJ-11-2-MS353-Lane.pdf</w:t>
        </w:r>
      </w:hyperlink>
      <w:r w:rsidRPr="514A0B17">
        <w:rPr>
          <w:rFonts w:ascii="Calibri" w:eastAsia="Calibri" w:hAnsi="Calibri" w:cs="Calibri"/>
        </w:rPr>
        <w:t xml:space="preserve">. </w:t>
      </w:r>
      <w:r w:rsidRPr="514A0B17">
        <w:rPr>
          <w:rFonts w:ascii="Calibri" w:eastAsia="Calibri" w:hAnsi="Calibri" w:cs="Calibri"/>
          <w:i/>
          <w:iCs/>
        </w:rPr>
        <w:t>Island Studies Journal</w:t>
      </w:r>
      <w:r w:rsidRPr="514A0B17">
        <w:rPr>
          <w:rFonts w:ascii="Calibri" w:eastAsia="Calibri" w:hAnsi="Calibri" w:cs="Calibri"/>
        </w:rPr>
        <w:t xml:space="preserve"> 11(2), pp. 359–368. Available at: </w:t>
      </w:r>
      <w:hyperlink r:id="rId30">
        <w:r w:rsidRPr="514A0B17">
          <w:rPr>
            <w:rStyle w:val="Hyperlink"/>
            <w:rFonts w:ascii="Calibri" w:eastAsia="Calibri" w:hAnsi="Calibri" w:cs="Calibri"/>
          </w:rPr>
          <w:t>http://dx.doi.org/10.24043/isj.354</w:t>
        </w:r>
      </w:hyperlink>
      <w:r w:rsidRPr="514A0B17">
        <w:rPr>
          <w:rFonts w:ascii="Calibri" w:eastAsia="Calibri" w:hAnsi="Calibri" w:cs="Calibri"/>
        </w:rPr>
        <w:t xml:space="preserve"> Accessed: 24 February 2024).</w:t>
      </w:r>
    </w:p>
    <w:p w14:paraId="521BC117" w14:textId="77C77A7B" w:rsidR="0854107C" w:rsidRDefault="0854107C" w:rsidP="2C96DCC6">
      <w:pPr>
        <w:rPr>
          <w:rFonts w:ascii="Calibri" w:eastAsia="Calibri" w:hAnsi="Calibri" w:cs="Calibri"/>
        </w:rPr>
      </w:pPr>
      <w:r w:rsidRPr="4ABFA9F3">
        <w:rPr>
          <w:rFonts w:ascii="Calibri" w:eastAsia="Calibri" w:hAnsi="Calibri" w:cs="Calibri"/>
        </w:rPr>
        <w:t xml:space="preserve">Hivelr. (2023) JP Morgan (JPM): Porter’s Five Forces Industry and Competition Analysis. [Online] Available at: </w:t>
      </w:r>
      <w:hyperlink r:id="rId31">
        <w:r w:rsidRPr="4ABFA9F3">
          <w:rPr>
            <w:rStyle w:val="Hyperlink"/>
            <w:rFonts w:ascii="Calibri" w:eastAsia="Calibri" w:hAnsi="Calibri" w:cs="Calibri"/>
            <w:color w:val="1155CC"/>
          </w:rPr>
          <w:t>https://www.hivelr.com/2023/06/jp-morgan-jpm-porters-five-forces-industry-and-competition-analysis/</w:t>
        </w:r>
      </w:hyperlink>
      <w:r w:rsidRPr="4ABFA9F3">
        <w:rPr>
          <w:rFonts w:ascii="Calibri" w:eastAsia="Calibri" w:hAnsi="Calibri" w:cs="Calibri"/>
        </w:rPr>
        <w:t xml:space="preserve"> (Accessed: </w:t>
      </w:r>
      <w:r w:rsidR="466BB8A4" w:rsidRPr="4ABFA9F3">
        <w:rPr>
          <w:rFonts w:ascii="Calibri" w:eastAsia="Calibri" w:hAnsi="Calibri" w:cs="Calibri"/>
        </w:rPr>
        <w:t>24 February</w:t>
      </w:r>
      <w:r w:rsidRPr="4ABFA9F3">
        <w:rPr>
          <w:rFonts w:ascii="Calibri" w:eastAsia="Calibri" w:hAnsi="Calibri" w:cs="Calibri"/>
        </w:rPr>
        <w:t xml:space="preserve"> 2024).</w:t>
      </w:r>
    </w:p>
    <w:p w14:paraId="0874244C" w14:textId="62B2F0C6" w:rsidR="0854107C" w:rsidRDefault="0854107C" w:rsidP="2C96DCC6">
      <w:pPr>
        <w:rPr>
          <w:rFonts w:ascii="Calibri" w:eastAsia="Calibri" w:hAnsi="Calibri" w:cs="Calibri"/>
        </w:rPr>
      </w:pPr>
      <w:r w:rsidRPr="4ABFA9F3">
        <w:rPr>
          <w:rFonts w:ascii="Calibri" w:eastAsia="Calibri" w:hAnsi="Calibri" w:cs="Calibri"/>
        </w:rPr>
        <w:t xml:space="preserve">HowAndWhat.net. (n.d.) SWOT analysis of JPMorgan Chase. [Online] Available at: </w:t>
      </w:r>
      <w:hyperlink r:id="rId32">
        <w:r w:rsidRPr="4ABFA9F3">
          <w:rPr>
            <w:rStyle w:val="Hyperlink"/>
            <w:rFonts w:ascii="Calibri" w:eastAsia="Calibri" w:hAnsi="Calibri" w:cs="Calibri"/>
            <w:color w:val="1155CC"/>
          </w:rPr>
          <w:t>https://www.howandwhat.net/swot-analysis-jpmorgan-chase/</w:t>
        </w:r>
      </w:hyperlink>
      <w:r w:rsidRPr="4ABFA9F3">
        <w:rPr>
          <w:rFonts w:ascii="Calibri" w:eastAsia="Calibri" w:hAnsi="Calibri" w:cs="Calibri"/>
        </w:rPr>
        <w:t xml:space="preserve"> (Accessed: </w:t>
      </w:r>
      <w:r w:rsidR="5E35A08E" w:rsidRPr="4ABFA9F3">
        <w:rPr>
          <w:rFonts w:ascii="Calibri" w:eastAsia="Calibri" w:hAnsi="Calibri" w:cs="Calibri"/>
        </w:rPr>
        <w:t xml:space="preserve">27 February </w:t>
      </w:r>
      <w:r w:rsidRPr="4ABFA9F3">
        <w:rPr>
          <w:rFonts w:ascii="Calibri" w:eastAsia="Calibri" w:hAnsi="Calibri" w:cs="Calibri"/>
        </w:rPr>
        <w:t xml:space="preserve">2024). </w:t>
      </w:r>
    </w:p>
    <w:p w14:paraId="3962FF85" w14:textId="49BAD05E" w:rsidR="0854107C" w:rsidRDefault="0854107C" w:rsidP="2C96DCC6">
      <w:pPr>
        <w:rPr>
          <w:rFonts w:ascii="Calibri" w:eastAsia="Calibri" w:hAnsi="Calibri" w:cs="Calibri"/>
        </w:rPr>
      </w:pPr>
      <w:r w:rsidRPr="2C96DCC6">
        <w:rPr>
          <w:rFonts w:ascii="Calibri" w:eastAsia="Calibri" w:hAnsi="Calibri" w:cs="Calibri"/>
        </w:rPr>
        <w:t xml:space="preserve">Insider Intelligence. (n.d.) JPMorgan’s Growth Strategy in 2021 Encompassed Fintechs, Digital-Only Consumer Banking, and, Yes, Even Crypto. [Online] Available at: </w:t>
      </w:r>
      <w:hyperlink r:id="rId33">
        <w:r w:rsidRPr="2C96DCC6">
          <w:rPr>
            <w:rStyle w:val="Hyperlink"/>
            <w:rFonts w:ascii="Calibri" w:eastAsia="Calibri" w:hAnsi="Calibri" w:cs="Calibri"/>
            <w:color w:val="1155CC"/>
          </w:rPr>
          <w:t>https://www.insiderintelligence.com/content/jpmorgan-s-growth-strategy-2021-encompassed-fintechs-digital-only-consumer-banking-and-yes-even-crypto</w:t>
        </w:r>
      </w:hyperlink>
      <w:r w:rsidRPr="2C96DCC6">
        <w:rPr>
          <w:rFonts w:ascii="Calibri" w:eastAsia="Calibri" w:hAnsi="Calibri" w:cs="Calibri"/>
        </w:rPr>
        <w:t xml:space="preserve"> (Accessed: 10 March 2024).</w:t>
      </w:r>
    </w:p>
    <w:p w14:paraId="3F205B64" w14:textId="30913633" w:rsidR="0854107C" w:rsidRDefault="0854107C" w:rsidP="2C96DCC6">
      <w:pPr>
        <w:rPr>
          <w:rFonts w:ascii="Calibri" w:eastAsia="Calibri" w:hAnsi="Calibri" w:cs="Calibri"/>
        </w:rPr>
      </w:pPr>
      <w:r w:rsidRPr="4ABFA9F3">
        <w:rPr>
          <w:rFonts w:ascii="Calibri" w:eastAsia="Calibri" w:hAnsi="Calibri" w:cs="Calibri"/>
        </w:rPr>
        <w:t xml:space="preserve"> J.P. Morgan. (n.d.) COVID-19 and ESG Investing. [Online] Available at: </w:t>
      </w:r>
      <w:hyperlink r:id="rId34">
        <w:r w:rsidRPr="4ABFA9F3">
          <w:rPr>
            <w:rStyle w:val="Hyperlink"/>
            <w:rFonts w:ascii="Calibri" w:eastAsia="Calibri" w:hAnsi="Calibri" w:cs="Calibri"/>
            <w:color w:val="1155CC"/>
          </w:rPr>
          <w:t>https://www.jpmorgan.com/insights/global-research/esg/covid-19-esg-investing</w:t>
        </w:r>
      </w:hyperlink>
      <w:r w:rsidRPr="4ABFA9F3">
        <w:rPr>
          <w:rFonts w:ascii="Calibri" w:eastAsia="Calibri" w:hAnsi="Calibri" w:cs="Calibri"/>
        </w:rPr>
        <w:t xml:space="preserve"> (Accessed:</w:t>
      </w:r>
      <w:r w:rsidR="3E33309C" w:rsidRPr="4ABFA9F3">
        <w:rPr>
          <w:rFonts w:ascii="Calibri" w:eastAsia="Calibri" w:hAnsi="Calibri" w:cs="Calibri"/>
        </w:rPr>
        <w:t xml:space="preserve"> 22 February</w:t>
      </w:r>
      <w:r w:rsidRPr="4ABFA9F3">
        <w:rPr>
          <w:rFonts w:ascii="Calibri" w:eastAsia="Calibri" w:hAnsi="Calibri" w:cs="Calibri"/>
        </w:rPr>
        <w:t xml:space="preserve"> 2024). </w:t>
      </w:r>
    </w:p>
    <w:p w14:paraId="71544B2F" w14:textId="0C1CEA2F" w:rsidR="0854107C" w:rsidRDefault="0854107C" w:rsidP="2C96DCC6">
      <w:pPr>
        <w:rPr>
          <w:rFonts w:ascii="Calibri" w:eastAsia="Calibri" w:hAnsi="Calibri" w:cs="Calibri"/>
        </w:rPr>
      </w:pPr>
      <w:r w:rsidRPr="4ABFA9F3">
        <w:rPr>
          <w:rFonts w:ascii="Calibri" w:eastAsia="Calibri" w:hAnsi="Calibri" w:cs="Calibri"/>
        </w:rPr>
        <w:t xml:space="preserve">J.P. Morgan. (n.d.) Risks of Certain Investments for Private Bank and J.P. Morgan Securities. [Online] Available at: </w:t>
      </w:r>
      <w:hyperlink r:id="rId35">
        <w:r w:rsidRPr="4ABFA9F3">
          <w:rPr>
            <w:rStyle w:val="Hyperlink"/>
            <w:rFonts w:ascii="Calibri" w:eastAsia="Calibri" w:hAnsi="Calibri" w:cs="Calibri"/>
            <w:color w:val="1155CC"/>
          </w:rPr>
          <w:t>https://www.jpmorgan.com/disclosures/jpm-pb-risks-for-investments</w:t>
        </w:r>
      </w:hyperlink>
      <w:r w:rsidRPr="4ABFA9F3">
        <w:rPr>
          <w:rFonts w:ascii="Calibri" w:eastAsia="Calibri" w:hAnsi="Calibri" w:cs="Calibri"/>
        </w:rPr>
        <w:t xml:space="preserve"> (Accessed: </w:t>
      </w:r>
      <w:r w:rsidR="2480DE29" w:rsidRPr="4ABFA9F3">
        <w:rPr>
          <w:rFonts w:ascii="Calibri" w:eastAsia="Calibri" w:hAnsi="Calibri" w:cs="Calibri"/>
        </w:rPr>
        <w:t>03</w:t>
      </w:r>
      <w:r w:rsidRPr="4ABFA9F3">
        <w:rPr>
          <w:rFonts w:ascii="Calibri" w:eastAsia="Calibri" w:hAnsi="Calibri" w:cs="Calibri"/>
        </w:rPr>
        <w:t xml:space="preserve"> March 2024). </w:t>
      </w:r>
    </w:p>
    <w:p w14:paraId="2311F810" w14:textId="3AC556B8" w:rsidR="0854107C" w:rsidRDefault="0854107C" w:rsidP="2C96DCC6">
      <w:pPr>
        <w:rPr>
          <w:rFonts w:ascii="Calibri" w:eastAsia="Calibri" w:hAnsi="Calibri" w:cs="Calibri"/>
        </w:rPr>
      </w:pPr>
      <w:r w:rsidRPr="4ABFA9F3">
        <w:rPr>
          <w:rFonts w:ascii="Calibri" w:eastAsia="Calibri" w:hAnsi="Calibri" w:cs="Calibri"/>
        </w:rPr>
        <w:t xml:space="preserve">J.P. Morgan Asset Management (n.d.) Investment Outlook 2024: Too early for a victory lap. [Online] Available at: </w:t>
      </w:r>
      <w:hyperlink r:id="rId36">
        <w:r w:rsidRPr="4ABFA9F3">
          <w:rPr>
            <w:rStyle w:val="Hyperlink"/>
            <w:rFonts w:ascii="Calibri" w:eastAsia="Calibri" w:hAnsi="Calibri" w:cs="Calibri"/>
            <w:color w:val="1155CC"/>
          </w:rPr>
          <w:t>https://am.jpmorgan.com/gb/en/asset-management/adv/insights/market-insights/investment-outlook/</w:t>
        </w:r>
      </w:hyperlink>
      <w:r w:rsidRPr="4ABFA9F3">
        <w:rPr>
          <w:rFonts w:ascii="Calibri" w:eastAsia="Calibri" w:hAnsi="Calibri" w:cs="Calibri"/>
        </w:rPr>
        <w:t xml:space="preserve"> (Accessed: </w:t>
      </w:r>
      <w:r w:rsidR="75F91170" w:rsidRPr="4ABFA9F3">
        <w:rPr>
          <w:rFonts w:ascii="Calibri" w:eastAsia="Calibri" w:hAnsi="Calibri" w:cs="Calibri"/>
        </w:rPr>
        <w:t>02</w:t>
      </w:r>
      <w:r w:rsidRPr="4ABFA9F3">
        <w:rPr>
          <w:rFonts w:ascii="Calibri" w:eastAsia="Calibri" w:hAnsi="Calibri" w:cs="Calibri"/>
        </w:rPr>
        <w:t xml:space="preserve"> March 2024). </w:t>
      </w:r>
    </w:p>
    <w:p w14:paraId="5A6845BF" w14:textId="11C69B8C" w:rsidR="0854107C" w:rsidRDefault="0854107C" w:rsidP="2C96DCC6">
      <w:pPr>
        <w:rPr>
          <w:rFonts w:ascii="Calibri" w:eastAsia="Calibri" w:hAnsi="Calibri" w:cs="Calibri"/>
        </w:rPr>
      </w:pPr>
      <w:r w:rsidRPr="4ABFA9F3">
        <w:rPr>
          <w:rFonts w:ascii="Calibri" w:eastAsia="Calibri" w:hAnsi="Calibri" w:cs="Calibri"/>
        </w:rPr>
        <w:t xml:space="preserve">J.P. Morgan Asset Management. (2023) 2023 Global TCFD Report. [pdf] Available at: </w:t>
      </w:r>
      <w:hyperlink r:id="rId37">
        <w:r w:rsidRPr="4ABFA9F3">
          <w:rPr>
            <w:rStyle w:val="Hyperlink"/>
            <w:rFonts w:ascii="Calibri" w:eastAsia="Calibri" w:hAnsi="Calibri" w:cs="Calibri"/>
            <w:color w:val="1155CC"/>
          </w:rPr>
          <w:t>https://cdn.fbsbx.com/v/t59.2708-21/429645245_1142640230185767_1118791063256755867_n.pdf/tcfd-report.pdf</w:t>
        </w:r>
      </w:hyperlink>
      <w:r w:rsidRPr="4ABFA9F3">
        <w:rPr>
          <w:rFonts w:ascii="Calibri" w:eastAsia="Calibri" w:hAnsi="Calibri" w:cs="Calibri"/>
        </w:rPr>
        <w:t xml:space="preserve"> (Accessed: </w:t>
      </w:r>
      <w:r w:rsidR="73556D1B" w:rsidRPr="4ABFA9F3">
        <w:rPr>
          <w:rFonts w:ascii="Calibri" w:eastAsia="Calibri" w:hAnsi="Calibri" w:cs="Calibri"/>
        </w:rPr>
        <w:t>23 February</w:t>
      </w:r>
      <w:r w:rsidRPr="4ABFA9F3">
        <w:rPr>
          <w:rFonts w:ascii="Calibri" w:eastAsia="Calibri" w:hAnsi="Calibri" w:cs="Calibri"/>
        </w:rPr>
        <w:t xml:space="preserve"> 2024). </w:t>
      </w:r>
    </w:p>
    <w:p w14:paraId="3EF9FF5B" w14:textId="17468296" w:rsidR="0854107C" w:rsidRDefault="0854107C" w:rsidP="2C96DCC6">
      <w:pPr>
        <w:rPr>
          <w:rFonts w:ascii="Calibri" w:eastAsia="Calibri" w:hAnsi="Calibri" w:cs="Calibri"/>
        </w:rPr>
      </w:pPr>
      <w:r w:rsidRPr="4ABFA9F3">
        <w:rPr>
          <w:rFonts w:ascii="Calibri" w:eastAsia="Calibri" w:hAnsi="Calibri" w:cs="Calibri"/>
        </w:rPr>
        <w:t xml:space="preserve">J.P. Morgan Prime Inc. (2023) Statement of Financial Condition December 31, 2023. [Online] Available at: </w:t>
      </w:r>
      <w:hyperlink r:id="rId38">
        <w:r w:rsidRPr="4ABFA9F3">
          <w:rPr>
            <w:rStyle w:val="Hyperlink"/>
            <w:rFonts w:ascii="Calibri" w:eastAsia="Calibri" w:hAnsi="Calibri" w:cs="Calibri"/>
            <w:color w:val="1155CC"/>
          </w:rPr>
          <w:t>https://jpmorganchaseco.gcs-web.com/static-files/0218206f-a163-449c-a606-0b34381699d2</w:t>
        </w:r>
      </w:hyperlink>
      <w:r w:rsidRPr="4ABFA9F3">
        <w:rPr>
          <w:rFonts w:ascii="Calibri" w:eastAsia="Calibri" w:hAnsi="Calibri" w:cs="Calibri"/>
        </w:rPr>
        <w:t xml:space="preserve"> (Accessed: </w:t>
      </w:r>
      <w:r w:rsidR="7E7BEBC0" w:rsidRPr="4ABFA9F3">
        <w:rPr>
          <w:rFonts w:ascii="Calibri" w:eastAsia="Calibri" w:hAnsi="Calibri" w:cs="Calibri"/>
        </w:rPr>
        <w:t>08</w:t>
      </w:r>
      <w:r w:rsidRPr="4ABFA9F3">
        <w:rPr>
          <w:rFonts w:ascii="Calibri" w:eastAsia="Calibri" w:hAnsi="Calibri" w:cs="Calibri"/>
        </w:rPr>
        <w:t xml:space="preserve"> March 2024). </w:t>
      </w:r>
    </w:p>
    <w:p w14:paraId="0E0863E4" w14:textId="517CEBE4" w:rsidR="0854107C" w:rsidRDefault="0854107C" w:rsidP="2C96DCC6">
      <w:pPr>
        <w:rPr>
          <w:rFonts w:ascii="Calibri" w:eastAsia="Calibri" w:hAnsi="Calibri" w:cs="Calibri"/>
        </w:rPr>
      </w:pPr>
      <w:r w:rsidRPr="4ABFA9F3">
        <w:rPr>
          <w:rFonts w:ascii="Calibri" w:eastAsia="Calibri" w:hAnsi="Calibri" w:cs="Calibri"/>
        </w:rPr>
        <w:t xml:space="preserve">J.P. Morgan. (2023) The Optimization Imperative: Transformation of Investment Middle Office. June. Available at: </w:t>
      </w:r>
      <w:hyperlink r:id="rId39">
        <w:r w:rsidRPr="4ABFA9F3">
          <w:rPr>
            <w:rStyle w:val="Hyperlink"/>
            <w:rFonts w:ascii="Calibri" w:eastAsia="Calibri" w:hAnsi="Calibri" w:cs="Calibri"/>
            <w:color w:val="1155CC"/>
          </w:rPr>
          <w:t>https://cdn.fbsbx.com/v/t59.2708-21/426635716_3752956161607235_3334901058337326409_n.pdf/The_Optimization_Imperative.pdf</w:t>
        </w:r>
      </w:hyperlink>
      <w:r w:rsidRPr="4ABFA9F3">
        <w:rPr>
          <w:rFonts w:ascii="Calibri" w:eastAsia="Calibri" w:hAnsi="Calibri" w:cs="Calibri"/>
        </w:rPr>
        <w:t xml:space="preserve"> (Accessed: </w:t>
      </w:r>
      <w:r w:rsidR="3EDC2F37" w:rsidRPr="4ABFA9F3">
        <w:rPr>
          <w:rFonts w:ascii="Calibri" w:eastAsia="Calibri" w:hAnsi="Calibri" w:cs="Calibri"/>
        </w:rPr>
        <w:t>06</w:t>
      </w:r>
      <w:r w:rsidRPr="4ABFA9F3">
        <w:rPr>
          <w:rFonts w:ascii="Calibri" w:eastAsia="Calibri" w:hAnsi="Calibri" w:cs="Calibri"/>
        </w:rPr>
        <w:t xml:space="preserve"> March 2024).</w:t>
      </w:r>
    </w:p>
    <w:p w14:paraId="27D8A169" w14:textId="7142C053" w:rsidR="0854107C" w:rsidRDefault="0854107C" w:rsidP="2C96DCC6">
      <w:pPr>
        <w:rPr>
          <w:rFonts w:ascii="Calibri" w:eastAsia="Calibri" w:hAnsi="Calibri" w:cs="Calibri"/>
        </w:rPr>
      </w:pPr>
      <w:r w:rsidRPr="4ABFA9F3">
        <w:rPr>
          <w:rFonts w:ascii="Calibri" w:eastAsia="Calibri" w:hAnsi="Calibri" w:cs="Calibri"/>
        </w:rPr>
        <w:t xml:space="preserve">JPMorgan Chase &amp; Co. (2021) 2021 Environmental Social &amp; Governance Report. Available at: </w:t>
      </w:r>
      <w:hyperlink r:id="rId40">
        <w:r w:rsidRPr="4ABFA9F3">
          <w:rPr>
            <w:rStyle w:val="Hyperlink"/>
            <w:rFonts w:ascii="Calibri" w:eastAsia="Calibri" w:hAnsi="Calibri" w:cs="Calibri"/>
            <w:color w:val="1155CC"/>
          </w:rPr>
          <w:t>https://cdn.fbsbx.com/v/t59.2708-21/418723982_2772831809537700_2951262260139952365_n.pdf/jpmc-esg-report-</w:t>
        </w:r>
        <w:r w:rsidRPr="4ABFA9F3">
          <w:rPr>
            <w:rStyle w:val="Hyperlink"/>
            <w:rFonts w:ascii="Calibri" w:eastAsia="Calibri" w:hAnsi="Calibri" w:cs="Calibri"/>
            <w:color w:val="1155CC"/>
          </w:rPr>
          <w:lastRenderedPageBreak/>
          <w:t>2021.pdf?_nc_cat=110&amp;ccb=1-7&amp;_nc_sid=2b0e22&amp;_nc_ohc=J8_6vSzkwqIAX9eCGt9&amp;_nc_ht=cdn.fbsbx.com&amp;oh=03_AdQe-PGzlrIjB6FPBWRrOxHBSXVe2juh20EBB9gm5tg72A&amp;oe=65EF05F1&amp;dl=1</w:t>
        </w:r>
      </w:hyperlink>
      <w:r w:rsidRPr="4ABFA9F3">
        <w:rPr>
          <w:rFonts w:ascii="Calibri" w:eastAsia="Calibri" w:hAnsi="Calibri" w:cs="Calibri"/>
        </w:rPr>
        <w:t xml:space="preserve"> (Accessed:</w:t>
      </w:r>
      <w:r w:rsidR="0FF5B62C" w:rsidRPr="4ABFA9F3">
        <w:rPr>
          <w:rFonts w:ascii="Calibri" w:eastAsia="Calibri" w:hAnsi="Calibri" w:cs="Calibri"/>
        </w:rPr>
        <w:t xml:space="preserve"> 05</w:t>
      </w:r>
      <w:r w:rsidRPr="4ABFA9F3">
        <w:rPr>
          <w:rFonts w:ascii="Calibri" w:eastAsia="Calibri" w:hAnsi="Calibri" w:cs="Calibri"/>
        </w:rPr>
        <w:t xml:space="preserve"> March 2024).</w:t>
      </w:r>
      <w:r w:rsidR="09083717" w:rsidRPr="4ABFA9F3">
        <w:rPr>
          <w:rFonts w:ascii="Calibri" w:eastAsia="Calibri" w:hAnsi="Calibri" w:cs="Calibri"/>
        </w:rPr>
        <w:t xml:space="preserve"> </w:t>
      </w:r>
    </w:p>
    <w:p w14:paraId="6356E443" w14:textId="1103A2F9" w:rsidR="0854107C" w:rsidRDefault="0854107C" w:rsidP="2C96DCC6">
      <w:pPr>
        <w:rPr>
          <w:rFonts w:ascii="Calibri" w:eastAsia="Calibri" w:hAnsi="Calibri" w:cs="Calibri"/>
        </w:rPr>
      </w:pPr>
      <w:r w:rsidRPr="4ABFA9F3">
        <w:rPr>
          <w:rFonts w:ascii="Calibri" w:eastAsia="Calibri" w:hAnsi="Calibri" w:cs="Calibri"/>
        </w:rPr>
        <w:t xml:space="preserve">JPMorgan Chase &amp; Co. (2022) 2022 Environmental Social Governance Report. Available at: </w:t>
      </w:r>
      <w:hyperlink r:id="rId41">
        <w:r w:rsidRPr="4ABFA9F3">
          <w:rPr>
            <w:rStyle w:val="Hyperlink"/>
            <w:rFonts w:ascii="Calibri" w:eastAsia="Calibri" w:hAnsi="Calibri" w:cs="Calibri"/>
            <w:color w:val="1155CC"/>
          </w:rPr>
          <w:t>https://cdn.fbsbx.com/v/t59.2708-21/398435626_1527759561394678_8754052851662983437_n.pdf/jpmc-esg-report-2022.pdf?_nc_cat=104&amp;ccb=1-7&amp;_nc_sid=2b0e22&amp;_nc_ohc=m-u7I76A-Z0AX_dToMw&amp;_nc_ht=cdn.fbsbx.com&amp;oh=03_AdSClfTSfFHBs6QgMAym7GNuze1PxWLknqk8pp93sWjRZA&amp;oe=65EF02BA&amp;dl=1</w:t>
        </w:r>
      </w:hyperlink>
      <w:r w:rsidRPr="4ABFA9F3">
        <w:rPr>
          <w:rFonts w:ascii="Calibri" w:eastAsia="Calibri" w:hAnsi="Calibri" w:cs="Calibri"/>
        </w:rPr>
        <w:t xml:space="preserve"> (Accessed: </w:t>
      </w:r>
      <w:r w:rsidR="7C96AF7E" w:rsidRPr="4ABFA9F3">
        <w:rPr>
          <w:rFonts w:ascii="Calibri" w:eastAsia="Calibri" w:hAnsi="Calibri" w:cs="Calibri"/>
        </w:rPr>
        <w:t>09</w:t>
      </w:r>
      <w:r w:rsidRPr="4ABFA9F3">
        <w:rPr>
          <w:rFonts w:ascii="Calibri" w:eastAsia="Calibri" w:hAnsi="Calibri" w:cs="Calibri"/>
        </w:rPr>
        <w:t xml:space="preserve"> March 2024).</w:t>
      </w:r>
    </w:p>
    <w:p w14:paraId="572D1FEE" w14:textId="2CD4B913" w:rsidR="0854107C" w:rsidRDefault="0854107C" w:rsidP="2C96DCC6">
      <w:pPr>
        <w:ind w:left="-20" w:right="-20"/>
        <w:rPr>
          <w:rFonts w:ascii="Calibri" w:eastAsia="Calibri" w:hAnsi="Calibri" w:cs="Calibri"/>
        </w:rPr>
      </w:pPr>
      <w:r w:rsidRPr="4ABFA9F3">
        <w:rPr>
          <w:rFonts w:ascii="Calibri" w:eastAsia="Calibri" w:hAnsi="Calibri" w:cs="Calibri"/>
        </w:rPr>
        <w:t xml:space="preserve">JPMorgan Chase &amp; Co. (2022) Creating Possibility: Annual Report 2022. [pdf] Available at: </w:t>
      </w:r>
      <w:hyperlink r:id="rId42">
        <w:r w:rsidRPr="4ABFA9F3">
          <w:rPr>
            <w:rStyle w:val="Hyperlink"/>
            <w:rFonts w:ascii="Calibri" w:eastAsia="Calibri" w:hAnsi="Calibri" w:cs="Calibri"/>
            <w:color w:val="1155CC"/>
          </w:rPr>
          <w:t>https://cdn.fbsbx.com/v/t59.2708-21/364947267_817686613069373_3375762142748143461_n.pdf/annualreport-2022.pdf</w:t>
        </w:r>
      </w:hyperlink>
      <w:r w:rsidRPr="4ABFA9F3">
        <w:rPr>
          <w:rFonts w:ascii="Calibri" w:eastAsia="Calibri" w:hAnsi="Calibri" w:cs="Calibri"/>
        </w:rPr>
        <w:t xml:space="preserve"> (Accessed: </w:t>
      </w:r>
      <w:r w:rsidR="3F8CB447" w:rsidRPr="4ABFA9F3">
        <w:rPr>
          <w:rFonts w:ascii="Calibri" w:eastAsia="Calibri" w:hAnsi="Calibri" w:cs="Calibri"/>
        </w:rPr>
        <w:t>24 February</w:t>
      </w:r>
      <w:r w:rsidRPr="4ABFA9F3">
        <w:rPr>
          <w:rFonts w:ascii="Calibri" w:eastAsia="Calibri" w:hAnsi="Calibri" w:cs="Calibri"/>
        </w:rPr>
        <w:t xml:space="preserve"> 2024).</w:t>
      </w:r>
    </w:p>
    <w:p w14:paraId="38840F56" w14:textId="3ECEF9D6" w:rsidR="0854107C" w:rsidRDefault="0854107C" w:rsidP="2C96DCC6">
      <w:pPr>
        <w:ind w:left="-20" w:right="-20"/>
        <w:rPr>
          <w:rFonts w:ascii="Calibri" w:eastAsia="Calibri" w:hAnsi="Calibri" w:cs="Calibri"/>
        </w:rPr>
      </w:pPr>
      <w:r w:rsidRPr="4ABFA9F3">
        <w:rPr>
          <w:rFonts w:ascii="Calibri" w:eastAsia="Calibri" w:hAnsi="Calibri" w:cs="Calibri"/>
        </w:rPr>
        <w:t xml:space="preserve">JPMorgan Chase &amp; Co. (2022) Management’s Discussion &amp; Analysis 2022. [pdf] Available at: </w:t>
      </w:r>
      <w:hyperlink r:id="rId43">
        <w:r w:rsidRPr="4ABFA9F3">
          <w:rPr>
            <w:rStyle w:val="Hyperlink"/>
            <w:rFonts w:ascii="Calibri" w:eastAsia="Calibri" w:hAnsi="Calibri" w:cs="Calibri"/>
            <w:color w:val="1155CC"/>
          </w:rPr>
          <w:t>https://cdn.fbsbx.com/v/t59.2708-21/393013474_865762145081092_1430007627242227114_n.pdf/managements-discussion-analysis-2022.pdf</w:t>
        </w:r>
      </w:hyperlink>
      <w:r w:rsidRPr="4ABFA9F3">
        <w:rPr>
          <w:rFonts w:ascii="Calibri" w:eastAsia="Calibri" w:hAnsi="Calibri" w:cs="Calibri"/>
        </w:rPr>
        <w:t xml:space="preserve"> (Accessed: </w:t>
      </w:r>
      <w:r w:rsidR="5B6E9544" w:rsidRPr="4ABFA9F3">
        <w:rPr>
          <w:rFonts w:ascii="Calibri" w:eastAsia="Calibri" w:hAnsi="Calibri" w:cs="Calibri"/>
        </w:rPr>
        <w:t>07</w:t>
      </w:r>
      <w:r w:rsidRPr="4ABFA9F3">
        <w:rPr>
          <w:rFonts w:ascii="Calibri" w:eastAsia="Calibri" w:hAnsi="Calibri" w:cs="Calibri"/>
        </w:rPr>
        <w:t xml:space="preserve"> March 2024). </w:t>
      </w:r>
    </w:p>
    <w:p w14:paraId="270DFBC5" w14:textId="31395018" w:rsidR="0854107C" w:rsidRDefault="0854107C" w:rsidP="505EC17B">
      <w:pPr>
        <w:ind w:left="-20" w:right="-20"/>
        <w:rPr>
          <w:rFonts w:ascii="Calibri" w:eastAsia="Calibri" w:hAnsi="Calibri" w:cs="Calibri"/>
        </w:rPr>
      </w:pPr>
      <w:r w:rsidRPr="2C96DCC6">
        <w:rPr>
          <w:rFonts w:ascii="Calibri" w:eastAsia="Calibri" w:hAnsi="Calibri" w:cs="Calibri"/>
        </w:rPr>
        <w:t xml:space="preserve">JPMorgan Chase &amp; Co. (2023) 2022 Investment Stewardship Report. April. Available at: </w:t>
      </w:r>
      <w:hyperlink r:id="rId44">
        <w:r w:rsidRPr="2C96DCC6">
          <w:rPr>
            <w:rStyle w:val="Hyperlink"/>
            <w:rFonts w:ascii="Calibri" w:eastAsia="Calibri" w:hAnsi="Calibri" w:cs="Calibri"/>
            <w:color w:val="1155CC"/>
          </w:rPr>
          <w:t>https://cdn.fbsbx.com/v/t59.2708-21/429532153_1461678688087853_6970790600948474699_n.pdf/investment-stewardship-report.pdf?_nc_cat=105&amp;ccb=1-7&amp;_nc_sid=2b0e22&amp;_nc_ohc=hre-wkhcPNgAX-DPAGQ&amp;_nc_ht=cdn.fbsbx.com&amp;oh=03_AdRGtjYiQQPnPmjp_hnNkngTQaJ7CmDqVLbJakPJ4qt1dw&amp;oe=65EF2B77&amp;dl=1</w:t>
        </w:r>
      </w:hyperlink>
      <w:r w:rsidRPr="2C96DCC6">
        <w:rPr>
          <w:rFonts w:ascii="Calibri" w:eastAsia="Calibri" w:hAnsi="Calibri" w:cs="Calibri"/>
        </w:rPr>
        <w:t xml:space="preserve"> (Accessed: 10 March 2024).</w:t>
      </w:r>
    </w:p>
    <w:p w14:paraId="4D74BBB3" w14:textId="131E53C8" w:rsidR="0854107C" w:rsidRDefault="0854107C" w:rsidP="2C96DCC6">
      <w:pPr>
        <w:ind w:left="-20" w:right="-20"/>
        <w:rPr>
          <w:rFonts w:eastAsiaTheme="minorEastAsia"/>
        </w:rPr>
      </w:pPr>
      <w:r w:rsidRPr="2C96DCC6">
        <w:rPr>
          <w:rFonts w:ascii="Calibri" w:eastAsia="Calibri" w:hAnsi="Calibri" w:cs="Calibri"/>
        </w:rPr>
        <w:t xml:space="preserve">JPMorgan Chase &amp; Co. (2023) 2024 Year-Ahead Outlook: The Last Leg on the Long Road to Normal. [pdf] Available at: </w:t>
      </w:r>
      <w:hyperlink r:id="rId45">
        <w:r w:rsidRPr="2C96DCC6">
          <w:rPr>
            <w:rStyle w:val="Hyperlink"/>
            <w:rFonts w:ascii="Calibri" w:eastAsia="Calibri" w:hAnsi="Calibri" w:cs="Calibri"/>
            <w:color w:val="1155CC"/>
          </w:rPr>
          <w:t>https://cdn.fbsbx.com/v/t59.2708-21/426621534_940131444148233_3108294008982712664_n.pdf/Investment-Outlook-for-2024.pdf</w:t>
        </w:r>
      </w:hyperlink>
      <w:r w:rsidRPr="2C96DCC6">
        <w:rPr>
          <w:rFonts w:ascii="Calibri" w:eastAsia="Calibri" w:hAnsi="Calibri" w:cs="Calibri"/>
        </w:rPr>
        <w:t xml:space="preserve"> (Accessed: 10 March 2024). </w:t>
      </w:r>
    </w:p>
    <w:p w14:paraId="2B4DE9F7" w14:textId="407AAF0A" w:rsidR="0854107C" w:rsidRDefault="0854107C" w:rsidP="4ABFA9F3">
      <w:pPr>
        <w:ind w:left="-20" w:right="-20"/>
        <w:rPr>
          <w:rFonts w:ascii="Calibri" w:eastAsia="Calibri" w:hAnsi="Calibri" w:cs="Calibri"/>
        </w:rPr>
      </w:pPr>
      <w:r w:rsidRPr="4ABFA9F3">
        <w:rPr>
          <w:rFonts w:ascii="Calibri" w:eastAsia="Calibri" w:hAnsi="Calibri" w:cs="Calibri"/>
        </w:rPr>
        <w:t xml:space="preserve">JPMorgan Chase &amp; Co. (2023). Climate Report 2023. Retrieved March 9, 2024, from </w:t>
      </w:r>
      <w:hyperlink r:id="rId46">
        <w:r w:rsidRPr="4ABFA9F3">
          <w:rPr>
            <w:rStyle w:val="Hyperlink"/>
            <w:rFonts w:ascii="Calibri" w:eastAsia="Calibri" w:hAnsi="Calibri" w:cs="Calibri"/>
            <w:color w:val="1155CC"/>
          </w:rPr>
          <w:t>https://www.jpmorganchase.com/content/dam/jpmc/jpmorgan-chase-and-co/documents/Climate-Report-2023.pdf</w:t>
        </w:r>
      </w:hyperlink>
      <w:r w:rsidRPr="4ABFA9F3">
        <w:rPr>
          <w:rFonts w:ascii="Calibri" w:eastAsia="Calibri" w:hAnsi="Calibri" w:cs="Calibri"/>
        </w:rPr>
        <w:t xml:space="preserve"> </w:t>
      </w:r>
      <w:r w:rsidR="09ECBCAE" w:rsidRPr="4ABFA9F3">
        <w:rPr>
          <w:rFonts w:ascii="Calibri" w:eastAsia="Calibri" w:hAnsi="Calibri" w:cs="Calibri"/>
        </w:rPr>
        <w:t>(Accessed: 26 February 2024).</w:t>
      </w:r>
    </w:p>
    <w:p w14:paraId="268FD043" w14:textId="5CBB898D" w:rsidR="0854107C" w:rsidRDefault="0854107C" w:rsidP="4ABFA9F3">
      <w:pPr>
        <w:ind w:left="-20" w:right="-20"/>
        <w:rPr>
          <w:rFonts w:ascii="Calibri" w:eastAsia="Calibri" w:hAnsi="Calibri" w:cs="Calibri"/>
        </w:rPr>
      </w:pPr>
      <w:r w:rsidRPr="4ABFA9F3">
        <w:rPr>
          <w:rFonts w:ascii="Calibri" w:eastAsia="Calibri" w:hAnsi="Calibri" w:cs="Calibri"/>
        </w:rPr>
        <w:t xml:space="preserve">JPMorgan Chase &amp; Co. (n.d.) About Us. [Online] Available at: </w:t>
      </w:r>
      <w:hyperlink r:id="rId47">
        <w:r w:rsidRPr="4ABFA9F3">
          <w:rPr>
            <w:rStyle w:val="Hyperlink"/>
            <w:rFonts w:ascii="Calibri" w:eastAsia="Calibri" w:hAnsi="Calibri" w:cs="Calibri"/>
            <w:color w:val="1155CC"/>
          </w:rPr>
          <w:t>https://www.jpmorgan.com/about-us</w:t>
        </w:r>
      </w:hyperlink>
      <w:r w:rsidRPr="4ABFA9F3">
        <w:rPr>
          <w:rFonts w:ascii="Calibri" w:eastAsia="Calibri" w:hAnsi="Calibri" w:cs="Calibri"/>
        </w:rPr>
        <w:t xml:space="preserve"> (Accessed: </w:t>
      </w:r>
      <w:r w:rsidR="38CBAF44" w:rsidRPr="4ABFA9F3">
        <w:rPr>
          <w:rFonts w:ascii="Calibri" w:eastAsia="Calibri" w:hAnsi="Calibri" w:cs="Calibri"/>
        </w:rPr>
        <w:t>26 February</w:t>
      </w:r>
      <w:r w:rsidRPr="4ABFA9F3">
        <w:rPr>
          <w:rFonts w:ascii="Calibri" w:eastAsia="Calibri" w:hAnsi="Calibri" w:cs="Calibri"/>
        </w:rPr>
        <w:t xml:space="preserve"> 2024). </w:t>
      </w:r>
    </w:p>
    <w:p w14:paraId="1ECA71A0" w14:textId="536A7960" w:rsidR="0854107C" w:rsidRDefault="0854107C" w:rsidP="4ABFA9F3">
      <w:pPr>
        <w:ind w:left="-20" w:right="-20"/>
        <w:rPr>
          <w:rFonts w:ascii="Calibri" w:eastAsia="Calibri" w:hAnsi="Calibri" w:cs="Calibri"/>
        </w:rPr>
      </w:pPr>
      <w:r w:rsidRPr="4ABFA9F3">
        <w:rPr>
          <w:rFonts w:ascii="Calibri" w:eastAsia="Calibri" w:hAnsi="Calibri" w:cs="Calibri"/>
        </w:rPr>
        <w:t xml:space="preserve">JPMorgan Chase &amp; Co. (n.d.) Business Principles. [Online] Available at: </w:t>
      </w:r>
      <w:hyperlink r:id="rId48">
        <w:r w:rsidRPr="4ABFA9F3">
          <w:rPr>
            <w:rStyle w:val="Hyperlink"/>
            <w:rFonts w:ascii="Calibri" w:eastAsia="Calibri" w:hAnsi="Calibri" w:cs="Calibri"/>
            <w:color w:val="1155CC"/>
          </w:rPr>
          <w:t>https://www.jpmorganchase.com/about/our-business/business-principles</w:t>
        </w:r>
      </w:hyperlink>
      <w:r w:rsidRPr="4ABFA9F3">
        <w:rPr>
          <w:rFonts w:ascii="Calibri" w:eastAsia="Calibri" w:hAnsi="Calibri" w:cs="Calibri"/>
        </w:rPr>
        <w:t xml:space="preserve"> (Accessed: </w:t>
      </w:r>
      <w:r w:rsidR="0C7E25D2" w:rsidRPr="4ABFA9F3">
        <w:rPr>
          <w:rFonts w:ascii="Calibri" w:eastAsia="Calibri" w:hAnsi="Calibri" w:cs="Calibri"/>
        </w:rPr>
        <w:t>04</w:t>
      </w:r>
      <w:r w:rsidRPr="4ABFA9F3">
        <w:rPr>
          <w:rFonts w:ascii="Calibri" w:eastAsia="Calibri" w:hAnsi="Calibri" w:cs="Calibri"/>
        </w:rPr>
        <w:t xml:space="preserve"> March 2024). </w:t>
      </w:r>
    </w:p>
    <w:p w14:paraId="385746F1" w14:textId="144F547B" w:rsidR="0854107C" w:rsidRDefault="0854107C" w:rsidP="4ABFA9F3">
      <w:pPr>
        <w:ind w:left="-20" w:right="-20"/>
        <w:rPr>
          <w:rFonts w:eastAsiaTheme="minorEastAsia"/>
        </w:rPr>
      </w:pPr>
      <w:r w:rsidRPr="4ABFA9F3">
        <w:rPr>
          <w:rFonts w:ascii="Calibri" w:eastAsia="Calibri" w:hAnsi="Calibri" w:cs="Calibri"/>
        </w:rPr>
        <w:t xml:space="preserve">JPMorgan Chase &amp; Co. (n.d.) Corporate Strategy. [Online] Available at: </w:t>
      </w:r>
      <w:hyperlink r:id="rId49">
        <w:r w:rsidRPr="4ABFA9F3">
          <w:rPr>
            <w:rStyle w:val="Hyperlink"/>
            <w:rFonts w:ascii="Calibri" w:eastAsia="Calibri" w:hAnsi="Calibri" w:cs="Calibri"/>
            <w:color w:val="1155CC"/>
          </w:rPr>
          <w:t>https://www.jpmorgan.com/insights/business/corporate-strategy</w:t>
        </w:r>
      </w:hyperlink>
      <w:r w:rsidRPr="4ABFA9F3">
        <w:rPr>
          <w:rFonts w:ascii="Calibri" w:eastAsia="Calibri" w:hAnsi="Calibri" w:cs="Calibri"/>
        </w:rPr>
        <w:t xml:space="preserve"> (Accessed: </w:t>
      </w:r>
      <w:r w:rsidR="3CD7E42E" w:rsidRPr="4ABFA9F3">
        <w:rPr>
          <w:rFonts w:ascii="Calibri" w:eastAsia="Calibri" w:hAnsi="Calibri" w:cs="Calibri"/>
        </w:rPr>
        <w:t>06</w:t>
      </w:r>
      <w:r w:rsidR="71566F33" w:rsidRPr="4ABFA9F3">
        <w:rPr>
          <w:rFonts w:ascii="Calibri" w:eastAsia="Calibri" w:hAnsi="Calibri" w:cs="Calibri"/>
        </w:rPr>
        <w:t xml:space="preserve"> </w:t>
      </w:r>
      <w:r w:rsidRPr="4ABFA9F3">
        <w:rPr>
          <w:rFonts w:ascii="Calibri" w:eastAsia="Calibri" w:hAnsi="Calibri" w:cs="Calibri"/>
        </w:rPr>
        <w:t xml:space="preserve">March 2024). </w:t>
      </w:r>
    </w:p>
    <w:p w14:paraId="6581EFF2" w14:textId="5BF4D6AE" w:rsidR="0854107C" w:rsidRDefault="0854107C" w:rsidP="4ABFA9F3">
      <w:pPr>
        <w:ind w:left="-20" w:right="-20"/>
        <w:rPr>
          <w:rFonts w:ascii="Calibri" w:eastAsia="Calibri" w:hAnsi="Calibri" w:cs="Calibri"/>
        </w:rPr>
      </w:pPr>
      <w:r w:rsidRPr="4ABFA9F3">
        <w:rPr>
          <w:rFonts w:ascii="Calibri" w:eastAsia="Calibri" w:hAnsi="Calibri" w:cs="Calibri"/>
        </w:rPr>
        <w:t xml:space="preserve">JPMorgan Chase &amp; Co. (n.d.) Environmental, Social, and Governance Initiatives. [Online] Available at: </w:t>
      </w:r>
      <w:hyperlink r:id="rId50">
        <w:r w:rsidRPr="4ABFA9F3">
          <w:rPr>
            <w:rStyle w:val="Hyperlink"/>
            <w:rFonts w:ascii="Calibri" w:eastAsia="Calibri" w:hAnsi="Calibri" w:cs="Calibri"/>
            <w:color w:val="1155CC"/>
          </w:rPr>
          <w:t>https://www.jpmorganchase.com/impact/sustainability/es-initiatives</w:t>
        </w:r>
      </w:hyperlink>
      <w:r w:rsidRPr="4ABFA9F3">
        <w:rPr>
          <w:rFonts w:ascii="Calibri" w:eastAsia="Calibri" w:hAnsi="Calibri" w:cs="Calibri"/>
        </w:rPr>
        <w:t xml:space="preserve"> (Accessed: </w:t>
      </w:r>
      <w:r w:rsidR="0C15D430" w:rsidRPr="4ABFA9F3">
        <w:rPr>
          <w:rFonts w:ascii="Calibri" w:eastAsia="Calibri" w:hAnsi="Calibri" w:cs="Calibri"/>
        </w:rPr>
        <w:t>21 February</w:t>
      </w:r>
      <w:r w:rsidRPr="4ABFA9F3">
        <w:rPr>
          <w:rFonts w:ascii="Calibri" w:eastAsia="Calibri" w:hAnsi="Calibri" w:cs="Calibri"/>
        </w:rPr>
        <w:t xml:space="preserve"> 2024).</w:t>
      </w:r>
    </w:p>
    <w:p w14:paraId="2194A9C7" w14:textId="0EA4DB7F" w:rsidR="0854107C" w:rsidRDefault="0854107C" w:rsidP="4ABFA9F3">
      <w:pPr>
        <w:ind w:left="-20" w:right="-20"/>
        <w:rPr>
          <w:rFonts w:ascii="Calibri" w:eastAsia="Calibri" w:hAnsi="Calibri" w:cs="Calibri"/>
        </w:rPr>
      </w:pPr>
      <w:r w:rsidRPr="4ABFA9F3">
        <w:rPr>
          <w:rFonts w:ascii="Calibri" w:eastAsia="Calibri" w:hAnsi="Calibri" w:cs="Calibri"/>
        </w:rPr>
        <w:t xml:space="preserve">JPMorgan Chase &amp; Co. (n.d.) Governance Strategies. [Online] Available at: </w:t>
      </w:r>
      <w:hyperlink r:id="rId51">
        <w:r w:rsidRPr="4ABFA9F3">
          <w:rPr>
            <w:rStyle w:val="Hyperlink"/>
            <w:rFonts w:ascii="Calibri" w:eastAsia="Calibri" w:hAnsi="Calibri" w:cs="Calibri"/>
            <w:color w:val="1155CC"/>
          </w:rPr>
          <w:t>https://www.jpmorgan.com/insights/esg/governance-strategies</w:t>
        </w:r>
      </w:hyperlink>
      <w:r w:rsidRPr="4ABFA9F3">
        <w:rPr>
          <w:rFonts w:ascii="Calibri" w:eastAsia="Calibri" w:hAnsi="Calibri" w:cs="Calibri"/>
        </w:rPr>
        <w:t xml:space="preserve"> (Accessed: </w:t>
      </w:r>
      <w:r w:rsidR="1DEE4AEE" w:rsidRPr="4ABFA9F3">
        <w:rPr>
          <w:rFonts w:ascii="Calibri" w:eastAsia="Calibri" w:hAnsi="Calibri" w:cs="Calibri"/>
        </w:rPr>
        <w:t>28</w:t>
      </w:r>
      <w:r w:rsidRPr="4ABFA9F3">
        <w:rPr>
          <w:rFonts w:ascii="Calibri" w:eastAsia="Calibri" w:hAnsi="Calibri" w:cs="Calibri"/>
        </w:rPr>
        <w:t xml:space="preserve"> </w:t>
      </w:r>
      <w:r w:rsidR="5AF95592" w:rsidRPr="4ABFA9F3">
        <w:rPr>
          <w:rFonts w:ascii="Calibri" w:eastAsia="Calibri" w:hAnsi="Calibri" w:cs="Calibri"/>
        </w:rPr>
        <w:t xml:space="preserve">February </w:t>
      </w:r>
      <w:r w:rsidRPr="4ABFA9F3">
        <w:rPr>
          <w:rFonts w:ascii="Calibri" w:eastAsia="Calibri" w:hAnsi="Calibri" w:cs="Calibri"/>
        </w:rPr>
        <w:t xml:space="preserve">2024). </w:t>
      </w:r>
    </w:p>
    <w:p w14:paraId="34E89AA5" w14:textId="123083D5" w:rsidR="0854107C" w:rsidRDefault="0854107C" w:rsidP="4ABFA9F3">
      <w:pPr>
        <w:ind w:left="-20" w:right="-20"/>
        <w:rPr>
          <w:rFonts w:ascii="Calibri" w:eastAsia="Calibri" w:hAnsi="Calibri" w:cs="Calibri"/>
        </w:rPr>
      </w:pPr>
      <w:r w:rsidRPr="4ABFA9F3">
        <w:rPr>
          <w:rFonts w:ascii="Calibri" w:eastAsia="Calibri" w:hAnsi="Calibri" w:cs="Calibri"/>
        </w:rPr>
        <w:lastRenderedPageBreak/>
        <w:t xml:space="preserve"> JPMorgan Chase &amp; Co. (n.d.) Home. Available at: </w:t>
      </w:r>
      <w:hyperlink r:id="rId52">
        <w:r w:rsidRPr="4ABFA9F3">
          <w:rPr>
            <w:rStyle w:val="Hyperlink"/>
            <w:rFonts w:ascii="Calibri" w:eastAsia="Calibri" w:hAnsi="Calibri" w:cs="Calibri"/>
            <w:color w:val="1155CC"/>
          </w:rPr>
          <w:t>https://www.jpmorganchase.com/</w:t>
        </w:r>
      </w:hyperlink>
      <w:r w:rsidRPr="4ABFA9F3">
        <w:rPr>
          <w:rFonts w:ascii="Calibri" w:eastAsia="Calibri" w:hAnsi="Calibri" w:cs="Calibri"/>
        </w:rPr>
        <w:t xml:space="preserve"> (Accessed: </w:t>
      </w:r>
      <w:r w:rsidR="5C6DAA50" w:rsidRPr="4ABFA9F3">
        <w:rPr>
          <w:rFonts w:ascii="Calibri" w:eastAsia="Calibri" w:hAnsi="Calibri" w:cs="Calibri"/>
        </w:rPr>
        <w:t>05</w:t>
      </w:r>
      <w:r w:rsidRPr="4ABFA9F3">
        <w:rPr>
          <w:rFonts w:ascii="Calibri" w:eastAsia="Calibri" w:hAnsi="Calibri" w:cs="Calibri"/>
        </w:rPr>
        <w:t xml:space="preserve"> March 2024). </w:t>
      </w:r>
    </w:p>
    <w:p w14:paraId="462EAEB8" w14:textId="1E4D387A" w:rsidR="0854107C" w:rsidRDefault="0854107C" w:rsidP="4ABFA9F3">
      <w:pPr>
        <w:ind w:left="-20" w:right="-20"/>
        <w:rPr>
          <w:rFonts w:ascii="Calibri" w:eastAsia="Calibri" w:hAnsi="Calibri" w:cs="Calibri"/>
        </w:rPr>
      </w:pPr>
      <w:r w:rsidRPr="4ABFA9F3">
        <w:rPr>
          <w:rFonts w:ascii="Calibri" w:eastAsia="Calibri" w:hAnsi="Calibri" w:cs="Calibri"/>
        </w:rPr>
        <w:t xml:space="preserve">Le, V.D., Mai, N.Q., and Rangaraju, S. (2023) JPMorgan Chase &amp; Co. Fundamental Business Research. International Journal of Management and Technology for Research Studies, 4(2). Available at: </w:t>
      </w:r>
      <w:hyperlink r:id="rId53">
        <w:r w:rsidRPr="4ABFA9F3">
          <w:rPr>
            <w:rStyle w:val="Hyperlink"/>
            <w:rFonts w:ascii="Calibri" w:eastAsia="Calibri" w:hAnsi="Calibri" w:cs="Calibri"/>
            <w:color w:val="1155CC"/>
          </w:rPr>
          <w:t>https://www.researchgate.net/publication/370490059_JPMorgan_Chase_Co_Fundamental_Business_Research</w:t>
        </w:r>
      </w:hyperlink>
      <w:r w:rsidRPr="4ABFA9F3">
        <w:rPr>
          <w:rFonts w:ascii="Calibri" w:eastAsia="Calibri" w:hAnsi="Calibri" w:cs="Calibri"/>
        </w:rPr>
        <w:t xml:space="preserve"> (Accessed: </w:t>
      </w:r>
      <w:r w:rsidR="33800E6C" w:rsidRPr="4ABFA9F3">
        <w:rPr>
          <w:rFonts w:ascii="Calibri" w:eastAsia="Calibri" w:hAnsi="Calibri" w:cs="Calibri"/>
        </w:rPr>
        <w:t>05</w:t>
      </w:r>
      <w:r w:rsidRPr="4ABFA9F3">
        <w:rPr>
          <w:rFonts w:ascii="Calibri" w:eastAsia="Calibri" w:hAnsi="Calibri" w:cs="Calibri"/>
        </w:rPr>
        <w:t xml:space="preserve">March 2024). </w:t>
      </w:r>
    </w:p>
    <w:p w14:paraId="20ABA8FB" w14:textId="3B5BD192" w:rsidR="0854107C" w:rsidRDefault="0854107C" w:rsidP="4ABFA9F3">
      <w:pPr>
        <w:ind w:left="-20" w:right="-20"/>
        <w:rPr>
          <w:rFonts w:ascii="Calibri" w:eastAsia="Calibri" w:hAnsi="Calibri" w:cs="Calibri"/>
        </w:rPr>
      </w:pPr>
      <w:r w:rsidRPr="4ABFA9F3">
        <w:rPr>
          <w:rFonts w:ascii="Calibri" w:eastAsia="Calibri" w:hAnsi="Calibri" w:cs="Calibri"/>
        </w:rPr>
        <w:t xml:space="preserve">Marketing Theories – Boston Consulting Group Matrix. [no date]. Available at: </w:t>
      </w:r>
      <w:hyperlink r:id="rId54">
        <w:r w:rsidRPr="4ABFA9F3">
          <w:rPr>
            <w:rStyle w:val="Hyperlink"/>
            <w:rFonts w:ascii="Calibri" w:eastAsia="Calibri" w:hAnsi="Calibri" w:cs="Calibri"/>
          </w:rPr>
          <w:t>https://www.professionalacademy.com/blogs/marketing-theories-boston-consulting-group-matrix/</w:t>
        </w:r>
      </w:hyperlink>
      <w:r w:rsidR="53D56688" w:rsidRPr="4ABFA9F3">
        <w:rPr>
          <w:rFonts w:ascii="Calibri" w:eastAsia="Calibri" w:hAnsi="Calibri" w:cs="Calibri"/>
        </w:rPr>
        <w:t xml:space="preserve"> (Accessed: 27 February 2024).</w:t>
      </w:r>
    </w:p>
    <w:p w14:paraId="3F3E0219" w14:textId="17DC92B0" w:rsidR="0854107C" w:rsidRDefault="0854107C" w:rsidP="4ABFA9F3">
      <w:pPr>
        <w:ind w:left="-20" w:right="-20"/>
        <w:rPr>
          <w:rFonts w:ascii="Calibri" w:eastAsia="Calibri" w:hAnsi="Calibri" w:cs="Calibri"/>
        </w:rPr>
      </w:pPr>
      <w:r w:rsidRPr="4ABFA9F3">
        <w:rPr>
          <w:rFonts w:ascii="Calibri" w:eastAsia="Calibri" w:hAnsi="Calibri" w:cs="Calibri"/>
        </w:rPr>
        <w:t xml:space="preserve">Maverick, J.B. (2022) </w:t>
      </w:r>
      <w:r w:rsidR="06C7FA82" w:rsidRPr="4ABFA9F3">
        <w:rPr>
          <w:rFonts w:ascii="Calibri" w:eastAsia="Calibri" w:hAnsi="Calibri" w:cs="Calibri"/>
        </w:rPr>
        <w:t>Analysing</w:t>
      </w:r>
      <w:r w:rsidRPr="4ABFA9F3">
        <w:rPr>
          <w:rFonts w:ascii="Calibri" w:eastAsia="Calibri" w:hAnsi="Calibri" w:cs="Calibri"/>
        </w:rPr>
        <w:t xml:space="preserve"> Porter’s Five Forces on JPMorgan Chase. Reviewed by Amilcar Chavarria. Investopedia. Available at: </w:t>
      </w:r>
      <w:hyperlink r:id="rId55">
        <w:r w:rsidRPr="4ABFA9F3">
          <w:rPr>
            <w:rStyle w:val="Hyperlink"/>
            <w:rFonts w:ascii="Calibri" w:eastAsia="Calibri" w:hAnsi="Calibri" w:cs="Calibri"/>
            <w:color w:val="1155CC"/>
          </w:rPr>
          <w:t>https://www.investopedia.com/articles/markets/020916/analyzing-porters-five-forces-jpmorgan-chase-jpm.asp</w:t>
        </w:r>
      </w:hyperlink>
      <w:r w:rsidRPr="4ABFA9F3">
        <w:rPr>
          <w:rFonts w:ascii="Calibri" w:eastAsia="Calibri" w:hAnsi="Calibri" w:cs="Calibri"/>
        </w:rPr>
        <w:t xml:space="preserve"> (Accessed: </w:t>
      </w:r>
      <w:r w:rsidR="5E94A2F8" w:rsidRPr="4ABFA9F3">
        <w:rPr>
          <w:rFonts w:ascii="Calibri" w:eastAsia="Calibri" w:hAnsi="Calibri" w:cs="Calibri"/>
        </w:rPr>
        <w:t xml:space="preserve">25 February </w:t>
      </w:r>
      <w:r w:rsidRPr="4ABFA9F3">
        <w:rPr>
          <w:rFonts w:ascii="Calibri" w:eastAsia="Calibri" w:hAnsi="Calibri" w:cs="Calibri"/>
        </w:rPr>
        <w:t xml:space="preserve">2024). </w:t>
      </w:r>
    </w:p>
    <w:p w14:paraId="49BB5BDA" w14:textId="389DC424" w:rsidR="0854107C" w:rsidRDefault="0854107C" w:rsidP="4ABFA9F3">
      <w:pPr>
        <w:ind w:left="-20" w:right="-20"/>
        <w:rPr>
          <w:rFonts w:ascii="Calibri" w:eastAsia="Calibri" w:hAnsi="Calibri" w:cs="Calibri"/>
        </w:rPr>
      </w:pPr>
      <w:r w:rsidRPr="4ABFA9F3">
        <w:rPr>
          <w:rFonts w:ascii="Calibri" w:eastAsia="Calibri" w:hAnsi="Calibri" w:cs="Calibri"/>
        </w:rPr>
        <w:t xml:space="preserve">MBA Skool. (n.d.) JP Morgan Chase SWOT Analysis - Key Points &amp; Overview. [Online] Available at: </w:t>
      </w:r>
      <w:hyperlink r:id="rId56">
        <w:r w:rsidRPr="4ABFA9F3">
          <w:rPr>
            <w:rStyle w:val="Hyperlink"/>
            <w:rFonts w:ascii="Calibri" w:eastAsia="Calibri" w:hAnsi="Calibri" w:cs="Calibri"/>
            <w:color w:val="1155CC"/>
          </w:rPr>
          <w:t>https://www.mbaskool.com/brandguide/banking-and-financial-services/617-jp-morgan-and-chase.html</w:t>
        </w:r>
      </w:hyperlink>
      <w:r w:rsidRPr="4ABFA9F3">
        <w:rPr>
          <w:rFonts w:ascii="Calibri" w:eastAsia="Calibri" w:hAnsi="Calibri" w:cs="Calibri"/>
        </w:rPr>
        <w:t xml:space="preserve"> (Accessed: </w:t>
      </w:r>
      <w:r w:rsidR="306DA16D" w:rsidRPr="4ABFA9F3">
        <w:rPr>
          <w:rFonts w:ascii="Calibri" w:eastAsia="Calibri" w:hAnsi="Calibri" w:cs="Calibri"/>
        </w:rPr>
        <w:t>22</w:t>
      </w:r>
      <w:r w:rsidRPr="4ABFA9F3">
        <w:rPr>
          <w:rFonts w:ascii="Calibri" w:eastAsia="Calibri" w:hAnsi="Calibri" w:cs="Calibri"/>
        </w:rPr>
        <w:t xml:space="preserve"> </w:t>
      </w:r>
      <w:r w:rsidR="7482F3EF" w:rsidRPr="4ABFA9F3">
        <w:rPr>
          <w:rFonts w:ascii="Calibri" w:eastAsia="Calibri" w:hAnsi="Calibri" w:cs="Calibri"/>
        </w:rPr>
        <w:t>February</w:t>
      </w:r>
      <w:r w:rsidRPr="4ABFA9F3">
        <w:rPr>
          <w:rFonts w:ascii="Calibri" w:eastAsia="Calibri" w:hAnsi="Calibri" w:cs="Calibri"/>
        </w:rPr>
        <w:t xml:space="preserve"> 2024). </w:t>
      </w:r>
    </w:p>
    <w:p w14:paraId="1256F0BF" w14:textId="5D62243E" w:rsidR="0854107C" w:rsidRDefault="24ABD266" w:rsidP="4ABFA9F3">
      <w:pPr>
        <w:ind w:left="-20" w:right="-20"/>
        <w:rPr>
          <w:rFonts w:eastAsiaTheme="minorEastAsia"/>
        </w:rPr>
      </w:pPr>
      <w:r w:rsidRPr="4ABFA9F3">
        <w:rPr>
          <w:rFonts w:ascii="Calibri" w:eastAsia="Calibri" w:hAnsi="Calibri" w:cs="Calibri"/>
        </w:rPr>
        <w:t xml:space="preserve">Momin, A. 2023. Intel PESTLE Analysis: Power-Packed Path to Success. Available at: </w:t>
      </w:r>
      <w:hyperlink r:id="rId57">
        <w:r w:rsidRPr="4ABFA9F3">
          <w:rPr>
            <w:rStyle w:val="Hyperlink"/>
            <w:rFonts w:ascii="Calibri" w:eastAsia="Calibri" w:hAnsi="Calibri" w:cs="Calibri"/>
          </w:rPr>
          <w:t>https://pestleanalysis.com/intel-pestle-analysis/</w:t>
        </w:r>
      </w:hyperlink>
      <w:r w:rsidRPr="4ABFA9F3">
        <w:rPr>
          <w:rFonts w:ascii="Calibri" w:eastAsia="Calibri" w:hAnsi="Calibri" w:cs="Calibri"/>
        </w:rPr>
        <w:t xml:space="preserve"> (Accessed: </w:t>
      </w:r>
      <w:r w:rsidR="183C774E" w:rsidRPr="4ABFA9F3">
        <w:rPr>
          <w:rFonts w:ascii="Calibri" w:eastAsia="Calibri" w:hAnsi="Calibri" w:cs="Calibri"/>
        </w:rPr>
        <w:t>02</w:t>
      </w:r>
      <w:r w:rsidRPr="4ABFA9F3">
        <w:rPr>
          <w:rFonts w:ascii="Calibri" w:eastAsia="Calibri" w:hAnsi="Calibri" w:cs="Calibri"/>
        </w:rPr>
        <w:t xml:space="preserve"> March 2024).</w:t>
      </w:r>
    </w:p>
    <w:p w14:paraId="435BCBD5" w14:textId="3FF958B6" w:rsidR="0854107C" w:rsidRDefault="0854107C" w:rsidP="2C96DCC6">
      <w:pPr>
        <w:ind w:left="-20" w:right="-20"/>
        <w:rPr>
          <w:rFonts w:ascii="Calibri" w:eastAsia="Calibri" w:hAnsi="Calibri" w:cs="Calibri"/>
        </w:rPr>
      </w:pPr>
      <w:r w:rsidRPr="4ABFA9F3">
        <w:rPr>
          <w:rFonts w:ascii="Calibri" w:eastAsia="Calibri" w:hAnsi="Calibri" w:cs="Calibri"/>
        </w:rPr>
        <w:t xml:space="preserve">PestleAnalysis.com. (n.d.) JP Morgan SWOT Analysis: What challenges is JP Morgan facing? [Online] Available at: </w:t>
      </w:r>
      <w:hyperlink r:id="rId58">
        <w:r w:rsidRPr="4ABFA9F3">
          <w:rPr>
            <w:rStyle w:val="Hyperlink"/>
            <w:rFonts w:ascii="Calibri" w:eastAsia="Calibri" w:hAnsi="Calibri" w:cs="Calibri"/>
            <w:color w:val="1155CC"/>
          </w:rPr>
          <w:t>https://pestleanalysis.com/jp-morgan-swot-analysis/amp/</w:t>
        </w:r>
      </w:hyperlink>
      <w:r w:rsidRPr="4ABFA9F3">
        <w:rPr>
          <w:rFonts w:ascii="Calibri" w:eastAsia="Calibri" w:hAnsi="Calibri" w:cs="Calibri"/>
        </w:rPr>
        <w:t xml:space="preserve"> (Accessed: </w:t>
      </w:r>
      <w:r w:rsidR="56BBD6B0" w:rsidRPr="4ABFA9F3">
        <w:rPr>
          <w:rFonts w:ascii="Calibri" w:eastAsia="Calibri" w:hAnsi="Calibri" w:cs="Calibri"/>
        </w:rPr>
        <w:t>08</w:t>
      </w:r>
      <w:r w:rsidRPr="4ABFA9F3">
        <w:rPr>
          <w:rFonts w:ascii="Calibri" w:eastAsia="Calibri" w:hAnsi="Calibri" w:cs="Calibri"/>
        </w:rPr>
        <w:t xml:space="preserve"> March 2024). </w:t>
      </w:r>
    </w:p>
    <w:p w14:paraId="5AA42682" w14:textId="57005518" w:rsidR="0854107C" w:rsidRDefault="4E67F2B4" w:rsidP="4ABFA9F3">
      <w:pPr>
        <w:ind w:left="-20" w:right="-20"/>
        <w:rPr>
          <w:rFonts w:ascii="Calibri" w:eastAsia="Calibri" w:hAnsi="Calibri" w:cs="Calibri"/>
        </w:rPr>
      </w:pPr>
      <w:r w:rsidRPr="4ABFA9F3">
        <w:rPr>
          <w:rFonts w:ascii="Calibri" w:eastAsia="Calibri" w:hAnsi="Calibri" w:cs="Calibri"/>
        </w:rPr>
        <w:t xml:space="preserve">Pereira, D. 2023. JPMorgan Chase Business Model - How JPMorgan Chase Makes Money? Available at: </w:t>
      </w:r>
      <w:hyperlink r:id="rId59">
        <w:r w:rsidRPr="4ABFA9F3">
          <w:rPr>
            <w:rStyle w:val="Hyperlink"/>
            <w:rFonts w:ascii="Calibri" w:eastAsia="Calibri" w:hAnsi="Calibri" w:cs="Calibri"/>
          </w:rPr>
          <w:t>https://businessmodelanalyst.com/jpmorgan-chase-business-model/</w:t>
        </w:r>
      </w:hyperlink>
      <w:r w:rsidRPr="4ABFA9F3">
        <w:rPr>
          <w:rFonts w:ascii="Calibri" w:eastAsia="Calibri" w:hAnsi="Calibri" w:cs="Calibri"/>
        </w:rPr>
        <w:t xml:space="preserve"> (Accessed: </w:t>
      </w:r>
      <w:r w:rsidR="047FD3BB" w:rsidRPr="4ABFA9F3">
        <w:rPr>
          <w:rFonts w:ascii="Calibri" w:eastAsia="Calibri" w:hAnsi="Calibri" w:cs="Calibri"/>
        </w:rPr>
        <w:t>03</w:t>
      </w:r>
      <w:r w:rsidRPr="4ABFA9F3">
        <w:rPr>
          <w:rFonts w:ascii="Calibri" w:eastAsia="Calibri" w:hAnsi="Calibri" w:cs="Calibri"/>
        </w:rPr>
        <w:t xml:space="preserve"> March 2024).</w:t>
      </w:r>
    </w:p>
    <w:p w14:paraId="7365F9E8" w14:textId="5FC33A19" w:rsidR="0854107C" w:rsidRDefault="29BC4876" w:rsidP="514A0B17">
      <w:pPr>
        <w:ind w:left="-20" w:right="-20"/>
        <w:rPr>
          <w:rFonts w:eastAsiaTheme="minorEastAsia"/>
        </w:rPr>
      </w:pPr>
      <w:r w:rsidRPr="514A0B17">
        <w:rPr>
          <w:rFonts w:ascii="Calibri" w:eastAsia="Calibri" w:hAnsi="Calibri" w:cs="Calibri"/>
        </w:rPr>
        <w:t xml:space="preserve">Salimon, M.G. 2019. Open Banking and Digital Disruptions: Would Retail Bankers be Losing their Jobs? </w:t>
      </w:r>
      <w:r w:rsidRPr="514A0B17">
        <w:rPr>
          <w:rFonts w:ascii="Calibri" w:eastAsia="Calibri" w:hAnsi="Calibri" w:cs="Calibri"/>
          <w:i/>
          <w:iCs/>
        </w:rPr>
        <w:t>Annals of Social Sciences &amp; Management Studies</w:t>
      </w:r>
      <w:r w:rsidRPr="514A0B17">
        <w:rPr>
          <w:rFonts w:ascii="Calibri" w:eastAsia="Calibri" w:hAnsi="Calibri" w:cs="Calibri"/>
        </w:rPr>
        <w:t xml:space="preserve"> 4(3). Available at: </w:t>
      </w:r>
      <w:hyperlink r:id="rId60">
        <w:r w:rsidRPr="514A0B17">
          <w:rPr>
            <w:rStyle w:val="Hyperlink"/>
            <w:rFonts w:ascii="Calibri" w:eastAsia="Calibri" w:hAnsi="Calibri" w:cs="Calibri"/>
          </w:rPr>
          <w:t>http://dx.doi.org/10.19080/asm.2019.04.555639</w:t>
        </w:r>
      </w:hyperlink>
      <w:r w:rsidRPr="514A0B17">
        <w:rPr>
          <w:rFonts w:ascii="Calibri" w:eastAsia="Calibri" w:hAnsi="Calibri" w:cs="Calibri"/>
        </w:rPr>
        <w:t xml:space="preserve">  (Accessed: 10 March 2024).</w:t>
      </w:r>
    </w:p>
    <w:p w14:paraId="3ACF6F30" w14:textId="16B14938" w:rsidR="0854107C" w:rsidRDefault="0095C111" w:rsidP="514A0B17">
      <w:pPr>
        <w:ind w:left="-20" w:right="-20"/>
        <w:rPr>
          <w:rFonts w:eastAsiaTheme="minorEastAsia"/>
        </w:rPr>
      </w:pPr>
      <w:r w:rsidRPr="514A0B17">
        <w:rPr>
          <w:rFonts w:ascii="Calibri" w:eastAsia="Calibri" w:hAnsi="Calibri" w:cs="Calibri"/>
        </w:rPr>
        <w:t xml:space="preserve">Srivastava, M.R., Gupta, P., Sachan, B. and Choudhary, S. 2020. </w:t>
      </w:r>
      <w:hyperlink r:id="rId61">
        <w:r w:rsidRPr="514A0B17">
          <w:rPr>
            <w:rStyle w:val="Hyperlink"/>
            <w:rFonts w:ascii="Calibri" w:eastAsia="Calibri" w:hAnsi="Calibri" w:cs="Calibri"/>
          </w:rPr>
          <w:t>http://ejmr.org/ahead-print/PREVALENCE%20OF%20FALLS%20AND%20SOCIODEMOGRAPHIC.pdf</w:t>
        </w:r>
      </w:hyperlink>
      <w:r w:rsidRPr="514A0B17">
        <w:rPr>
          <w:rFonts w:ascii="Calibri" w:eastAsia="Calibri" w:hAnsi="Calibri" w:cs="Calibri"/>
        </w:rPr>
        <w:t xml:space="preserve">. </w:t>
      </w:r>
      <w:r w:rsidRPr="514A0B17">
        <w:rPr>
          <w:rFonts w:ascii="Calibri" w:eastAsia="Calibri" w:hAnsi="Calibri" w:cs="Calibri"/>
          <w:i/>
          <w:iCs/>
        </w:rPr>
        <w:t>Era’s Journal of Medical Research</w:t>
      </w:r>
      <w:r w:rsidRPr="514A0B17">
        <w:rPr>
          <w:rFonts w:ascii="Calibri" w:eastAsia="Calibri" w:hAnsi="Calibri" w:cs="Calibri"/>
        </w:rPr>
        <w:t xml:space="preserve"> 7(1), pp. 59–66. Available at: </w:t>
      </w:r>
      <w:hyperlink r:id="rId62">
        <w:r w:rsidRPr="514A0B17">
          <w:rPr>
            <w:rStyle w:val="Hyperlink"/>
            <w:rFonts w:ascii="Calibri" w:eastAsia="Calibri" w:hAnsi="Calibri" w:cs="Calibri"/>
          </w:rPr>
          <w:t>http://dx.doi.org/10.24041/ejmr2020.10</w:t>
        </w:r>
      </w:hyperlink>
      <w:r w:rsidRPr="514A0B17">
        <w:rPr>
          <w:rFonts w:ascii="Calibri" w:eastAsia="Calibri" w:hAnsi="Calibri" w:cs="Calibri"/>
        </w:rPr>
        <w:t xml:space="preserve"> (Accessed: 10 March 2024).</w:t>
      </w:r>
    </w:p>
    <w:p w14:paraId="4DC0BA7D" w14:textId="5A24FE3A" w:rsidR="0854107C" w:rsidRDefault="0854107C" w:rsidP="2C96DCC6">
      <w:pPr>
        <w:ind w:left="-20" w:right="-20"/>
        <w:rPr>
          <w:rFonts w:eastAsiaTheme="minorEastAsia"/>
        </w:rPr>
      </w:pPr>
      <w:r w:rsidRPr="2C96DCC6">
        <w:rPr>
          <w:rFonts w:ascii="Calibri" w:eastAsia="Calibri" w:hAnsi="Calibri" w:cs="Calibri"/>
        </w:rPr>
        <w:t xml:space="preserve">Shamsul. (2023) PESTEL Analysis of JPMorgan Chase and Co. WiseLancer, 21 April. Available at: </w:t>
      </w:r>
      <w:hyperlink r:id="rId63">
        <w:r w:rsidRPr="2C96DCC6">
          <w:rPr>
            <w:rStyle w:val="Hyperlink"/>
            <w:rFonts w:ascii="Calibri" w:eastAsia="Calibri" w:hAnsi="Calibri" w:cs="Calibri"/>
            <w:color w:val="1155CC"/>
          </w:rPr>
          <w:t>https://wiselancer.net/pestel-analysis-of-jpmorgan-chase-and-co/</w:t>
        </w:r>
      </w:hyperlink>
      <w:r w:rsidRPr="2C96DCC6">
        <w:rPr>
          <w:rFonts w:ascii="Calibri" w:eastAsia="Calibri" w:hAnsi="Calibri" w:cs="Calibri"/>
        </w:rPr>
        <w:t xml:space="preserve"> (Accessed: 10 March 2024). </w:t>
      </w:r>
    </w:p>
    <w:p w14:paraId="61A673BD" w14:textId="000A24A6" w:rsidR="0854107C" w:rsidRDefault="0854107C" w:rsidP="4ABFA9F3">
      <w:pPr>
        <w:ind w:left="-20" w:right="-20"/>
        <w:rPr>
          <w:rFonts w:eastAsiaTheme="minorEastAsia"/>
        </w:rPr>
      </w:pPr>
      <w:r w:rsidRPr="4ABFA9F3">
        <w:rPr>
          <w:rFonts w:ascii="Calibri" w:eastAsia="Calibri" w:hAnsi="Calibri" w:cs="Calibri"/>
        </w:rPr>
        <w:t xml:space="preserve"> StudySmarter. (n.d.) Porter’s Five Forces: Definition, Model &amp; Examples. [Online] Available at: </w:t>
      </w:r>
      <w:hyperlink r:id="rId64">
        <w:r w:rsidRPr="4ABFA9F3">
          <w:rPr>
            <w:rStyle w:val="Hyperlink"/>
            <w:rFonts w:ascii="Calibri" w:eastAsia="Calibri" w:hAnsi="Calibri" w:cs="Calibri"/>
            <w:color w:val="1155CC"/>
          </w:rPr>
          <w:t>https://www.studysmarter.co.uk/explanations/business-studies/strategic-analysis/porters-five-forces/</w:t>
        </w:r>
      </w:hyperlink>
      <w:r w:rsidRPr="4ABFA9F3">
        <w:rPr>
          <w:rFonts w:ascii="Calibri" w:eastAsia="Calibri" w:hAnsi="Calibri" w:cs="Calibri"/>
        </w:rPr>
        <w:t xml:space="preserve"> (Accessed: </w:t>
      </w:r>
      <w:r w:rsidR="51827109" w:rsidRPr="4ABFA9F3">
        <w:rPr>
          <w:rFonts w:ascii="Calibri" w:eastAsia="Calibri" w:hAnsi="Calibri" w:cs="Calibri"/>
        </w:rPr>
        <w:t>01</w:t>
      </w:r>
      <w:r w:rsidRPr="4ABFA9F3">
        <w:rPr>
          <w:rFonts w:ascii="Calibri" w:eastAsia="Calibri" w:hAnsi="Calibri" w:cs="Calibri"/>
        </w:rPr>
        <w:t xml:space="preserve"> March 2024). </w:t>
      </w:r>
    </w:p>
    <w:p w14:paraId="0FEC6BED" w14:textId="5A3938D7" w:rsidR="0854107C" w:rsidRDefault="0854107C" w:rsidP="4ABFA9F3">
      <w:pPr>
        <w:ind w:left="-20" w:right="-20"/>
        <w:rPr>
          <w:rFonts w:ascii="Calibri" w:eastAsia="Calibri" w:hAnsi="Calibri" w:cs="Calibri"/>
        </w:rPr>
      </w:pPr>
      <w:r w:rsidRPr="4ABFA9F3">
        <w:rPr>
          <w:rFonts w:ascii="Calibri" w:eastAsia="Calibri" w:hAnsi="Calibri" w:cs="Calibri"/>
        </w:rPr>
        <w:t xml:space="preserve">SWOT &amp; PESTLE. (n.d.) J P Morgan Chase SWOT &amp; PESTLE Analysis. [Online] Available at: </w:t>
      </w:r>
      <w:hyperlink r:id="rId65">
        <w:r w:rsidRPr="4ABFA9F3">
          <w:rPr>
            <w:rStyle w:val="Hyperlink"/>
            <w:rFonts w:ascii="Calibri" w:eastAsia="Calibri" w:hAnsi="Calibri" w:cs="Calibri"/>
            <w:color w:val="1155CC"/>
          </w:rPr>
          <w:t>https://www.swotandpestle.com/j-p-morgan-chase/</w:t>
        </w:r>
      </w:hyperlink>
      <w:r w:rsidRPr="4ABFA9F3">
        <w:rPr>
          <w:rFonts w:ascii="Calibri" w:eastAsia="Calibri" w:hAnsi="Calibri" w:cs="Calibri"/>
        </w:rPr>
        <w:t xml:space="preserve"> (Accessed: </w:t>
      </w:r>
      <w:r w:rsidR="229E16D8" w:rsidRPr="4ABFA9F3">
        <w:rPr>
          <w:rFonts w:ascii="Calibri" w:eastAsia="Calibri" w:hAnsi="Calibri" w:cs="Calibri"/>
        </w:rPr>
        <w:t>09</w:t>
      </w:r>
      <w:r w:rsidRPr="4ABFA9F3">
        <w:rPr>
          <w:rFonts w:ascii="Calibri" w:eastAsia="Calibri" w:hAnsi="Calibri" w:cs="Calibri"/>
        </w:rPr>
        <w:t xml:space="preserve"> March 2024). </w:t>
      </w:r>
    </w:p>
    <w:p w14:paraId="0AA7746C" w14:textId="2915940C" w:rsidR="0854107C" w:rsidRDefault="0854107C" w:rsidP="2C96DCC6">
      <w:pPr>
        <w:ind w:left="-20" w:right="-20"/>
        <w:rPr>
          <w:rFonts w:eastAsiaTheme="minorEastAsia"/>
        </w:rPr>
      </w:pPr>
      <w:r w:rsidRPr="2C96DCC6">
        <w:rPr>
          <w:rFonts w:ascii="Calibri" w:eastAsia="Calibri" w:hAnsi="Calibri" w:cs="Calibri"/>
        </w:rPr>
        <w:t xml:space="preserve">SWOT &amp; PESTLE.com. (n.d.) JPMorgan Chase &amp; Co - Porter’s Five Forces Analysis. [Online] Available at: </w:t>
      </w:r>
      <w:hyperlink r:id="rId66">
        <w:r w:rsidRPr="2C96DCC6">
          <w:rPr>
            <w:rStyle w:val="Hyperlink"/>
            <w:rFonts w:ascii="Calibri" w:eastAsia="Calibri" w:hAnsi="Calibri" w:cs="Calibri"/>
            <w:color w:val="1155CC"/>
          </w:rPr>
          <w:t>https://www.swotandpestle.com/j-p-morgan-chase-porters/</w:t>
        </w:r>
      </w:hyperlink>
      <w:r w:rsidRPr="2C96DCC6">
        <w:rPr>
          <w:rFonts w:ascii="Calibri" w:eastAsia="Calibri" w:hAnsi="Calibri" w:cs="Calibri"/>
        </w:rPr>
        <w:t xml:space="preserve"> (Accessed: 10 March 2024). </w:t>
      </w:r>
    </w:p>
    <w:p w14:paraId="062060BE" w14:textId="6845BE09" w:rsidR="0854107C" w:rsidRDefault="5DEB5519" w:rsidP="4ABFA9F3">
      <w:pPr>
        <w:ind w:left="-20" w:right="-20"/>
        <w:rPr>
          <w:rFonts w:eastAsiaTheme="minorEastAsia"/>
        </w:rPr>
      </w:pPr>
      <w:r w:rsidRPr="4ABFA9F3">
        <w:rPr>
          <w:rFonts w:ascii="Calibri" w:eastAsia="Calibri" w:hAnsi="Calibri" w:cs="Calibri"/>
        </w:rPr>
        <w:t xml:space="preserve">Team, D. 2023. What are the Porter’s Five Forces of JPMorgan Chase &amp; Co. (JPM). Available at: </w:t>
      </w:r>
      <w:hyperlink r:id="rId67">
        <w:r w:rsidRPr="4ABFA9F3">
          <w:rPr>
            <w:rStyle w:val="Hyperlink"/>
            <w:rFonts w:ascii="Calibri" w:eastAsia="Calibri" w:hAnsi="Calibri" w:cs="Calibri"/>
          </w:rPr>
          <w:t>https://dcf.fm/blogs/blog/jpm-porters-five-forces-analysis</w:t>
        </w:r>
      </w:hyperlink>
      <w:r w:rsidRPr="4ABFA9F3">
        <w:rPr>
          <w:rFonts w:eastAsiaTheme="minorEastAsia"/>
          <w:color w:val="222222"/>
        </w:rPr>
        <w:t xml:space="preserve"> (Accessed: </w:t>
      </w:r>
      <w:r w:rsidR="73B8AD39" w:rsidRPr="4ABFA9F3">
        <w:rPr>
          <w:rFonts w:eastAsiaTheme="minorEastAsia"/>
          <w:color w:val="222222"/>
        </w:rPr>
        <w:t>06</w:t>
      </w:r>
      <w:r w:rsidRPr="4ABFA9F3">
        <w:rPr>
          <w:rFonts w:eastAsiaTheme="minorEastAsia"/>
          <w:color w:val="222222"/>
        </w:rPr>
        <w:t xml:space="preserve"> March 2024).</w:t>
      </w:r>
    </w:p>
    <w:p w14:paraId="3EC67E41" w14:textId="3006953D" w:rsidR="0854107C" w:rsidRDefault="0854107C" w:rsidP="2C96DCC6">
      <w:pPr>
        <w:ind w:left="-20" w:right="-20"/>
        <w:rPr>
          <w:rFonts w:ascii="Calibri" w:eastAsia="Calibri" w:hAnsi="Calibri" w:cs="Calibri"/>
        </w:rPr>
      </w:pPr>
    </w:p>
    <w:p w14:paraId="44A63662" w14:textId="151E0BF5" w:rsidR="0854107C" w:rsidRDefault="0854107C" w:rsidP="4ABFA9F3">
      <w:pPr>
        <w:ind w:left="-20" w:right="-20"/>
        <w:rPr>
          <w:rFonts w:eastAsiaTheme="minorEastAsia"/>
        </w:rPr>
      </w:pPr>
      <w:r w:rsidRPr="4ABFA9F3">
        <w:rPr>
          <w:rFonts w:ascii="Calibri" w:eastAsia="Calibri" w:hAnsi="Calibri" w:cs="Calibri"/>
        </w:rPr>
        <w:t>The Daily Hodl. (2023) JPMorgan Chase Issues Economic Alert As 2024 Arrives, Warns Market Declines</w:t>
      </w:r>
      <w:r w:rsidRPr="4ABFA9F3">
        <w:rPr>
          <w:rFonts w:eastAsiaTheme="minorEastAsia"/>
        </w:rPr>
        <w:t xml:space="preserve"> </w:t>
      </w:r>
      <w:r w:rsidR="42A7C19A" w:rsidRPr="4ABFA9F3">
        <w:rPr>
          <w:rFonts w:eastAsiaTheme="minorEastAsia"/>
          <w:color w:val="222222"/>
        </w:rPr>
        <w:t xml:space="preserve">and Volatility Incoming: Report. [Online] Available at: </w:t>
      </w:r>
      <w:hyperlink r:id="rId68">
        <w:r w:rsidR="42A7C19A" w:rsidRPr="4ABFA9F3">
          <w:rPr>
            <w:rStyle w:val="Hyperlink"/>
            <w:rFonts w:eastAsiaTheme="minorEastAsia"/>
            <w:color w:val="1155CC"/>
          </w:rPr>
          <w:t>https://dailyhodl.com/2023/12/30/jpmorgan-chase-issues-major-economic-alert-as-2024-arrives-warns-market-declines-and-volatility-incoming-report</w:t>
        </w:r>
      </w:hyperlink>
      <w:r w:rsidR="42A7C19A" w:rsidRPr="4ABFA9F3">
        <w:rPr>
          <w:rFonts w:eastAsiaTheme="minorEastAsia"/>
          <w:color w:val="222222"/>
        </w:rPr>
        <w:t xml:space="preserve"> (Accessed: </w:t>
      </w:r>
      <w:r w:rsidR="23B5DE1D" w:rsidRPr="4ABFA9F3">
        <w:rPr>
          <w:rFonts w:eastAsiaTheme="minorEastAsia"/>
          <w:color w:val="222222"/>
        </w:rPr>
        <w:t>02</w:t>
      </w:r>
      <w:r w:rsidR="42A7C19A" w:rsidRPr="4ABFA9F3">
        <w:rPr>
          <w:rFonts w:eastAsiaTheme="minorEastAsia"/>
          <w:color w:val="222222"/>
        </w:rPr>
        <w:t xml:space="preserve"> March 2024). </w:t>
      </w:r>
    </w:p>
    <w:p w14:paraId="3D6B6F03" w14:textId="27B49253" w:rsidR="0854107C" w:rsidRDefault="42A7C19A" w:rsidP="2C96DCC6">
      <w:pPr>
        <w:ind w:left="-20" w:right="-20"/>
        <w:rPr>
          <w:rFonts w:eastAsiaTheme="minorEastAsia"/>
        </w:rPr>
      </w:pPr>
      <w:r w:rsidRPr="1AA3CC53">
        <w:rPr>
          <w:rFonts w:eastAsiaTheme="minorEastAsia"/>
          <w:color w:val="222222"/>
        </w:rPr>
        <w:t xml:space="preserve">Zhang, N. 2023. JPMorgan Chase Supply Chain Finance Business Development Strategy Study. Advances in Economics, Management and Political Sciences 37(1), pp. 112–117. Available at: </w:t>
      </w:r>
      <w:hyperlink r:id="rId69">
        <w:r w:rsidRPr="1AA3CC53">
          <w:rPr>
            <w:rStyle w:val="Hyperlink"/>
            <w:rFonts w:eastAsiaTheme="minorEastAsia"/>
            <w:color w:val="1155CC"/>
          </w:rPr>
          <w:t>http://dx.doi.org/10.54254/2754-1169/37/20231849</w:t>
        </w:r>
      </w:hyperlink>
      <w:r w:rsidRPr="1AA3CC53">
        <w:rPr>
          <w:rFonts w:eastAsiaTheme="minorEastAsia"/>
          <w:color w:val="222222"/>
        </w:rPr>
        <w:t>. (Accessed date 21/02/2024)</w:t>
      </w:r>
    </w:p>
    <w:p w14:paraId="3A954452" w14:textId="5FA7E30F" w:rsidR="514A0B17" w:rsidRDefault="514A0B17" w:rsidP="514A0B17">
      <w:pPr>
        <w:ind w:left="-20" w:right="-20"/>
        <w:rPr>
          <w:rFonts w:eastAsiaTheme="minorEastAsia"/>
          <w:color w:val="222222"/>
        </w:rPr>
      </w:pPr>
    </w:p>
    <w:p w14:paraId="07E5CF26" w14:textId="5FEF54E3" w:rsidR="1AA3CC53" w:rsidRDefault="1AA3CC53" w:rsidP="1AA3CC53">
      <w:pPr>
        <w:ind w:left="-20" w:right="-20"/>
        <w:rPr>
          <w:rFonts w:eastAsiaTheme="minorEastAsia"/>
          <w:color w:val="222222"/>
          <w:sz w:val="32"/>
          <w:szCs w:val="32"/>
        </w:rPr>
      </w:pPr>
    </w:p>
    <w:p w14:paraId="177F2D92" w14:textId="3BB5EAF6" w:rsidR="1AA3CC53" w:rsidRDefault="1AA3CC53" w:rsidP="1AA3CC53">
      <w:pPr>
        <w:ind w:left="-20" w:right="-20"/>
        <w:rPr>
          <w:rFonts w:eastAsiaTheme="minorEastAsia"/>
          <w:color w:val="222222"/>
          <w:sz w:val="32"/>
          <w:szCs w:val="32"/>
        </w:rPr>
      </w:pPr>
    </w:p>
    <w:p w14:paraId="6EE4C9BE" w14:textId="14669236" w:rsidR="1AA3CC53" w:rsidRDefault="1AA3CC53" w:rsidP="1AA3CC53">
      <w:pPr>
        <w:ind w:left="-20" w:right="-20"/>
        <w:rPr>
          <w:rFonts w:eastAsiaTheme="minorEastAsia"/>
          <w:color w:val="222222"/>
          <w:sz w:val="32"/>
          <w:szCs w:val="32"/>
        </w:rPr>
      </w:pPr>
    </w:p>
    <w:p w14:paraId="64051A9C" w14:textId="6F767FB3" w:rsidR="1AA3CC53" w:rsidRDefault="1AA3CC53" w:rsidP="1AA3CC53">
      <w:pPr>
        <w:ind w:left="-20" w:right="-20"/>
        <w:rPr>
          <w:rFonts w:eastAsiaTheme="minorEastAsia"/>
          <w:color w:val="222222"/>
          <w:sz w:val="32"/>
          <w:szCs w:val="32"/>
        </w:rPr>
      </w:pPr>
    </w:p>
    <w:p w14:paraId="0DAD6E9D" w14:textId="12017E85" w:rsidR="1AA3CC53" w:rsidRDefault="1AA3CC53" w:rsidP="1AA3CC53">
      <w:pPr>
        <w:ind w:left="-20" w:right="-20"/>
        <w:rPr>
          <w:rFonts w:eastAsiaTheme="minorEastAsia"/>
          <w:color w:val="222222"/>
          <w:sz w:val="32"/>
          <w:szCs w:val="32"/>
        </w:rPr>
      </w:pPr>
    </w:p>
    <w:p w14:paraId="3F22ECE6" w14:textId="776312C9" w:rsidR="1AA3CC53" w:rsidRDefault="1AA3CC53" w:rsidP="1AA3CC53">
      <w:pPr>
        <w:ind w:left="-20" w:right="-20"/>
        <w:rPr>
          <w:rFonts w:eastAsiaTheme="minorEastAsia"/>
          <w:color w:val="222222"/>
          <w:sz w:val="32"/>
          <w:szCs w:val="32"/>
        </w:rPr>
      </w:pPr>
    </w:p>
    <w:p w14:paraId="17AE8180" w14:textId="182992DF" w:rsidR="4BE4315B" w:rsidRDefault="6EE512D3" w:rsidP="514A0B17">
      <w:pPr>
        <w:spacing w:before="120" w:after="0"/>
        <w:ind w:left="-20" w:right="-20"/>
        <w:rPr>
          <w:b/>
          <w:bCs/>
          <w:sz w:val="32"/>
          <w:szCs w:val="32"/>
        </w:rPr>
      </w:pPr>
      <w:r w:rsidRPr="514A0B17">
        <w:rPr>
          <w:rFonts w:eastAsiaTheme="minorEastAsia"/>
          <w:color w:val="222222"/>
          <w:sz w:val="32"/>
          <w:szCs w:val="32"/>
        </w:rPr>
        <w:t xml:space="preserve">                                 </w:t>
      </w:r>
      <w:r w:rsidR="0E91A317" w:rsidRPr="514A0B17">
        <w:rPr>
          <w:rFonts w:eastAsiaTheme="minorEastAsia"/>
          <w:color w:val="222222"/>
          <w:sz w:val="32"/>
          <w:szCs w:val="32"/>
        </w:rPr>
        <w:t xml:space="preserve">   </w:t>
      </w:r>
    </w:p>
    <w:p w14:paraId="1F4B1F83" w14:textId="0C00F95C" w:rsidR="4BE4315B" w:rsidRDefault="4BE4315B" w:rsidP="514A0B17">
      <w:pPr>
        <w:spacing w:before="120" w:after="0"/>
        <w:ind w:left="-20" w:right="-20"/>
        <w:rPr>
          <w:rFonts w:eastAsiaTheme="minorEastAsia"/>
          <w:color w:val="222222"/>
          <w:sz w:val="32"/>
          <w:szCs w:val="32"/>
        </w:rPr>
      </w:pPr>
    </w:p>
    <w:p w14:paraId="24159B14" w14:textId="239BAB71" w:rsidR="4BE4315B" w:rsidRDefault="4BE4315B" w:rsidP="514A0B17">
      <w:pPr>
        <w:spacing w:before="120" w:after="0"/>
        <w:ind w:left="-20" w:right="-20"/>
        <w:rPr>
          <w:rFonts w:eastAsiaTheme="minorEastAsia"/>
          <w:color w:val="222222"/>
          <w:sz w:val="32"/>
          <w:szCs w:val="32"/>
        </w:rPr>
      </w:pPr>
    </w:p>
    <w:p w14:paraId="3CBBD5D2" w14:textId="29982D34" w:rsidR="4BE4315B" w:rsidRDefault="4BE4315B" w:rsidP="514A0B17">
      <w:pPr>
        <w:spacing w:before="120" w:after="0"/>
        <w:ind w:left="-20" w:right="-20"/>
        <w:rPr>
          <w:rFonts w:eastAsiaTheme="minorEastAsia"/>
          <w:color w:val="222222"/>
          <w:sz w:val="32"/>
          <w:szCs w:val="32"/>
        </w:rPr>
      </w:pPr>
    </w:p>
    <w:p w14:paraId="60A4F584" w14:textId="56B2F6B2" w:rsidR="4BE4315B" w:rsidRDefault="4BE4315B" w:rsidP="514A0B17">
      <w:pPr>
        <w:spacing w:before="120" w:after="0"/>
        <w:ind w:left="-20" w:right="-20"/>
        <w:rPr>
          <w:rFonts w:eastAsiaTheme="minorEastAsia"/>
          <w:color w:val="222222"/>
          <w:sz w:val="32"/>
          <w:szCs w:val="32"/>
        </w:rPr>
      </w:pPr>
    </w:p>
    <w:p w14:paraId="25FA754A" w14:textId="7B59DECE" w:rsidR="4BE4315B" w:rsidRDefault="4BE4315B" w:rsidP="514A0B17">
      <w:pPr>
        <w:spacing w:before="120" w:after="0"/>
        <w:ind w:left="-20" w:right="-20"/>
        <w:rPr>
          <w:rFonts w:eastAsiaTheme="minorEastAsia"/>
          <w:color w:val="222222"/>
          <w:sz w:val="32"/>
          <w:szCs w:val="32"/>
        </w:rPr>
      </w:pPr>
    </w:p>
    <w:p w14:paraId="29DBCA51" w14:textId="61CB2705" w:rsidR="4BE4315B" w:rsidRDefault="4BE4315B" w:rsidP="514A0B17">
      <w:pPr>
        <w:spacing w:before="120" w:after="0"/>
        <w:ind w:left="-20" w:right="-20"/>
        <w:rPr>
          <w:rFonts w:eastAsiaTheme="minorEastAsia"/>
          <w:color w:val="222222"/>
          <w:sz w:val="32"/>
          <w:szCs w:val="32"/>
        </w:rPr>
      </w:pPr>
    </w:p>
    <w:p w14:paraId="617F9D31" w14:textId="15C7F1CC" w:rsidR="4BE4315B" w:rsidRDefault="4BE4315B" w:rsidP="514A0B17">
      <w:pPr>
        <w:spacing w:before="120" w:after="0"/>
        <w:ind w:left="-20" w:right="-20"/>
        <w:rPr>
          <w:rFonts w:eastAsiaTheme="minorEastAsia"/>
          <w:color w:val="222222"/>
          <w:sz w:val="32"/>
          <w:szCs w:val="32"/>
        </w:rPr>
      </w:pPr>
    </w:p>
    <w:p w14:paraId="31E79441" w14:textId="24629A00" w:rsidR="4BE4315B" w:rsidRDefault="4BE4315B" w:rsidP="514A0B17">
      <w:pPr>
        <w:spacing w:before="120" w:after="0"/>
        <w:ind w:left="-20" w:right="-20"/>
        <w:rPr>
          <w:rFonts w:eastAsiaTheme="minorEastAsia"/>
          <w:color w:val="222222"/>
          <w:sz w:val="32"/>
          <w:szCs w:val="32"/>
        </w:rPr>
      </w:pPr>
    </w:p>
    <w:p w14:paraId="083A8ECB" w14:textId="61BECE16" w:rsidR="4BE4315B" w:rsidRDefault="4BE4315B" w:rsidP="514A0B17">
      <w:pPr>
        <w:spacing w:before="120" w:after="0"/>
        <w:ind w:left="-20" w:right="-20"/>
        <w:rPr>
          <w:rFonts w:eastAsiaTheme="minorEastAsia"/>
          <w:color w:val="222222"/>
          <w:sz w:val="32"/>
          <w:szCs w:val="32"/>
        </w:rPr>
      </w:pPr>
    </w:p>
    <w:p w14:paraId="35E61E81" w14:textId="2B7871DE" w:rsidR="4BE4315B" w:rsidRDefault="4BE4315B" w:rsidP="514A0B17">
      <w:pPr>
        <w:spacing w:before="120" w:after="0"/>
        <w:ind w:left="-20" w:right="-20"/>
        <w:rPr>
          <w:rFonts w:eastAsiaTheme="minorEastAsia"/>
          <w:color w:val="222222"/>
          <w:sz w:val="32"/>
          <w:szCs w:val="32"/>
        </w:rPr>
      </w:pPr>
    </w:p>
    <w:p w14:paraId="249D64FC" w14:textId="0F76D87C" w:rsidR="4BE4315B" w:rsidRDefault="6B2FFA69" w:rsidP="514A0B17">
      <w:pPr>
        <w:spacing w:before="120" w:after="0"/>
        <w:ind w:left="-20" w:right="-20"/>
        <w:rPr>
          <w:b/>
          <w:bCs/>
          <w:sz w:val="32"/>
          <w:szCs w:val="32"/>
        </w:rPr>
      </w:pPr>
      <w:r w:rsidRPr="514A0B17">
        <w:rPr>
          <w:rFonts w:eastAsiaTheme="minorEastAsia"/>
          <w:color w:val="222222"/>
          <w:sz w:val="32"/>
          <w:szCs w:val="32"/>
        </w:rPr>
        <w:t xml:space="preserve">                                      </w:t>
      </w:r>
    </w:p>
    <w:p w14:paraId="20F0E830" w14:textId="68FD6679" w:rsidR="4BE4315B" w:rsidRDefault="6B2FFA69" w:rsidP="1AA3CC53">
      <w:pPr>
        <w:spacing w:before="120" w:after="0"/>
        <w:ind w:left="-20" w:right="-20"/>
        <w:rPr>
          <w:b/>
          <w:bCs/>
          <w:sz w:val="32"/>
          <w:szCs w:val="32"/>
        </w:rPr>
      </w:pPr>
      <w:r w:rsidRPr="514A0B17">
        <w:rPr>
          <w:rFonts w:eastAsiaTheme="minorEastAsia"/>
          <w:color w:val="222222"/>
          <w:sz w:val="32"/>
          <w:szCs w:val="32"/>
        </w:rPr>
        <w:t xml:space="preserve">  </w:t>
      </w:r>
      <w:r w:rsidR="6E00D272" w:rsidRPr="1AA3CC53">
        <w:rPr>
          <w:rFonts w:eastAsiaTheme="minorEastAsia"/>
          <w:color w:val="222222"/>
          <w:sz w:val="32"/>
          <w:szCs w:val="32"/>
        </w:rPr>
        <w:t xml:space="preserve">                                 </w:t>
      </w:r>
      <w:r w:rsidR="31939F13" w:rsidRPr="1AA3CC53">
        <w:rPr>
          <w:rFonts w:eastAsiaTheme="minorEastAsia"/>
          <w:color w:val="222222"/>
          <w:sz w:val="32"/>
          <w:szCs w:val="32"/>
        </w:rPr>
        <w:t xml:space="preserve">       </w:t>
      </w:r>
      <w:r w:rsidR="31939F13">
        <w:rPr>
          <w:noProof/>
        </w:rPr>
        <w:drawing>
          <wp:inline distT="0" distB="0" distL="0" distR="0" wp14:anchorId="0ECB8C18" wp14:editId="141D6E6F">
            <wp:extent cx="1278385" cy="274320"/>
            <wp:effectExtent l="0" t="0" r="0" b="0"/>
            <wp:docPr id="1999643771"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17470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p>
    <w:p w14:paraId="7F7DFA66" w14:textId="2D7761E3" w:rsidR="4BE4315B" w:rsidRDefault="4BE4315B" w:rsidP="514A0B17">
      <w:pPr>
        <w:shd w:val="clear" w:color="auto" w:fill="FFFFFF" w:themeFill="background1"/>
        <w:spacing w:before="120" w:after="0"/>
        <w:ind w:left="-20" w:right="-20"/>
        <w:rPr>
          <w:rFonts w:eastAsiaTheme="minorEastAsia"/>
          <w:b/>
          <w:bCs/>
          <w:color w:val="4A3C10"/>
          <w:sz w:val="32"/>
          <w:szCs w:val="32"/>
        </w:rPr>
      </w:pPr>
    </w:p>
    <w:p w14:paraId="55F4592E" w14:textId="7003657B" w:rsidR="4BE4315B" w:rsidRDefault="4BE4315B" w:rsidP="514A0B17">
      <w:pPr>
        <w:shd w:val="clear" w:color="auto" w:fill="FFFFFF" w:themeFill="background1"/>
        <w:spacing w:before="120" w:after="0"/>
        <w:ind w:left="-20" w:right="-20"/>
        <w:rPr>
          <w:rFonts w:eastAsiaTheme="minorEastAsia"/>
          <w:b/>
          <w:bCs/>
          <w:color w:val="4A3C10"/>
          <w:sz w:val="32"/>
          <w:szCs w:val="32"/>
        </w:rPr>
      </w:pPr>
    </w:p>
    <w:p w14:paraId="146AD002" w14:textId="23678D00" w:rsidR="4BE4315B" w:rsidRDefault="4BE4315B" w:rsidP="514A0B17">
      <w:pPr>
        <w:shd w:val="clear" w:color="auto" w:fill="FFFFFF" w:themeFill="background1"/>
        <w:spacing w:before="120" w:after="0"/>
        <w:ind w:left="-20" w:right="-20"/>
        <w:rPr>
          <w:rFonts w:eastAsiaTheme="minorEastAsia"/>
          <w:b/>
          <w:bCs/>
          <w:color w:val="4A3C10"/>
          <w:sz w:val="32"/>
          <w:szCs w:val="32"/>
        </w:rPr>
      </w:pPr>
    </w:p>
    <w:p w14:paraId="350B10BD" w14:textId="3120A764" w:rsidR="4BE4315B" w:rsidRDefault="098C3138" w:rsidP="1AA3CC53">
      <w:pPr>
        <w:shd w:val="clear" w:color="auto" w:fill="FFFFFF" w:themeFill="background1"/>
        <w:spacing w:before="120" w:after="0"/>
        <w:ind w:left="-20" w:right="-20"/>
        <w:rPr>
          <w:rFonts w:eastAsiaTheme="minorEastAsia"/>
          <w:b/>
          <w:bCs/>
          <w:color w:val="4A3C10"/>
          <w:sz w:val="32"/>
          <w:szCs w:val="32"/>
          <w:u w:val="single"/>
        </w:rPr>
      </w:pPr>
      <w:r w:rsidRPr="1AA3CC53">
        <w:rPr>
          <w:rFonts w:eastAsiaTheme="minorEastAsia"/>
          <w:b/>
          <w:bCs/>
          <w:color w:val="4A3C10"/>
          <w:sz w:val="32"/>
          <w:szCs w:val="32"/>
        </w:rPr>
        <w:t>Appendices</w:t>
      </w:r>
    </w:p>
    <w:p w14:paraId="25F815B0" w14:textId="2418EDC7" w:rsidR="4BE4315B" w:rsidRDefault="4BE4315B" w:rsidP="1CDBF6BD">
      <w:pPr>
        <w:shd w:val="clear" w:color="auto" w:fill="FFFFFF" w:themeFill="background1"/>
        <w:spacing w:after="0"/>
        <w:ind w:left="-20" w:right="-20"/>
        <w:rPr>
          <w:rFonts w:eastAsiaTheme="minorEastAsia"/>
          <w:sz w:val="24"/>
          <w:szCs w:val="24"/>
        </w:rPr>
      </w:pPr>
    </w:p>
    <w:p w14:paraId="78A630C0" w14:textId="4C2FC0B1" w:rsidR="4BE4315B" w:rsidRDefault="4BE4315B" w:rsidP="1AA3CC53">
      <w:pPr>
        <w:pStyle w:val="Frspaiere"/>
        <w:rPr>
          <w:rFonts w:eastAsiaTheme="minorEastAsia"/>
          <w:sz w:val="24"/>
          <w:szCs w:val="24"/>
        </w:rPr>
      </w:pPr>
    </w:p>
    <w:p w14:paraId="7E1C2023" w14:textId="2EBB3919" w:rsidR="4BE4315B" w:rsidRDefault="4BE4315B" w:rsidP="1CDBF6BD">
      <w:pPr>
        <w:pStyle w:val="Frspaiere"/>
      </w:pPr>
    </w:p>
    <w:p w14:paraId="47FA70DB" w14:textId="3D6AC4F1" w:rsidR="4BE4315B" w:rsidRDefault="0C2B6964" w:rsidP="1AA3CC53">
      <w:pPr>
        <w:pStyle w:val="Frspaiere"/>
        <w:rPr>
          <w:sz w:val="24"/>
          <w:szCs w:val="24"/>
        </w:rPr>
      </w:pPr>
      <w:r w:rsidRPr="1AA3CC53">
        <w:rPr>
          <w:b/>
          <w:bCs/>
          <w:sz w:val="24"/>
          <w:szCs w:val="24"/>
        </w:rPr>
        <w:t xml:space="preserve">      </w:t>
      </w:r>
      <w:r w:rsidR="3B7347D8" w:rsidRPr="1AA3CC53">
        <w:rPr>
          <w:b/>
          <w:bCs/>
          <w:sz w:val="24"/>
          <w:szCs w:val="24"/>
        </w:rPr>
        <w:t xml:space="preserve">Appendix A:  SWOT Analysis  </w:t>
      </w:r>
    </w:p>
    <w:tbl>
      <w:tblPr>
        <w:tblStyle w:val="Tabelgril"/>
        <w:tblW w:w="0" w:type="auto"/>
        <w:tblLayout w:type="fixed"/>
        <w:tblLook w:val="06A0" w:firstRow="1" w:lastRow="0" w:firstColumn="1" w:lastColumn="0" w:noHBand="1" w:noVBand="1"/>
      </w:tblPr>
      <w:tblGrid>
        <w:gridCol w:w="4508"/>
        <w:gridCol w:w="4508"/>
      </w:tblGrid>
      <w:tr w:rsidR="5CA746E1" w14:paraId="3F4F24F0" w14:textId="77777777" w:rsidTr="5CA746E1">
        <w:trPr>
          <w:trHeight w:val="300"/>
        </w:trPr>
        <w:tc>
          <w:tcPr>
            <w:tcW w:w="4508" w:type="dxa"/>
          </w:tcPr>
          <w:p w14:paraId="239A797A" w14:textId="4DC36886" w:rsidR="6788ACFD" w:rsidRDefault="6788ACFD">
            <w:r w:rsidRPr="5CA746E1">
              <w:rPr>
                <w:rFonts w:ascii="Calibri" w:eastAsia="Calibri" w:hAnsi="Calibri" w:cs="Calibri"/>
                <w:sz w:val="24"/>
                <w:szCs w:val="24"/>
              </w:rPr>
              <w:t>Strengths:</w:t>
            </w:r>
          </w:p>
          <w:p w14:paraId="2ECAC179" w14:textId="0B60D47D" w:rsidR="5CA746E1" w:rsidRDefault="5CA746E1" w:rsidP="5CA746E1">
            <w:pPr>
              <w:pStyle w:val="Frspaiere"/>
              <w:rPr>
                <w:b/>
                <w:bCs/>
                <w:sz w:val="24"/>
                <w:szCs w:val="24"/>
              </w:rPr>
            </w:pPr>
          </w:p>
        </w:tc>
        <w:tc>
          <w:tcPr>
            <w:tcW w:w="4508" w:type="dxa"/>
          </w:tcPr>
          <w:p w14:paraId="5B60C6B9" w14:textId="6B660AFB" w:rsidR="6788ACFD" w:rsidRDefault="6788ACFD">
            <w:r w:rsidRPr="5CA746E1">
              <w:rPr>
                <w:rFonts w:ascii="Calibri" w:eastAsia="Calibri" w:hAnsi="Calibri" w:cs="Calibri"/>
                <w:sz w:val="24"/>
                <w:szCs w:val="24"/>
              </w:rPr>
              <w:t>• Strong global presence with operations in over 100 countries.</w:t>
            </w:r>
          </w:p>
          <w:p w14:paraId="195C7472" w14:textId="3FAA053A" w:rsidR="6788ACFD" w:rsidRDefault="6788ACFD">
            <w:r w:rsidRPr="5CA746E1">
              <w:rPr>
                <w:rFonts w:ascii="Calibri" w:eastAsia="Calibri" w:hAnsi="Calibri" w:cs="Calibri"/>
                <w:sz w:val="24"/>
                <w:szCs w:val="24"/>
              </w:rPr>
              <w:t>• Established brand reputation built on trust and reliability.</w:t>
            </w:r>
          </w:p>
          <w:p w14:paraId="10455430" w14:textId="6FBE1843" w:rsidR="6788ACFD" w:rsidRDefault="6788ACFD">
            <w:r w:rsidRPr="5CA746E1">
              <w:rPr>
                <w:rFonts w:ascii="Calibri" w:eastAsia="Calibri" w:hAnsi="Calibri" w:cs="Calibri"/>
                <w:sz w:val="24"/>
                <w:szCs w:val="24"/>
              </w:rPr>
              <w:t>• Robust technological infrastructure with extensive online and mobile banking services.</w:t>
            </w:r>
          </w:p>
          <w:p w14:paraId="28A36AB5" w14:textId="40024CB6" w:rsidR="5CA746E1" w:rsidRDefault="5CA746E1" w:rsidP="5CA746E1">
            <w:pPr>
              <w:pStyle w:val="Frspaiere"/>
              <w:rPr>
                <w:b/>
                <w:bCs/>
                <w:sz w:val="24"/>
                <w:szCs w:val="24"/>
              </w:rPr>
            </w:pPr>
          </w:p>
        </w:tc>
      </w:tr>
      <w:tr w:rsidR="5CA746E1" w14:paraId="06297A91" w14:textId="77777777" w:rsidTr="5CA746E1">
        <w:trPr>
          <w:trHeight w:val="300"/>
        </w:trPr>
        <w:tc>
          <w:tcPr>
            <w:tcW w:w="4508" w:type="dxa"/>
          </w:tcPr>
          <w:p w14:paraId="69C604A8" w14:textId="2DB94724" w:rsidR="5CA746E1" w:rsidRDefault="5CA746E1"/>
          <w:p w14:paraId="433F8918" w14:textId="17C59AF4" w:rsidR="6788ACFD" w:rsidRDefault="6788ACFD">
            <w:r w:rsidRPr="5CA746E1">
              <w:rPr>
                <w:rFonts w:ascii="Calibri" w:eastAsia="Calibri" w:hAnsi="Calibri" w:cs="Calibri"/>
                <w:sz w:val="24"/>
                <w:szCs w:val="24"/>
              </w:rPr>
              <w:t>Weaknesses:</w:t>
            </w:r>
          </w:p>
          <w:p w14:paraId="24199610" w14:textId="24415479" w:rsidR="5CA746E1" w:rsidRDefault="5CA746E1" w:rsidP="5CA746E1">
            <w:pPr>
              <w:pStyle w:val="Frspaiere"/>
              <w:rPr>
                <w:b/>
                <w:bCs/>
                <w:sz w:val="24"/>
                <w:szCs w:val="24"/>
              </w:rPr>
            </w:pPr>
          </w:p>
        </w:tc>
        <w:tc>
          <w:tcPr>
            <w:tcW w:w="4508" w:type="dxa"/>
          </w:tcPr>
          <w:p w14:paraId="425314E6" w14:textId="3E776FA4" w:rsidR="6788ACFD" w:rsidRDefault="6788ACFD">
            <w:r w:rsidRPr="5CA746E1">
              <w:rPr>
                <w:rFonts w:ascii="Calibri" w:eastAsia="Calibri" w:hAnsi="Calibri" w:cs="Calibri"/>
                <w:sz w:val="24"/>
                <w:szCs w:val="24"/>
              </w:rPr>
              <w:t>• Susceptibility to risks associated with the highly regulated financial industry.</w:t>
            </w:r>
          </w:p>
          <w:p w14:paraId="24AAB231" w14:textId="131ED21A" w:rsidR="6788ACFD" w:rsidRDefault="6788ACFD">
            <w:r w:rsidRPr="5CA746E1">
              <w:rPr>
                <w:rFonts w:ascii="Calibri" w:eastAsia="Calibri" w:hAnsi="Calibri" w:cs="Calibri"/>
                <w:sz w:val="24"/>
                <w:szCs w:val="24"/>
              </w:rPr>
              <w:t>• Large size and complexity of business segments, including investment banking, commercial banking, and asset management.</w:t>
            </w:r>
          </w:p>
          <w:p w14:paraId="36F69A8C" w14:textId="54B09BB9" w:rsidR="5CA746E1" w:rsidRDefault="5CA746E1" w:rsidP="5CA746E1">
            <w:pPr>
              <w:pStyle w:val="Frspaiere"/>
              <w:rPr>
                <w:b/>
                <w:bCs/>
                <w:sz w:val="24"/>
                <w:szCs w:val="24"/>
              </w:rPr>
            </w:pPr>
          </w:p>
        </w:tc>
      </w:tr>
      <w:tr w:rsidR="5CA746E1" w14:paraId="142444F8" w14:textId="77777777" w:rsidTr="5CA746E1">
        <w:trPr>
          <w:trHeight w:val="300"/>
        </w:trPr>
        <w:tc>
          <w:tcPr>
            <w:tcW w:w="4508" w:type="dxa"/>
          </w:tcPr>
          <w:p w14:paraId="04C7A967" w14:textId="50770A91" w:rsidR="6788ACFD" w:rsidRDefault="6788ACFD">
            <w:r w:rsidRPr="5CA746E1">
              <w:rPr>
                <w:rFonts w:ascii="Calibri" w:eastAsia="Calibri" w:hAnsi="Calibri" w:cs="Calibri"/>
                <w:sz w:val="24"/>
                <w:szCs w:val="24"/>
              </w:rPr>
              <w:t>Opportunities:</w:t>
            </w:r>
          </w:p>
          <w:p w14:paraId="03CDCDCC" w14:textId="437B46F2" w:rsidR="5CA746E1" w:rsidRDefault="5CA746E1" w:rsidP="5CA746E1">
            <w:pPr>
              <w:pStyle w:val="Frspaiere"/>
              <w:rPr>
                <w:b/>
                <w:bCs/>
                <w:sz w:val="24"/>
                <w:szCs w:val="24"/>
              </w:rPr>
            </w:pPr>
          </w:p>
        </w:tc>
        <w:tc>
          <w:tcPr>
            <w:tcW w:w="4508" w:type="dxa"/>
          </w:tcPr>
          <w:p w14:paraId="2CCF48A5" w14:textId="147B00FD" w:rsidR="6788ACFD" w:rsidRDefault="6788ACFD">
            <w:r w:rsidRPr="5CA746E1">
              <w:rPr>
                <w:rFonts w:ascii="Calibri" w:eastAsia="Calibri" w:hAnsi="Calibri" w:cs="Calibri"/>
                <w:sz w:val="24"/>
                <w:szCs w:val="24"/>
              </w:rPr>
              <w:t>• Increased adoption of digital banking to attract tech-savvy customers.</w:t>
            </w:r>
          </w:p>
          <w:p w14:paraId="5E52076A" w14:textId="718647C4" w:rsidR="6788ACFD" w:rsidRDefault="6788ACFD">
            <w:r w:rsidRPr="5CA746E1">
              <w:rPr>
                <w:rFonts w:ascii="Calibri" w:eastAsia="Calibri" w:hAnsi="Calibri" w:cs="Calibri"/>
                <w:sz w:val="24"/>
                <w:szCs w:val="24"/>
              </w:rPr>
              <w:t>• Leveraging global middle class and emerging markets to diversify revenue streams.</w:t>
            </w:r>
          </w:p>
          <w:p w14:paraId="68535290" w14:textId="726EE615" w:rsidR="5CA746E1" w:rsidRDefault="5CA746E1" w:rsidP="5CA746E1">
            <w:pPr>
              <w:pStyle w:val="Frspaiere"/>
              <w:rPr>
                <w:b/>
                <w:bCs/>
                <w:sz w:val="24"/>
                <w:szCs w:val="24"/>
              </w:rPr>
            </w:pPr>
          </w:p>
        </w:tc>
      </w:tr>
      <w:tr w:rsidR="5CA746E1" w14:paraId="1FDFADEF" w14:textId="77777777" w:rsidTr="5CA746E1">
        <w:trPr>
          <w:trHeight w:val="300"/>
        </w:trPr>
        <w:tc>
          <w:tcPr>
            <w:tcW w:w="4508" w:type="dxa"/>
          </w:tcPr>
          <w:p w14:paraId="20B5F292" w14:textId="35E9FCB7" w:rsidR="6788ACFD" w:rsidRDefault="6788ACFD">
            <w:r w:rsidRPr="5CA746E1">
              <w:rPr>
                <w:rFonts w:ascii="Calibri" w:eastAsia="Calibri" w:hAnsi="Calibri" w:cs="Calibri"/>
                <w:sz w:val="24"/>
                <w:szCs w:val="24"/>
              </w:rPr>
              <w:t>Threats:</w:t>
            </w:r>
          </w:p>
          <w:p w14:paraId="48E25A0B" w14:textId="3DB2C506" w:rsidR="5CA746E1" w:rsidRDefault="5CA746E1" w:rsidP="5CA746E1">
            <w:pPr>
              <w:pStyle w:val="Frspaiere"/>
              <w:rPr>
                <w:b/>
                <w:bCs/>
                <w:sz w:val="24"/>
                <w:szCs w:val="24"/>
              </w:rPr>
            </w:pPr>
          </w:p>
        </w:tc>
        <w:tc>
          <w:tcPr>
            <w:tcW w:w="4508" w:type="dxa"/>
          </w:tcPr>
          <w:p w14:paraId="2CB7DE3D" w14:textId="1A15E699" w:rsidR="6788ACFD" w:rsidRDefault="6788ACFD">
            <w:r w:rsidRPr="5CA746E1">
              <w:rPr>
                <w:rFonts w:ascii="Calibri" w:eastAsia="Calibri" w:hAnsi="Calibri" w:cs="Calibri"/>
                <w:sz w:val="24"/>
                <w:szCs w:val="24"/>
              </w:rPr>
              <w:t>• Increased competition from fintech companies disrupting traditional banking models.</w:t>
            </w:r>
          </w:p>
          <w:p w14:paraId="7BC609C3" w14:textId="624DB66D" w:rsidR="6788ACFD" w:rsidRDefault="6788ACFD">
            <w:r w:rsidRPr="5CA746E1">
              <w:rPr>
                <w:rFonts w:ascii="Calibri" w:eastAsia="Calibri" w:hAnsi="Calibri" w:cs="Calibri"/>
                <w:sz w:val="24"/>
                <w:szCs w:val="24"/>
              </w:rPr>
              <w:t>• Geopolitical and macroeconomic factors affecting profitability and stability.</w:t>
            </w:r>
          </w:p>
          <w:p w14:paraId="54255F44" w14:textId="29A0D83B" w:rsidR="6788ACFD" w:rsidRDefault="6788ACFD">
            <w:r w:rsidRPr="5CA746E1">
              <w:rPr>
                <w:rFonts w:ascii="Calibri" w:eastAsia="Calibri" w:hAnsi="Calibri" w:cs="Calibri"/>
                <w:sz w:val="24"/>
                <w:szCs w:val="24"/>
              </w:rPr>
              <w:t>• Reputation risks due to misconduct or unethical behavior by the bank or its employees.</w:t>
            </w:r>
          </w:p>
          <w:p w14:paraId="1EC79A64" w14:textId="5EF46D92" w:rsidR="5CA746E1" w:rsidRDefault="5CA746E1" w:rsidP="5CA746E1">
            <w:pPr>
              <w:pStyle w:val="Frspaiere"/>
              <w:rPr>
                <w:b/>
                <w:bCs/>
                <w:sz w:val="24"/>
                <w:szCs w:val="24"/>
              </w:rPr>
            </w:pPr>
          </w:p>
        </w:tc>
      </w:tr>
    </w:tbl>
    <w:p w14:paraId="3CAEA3F8" w14:textId="563FF522" w:rsidR="76E99FD4" w:rsidRDefault="76E99FD4"/>
    <w:p w14:paraId="53A8E156" w14:textId="2DB94724" w:rsidR="76E99FD4" w:rsidRDefault="76E99FD4"/>
    <w:p w14:paraId="7E9178DC" w14:textId="54C08672" w:rsidR="76E99FD4" w:rsidRDefault="76E99FD4"/>
    <w:p w14:paraId="5A3CC84C" w14:textId="379D0838" w:rsidR="76E99FD4" w:rsidRDefault="76E99FD4"/>
    <w:p w14:paraId="2E47F579" w14:textId="3C2D3897" w:rsidR="76E99FD4" w:rsidRDefault="76E99FD4"/>
    <w:p w14:paraId="0B6632B4" w14:textId="2ECDB7C3" w:rsidR="4621201C" w:rsidRDefault="4621201C">
      <w:r w:rsidRPr="76E99FD4">
        <w:rPr>
          <w:rFonts w:ascii="Calibri" w:eastAsia="Calibri" w:hAnsi="Calibri" w:cs="Calibri"/>
          <w:sz w:val="24"/>
          <w:szCs w:val="24"/>
        </w:rPr>
        <w:t>Key Takeaways:</w:t>
      </w:r>
    </w:p>
    <w:p w14:paraId="01F2FAF7" w14:textId="6D9752F0" w:rsidR="4621201C" w:rsidRDefault="1A46AE6A" w:rsidP="0195C439">
      <w:pPr>
        <w:rPr>
          <w:rFonts w:ascii="Calibri" w:eastAsia="Calibri" w:hAnsi="Calibri" w:cs="Calibri"/>
          <w:sz w:val="24"/>
          <w:szCs w:val="24"/>
        </w:rPr>
      </w:pPr>
      <w:r w:rsidRPr="0195C439">
        <w:rPr>
          <w:rFonts w:ascii="Calibri" w:eastAsia="Calibri" w:hAnsi="Calibri" w:cs="Calibri"/>
          <w:sz w:val="24"/>
          <w:szCs w:val="24"/>
        </w:rPr>
        <w:t>• JPMorgan</w:t>
      </w:r>
      <w:r w:rsidR="63E7C262" w:rsidRPr="0195C439">
        <w:rPr>
          <w:rFonts w:ascii="Calibri" w:eastAsia="Calibri" w:hAnsi="Calibri" w:cs="Calibri"/>
          <w:sz w:val="24"/>
          <w:szCs w:val="24"/>
        </w:rPr>
        <w:t>-Bank</w:t>
      </w:r>
      <w:r w:rsidRPr="0195C439">
        <w:rPr>
          <w:rFonts w:ascii="Calibri" w:eastAsia="Calibri" w:hAnsi="Calibri" w:cs="Calibri"/>
          <w:sz w:val="24"/>
          <w:szCs w:val="24"/>
        </w:rPr>
        <w:t xml:space="preserve"> is owned by shareholders, with Vanguard Group, BlackRock, and State Street Corporation as the largest institutional shareholders.</w:t>
      </w:r>
    </w:p>
    <w:p w14:paraId="40B1CA63" w14:textId="449A7C0F" w:rsidR="4621201C" w:rsidRDefault="4621201C">
      <w:r w:rsidRPr="76E99FD4">
        <w:rPr>
          <w:rFonts w:ascii="Calibri" w:eastAsia="Calibri" w:hAnsi="Calibri" w:cs="Calibri"/>
          <w:sz w:val="24"/>
          <w:szCs w:val="24"/>
        </w:rPr>
        <w:t>• The mission statement is to create economic value for clients, shareholders, and employees.</w:t>
      </w:r>
    </w:p>
    <w:p w14:paraId="60C18EB5" w14:textId="282F482F" w:rsidR="4621201C" w:rsidRDefault="4621201C">
      <w:r w:rsidRPr="76E99FD4">
        <w:rPr>
          <w:rFonts w:ascii="Calibri" w:eastAsia="Calibri" w:hAnsi="Calibri" w:cs="Calibri"/>
          <w:sz w:val="24"/>
          <w:szCs w:val="24"/>
        </w:rPr>
        <w:t>• Revenue primarily comes from interest income, fees, and commissions.</w:t>
      </w:r>
    </w:p>
    <w:p w14:paraId="2277E649" w14:textId="50AFD702" w:rsidR="4621201C" w:rsidRDefault="1A46AE6A">
      <w:r w:rsidRPr="0195C439">
        <w:rPr>
          <w:rFonts w:ascii="Calibri" w:eastAsia="Calibri" w:hAnsi="Calibri" w:cs="Calibri"/>
          <w:sz w:val="24"/>
          <w:szCs w:val="24"/>
        </w:rPr>
        <w:t>• The JPMorgan</w:t>
      </w:r>
      <w:r w:rsidR="684D4F23" w:rsidRPr="0195C439">
        <w:rPr>
          <w:rFonts w:ascii="Calibri" w:eastAsia="Calibri" w:hAnsi="Calibri" w:cs="Calibri"/>
          <w:sz w:val="24"/>
          <w:szCs w:val="24"/>
        </w:rPr>
        <w:t>-Bank</w:t>
      </w:r>
      <w:r w:rsidRPr="0195C439">
        <w:rPr>
          <w:rFonts w:ascii="Calibri" w:eastAsia="Calibri" w:hAnsi="Calibri" w:cs="Calibri"/>
          <w:sz w:val="24"/>
          <w:szCs w:val="24"/>
        </w:rPr>
        <w:t xml:space="preserve"> Business Model Canvas explains key activities, resources, customer segments, and value propositions.</w:t>
      </w:r>
    </w:p>
    <w:p w14:paraId="7138A15A" w14:textId="6BEEF843" w:rsidR="4621201C" w:rsidRDefault="4621201C" w:rsidP="76E99FD4">
      <w:pPr>
        <w:pStyle w:val="Frspaiere"/>
      </w:pPr>
      <w:r w:rsidRPr="76E99FD4">
        <w:rPr>
          <w:rFonts w:ascii="Calibri" w:eastAsia="Calibri" w:hAnsi="Calibri" w:cs="Calibri"/>
          <w:sz w:val="24"/>
          <w:szCs w:val="24"/>
        </w:rPr>
        <w:t>• Competitors include Bank of America, Citigroup, Wells Fargo, and Goldman Sachs.</w:t>
      </w:r>
    </w:p>
    <w:p w14:paraId="2180AD8B" w14:textId="69B02BA5" w:rsidR="4BE4315B" w:rsidRDefault="4BE4315B" w:rsidP="1CDBF6BD">
      <w:pPr>
        <w:rPr>
          <w:sz w:val="24"/>
          <w:szCs w:val="24"/>
        </w:rPr>
      </w:pPr>
    </w:p>
    <w:p w14:paraId="30A8B7C4" w14:textId="7E069C02" w:rsidR="4BE4315B" w:rsidRDefault="11FDF574" w:rsidP="1AA3CC53">
      <w:pPr>
        <w:pStyle w:val="Titlu2"/>
        <w:jc w:val="both"/>
        <w:rPr>
          <w:b/>
          <w:bCs/>
          <w:color w:val="000000" w:themeColor="text1"/>
        </w:rPr>
      </w:pPr>
      <w:r w:rsidRPr="1AA3CC53">
        <w:rPr>
          <w:b/>
          <w:bCs/>
          <w:color w:val="000000" w:themeColor="text1"/>
          <w:sz w:val="24"/>
          <w:szCs w:val="24"/>
        </w:rPr>
        <w:t xml:space="preserve"> Appendix B:   </w:t>
      </w:r>
      <w:r w:rsidRPr="1AA3CC53">
        <w:rPr>
          <w:b/>
          <w:bCs/>
          <w:color w:val="000000" w:themeColor="text1"/>
        </w:rPr>
        <w:t xml:space="preserve">PESTLE   </w:t>
      </w:r>
    </w:p>
    <w:p w14:paraId="1FDDE765" w14:textId="3956022D" w:rsidR="4BE4315B" w:rsidRDefault="4BE4315B" w:rsidP="1AA3CC53">
      <w:pPr>
        <w:pStyle w:val="Titlu2"/>
        <w:jc w:val="both"/>
        <w:rPr>
          <w:b/>
          <w:bCs/>
          <w:color w:val="000000" w:themeColor="text1"/>
        </w:rPr>
      </w:pPr>
    </w:p>
    <w:p w14:paraId="6A8A0F7E" w14:textId="00C53A1E" w:rsidR="4BE4315B" w:rsidRDefault="4BE4315B" w:rsidP="404F02A2"/>
    <w:tbl>
      <w:tblPr>
        <w:tblStyle w:val="Tabelgril"/>
        <w:tblW w:w="0" w:type="auto"/>
        <w:tblLayout w:type="fixed"/>
        <w:tblLook w:val="06A0" w:firstRow="1" w:lastRow="0" w:firstColumn="1" w:lastColumn="0" w:noHBand="1" w:noVBand="1"/>
      </w:tblPr>
      <w:tblGrid>
        <w:gridCol w:w="4508"/>
        <w:gridCol w:w="4508"/>
      </w:tblGrid>
      <w:tr w:rsidR="404F02A2" w14:paraId="0E7D5B3C" w14:textId="77777777" w:rsidTr="6B2D29D0">
        <w:trPr>
          <w:trHeight w:val="300"/>
        </w:trPr>
        <w:tc>
          <w:tcPr>
            <w:tcW w:w="4508" w:type="dxa"/>
          </w:tcPr>
          <w:p w14:paraId="2149A3DF" w14:textId="51944077" w:rsidR="5AAD0BE0" w:rsidRDefault="5AAD0BE0" w:rsidP="404F02A2">
            <w:r>
              <w:t>P</w:t>
            </w:r>
            <w:r w:rsidR="4D16FDE6">
              <w:t xml:space="preserve">olitical Factor </w:t>
            </w:r>
          </w:p>
        </w:tc>
        <w:tc>
          <w:tcPr>
            <w:tcW w:w="4508" w:type="dxa"/>
          </w:tcPr>
          <w:p w14:paraId="392970A2" w14:textId="1B651F66" w:rsidR="4D16FDE6" w:rsidRDefault="4D16FDE6" w:rsidP="404F02A2">
            <w:r w:rsidRPr="404F02A2">
              <w:rPr>
                <w:rFonts w:ascii="Arial" w:eastAsia="Arial" w:hAnsi="Arial" w:cs="Arial"/>
                <w:color w:val="222222"/>
              </w:rPr>
              <w:t xml:space="preserve">• Influence of international financial regulations and compliance requirements on operations. </w:t>
            </w:r>
          </w:p>
          <w:p w14:paraId="5900C805" w14:textId="0A4A8D5A" w:rsidR="4D16FDE6" w:rsidRDefault="4D16FDE6" w:rsidP="404F02A2">
            <w:r w:rsidRPr="404F02A2">
              <w:rPr>
                <w:rFonts w:ascii="Arial" w:eastAsia="Arial" w:hAnsi="Arial" w:cs="Arial"/>
                <w:color w:val="222222"/>
              </w:rPr>
              <w:t xml:space="preserve">• Impact of trade policies and bilateral agreements on international banking and investment services. </w:t>
            </w:r>
          </w:p>
          <w:p w14:paraId="75C163B8" w14:textId="7FA84B9D" w:rsidR="4D16FDE6" w:rsidRDefault="4D16FDE6" w:rsidP="404F02A2">
            <w:r w:rsidRPr="404F02A2">
              <w:rPr>
                <w:rFonts w:ascii="Arial" w:eastAsia="Arial" w:hAnsi="Arial" w:cs="Arial"/>
                <w:color w:val="222222"/>
              </w:rPr>
              <w:t>• The effect of global events like Brexit on market stability and banking operations.</w:t>
            </w:r>
          </w:p>
        </w:tc>
      </w:tr>
      <w:tr w:rsidR="404F02A2" w14:paraId="32C5710D" w14:textId="77777777" w:rsidTr="6B2D29D0">
        <w:trPr>
          <w:trHeight w:val="300"/>
        </w:trPr>
        <w:tc>
          <w:tcPr>
            <w:tcW w:w="4508" w:type="dxa"/>
          </w:tcPr>
          <w:p w14:paraId="55A849AD" w14:textId="6934B9A9" w:rsidR="4D16FDE6" w:rsidRDefault="4D16FDE6" w:rsidP="404F02A2">
            <w:r w:rsidRPr="404F02A2">
              <w:rPr>
                <w:rFonts w:ascii="Arial" w:eastAsia="Arial" w:hAnsi="Arial" w:cs="Arial"/>
                <w:color w:val="222222"/>
              </w:rPr>
              <w:t>Economic Factors</w:t>
            </w:r>
          </w:p>
        </w:tc>
        <w:tc>
          <w:tcPr>
            <w:tcW w:w="4508" w:type="dxa"/>
          </w:tcPr>
          <w:p w14:paraId="4784FE23" w14:textId="5D4D9BE5" w:rsidR="4D16FDE6" w:rsidRDefault="4D16FDE6" w:rsidP="404F02A2">
            <w:r w:rsidRPr="404F02A2">
              <w:rPr>
                <w:rFonts w:ascii="Arial" w:eastAsia="Arial" w:hAnsi="Arial" w:cs="Arial"/>
                <w:color w:val="222222"/>
              </w:rPr>
              <w:t>• The repercussions of changes in interest rates set by central banks on loan and mortgage rates. • The effects of global economic cycles on investment banking activities and asset management.</w:t>
            </w:r>
          </w:p>
        </w:tc>
      </w:tr>
      <w:tr w:rsidR="404F02A2" w14:paraId="0E7F2E66" w14:textId="77777777" w:rsidTr="6B2D29D0">
        <w:trPr>
          <w:trHeight w:val="300"/>
        </w:trPr>
        <w:tc>
          <w:tcPr>
            <w:tcW w:w="4508" w:type="dxa"/>
          </w:tcPr>
          <w:p w14:paraId="6A35CCF0" w14:textId="12A435E6" w:rsidR="5AAD0BE0" w:rsidRDefault="5AAD0BE0" w:rsidP="404F02A2">
            <w:r>
              <w:t>S</w:t>
            </w:r>
            <w:r w:rsidR="3DF6DB9F">
              <w:t xml:space="preserve">ocial Factor </w:t>
            </w:r>
          </w:p>
        </w:tc>
        <w:tc>
          <w:tcPr>
            <w:tcW w:w="4508" w:type="dxa"/>
          </w:tcPr>
          <w:p w14:paraId="615D2F1B" w14:textId="57C7F657" w:rsidR="3DF6DB9F" w:rsidRDefault="3DF6DB9F" w:rsidP="404F02A2">
            <w:r w:rsidRPr="404F02A2">
              <w:rPr>
                <w:rFonts w:ascii="Arial" w:eastAsia="Arial" w:hAnsi="Arial" w:cs="Arial"/>
                <w:color w:val="222222"/>
              </w:rPr>
              <w:t xml:space="preserve">• Shifts in consumer behavior toward online banking and financial services. </w:t>
            </w:r>
          </w:p>
          <w:p w14:paraId="49CDFBC9" w14:textId="1DF8C659" w:rsidR="3DF6DB9F" w:rsidRDefault="3DF6DB9F" w:rsidP="404F02A2">
            <w:r w:rsidRPr="404F02A2">
              <w:rPr>
                <w:rFonts w:ascii="Arial" w:eastAsia="Arial" w:hAnsi="Arial" w:cs="Arial"/>
                <w:color w:val="222222"/>
              </w:rPr>
              <w:t>• The brand’s reputation impact from regulatory actions and public perception of its ethical standards.</w:t>
            </w:r>
          </w:p>
        </w:tc>
      </w:tr>
      <w:tr w:rsidR="404F02A2" w14:paraId="5AD866CD" w14:textId="77777777" w:rsidTr="6B2D29D0">
        <w:trPr>
          <w:trHeight w:val="300"/>
        </w:trPr>
        <w:tc>
          <w:tcPr>
            <w:tcW w:w="4508" w:type="dxa"/>
          </w:tcPr>
          <w:p w14:paraId="717401A5" w14:textId="20CFE654" w:rsidR="5AAD0BE0" w:rsidRDefault="5AAD0BE0" w:rsidP="404F02A2">
            <w:r>
              <w:t>T</w:t>
            </w:r>
            <w:r w:rsidR="29103596">
              <w:t xml:space="preserve">echnological Factors </w:t>
            </w:r>
          </w:p>
        </w:tc>
        <w:tc>
          <w:tcPr>
            <w:tcW w:w="4508" w:type="dxa"/>
          </w:tcPr>
          <w:p w14:paraId="3F06913E" w14:textId="117327CB" w:rsidR="29103596" w:rsidRDefault="29103596" w:rsidP="404F02A2">
            <w:r w:rsidRPr="404F02A2">
              <w:rPr>
                <w:rFonts w:ascii="Arial" w:eastAsia="Arial" w:hAnsi="Arial" w:cs="Arial"/>
                <w:color w:val="222222"/>
              </w:rPr>
              <w:t>• J.P. Morgan’s investment in technology to enhance online banking services and cybersecurity measures.</w:t>
            </w:r>
          </w:p>
          <w:p w14:paraId="486C75E2" w14:textId="4B4324CC" w:rsidR="29103596" w:rsidRDefault="29103596" w:rsidP="404F02A2">
            <w:r w:rsidRPr="404F02A2">
              <w:rPr>
                <w:rFonts w:ascii="Arial" w:eastAsia="Arial" w:hAnsi="Arial" w:cs="Arial"/>
                <w:color w:val="222222"/>
              </w:rPr>
              <w:t xml:space="preserve"> • The adoption of blockchain and artificial intelligence in banking operations to improve efficiency.</w:t>
            </w:r>
          </w:p>
        </w:tc>
      </w:tr>
      <w:tr w:rsidR="404F02A2" w14:paraId="3B7AA8E0" w14:textId="77777777" w:rsidTr="6B2D29D0">
        <w:trPr>
          <w:trHeight w:val="300"/>
        </w:trPr>
        <w:tc>
          <w:tcPr>
            <w:tcW w:w="4508" w:type="dxa"/>
          </w:tcPr>
          <w:p w14:paraId="0664047F" w14:textId="01FB3C4A" w:rsidR="5AAD0BE0" w:rsidRDefault="5AAD0BE0" w:rsidP="404F02A2">
            <w:r>
              <w:t>L</w:t>
            </w:r>
            <w:r w:rsidR="35F55B41">
              <w:t>egal Factor</w:t>
            </w:r>
          </w:p>
        </w:tc>
        <w:tc>
          <w:tcPr>
            <w:tcW w:w="4508" w:type="dxa"/>
          </w:tcPr>
          <w:p w14:paraId="751BD10B" w14:textId="139EFE93" w:rsidR="35F55B41" w:rsidRDefault="35F55B41" w:rsidP="404F02A2">
            <w:r w:rsidRPr="404F02A2">
              <w:rPr>
                <w:rFonts w:ascii="Arial" w:eastAsia="Arial" w:hAnsi="Arial" w:cs="Arial"/>
                <w:color w:val="222222"/>
              </w:rPr>
              <w:t xml:space="preserve">• The cost of compliance with diverse banking laws across multiple jurisdictions. </w:t>
            </w:r>
          </w:p>
          <w:p w14:paraId="2CE14FC6" w14:textId="5967A13E" w:rsidR="35F55B41" w:rsidRDefault="35F55B41" w:rsidP="404F02A2">
            <w:r w:rsidRPr="404F02A2">
              <w:rPr>
                <w:rFonts w:ascii="Arial" w:eastAsia="Arial" w:hAnsi="Arial" w:cs="Arial"/>
                <w:color w:val="222222"/>
              </w:rPr>
              <w:t>• The potential legal repercussions from any lapses in regulatory compliance.</w:t>
            </w:r>
          </w:p>
        </w:tc>
      </w:tr>
      <w:tr w:rsidR="404F02A2" w14:paraId="757E1529" w14:textId="77777777" w:rsidTr="6B2D29D0">
        <w:trPr>
          <w:trHeight w:val="300"/>
        </w:trPr>
        <w:tc>
          <w:tcPr>
            <w:tcW w:w="4508" w:type="dxa"/>
          </w:tcPr>
          <w:p w14:paraId="05951E5F" w14:textId="5DA5202F" w:rsidR="35F55B41" w:rsidRDefault="35F55B41" w:rsidP="404F02A2">
            <w:pPr>
              <w:rPr>
                <w:rFonts w:eastAsiaTheme="minorEastAsia"/>
                <w:color w:val="222222"/>
              </w:rPr>
            </w:pPr>
            <w:r w:rsidRPr="404F02A2">
              <w:rPr>
                <w:rFonts w:eastAsiaTheme="minorEastAsia"/>
                <w:color w:val="222222"/>
              </w:rPr>
              <w:t>Environmental Factors</w:t>
            </w:r>
          </w:p>
        </w:tc>
        <w:tc>
          <w:tcPr>
            <w:tcW w:w="4508" w:type="dxa"/>
          </w:tcPr>
          <w:p w14:paraId="74BD1C22" w14:textId="0F528460" w:rsidR="64ADB89B" w:rsidRDefault="64ADB89B" w:rsidP="6B2D29D0">
            <w:r w:rsidRPr="6B2D29D0">
              <w:rPr>
                <w:rFonts w:ascii="Arial" w:eastAsia="Arial" w:hAnsi="Arial" w:cs="Arial"/>
                <w:color w:val="222222"/>
              </w:rPr>
              <w:t xml:space="preserve">• J.P. Morgan’s initiatives to incorporate sustainable practices in its operations and investment strategies. </w:t>
            </w:r>
          </w:p>
          <w:p w14:paraId="33B71736" w14:textId="0F528460" w:rsidR="64ADB89B" w:rsidRDefault="64ADB89B" w:rsidP="6B2D29D0">
            <w:r w:rsidRPr="6B2D29D0">
              <w:rPr>
                <w:rFonts w:ascii="Arial" w:eastAsia="Arial" w:hAnsi="Arial" w:cs="Arial"/>
                <w:color w:val="222222"/>
              </w:rPr>
              <w:lastRenderedPageBreak/>
              <w:t>• The bank’s response to climate risk as part of its asset management services.</w:t>
            </w:r>
          </w:p>
        </w:tc>
      </w:tr>
    </w:tbl>
    <w:p w14:paraId="48CF4F9E" w14:textId="0F528460" w:rsidR="4BE4315B" w:rsidRDefault="11FDF574" w:rsidP="6B2D29D0">
      <w:pPr>
        <w:rPr>
          <w:b/>
          <w:bCs/>
          <w:color w:val="000000" w:themeColor="text1"/>
          <w:sz w:val="24"/>
          <w:szCs w:val="24"/>
        </w:rPr>
      </w:pPr>
      <w:r w:rsidRPr="6B2D29D0">
        <w:rPr>
          <w:b/>
          <w:color w:val="000000" w:themeColor="text1"/>
        </w:rPr>
        <w:lastRenderedPageBreak/>
        <w:t xml:space="preserve">                                                              </w:t>
      </w:r>
    </w:p>
    <w:p w14:paraId="6AF8BE07" w14:textId="3EE91970" w:rsidR="4BE4315B" w:rsidRDefault="11FDF574" w:rsidP="404F02A2">
      <w:pPr>
        <w:pStyle w:val="Titlu2"/>
        <w:jc w:val="both"/>
        <w:rPr>
          <w:sz w:val="24"/>
          <w:szCs w:val="24"/>
        </w:rPr>
      </w:pPr>
      <w:r w:rsidRPr="1AA3CC53">
        <w:rPr>
          <w:b/>
          <w:bCs/>
          <w:color w:val="000000" w:themeColor="text1"/>
          <w:sz w:val="24"/>
          <w:szCs w:val="24"/>
        </w:rPr>
        <w:t xml:space="preserve">Appendix C:   </w:t>
      </w:r>
      <w:r w:rsidRPr="1AA3CC53">
        <w:rPr>
          <w:rStyle w:val="Titlu3Caracter"/>
          <w:b/>
          <w:bCs/>
          <w:color w:val="000000" w:themeColor="text1"/>
        </w:rPr>
        <w:t xml:space="preserve">Porter'sFiveForce  </w:t>
      </w:r>
      <w:r w:rsidRPr="1AA3CC53">
        <w:rPr>
          <w:rStyle w:val="Titlu3Caracter"/>
        </w:rPr>
        <w:t xml:space="preserve">  </w:t>
      </w:r>
    </w:p>
    <w:p w14:paraId="115A1DA1" w14:textId="0F528460" w:rsidR="4BE4315B" w:rsidRDefault="11FDF574" w:rsidP="1AA3CC53">
      <w:pPr>
        <w:pStyle w:val="Titlu2"/>
        <w:jc w:val="both"/>
        <w:rPr>
          <w:sz w:val="24"/>
          <w:szCs w:val="24"/>
        </w:rPr>
      </w:pPr>
      <w:r w:rsidRPr="1AA3CC53">
        <w:rPr>
          <w:rStyle w:val="Titlu3Caracter"/>
        </w:rPr>
        <w:t xml:space="preserve">                                 </w:t>
      </w:r>
    </w:p>
    <w:tbl>
      <w:tblPr>
        <w:tblStyle w:val="Tabelgril"/>
        <w:tblW w:w="0" w:type="auto"/>
        <w:tblLayout w:type="fixed"/>
        <w:tblLook w:val="06A0" w:firstRow="1" w:lastRow="0" w:firstColumn="1" w:lastColumn="0" w:noHBand="1" w:noVBand="1"/>
      </w:tblPr>
      <w:tblGrid>
        <w:gridCol w:w="4508"/>
        <w:gridCol w:w="4508"/>
      </w:tblGrid>
      <w:tr w:rsidR="36A4C702" w14:paraId="38D0C9E4" w14:textId="77777777" w:rsidTr="0CDAEA79">
        <w:trPr>
          <w:trHeight w:val="300"/>
        </w:trPr>
        <w:tc>
          <w:tcPr>
            <w:tcW w:w="4508" w:type="dxa"/>
          </w:tcPr>
          <w:p w14:paraId="5C318DD6" w14:textId="3150E966" w:rsidR="36A4C702" w:rsidRDefault="2A0111BA" w:rsidP="52D83809">
            <w:r w:rsidRPr="52D83809">
              <w:rPr>
                <w:rFonts w:ascii="Arial" w:eastAsia="Arial" w:hAnsi="Arial" w:cs="Arial"/>
                <w:color w:val="222222"/>
              </w:rPr>
              <w:t>Morgan Bank Bargaining Power of Buyers (Moderate)</w:t>
            </w:r>
          </w:p>
        </w:tc>
        <w:tc>
          <w:tcPr>
            <w:tcW w:w="4508" w:type="dxa"/>
          </w:tcPr>
          <w:p w14:paraId="781C2D4C" w14:textId="29B6632D" w:rsidR="36A4C702" w:rsidRDefault="2A0111BA" w:rsidP="52D83809">
            <w:r w:rsidRPr="62464E65">
              <w:rPr>
                <w:rFonts w:ascii="Arial" w:eastAsia="Arial" w:hAnsi="Arial" w:cs="Arial"/>
                <w:color w:val="222222"/>
              </w:rPr>
              <w:t>With numerous banking options available, customers can demand better rates and services, but the established reputation of J.P. Morgan provides it with some leverage in retaining clients.</w:t>
            </w:r>
          </w:p>
        </w:tc>
      </w:tr>
      <w:tr w:rsidR="36A4C702" w14:paraId="0C2630F4" w14:textId="77777777" w:rsidTr="0CDAEA79">
        <w:trPr>
          <w:trHeight w:val="300"/>
        </w:trPr>
        <w:tc>
          <w:tcPr>
            <w:tcW w:w="4508" w:type="dxa"/>
          </w:tcPr>
          <w:p w14:paraId="5057BFCB" w14:textId="3458FBAD" w:rsidR="36A4C702" w:rsidRDefault="2A0111BA" w:rsidP="62464E65">
            <w:r w:rsidRPr="62464E65">
              <w:rPr>
                <w:rFonts w:ascii="Arial" w:eastAsia="Arial" w:hAnsi="Arial" w:cs="Arial"/>
                <w:color w:val="222222"/>
              </w:rPr>
              <w:t>Bargaining Power of Suppliers (Low)</w:t>
            </w:r>
          </w:p>
        </w:tc>
        <w:tc>
          <w:tcPr>
            <w:tcW w:w="4508" w:type="dxa"/>
          </w:tcPr>
          <w:p w14:paraId="6E653201" w14:textId="3458FBAD" w:rsidR="36A4C702" w:rsidRDefault="2A0111BA" w:rsidP="62464E65">
            <w:r w:rsidRPr="62464E65">
              <w:rPr>
                <w:rFonts w:ascii="Arial" w:eastAsia="Arial" w:hAnsi="Arial" w:cs="Arial"/>
                <w:color w:val="222222"/>
              </w:rPr>
              <w:t>As J.P. Morgan is one of the leading banks, it has a significant negotiating power over its suppliers, which are mainly other financial service providers and technology vendors.</w:t>
            </w:r>
          </w:p>
        </w:tc>
      </w:tr>
      <w:tr w:rsidR="36A4C702" w14:paraId="3C836311" w14:textId="77777777" w:rsidTr="0CDAEA79">
        <w:trPr>
          <w:trHeight w:val="300"/>
        </w:trPr>
        <w:tc>
          <w:tcPr>
            <w:tcW w:w="4508" w:type="dxa"/>
          </w:tcPr>
          <w:p w14:paraId="5D89AEC7" w14:textId="7ECE6B08" w:rsidR="36A4C702" w:rsidRDefault="2A0111BA" w:rsidP="0F26B5CE">
            <w:r w:rsidRPr="0F26B5CE">
              <w:rPr>
                <w:rFonts w:ascii="Arial" w:eastAsia="Arial" w:hAnsi="Arial" w:cs="Arial"/>
                <w:color w:val="222222"/>
              </w:rPr>
              <w:t>Threat of New Entrants (Low)</w:t>
            </w:r>
          </w:p>
        </w:tc>
        <w:tc>
          <w:tcPr>
            <w:tcW w:w="4508" w:type="dxa"/>
          </w:tcPr>
          <w:p w14:paraId="3ABCA813" w14:textId="30715FF7" w:rsidR="36A4C702" w:rsidRDefault="2A0111BA" w:rsidP="0C4C0568">
            <w:r w:rsidRPr="0C4C0568">
              <w:rPr>
                <w:rFonts w:ascii="Arial" w:eastAsia="Arial" w:hAnsi="Arial" w:cs="Arial"/>
                <w:color w:val="222222"/>
              </w:rPr>
              <w:t>The high capital requirements and strict regulatory environment create substantial barriers to entry, making it difficult for new competitors to challenge J.P. Morgan’s market position.</w:t>
            </w:r>
          </w:p>
        </w:tc>
      </w:tr>
      <w:tr w:rsidR="36A4C702" w14:paraId="456CEAEC" w14:textId="77777777" w:rsidTr="0CDAEA79">
        <w:trPr>
          <w:trHeight w:val="300"/>
        </w:trPr>
        <w:tc>
          <w:tcPr>
            <w:tcW w:w="4508" w:type="dxa"/>
          </w:tcPr>
          <w:p w14:paraId="6785E101" w14:textId="30715FF7" w:rsidR="36A4C702" w:rsidRDefault="2A0111BA" w:rsidP="0C4C0568">
            <w:r w:rsidRPr="0C4C0568">
              <w:rPr>
                <w:rFonts w:ascii="Arial" w:eastAsia="Arial" w:hAnsi="Arial" w:cs="Arial"/>
                <w:color w:val="222222"/>
              </w:rPr>
              <w:t>Threat from Substitutes (Moderate)</w:t>
            </w:r>
          </w:p>
        </w:tc>
        <w:tc>
          <w:tcPr>
            <w:tcW w:w="4508" w:type="dxa"/>
          </w:tcPr>
          <w:p w14:paraId="6E802767" w14:textId="30715FF7" w:rsidR="36A4C702" w:rsidRDefault="2A0111BA" w:rsidP="0C4C0568">
            <w:r w:rsidRPr="0C4C0568">
              <w:rPr>
                <w:rFonts w:ascii="Arial" w:eastAsia="Arial" w:hAnsi="Arial" w:cs="Arial"/>
                <w:color w:val="222222"/>
              </w:rPr>
              <w:t>The presence of alternative financial services, including fintech solutions and online platforms, poses a moderate threat, but J.P. Morgan’s diverse service offering and global presence provide a competitive edge.</w:t>
            </w:r>
          </w:p>
        </w:tc>
      </w:tr>
      <w:tr w:rsidR="36A4C702" w14:paraId="73A54E14" w14:textId="77777777" w:rsidTr="0CDAEA79">
        <w:trPr>
          <w:trHeight w:val="300"/>
        </w:trPr>
        <w:tc>
          <w:tcPr>
            <w:tcW w:w="4508" w:type="dxa"/>
          </w:tcPr>
          <w:p w14:paraId="3221CD76" w14:textId="21CC6CEC" w:rsidR="36A4C702" w:rsidRDefault="2A0111BA" w:rsidP="0CDAEA79">
            <w:r w:rsidRPr="0CDAEA79">
              <w:rPr>
                <w:rFonts w:ascii="Arial" w:eastAsia="Arial" w:hAnsi="Arial" w:cs="Arial"/>
                <w:color w:val="222222"/>
              </w:rPr>
              <w:t>Competitive Rivalry (High)</w:t>
            </w:r>
          </w:p>
        </w:tc>
        <w:tc>
          <w:tcPr>
            <w:tcW w:w="4508" w:type="dxa"/>
          </w:tcPr>
          <w:p w14:paraId="447267BD" w14:textId="21CC6CEC" w:rsidR="36A4C702" w:rsidRDefault="2A0111BA" w:rsidP="36A4C702">
            <w:r w:rsidRPr="0CDAEA79">
              <w:rPr>
                <w:rFonts w:ascii="Arial" w:eastAsia="Arial" w:hAnsi="Arial" w:cs="Arial"/>
                <w:color w:val="222222"/>
              </w:rPr>
              <w:t>J.P. Morgan operates in a highly competitive environment with other major banks, investment firms, and financial services companies vying for market share.</w:t>
            </w:r>
          </w:p>
          <w:p w14:paraId="572576C7" w14:textId="21CC6CEC" w:rsidR="36A4C702" w:rsidRDefault="36A4C702" w:rsidP="36A4C702"/>
          <w:p w14:paraId="3B0981CF" w14:textId="21CC6CEC" w:rsidR="36A4C702" w:rsidRDefault="36A4C702" w:rsidP="0CDAEA79"/>
        </w:tc>
      </w:tr>
    </w:tbl>
    <w:p w14:paraId="3EB2E8D4" w14:textId="7F8A4AF1" w:rsidR="4BE4315B" w:rsidRDefault="4BE4315B" w:rsidP="1AA3CC53">
      <w:pPr>
        <w:jc w:val="both"/>
      </w:pPr>
    </w:p>
    <w:p w14:paraId="2FB1F442" w14:textId="21CC6CEC" w:rsidR="4BE4315B" w:rsidRDefault="4BE4315B" w:rsidP="1AA3CC53"/>
    <w:p w14:paraId="751F649B" w14:textId="7331707C" w:rsidR="4BE4315B" w:rsidRDefault="23699E13" w:rsidP="4BE4315B">
      <w:pPr>
        <w:rPr>
          <w:rFonts w:eastAsiaTheme="minorEastAsia"/>
          <w:b/>
          <w:color w:val="222222"/>
          <w:sz w:val="24"/>
          <w:szCs w:val="24"/>
        </w:rPr>
      </w:pPr>
      <w:r w:rsidRPr="514A0B17">
        <w:rPr>
          <w:rFonts w:eastAsiaTheme="minorEastAsia"/>
          <w:b/>
          <w:bCs/>
          <w:color w:val="000000" w:themeColor="text1"/>
          <w:sz w:val="24"/>
          <w:szCs w:val="24"/>
        </w:rPr>
        <w:t xml:space="preserve">Appendix </w:t>
      </w:r>
      <w:r w:rsidRPr="514A0B17">
        <w:rPr>
          <w:rFonts w:eastAsiaTheme="minorEastAsia"/>
          <w:b/>
          <w:bCs/>
          <w:color w:val="222222"/>
          <w:sz w:val="24"/>
          <w:szCs w:val="24"/>
        </w:rPr>
        <w:t>D: BCG Matrix</w:t>
      </w:r>
    </w:p>
    <w:p w14:paraId="271628B7" w14:textId="016B27EC" w:rsidR="4BE4315B" w:rsidRDefault="4BE4315B" w:rsidP="4BE4315B">
      <w:pPr>
        <w:rPr>
          <w:rFonts w:eastAsiaTheme="minorEastAsia"/>
          <w:b/>
          <w:color w:val="222222"/>
          <w:sz w:val="24"/>
          <w:szCs w:val="24"/>
        </w:rPr>
      </w:pPr>
    </w:p>
    <w:p w14:paraId="2476C293" w14:textId="77F2EA65" w:rsidR="514A0B17" w:rsidRDefault="514A0B17" w:rsidP="514A0B17">
      <w:pPr>
        <w:rPr>
          <w:rFonts w:eastAsiaTheme="minorEastAsia"/>
          <w:b/>
          <w:bCs/>
          <w:color w:val="222222"/>
          <w:sz w:val="24"/>
          <w:szCs w:val="24"/>
        </w:rPr>
      </w:pPr>
    </w:p>
    <w:tbl>
      <w:tblPr>
        <w:tblStyle w:val="Tabelgril"/>
        <w:tblW w:w="0" w:type="auto"/>
        <w:tblLayout w:type="fixed"/>
        <w:tblLook w:val="06A0" w:firstRow="1" w:lastRow="0" w:firstColumn="1" w:lastColumn="0" w:noHBand="1" w:noVBand="1"/>
      </w:tblPr>
      <w:tblGrid>
        <w:gridCol w:w="4508"/>
        <w:gridCol w:w="4508"/>
      </w:tblGrid>
      <w:tr w:rsidR="514A0B17" w14:paraId="3FEAF2DA" w14:textId="77777777" w:rsidTr="514A0B17">
        <w:trPr>
          <w:trHeight w:val="300"/>
        </w:trPr>
        <w:tc>
          <w:tcPr>
            <w:tcW w:w="4508" w:type="dxa"/>
          </w:tcPr>
          <w:p w14:paraId="1C1950E1" w14:textId="28BBE630" w:rsidR="4550901C" w:rsidRDefault="4550901C" w:rsidP="514A0B17">
            <w:r w:rsidRPr="514A0B17">
              <w:rPr>
                <w:rFonts w:ascii="Arial" w:eastAsia="Arial" w:hAnsi="Arial" w:cs="Arial"/>
                <w:color w:val="222222"/>
              </w:rPr>
              <w:t xml:space="preserve">                         Stars</w:t>
            </w:r>
          </w:p>
        </w:tc>
        <w:tc>
          <w:tcPr>
            <w:tcW w:w="4508" w:type="dxa"/>
          </w:tcPr>
          <w:p w14:paraId="69A0371B" w14:textId="705FE08E" w:rsidR="4550901C" w:rsidRDefault="4550901C" w:rsidP="514A0B17">
            <w:r>
              <w:t xml:space="preserve">          Question Marks</w:t>
            </w:r>
          </w:p>
        </w:tc>
      </w:tr>
      <w:tr w:rsidR="514A0B17" w14:paraId="1E20AF4D" w14:textId="77777777" w:rsidTr="514A0B17">
        <w:trPr>
          <w:trHeight w:val="300"/>
        </w:trPr>
        <w:tc>
          <w:tcPr>
            <w:tcW w:w="4508" w:type="dxa"/>
          </w:tcPr>
          <w:p w14:paraId="4F0D666F" w14:textId="73F2AC2C" w:rsidR="4550901C" w:rsidRDefault="4550901C" w:rsidP="514A0B17">
            <w:r w:rsidRPr="514A0B17">
              <w:rPr>
                <w:rFonts w:ascii="Arial" w:eastAsia="Arial" w:hAnsi="Arial" w:cs="Arial"/>
                <w:color w:val="222222"/>
              </w:rPr>
              <w:t xml:space="preserve">• Digital Banking Services: J.P. Morgan’s digital banking segment shows rapid growth and a significant market share due to consumer demand for online banking solutions. </w:t>
            </w:r>
          </w:p>
          <w:p w14:paraId="0D89E80F" w14:textId="2ACB18B3" w:rsidR="4550901C" w:rsidRDefault="4550901C" w:rsidP="514A0B17">
            <w:r w:rsidRPr="514A0B17">
              <w:rPr>
                <w:rFonts w:ascii="Arial" w:eastAsia="Arial" w:hAnsi="Arial" w:cs="Arial"/>
                <w:color w:val="222222"/>
              </w:rPr>
              <w:t>• Wealth Management: The firm’s wealth management division is a leading performer due to its comprehensive services and substantial client assets.</w:t>
            </w:r>
          </w:p>
        </w:tc>
        <w:tc>
          <w:tcPr>
            <w:tcW w:w="4508" w:type="dxa"/>
          </w:tcPr>
          <w:p w14:paraId="484EF1A2" w14:textId="34EED42D" w:rsidR="4550901C" w:rsidRDefault="4550901C" w:rsidP="514A0B17">
            <w:r w:rsidRPr="514A0B17">
              <w:rPr>
                <w:rFonts w:ascii="Arial" w:eastAsia="Arial" w:hAnsi="Arial" w:cs="Arial"/>
                <w:color w:val="222222"/>
              </w:rPr>
              <w:t xml:space="preserve">• Cryptocurrency Services: As an emerging market with high growth potential, J.P. Morgan’s investment in cryptocurrency services could become a significant venture, though it currently has a lower market share. </w:t>
            </w:r>
          </w:p>
          <w:p w14:paraId="0DCE96C2" w14:textId="6A0BC0C2" w:rsidR="4550901C" w:rsidRDefault="4550901C" w:rsidP="514A0B17">
            <w:r w:rsidRPr="514A0B17">
              <w:rPr>
                <w:rFonts w:ascii="Arial" w:eastAsia="Arial" w:hAnsi="Arial" w:cs="Arial"/>
                <w:color w:val="222222"/>
              </w:rPr>
              <w:t>• Sustainable Investment Funds: Green and ESG funds show promise but require more strategic investment to increase market share.</w:t>
            </w:r>
          </w:p>
        </w:tc>
      </w:tr>
      <w:tr w:rsidR="514A0B17" w14:paraId="7DCB72B8" w14:textId="77777777" w:rsidTr="514A0B17">
        <w:trPr>
          <w:trHeight w:val="300"/>
        </w:trPr>
        <w:tc>
          <w:tcPr>
            <w:tcW w:w="4508" w:type="dxa"/>
          </w:tcPr>
          <w:p w14:paraId="3F14777F" w14:textId="6F5BCC77" w:rsidR="4550901C" w:rsidRDefault="4550901C" w:rsidP="514A0B17">
            <w:r>
              <w:lastRenderedPageBreak/>
              <w:t xml:space="preserve">                              Chas Cow</w:t>
            </w:r>
          </w:p>
        </w:tc>
        <w:tc>
          <w:tcPr>
            <w:tcW w:w="4508" w:type="dxa"/>
          </w:tcPr>
          <w:p w14:paraId="1659F849" w14:textId="124CBB3B" w:rsidR="4550901C" w:rsidRDefault="4550901C" w:rsidP="514A0B17">
            <w:r>
              <w:t xml:space="preserve">                             Dogs</w:t>
            </w:r>
          </w:p>
        </w:tc>
      </w:tr>
      <w:tr w:rsidR="514A0B17" w14:paraId="11E0A7E4" w14:textId="77777777" w:rsidTr="514A0B17">
        <w:trPr>
          <w:trHeight w:val="300"/>
        </w:trPr>
        <w:tc>
          <w:tcPr>
            <w:tcW w:w="4508" w:type="dxa"/>
          </w:tcPr>
          <w:p w14:paraId="5A870257" w14:textId="22A4C715" w:rsidR="4550901C" w:rsidRDefault="4550901C" w:rsidP="514A0B17">
            <w:r w:rsidRPr="514A0B17">
              <w:rPr>
                <w:rFonts w:ascii="Arial" w:eastAsia="Arial" w:hAnsi="Arial" w:cs="Arial"/>
                <w:color w:val="222222"/>
              </w:rPr>
              <w:t>• Consumer Lending: Established services like mortgages and auto loans provide consistent revenue with a high market share but are in a slower growth sector.</w:t>
            </w:r>
          </w:p>
          <w:p w14:paraId="7A0768A6" w14:textId="7272D8FC" w:rsidR="4550901C" w:rsidRDefault="4550901C" w:rsidP="514A0B17">
            <w:r w:rsidRPr="514A0B17">
              <w:rPr>
                <w:rFonts w:ascii="Arial" w:eastAsia="Arial" w:hAnsi="Arial" w:cs="Arial"/>
                <w:color w:val="222222"/>
              </w:rPr>
              <w:t xml:space="preserve"> • Corporate Banking: The corporate banking arm, while mature and growing slowly, brings in a steady stream of revenue due to J.P. Morgan’s strong relationships with large corporations.</w:t>
            </w:r>
          </w:p>
        </w:tc>
        <w:tc>
          <w:tcPr>
            <w:tcW w:w="4508" w:type="dxa"/>
          </w:tcPr>
          <w:p w14:paraId="126E2FFD" w14:textId="5DD73160" w:rsidR="4550901C" w:rsidRDefault="4550901C" w:rsidP="514A0B17">
            <w:r w:rsidRPr="514A0B17">
              <w:rPr>
                <w:rFonts w:ascii="Arial" w:eastAsia="Arial" w:hAnsi="Arial" w:cs="Arial"/>
                <w:color w:val="222222"/>
              </w:rPr>
              <w:t>• Traditional Retail Banking: Physical branch services are facing declining growth and market share as consumers shift to digital banking solutions.</w:t>
            </w:r>
          </w:p>
        </w:tc>
      </w:tr>
    </w:tbl>
    <w:p w14:paraId="23FBD30F" w14:textId="15F7A161" w:rsidR="4BE4315B" w:rsidRDefault="4BE4315B" w:rsidP="4BE4315B"/>
    <w:p w14:paraId="6DF23086" w14:textId="051297BC" w:rsidR="4BE4315B" w:rsidRDefault="4BE4315B" w:rsidP="4BE4315B"/>
    <w:p w14:paraId="7F10BF5D" w14:textId="482407CD" w:rsidR="4BE4315B" w:rsidRDefault="4BE4315B" w:rsidP="4BE4315B"/>
    <w:p w14:paraId="55B086EF" w14:textId="74FA109A" w:rsidR="67FD776E" w:rsidRDefault="67FD776E" w:rsidP="514A0B17">
      <w:pPr>
        <w:rPr>
          <w:rFonts w:eastAsiaTheme="minorEastAsia"/>
          <w:color w:val="222222"/>
        </w:rPr>
      </w:pPr>
      <w:r w:rsidRPr="514A0B17">
        <w:rPr>
          <w:rFonts w:eastAsiaTheme="minorEastAsia"/>
          <w:b/>
          <w:bCs/>
          <w:color w:val="222222"/>
          <w:sz w:val="24"/>
          <w:szCs w:val="24"/>
        </w:rPr>
        <w:t xml:space="preserve">Appendix E: Stakeholder </w:t>
      </w:r>
    </w:p>
    <w:p w14:paraId="06B82851" w14:textId="57C9312B" w:rsidR="514A0B17" w:rsidRDefault="514A0B17" w:rsidP="514A0B17">
      <w:pPr>
        <w:rPr>
          <w:rFonts w:eastAsiaTheme="minorEastAsia"/>
          <w:color w:val="222222"/>
        </w:rPr>
      </w:pPr>
    </w:p>
    <w:p w14:paraId="43E76426" w14:textId="104FEE1D" w:rsidR="514A0B17" w:rsidRDefault="514A0B17" w:rsidP="514A0B17">
      <w:pPr>
        <w:rPr>
          <w:rFonts w:eastAsiaTheme="minorEastAsia"/>
          <w:color w:val="222222"/>
        </w:rPr>
      </w:pPr>
    </w:p>
    <w:p w14:paraId="787332A1" w14:textId="090AED9D" w:rsidR="514A0B17" w:rsidRDefault="514A0B17" w:rsidP="514A0B17">
      <w:pPr>
        <w:rPr>
          <w:rFonts w:eastAsiaTheme="minorEastAsia"/>
          <w:color w:val="222222"/>
        </w:rPr>
      </w:pPr>
    </w:p>
    <w:tbl>
      <w:tblPr>
        <w:tblStyle w:val="Tabelgril"/>
        <w:tblW w:w="0" w:type="auto"/>
        <w:tblLayout w:type="fixed"/>
        <w:tblLook w:val="06A0" w:firstRow="1" w:lastRow="0" w:firstColumn="1" w:lastColumn="0" w:noHBand="1" w:noVBand="1"/>
      </w:tblPr>
      <w:tblGrid>
        <w:gridCol w:w="4508"/>
        <w:gridCol w:w="4065"/>
      </w:tblGrid>
      <w:tr w:rsidR="514A0B17" w14:paraId="191916FD" w14:textId="77777777" w:rsidTr="514A0B17">
        <w:trPr>
          <w:trHeight w:val="300"/>
        </w:trPr>
        <w:tc>
          <w:tcPr>
            <w:tcW w:w="4508" w:type="dxa"/>
          </w:tcPr>
          <w:p w14:paraId="60E5E61B" w14:textId="709A1BE8" w:rsidR="50254CB3" w:rsidRDefault="50254CB3" w:rsidP="514A0B17">
            <w:pPr>
              <w:rPr>
                <w:rFonts w:eastAsiaTheme="minorEastAsia"/>
                <w:color w:val="222222"/>
              </w:rPr>
            </w:pPr>
            <w:r w:rsidRPr="514A0B17">
              <w:rPr>
                <w:rFonts w:eastAsiaTheme="minorEastAsia"/>
                <w:color w:val="222222"/>
              </w:rPr>
              <w:t>Analysis for J.P. Morgan Bank Stakeholders</w:t>
            </w:r>
          </w:p>
        </w:tc>
        <w:tc>
          <w:tcPr>
            <w:tcW w:w="4065" w:type="dxa"/>
          </w:tcPr>
          <w:p w14:paraId="74905143" w14:textId="2FC98045" w:rsidR="50254CB3" w:rsidRDefault="50254CB3" w:rsidP="514A0B17">
            <w:pPr>
              <w:rPr>
                <w:rFonts w:eastAsiaTheme="minorEastAsia"/>
                <w:color w:val="222222"/>
              </w:rPr>
            </w:pPr>
            <w:r w:rsidRPr="514A0B17">
              <w:rPr>
                <w:rFonts w:eastAsiaTheme="minorEastAsia"/>
                <w:color w:val="222222"/>
              </w:rPr>
              <w:t xml:space="preserve">Evaluation </w:t>
            </w:r>
          </w:p>
        </w:tc>
      </w:tr>
      <w:tr w:rsidR="514A0B17" w14:paraId="49142287" w14:textId="77777777" w:rsidTr="514A0B17">
        <w:trPr>
          <w:trHeight w:val="300"/>
        </w:trPr>
        <w:tc>
          <w:tcPr>
            <w:tcW w:w="4508" w:type="dxa"/>
          </w:tcPr>
          <w:p w14:paraId="042EB3F9" w14:textId="1001451D" w:rsidR="50254CB3" w:rsidRDefault="50254CB3" w:rsidP="514A0B17">
            <w:pPr>
              <w:rPr>
                <w:rFonts w:eastAsiaTheme="minorEastAsia"/>
                <w:color w:val="222222"/>
              </w:rPr>
            </w:pPr>
            <w:r w:rsidRPr="514A0B17">
              <w:rPr>
                <w:rFonts w:eastAsiaTheme="minorEastAsia"/>
                <w:color w:val="222222"/>
              </w:rPr>
              <w:t>Shareholders</w:t>
            </w:r>
          </w:p>
        </w:tc>
        <w:tc>
          <w:tcPr>
            <w:tcW w:w="4065" w:type="dxa"/>
          </w:tcPr>
          <w:p w14:paraId="7113A4FE" w14:textId="4C71F6CD" w:rsidR="0E8C656E" w:rsidRDefault="0E8C656E" w:rsidP="514A0B17">
            <w:pPr>
              <w:rPr>
                <w:rFonts w:eastAsiaTheme="minorEastAsia"/>
                <w:color w:val="222222"/>
              </w:rPr>
            </w:pPr>
            <w:r w:rsidRPr="514A0B17">
              <w:rPr>
                <w:rFonts w:eastAsiaTheme="minorEastAsia"/>
                <w:color w:val="222222"/>
              </w:rPr>
              <w:t>Expect a return on their investment and have a high interest in J.P. Morgan’s financial performance</w:t>
            </w:r>
          </w:p>
        </w:tc>
      </w:tr>
      <w:tr w:rsidR="514A0B17" w14:paraId="2FC77100" w14:textId="77777777" w:rsidTr="514A0B17">
        <w:trPr>
          <w:trHeight w:val="300"/>
        </w:trPr>
        <w:tc>
          <w:tcPr>
            <w:tcW w:w="4508" w:type="dxa"/>
          </w:tcPr>
          <w:p w14:paraId="3A08A69E" w14:textId="54A7B2FD" w:rsidR="50254CB3" w:rsidRDefault="50254CB3" w:rsidP="514A0B17">
            <w:pPr>
              <w:rPr>
                <w:rFonts w:eastAsiaTheme="minorEastAsia"/>
                <w:color w:val="222222"/>
              </w:rPr>
            </w:pPr>
            <w:r w:rsidRPr="514A0B17">
              <w:rPr>
                <w:rFonts w:eastAsiaTheme="minorEastAsia"/>
                <w:color w:val="222222"/>
              </w:rPr>
              <w:t>Employees</w:t>
            </w:r>
          </w:p>
        </w:tc>
        <w:tc>
          <w:tcPr>
            <w:tcW w:w="4065" w:type="dxa"/>
          </w:tcPr>
          <w:p w14:paraId="1D4C4ED9" w14:textId="0003CED4" w:rsidR="548DAAFA" w:rsidRDefault="548DAAFA" w:rsidP="514A0B17">
            <w:pPr>
              <w:rPr>
                <w:rFonts w:eastAsiaTheme="minorEastAsia"/>
                <w:color w:val="222222"/>
              </w:rPr>
            </w:pPr>
            <w:r w:rsidRPr="514A0B17">
              <w:rPr>
                <w:rFonts w:eastAsiaTheme="minorEastAsia"/>
                <w:color w:val="222222"/>
              </w:rPr>
              <w:t xml:space="preserve">Essential for operations and service delivery, their engagement impacts the bank’s effectiveness and customer satisfaction. </w:t>
            </w:r>
          </w:p>
          <w:p w14:paraId="6E811A20" w14:textId="5A2EED6C" w:rsidR="514A0B17" w:rsidRDefault="514A0B17" w:rsidP="514A0B17">
            <w:pPr>
              <w:rPr>
                <w:rFonts w:eastAsiaTheme="minorEastAsia"/>
                <w:color w:val="222222"/>
              </w:rPr>
            </w:pPr>
          </w:p>
        </w:tc>
      </w:tr>
      <w:tr w:rsidR="514A0B17" w14:paraId="7EFC6A87" w14:textId="77777777" w:rsidTr="514A0B17">
        <w:trPr>
          <w:trHeight w:val="300"/>
        </w:trPr>
        <w:tc>
          <w:tcPr>
            <w:tcW w:w="4508" w:type="dxa"/>
          </w:tcPr>
          <w:p w14:paraId="3FE83D71" w14:textId="11E00D1D" w:rsidR="50254CB3" w:rsidRDefault="50254CB3" w:rsidP="514A0B17">
            <w:pPr>
              <w:rPr>
                <w:rFonts w:eastAsiaTheme="minorEastAsia"/>
                <w:color w:val="222222"/>
              </w:rPr>
            </w:pPr>
            <w:r w:rsidRPr="514A0B17">
              <w:rPr>
                <w:rFonts w:eastAsiaTheme="minorEastAsia"/>
                <w:color w:val="222222"/>
              </w:rPr>
              <w:t xml:space="preserve">Customers </w:t>
            </w:r>
          </w:p>
        </w:tc>
        <w:tc>
          <w:tcPr>
            <w:tcW w:w="4065" w:type="dxa"/>
          </w:tcPr>
          <w:p w14:paraId="71677CBC" w14:textId="2FC223E2" w:rsidR="5397E103" w:rsidRDefault="5397E103" w:rsidP="514A0B17">
            <w:pPr>
              <w:rPr>
                <w:rFonts w:eastAsiaTheme="minorEastAsia"/>
                <w:color w:val="222222"/>
              </w:rPr>
            </w:pPr>
            <w:r w:rsidRPr="514A0B17">
              <w:rPr>
                <w:rFonts w:eastAsiaTheme="minorEastAsia"/>
                <w:color w:val="222222"/>
              </w:rPr>
              <w:t>Drive revenue and loyalty; their needs and preferences dictate J.P. Morgan’s service offerings.</w:t>
            </w:r>
          </w:p>
        </w:tc>
      </w:tr>
      <w:tr w:rsidR="514A0B17" w14:paraId="148E4BE5" w14:textId="77777777" w:rsidTr="514A0B17">
        <w:trPr>
          <w:trHeight w:val="300"/>
        </w:trPr>
        <w:tc>
          <w:tcPr>
            <w:tcW w:w="4508" w:type="dxa"/>
          </w:tcPr>
          <w:p w14:paraId="16BA7E17" w14:textId="3DE49218" w:rsidR="50254CB3" w:rsidRDefault="50254CB3" w:rsidP="514A0B17">
            <w:pPr>
              <w:rPr>
                <w:rFonts w:eastAsiaTheme="minorEastAsia"/>
                <w:color w:val="222222"/>
              </w:rPr>
            </w:pPr>
            <w:r w:rsidRPr="514A0B17">
              <w:rPr>
                <w:rFonts w:eastAsiaTheme="minorEastAsia"/>
                <w:color w:val="222222"/>
              </w:rPr>
              <w:t>Suppliers</w:t>
            </w:r>
          </w:p>
        </w:tc>
        <w:tc>
          <w:tcPr>
            <w:tcW w:w="4065" w:type="dxa"/>
          </w:tcPr>
          <w:p w14:paraId="7AB2AA05" w14:textId="35476EF1" w:rsidR="64DDEC85" w:rsidRDefault="64DDEC85" w:rsidP="514A0B17">
            <w:pPr>
              <w:rPr>
                <w:rFonts w:eastAsiaTheme="minorEastAsia"/>
                <w:color w:val="222222"/>
              </w:rPr>
            </w:pPr>
            <w:r w:rsidRPr="514A0B17">
              <w:rPr>
                <w:rFonts w:eastAsiaTheme="minorEastAsia"/>
                <w:color w:val="222222"/>
              </w:rPr>
              <w:t>Provide the necessary technology and infrastructure for J.P. Morgan’s operations.</w:t>
            </w:r>
          </w:p>
        </w:tc>
      </w:tr>
      <w:tr w:rsidR="514A0B17" w14:paraId="3CE1E70F" w14:textId="77777777" w:rsidTr="514A0B17">
        <w:trPr>
          <w:trHeight w:val="300"/>
        </w:trPr>
        <w:tc>
          <w:tcPr>
            <w:tcW w:w="4508" w:type="dxa"/>
          </w:tcPr>
          <w:p w14:paraId="4B25CD4E" w14:textId="35DDF5A4" w:rsidR="50254CB3" w:rsidRDefault="50254CB3" w:rsidP="514A0B17">
            <w:pPr>
              <w:rPr>
                <w:rFonts w:eastAsiaTheme="minorEastAsia"/>
                <w:color w:val="222222"/>
              </w:rPr>
            </w:pPr>
            <w:r w:rsidRPr="514A0B17">
              <w:rPr>
                <w:rFonts w:eastAsiaTheme="minorEastAsia"/>
                <w:color w:val="222222"/>
              </w:rPr>
              <w:t xml:space="preserve">Local Communities </w:t>
            </w:r>
          </w:p>
        </w:tc>
        <w:tc>
          <w:tcPr>
            <w:tcW w:w="4065" w:type="dxa"/>
          </w:tcPr>
          <w:p w14:paraId="5DF13FD9" w14:textId="3B9687F6" w:rsidR="26A1CBE1" w:rsidRDefault="26A1CBE1" w:rsidP="514A0B17">
            <w:pPr>
              <w:rPr>
                <w:rFonts w:eastAsiaTheme="minorEastAsia"/>
                <w:color w:val="222222"/>
              </w:rPr>
            </w:pPr>
            <w:r w:rsidRPr="514A0B17">
              <w:rPr>
                <w:rFonts w:eastAsiaTheme="minorEastAsia"/>
                <w:color w:val="222222"/>
              </w:rPr>
              <w:t>Enforce compliance and have significant influence over J.P. Morgan’s permissible activities.</w:t>
            </w:r>
          </w:p>
        </w:tc>
      </w:tr>
      <w:tr w:rsidR="514A0B17" w14:paraId="75CABBBB" w14:textId="77777777" w:rsidTr="514A0B17">
        <w:trPr>
          <w:trHeight w:val="300"/>
        </w:trPr>
        <w:tc>
          <w:tcPr>
            <w:tcW w:w="4508" w:type="dxa"/>
          </w:tcPr>
          <w:p w14:paraId="6AF60BF8" w14:textId="1646CEFC" w:rsidR="760A88D2" w:rsidRDefault="760A88D2" w:rsidP="514A0B17">
            <w:pPr>
              <w:rPr>
                <w:rFonts w:eastAsiaTheme="minorEastAsia"/>
                <w:color w:val="222222"/>
              </w:rPr>
            </w:pPr>
            <w:r w:rsidRPr="514A0B17">
              <w:rPr>
                <w:rFonts w:eastAsiaTheme="minorEastAsia"/>
                <w:color w:val="222222"/>
              </w:rPr>
              <w:t>Government</w:t>
            </w:r>
            <w:r w:rsidR="50254CB3" w:rsidRPr="514A0B17">
              <w:rPr>
                <w:rFonts w:eastAsiaTheme="minorEastAsia"/>
                <w:color w:val="222222"/>
              </w:rPr>
              <w:t xml:space="preserve"> </w:t>
            </w:r>
          </w:p>
        </w:tc>
        <w:tc>
          <w:tcPr>
            <w:tcW w:w="4065" w:type="dxa"/>
          </w:tcPr>
          <w:p w14:paraId="4CA5B2F7" w14:textId="4D8695C8" w:rsidR="29E9681B" w:rsidRDefault="29E9681B" w:rsidP="514A0B17">
            <w:r w:rsidRPr="514A0B17">
              <w:rPr>
                <w:rFonts w:ascii="Arial" w:eastAsia="Arial" w:hAnsi="Arial" w:cs="Arial"/>
                <w:color w:val="222222"/>
              </w:rPr>
              <w:t>High influence with critical interest in legal compliance; J.P. Morgan must prioritize adherence to regulations.</w:t>
            </w:r>
          </w:p>
        </w:tc>
      </w:tr>
    </w:tbl>
    <w:p w14:paraId="798BFA44" w14:textId="20F2460E" w:rsidR="4BE4315B" w:rsidRDefault="4BE4315B" w:rsidP="4BE4315B"/>
    <w:p w14:paraId="0CAC659D" w14:textId="092CB494" w:rsidR="4BE4315B" w:rsidRDefault="4BE4315B" w:rsidP="4BE4315B"/>
    <w:p w14:paraId="2F4BD069" w14:textId="615CA661" w:rsidR="4BE4315B" w:rsidRDefault="4BE4315B" w:rsidP="4BE4315B"/>
    <w:p w14:paraId="09FAF922" w14:textId="4AA6A0AA" w:rsidR="4BE4315B" w:rsidRDefault="4BE4315B" w:rsidP="4BE4315B"/>
    <w:p w14:paraId="7E7226C7" w14:textId="37F5B6F3" w:rsidR="4BE4315B" w:rsidRDefault="4BE4315B" w:rsidP="4BE4315B"/>
    <w:p w14:paraId="1A18B7AB" w14:textId="5801C1B1" w:rsidR="4BE4315B" w:rsidRDefault="4BE4315B" w:rsidP="4BE4315B"/>
    <w:p w14:paraId="79069049" w14:textId="41E2A4D1" w:rsidR="4BE4315B" w:rsidRDefault="4BE4315B" w:rsidP="4BE4315B"/>
    <w:p w14:paraId="120A1F74" w14:textId="0722810B" w:rsidR="4BE4315B" w:rsidRDefault="4BE4315B" w:rsidP="4BE4315B"/>
    <w:p w14:paraId="5F20C82D" w14:textId="03848C1E" w:rsidR="4BE4315B" w:rsidRDefault="4BE4315B" w:rsidP="4BE4315B"/>
    <w:p w14:paraId="52171904" w14:textId="20E7AB40" w:rsidR="4BE4315B" w:rsidRDefault="4BE4315B" w:rsidP="4BE4315B"/>
    <w:p w14:paraId="181EF1BB" w14:textId="53AED685" w:rsidR="4BE4315B" w:rsidRDefault="4BE4315B" w:rsidP="4BE4315B"/>
    <w:p w14:paraId="1AD5EB0B" w14:textId="09F33FE6" w:rsidR="4BE4315B" w:rsidRDefault="4BE4315B" w:rsidP="4BE4315B"/>
    <w:p w14:paraId="39CD145A" w14:textId="5EE4FAA9" w:rsidR="4BE4315B" w:rsidRDefault="4BE4315B" w:rsidP="4BE4315B"/>
    <w:p w14:paraId="0023882B" w14:textId="24B428F9" w:rsidR="4BE4315B" w:rsidRDefault="4BE4315B" w:rsidP="4BE4315B"/>
    <w:p w14:paraId="1F089AC8" w14:textId="0FDB0194" w:rsidR="4BE4315B" w:rsidRDefault="4BE4315B" w:rsidP="4BE4315B"/>
    <w:p w14:paraId="1C55A98E" w14:textId="771A1277" w:rsidR="4BE4315B" w:rsidRDefault="4BE4315B" w:rsidP="4BE4315B"/>
    <w:p w14:paraId="180FEA11" w14:textId="07CD1EED" w:rsidR="4BE4315B" w:rsidRDefault="4BE4315B" w:rsidP="4BE4315B"/>
    <w:p w14:paraId="081ECBCD" w14:textId="7A96C890" w:rsidR="4BE4315B" w:rsidRDefault="4BE4315B" w:rsidP="4BE4315B"/>
    <w:p w14:paraId="6523BF21" w14:textId="17AA5242" w:rsidR="4BE4315B" w:rsidRDefault="4BE4315B" w:rsidP="4BE4315B"/>
    <w:p w14:paraId="4C6D0478" w14:textId="20D74F3F" w:rsidR="4BE4315B" w:rsidRDefault="4BE4315B" w:rsidP="4BE4315B"/>
    <w:p w14:paraId="451F3BF0" w14:textId="05BEB1F0" w:rsidR="4BE4315B" w:rsidRDefault="4BE4315B" w:rsidP="4BE4315B"/>
    <w:p w14:paraId="4B2642C7" w14:textId="064E0EBC" w:rsidR="4BE4315B" w:rsidRDefault="4BE4315B" w:rsidP="4BE4315B"/>
    <w:p w14:paraId="0C922B10" w14:textId="4D6401EC" w:rsidR="1CDBF6BD" w:rsidRDefault="1CDBF6BD" w:rsidP="1CDBF6BD"/>
    <w:p w14:paraId="116A8C6E" w14:textId="403C5E75" w:rsidR="1CDBF6BD" w:rsidRDefault="1CDBF6BD" w:rsidP="1CDBF6BD"/>
    <w:p w14:paraId="18B31BBB" w14:textId="2EAB4848" w:rsidR="1CDBF6BD" w:rsidRDefault="1CDBF6BD" w:rsidP="1CDBF6BD"/>
    <w:p w14:paraId="5EBF7B98" w14:textId="0AAFD74C" w:rsidR="11FDD8F1" w:rsidRDefault="11FDD8F1" w:rsidP="1CDBF6BD">
      <w:pPr>
        <w:rPr>
          <w:b/>
          <w:bCs/>
          <w:sz w:val="32"/>
          <w:szCs w:val="32"/>
        </w:rPr>
      </w:pPr>
      <w:r>
        <w:t xml:space="preserve">                                                                                </w:t>
      </w:r>
      <w:r>
        <w:rPr>
          <w:noProof/>
        </w:rPr>
        <w:drawing>
          <wp:inline distT="0" distB="0" distL="0" distR="0" wp14:anchorId="582F9C5B" wp14:editId="5B38262D">
            <wp:extent cx="1278385" cy="274320"/>
            <wp:effectExtent l="0" t="0" r="0" b="0"/>
            <wp:docPr id="697886982" name="Picture 147217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17470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8385" cy="274320"/>
                    </a:xfrm>
                    <a:prstGeom prst="rect">
                      <a:avLst/>
                    </a:prstGeom>
                  </pic:spPr>
                </pic:pic>
              </a:graphicData>
            </a:graphic>
          </wp:inline>
        </w:drawing>
      </w:r>
    </w:p>
    <w:sectPr w:rsidR="11FDD8F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94E4D"/>
    <w:multiLevelType w:val="hybridMultilevel"/>
    <w:tmpl w:val="FFFFFFFF"/>
    <w:lvl w:ilvl="0" w:tplc="05C23FDA">
      <w:start w:val="1"/>
      <w:numFmt w:val="bullet"/>
      <w:lvlText w:val=""/>
      <w:lvlJc w:val="left"/>
      <w:pPr>
        <w:ind w:left="720" w:hanging="360"/>
      </w:pPr>
      <w:rPr>
        <w:rFonts w:ascii="Symbol" w:hAnsi="Symbol" w:hint="default"/>
      </w:rPr>
    </w:lvl>
    <w:lvl w:ilvl="1" w:tplc="FED26904">
      <w:start w:val="1"/>
      <w:numFmt w:val="bullet"/>
      <w:lvlText w:val="o"/>
      <w:lvlJc w:val="left"/>
      <w:pPr>
        <w:ind w:left="1440" w:hanging="360"/>
      </w:pPr>
      <w:rPr>
        <w:rFonts w:ascii="Courier New" w:hAnsi="Courier New" w:hint="default"/>
      </w:rPr>
    </w:lvl>
    <w:lvl w:ilvl="2" w:tplc="2648219A">
      <w:start w:val="1"/>
      <w:numFmt w:val="bullet"/>
      <w:lvlText w:val=""/>
      <w:lvlJc w:val="left"/>
      <w:pPr>
        <w:ind w:left="2160" w:hanging="360"/>
      </w:pPr>
      <w:rPr>
        <w:rFonts w:ascii="Wingdings" w:hAnsi="Wingdings" w:hint="default"/>
      </w:rPr>
    </w:lvl>
    <w:lvl w:ilvl="3" w:tplc="6F88436C">
      <w:start w:val="1"/>
      <w:numFmt w:val="bullet"/>
      <w:lvlText w:val=""/>
      <w:lvlJc w:val="left"/>
      <w:pPr>
        <w:ind w:left="2880" w:hanging="360"/>
      </w:pPr>
      <w:rPr>
        <w:rFonts w:ascii="Symbol" w:hAnsi="Symbol" w:hint="default"/>
      </w:rPr>
    </w:lvl>
    <w:lvl w:ilvl="4" w:tplc="096E19A6">
      <w:start w:val="1"/>
      <w:numFmt w:val="bullet"/>
      <w:lvlText w:val="o"/>
      <w:lvlJc w:val="left"/>
      <w:pPr>
        <w:ind w:left="3600" w:hanging="360"/>
      </w:pPr>
      <w:rPr>
        <w:rFonts w:ascii="Courier New" w:hAnsi="Courier New" w:hint="default"/>
      </w:rPr>
    </w:lvl>
    <w:lvl w:ilvl="5" w:tplc="7548C20E">
      <w:start w:val="1"/>
      <w:numFmt w:val="bullet"/>
      <w:lvlText w:val=""/>
      <w:lvlJc w:val="left"/>
      <w:pPr>
        <w:ind w:left="4320" w:hanging="360"/>
      </w:pPr>
      <w:rPr>
        <w:rFonts w:ascii="Wingdings" w:hAnsi="Wingdings" w:hint="default"/>
      </w:rPr>
    </w:lvl>
    <w:lvl w:ilvl="6" w:tplc="20E8DC4E">
      <w:start w:val="1"/>
      <w:numFmt w:val="bullet"/>
      <w:lvlText w:val=""/>
      <w:lvlJc w:val="left"/>
      <w:pPr>
        <w:ind w:left="5040" w:hanging="360"/>
      </w:pPr>
      <w:rPr>
        <w:rFonts w:ascii="Symbol" w:hAnsi="Symbol" w:hint="default"/>
      </w:rPr>
    </w:lvl>
    <w:lvl w:ilvl="7" w:tplc="3E2ED00A">
      <w:start w:val="1"/>
      <w:numFmt w:val="bullet"/>
      <w:lvlText w:val="o"/>
      <w:lvlJc w:val="left"/>
      <w:pPr>
        <w:ind w:left="5760" w:hanging="360"/>
      </w:pPr>
      <w:rPr>
        <w:rFonts w:ascii="Courier New" w:hAnsi="Courier New" w:hint="default"/>
      </w:rPr>
    </w:lvl>
    <w:lvl w:ilvl="8" w:tplc="86E235B4">
      <w:start w:val="1"/>
      <w:numFmt w:val="bullet"/>
      <w:lvlText w:val=""/>
      <w:lvlJc w:val="left"/>
      <w:pPr>
        <w:ind w:left="6480" w:hanging="360"/>
      </w:pPr>
      <w:rPr>
        <w:rFonts w:ascii="Wingdings" w:hAnsi="Wingdings" w:hint="default"/>
      </w:rPr>
    </w:lvl>
  </w:abstractNum>
  <w:abstractNum w:abstractNumId="1" w15:restartNumberingAfterBreak="0">
    <w:nsid w:val="4539B3BB"/>
    <w:multiLevelType w:val="hybridMultilevel"/>
    <w:tmpl w:val="FFFFFFFF"/>
    <w:lvl w:ilvl="0" w:tplc="EA462F24">
      <w:start w:val="1"/>
      <w:numFmt w:val="decimal"/>
      <w:lvlText w:val="%1."/>
      <w:lvlJc w:val="left"/>
      <w:pPr>
        <w:ind w:left="720" w:hanging="360"/>
      </w:pPr>
    </w:lvl>
    <w:lvl w:ilvl="1" w:tplc="BE266D50">
      <w:start w:val="1"/>
      <w:numFmt w:val="lowerLetter"/>
      <w:lvlText w:val="%2."/>
      <w:lvlJc w:val="left"/>
      <w:pPr>
        <w:ind w:left="1440" w:hanging="360"/>
      </w:pPr>
    </w:lvl>
    <w:lvl w:ilvl="2" w:tplc="F74CC6B2">
      <w:start w:val="1"/>
      <w:numFmt w:val="lowerRoman"/>
      <w:lvlText w:val="%3."/>
      <w:lvlJc w:val="right"/>
      <w:pPr>
        <w:ind w:left="2160" w:hanging="180"/>
      </w:pPr>
    </w:lvl>
    <w:lvl w:ilvl="3" w:tplc="36AE4156">
      <w:start w:val="1"/>
      <w:numFmt w:val="decimal"/>
      <w:lvlText w:val="%4."/>
      <w:lvlJc w:val="left"/>
      <w:pPr>
        <w:ind w:left="2880" w:hanging="360"/>
      </w:pPr>
    </w:lvl>
    <w:lvl w:ilvl="4" w:tplc="149C1242">
      <w:start w:val="1"/>
      <w:numFmt w:val="lowerLetter"/>
      <w:lvlText w:val="%5."/>
      <w:lvlJc w:val="left"/>
      <w:pPr>
        <w:ind w:left="3600" w:hanging="360"/>
      </w:pPr>
    </w:lvl>
    <w:lvl w:ilvl="5" w:tplc="CAD4C47A">
      <w:start w:val="1"/>
      <w:numFmt w:val="lowerRoman"/>
      <w:lvlText w:val="%6."/>
      <w:lvlJc w:val="right"/>
      <w:pPr>
        <w:ind w:left="4320" w:hanging="180"/>
      </w:pPr>
    </w:lvl>
    <w:lvl w:ilvl="6" w:tplc="06E24F3A">
      <w:start w:val="1"/>
      <w:numFmt w:val="decimal"/>
      <w:lvlText w:val="%7."/>
      <w:lvlJc w:val="left"/>
      <w:pPr>
        <w:ind w:left="5040" w:hanging="360"/>
      </w:pPr>
    </w:lvl>
    <w:lvl w:ilvl="7" w:tplc="ED5C95BE">
      <w:start w:val="1"/>
      <w:numFmt w:val="lowerLetter"/>
      <w:lvlText w:val="%8."/>
      <w:lvlJc w:val="left"/>
      <w:pPr>
        <w:ind w:left="5760" w:hanging="360"/>
      </w:pPr>
    </w:lvl>
    <w:lvl w:ilvl="8" w:tplc="01D46114">
      <w:start w:val="1"/>
      <w:numFmt w:val="lowerRoman"/>
      <w:lvlText w:val="%9."/>
      <w:lvlJc w:val="right"/>
      <w:pPr>
        <w:ind w:left="6480" w:hanging="180"/>
      </w:pPr>
    </w:lvl>
  </w:abstractNum>
  <w:num w:numId="1" w16cid:durableId="1639412141">
    <w:abstractNumId w:val="0"/>
  </w:num>
  <w:num w:numId="2" w16cid:durableId="1998263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8B27A9"/>
    <w:rsid w:val="00003D3F"/>
    <w:rsid w:val="000225D6"/>
    <w:rsid w:val="00030DE0"/>
    <w:rsid w:val="00074659"/>
    <w:rsid w:val="000A404F"/>
    <w:rsid w:val="000B4EE3"/>
    <w:rsid w:val="000B6CD6"/>
    <w:rsid w:val="000C2BFF"/>
    <w:rsid w:val="000D68F4"/>
    <w:rsid w:val="001C79BF"/>
    <w:rsid w:val="00245DE9"/>
    <w:rsid w:val="00294D47"/>
    <w:rsid w:val="002965EB"/>
    <w:rsid w:val="002C3FF9"/>
    <w:rsid w:val="002E03F9"/>
    <w:rsid w:val="002E35E9"/>
    <w:rsid w:val="003700DD"/>
    <w:rsid w:val="00377C24"/>
    <w:rsid w:val="003C2308"/>
    <w:rsid w:val="00406E41"/>
    <w:rsid w:val="0040EB2B"/>
    <w:rsid w:val="00425DC7"/>
    <w:rsid w:val="004458B3"/>
    <w:rsid w:val="00473CCE"/>
    <w:rsid w:val="004ABB3C"/>
    <w:rsid w:val="004B538D"/>
    <w:rsid w:val="00500D16"/>
    <w:rsid w:val="00586D83"/>
    <w:rsid w:val="005B1229"/>
    <w:rsid w:val="005B628A"/>
    <w:rsid w:val="00614536"/>
    <w:rsid w:val="00647B07"/>
    <w:rsid w:val="006507FB"/>
    <w:rsid w:val="006669B2"/>
    <w:rsid w:val="0066768D"/>
    <w:rsid w:val="00671058"/>
    <w:rsid w:val="006E6B1A"/>
    <w:rsid w:val="007233F4"/>
    <w:rsid w:val="00756B3C"/>
    <w:rsid w:val="00771001"/>
    <w:rsid w:val="00785110"/>
    <w:rsid w:val="007A1747"/>
    <w:rsid w:val="00807FE6"/>
    <w:rsid w:val="00832815"/>
    <w:rsid w:val="00856F69"/>
    <w:rsid w:val="00930741"/>
    <w:rsid w:val="009343DE"/>
    <w:rsid w:val="0095C111"/>
    <w:rsid w:val="00974A82"/>
    <w:rsid w:val="009C7263"/>
    <w:rsid w:val="00A030D9"/>
    <w:rsid w:val="00A34EEF"/>
    <w:rsid w:val="00A7023C"/>
    <w:rsid w:val="00A83832"/>
    <w:rsid w:val="00A92C83"/>
    <w:rsid w:val="00A96B6E"/>
    <w:rsid w:val="00AA711A"/>
    <w:rsid w:val="00B14817"/>
    <w:rsid w:val="00B32DCF"/>
    <w:rsid w:val="00BE137A"/>
    <w:rsid w:val="00BE49AF"/>
    <w:rsid w:val="00BF3B00"/>
    <w:rsid w:val="00C45ED9"/>
    <w:rsid w:val="00CF20AF"/>
    <w:rsid w:val="00D07CD1"/>
    <w:rsid w:val="00D10476"/>
    <w:rsid w:val="00D40865"/>
    <w:rsid w:val="00DC394A"/>
    <w:rsid w:val="00E240C0"/>
    <w:rsid w:val="00E62A97"/>
    <w:rsid w:val="00EC5038"/>
    <w:rsid w:val="00ED4FEE"/>
    <w:rsid w:val="00EE31EE"/>
    <w:rsid w:val="00EF10D1"/>
    <w:rsid w:val="00EF418F"/>
    <w:rsid w:val="00F03F0A"/>
    <w:rsid w:val="00F06198"/>
    <w:rsid w:val="00F16E35"/>
    <w:rsid w:val="00F25E9B"/>
    <w:rsid w:val="00F41654"/>
    <w:rsid w:val="00F5662F"/>
    <w:rsid w:val="00FB76CF"/>
    <w:rsid w:val="00FD58B4"/>
    <w:rsid w:val="01023E25"/>
    <w:rsid w:val="01219EC7"/>
    <w:rsid w:val="01567BDE"/>
    <w:rsid w:val="0157F087"/>
    <w:rsid w:val="0177A809"/>
    <w:rsid w:val="019101D3"/>
    <w:rsid w:val="0195C439"/>
    <w:rsid w:val="01B4729D"/>
    <w:rsid w:val="01BBC1DA"/>
    <w:rsid w:val="01DCBB8C"/>
    <w:rsid w:val="01DD5B7F"/>
    <w:rsid w:val="01DF676A"/>
    <w:rsid w:val="01F688F4"/>
    <w:rsid w:val="0206D09F"/>
    <w:rsid w:val="024AC2C8"/>
    <w:rsid w:val="02596D9D"/>
    <w:rsid w:val="025C3F20"/>
    <w:rsid w:val="02CCF2BC"/>
    <w:rsid w:val="0315C4F9"/>
    <w:rsid w:val="03394D48"/>
    <w:rsid w:val="0361D75B"/>
    <w:rsid w:val="03629611"/>
    <w:rsid w:val="0372AD05"/>
    <w:rsid w:val="037EA4F3"/>
    <w:rsid w:val="038576CB"/>
    <w:rsid w:val="038A79D7"/>
    <w:rsid w:val="038B4C43"/>
    <w:rsid w:val="03A412C7"/>
    <w:rsid w:val="03A737E4"/>
    <w:rsid w:val="03B66EC1"/>
    <w:rsid w:val="03D3CA84"/>
    <w:rsid w:val="040DD5B7"/>
    <w:rsid w:val="045CA7A0"/>
    <w:rsid w:val="047FD3BB"/>
    <w:rsid w:val="04EDEA91"/>
    <w:rsid w:val="04F6E463"/>
    <w:rsid w:val="05076DF2"/>
    <w:rsid w:val="051274BD"/>
    <w:rsid w:val="05271CA4"/>
    <w:rsid w:val="055CADF9"/>
    <w:rsid w:val="05886DC5"/>
    <w:rsid w:val="05898285"/>
    <w:rsid w:val="05BBC333"/>
    <w:rsid w:val="0622DD21"/>
    <w:rsid w:val="0643AAFE"/>
    <w:rsid w:val="0655A14D"/>
    <w:rsid w:val="0680BFFA"/>
    <w:rsid w:val="0690F438"/>
    <w:rsid w:val="06AF714B"/>
    <w:rsid w:val="06AF8A64"/>
    <w:rsid w:val="06C7FA82"/>
    <w:rsid w:val="07058D7B"/>
    <w:rsid w:val="0734CC46"/>
    <w:rsid w:val="077B2005"/>
    <w:rsid w:val="0797523E"/>
    <w:rsid w:val="07BB8723"/>
    <w:rsid w:val="07CA541E"/>
    <w:rsid w:val="07CF1F91"/>
    <w:rsid w:val="07DFEA87"/>
    <w:rsid w:val="07E22FE5"/>
    <w:rsid w:val="07EEC1E8"/>
    <w:rsid w:val="07F171AE"/>
    <w:rsid w:val="080D88C1"/>
    <w:rsid w:val="084817C0"/>
    <w:rsid w:val="0854107C"/>
    <w:rsid w:val="08985146"/>
    <w:rsid w:val="089F7045"/>
    <w:rsid w:val="09083717"/>
    <w:rsid w:val="090F022D"/>
    <w:rsid w:val="0916F066"/>
    <w:rsid w:val="09442F47"/>
    <w:rsid w:val="0948727B"/>
    <w:rsid w:val="09622363"/>
    <w:rsid w:val="09790841"/>
    <w:rsid w:val="097C5B5D"/>
    <w:rsid w:val="098B27A9"/>
    <w:rsid w:val="098B45B2"/>
    <w:rsid w:val="098C3138"/>
    <w:rsid w:val="098EC9B1"/>
    <w:rsid w:val="099ABDA4"/>
    <w:rsid w:val="099CC30B"/>
    <w:rsid w:val="09A7B11E"/>
    <w:rsid w:val="09B96396"/>
    <w:rsid w:val="09D8AF91"/>
    <w:rsid w:val="09E2ED7E"/>
    <w:rsid w:val="09ECBCAE"/>
    <w:rsid w:val="09EDE677"/>
    <w:rsid w:val="0A297A79"/>
    <w:rsid w:val="0A5E4658"/>
    <w:rsid w:val="0AA2E229"/>
    <w:rsid w:val="0ABBA2CF"/>
    <w:rsid w:val="0ADE589B"/>
    <w:rsid w:val="0B106DDD"/>
    <w:rsid w:val="0B30B069"/>
    <w:rsid w:val="0B4E86E3"/>
    <w:rsid w:val="0BE69E62"/>
    <w:rsid w:val="0C15D430"/>
    <w:rsid w:val="0C1F0E48"/>
    <w:rsid w:val="0C2B6964"/>
    <w:rsid w:val="0C4C0568"/>
    <w:rsid w:val="0C4E9128"/>
    <w:rsid w:val="0C670AC0"/>
    <w:rsid w:val="0C7E25D2"/>
    <w:rsid w:val="0C82D962"/>
    <w:rsid w:val="0CA290B4"/>
    <w:rsid w:val="0CC4E1F3"/>
    <w:rsid w:val="0CDAEA79"/>
    <w:rsid w:val="0CF303EC"/>
    <w:rsid w:val="0D16A7DE"/>
    <w:rsid w:val="0D393B9B"/>
    <w:rsid w:val="0D3C9DE7"/>
    <w:rsid w:val="0D4EBC9E"/>
    <w:rsid w:val="0DA5749C"/>
    <w:rsid w:val="0DCF97C2"/>
    <w:rsid w:val="0DDF2B44"/>
    <w:rsid w:val="0E31D984"/>
    <w:rsid w:val="0E5CC975"/>
    <w:rsid w:val="0E8C656E"/>
    <w:rsid w:val="0E91A317"/>
    <w:rsid w:val="0E9441C8"/>
    <w:rsid w:val="0EAAFE4B"/>
    <w:rsid w:val="0EF5896C"/>
    <w:rsid w:val="0EFEE7AA"/>
    <w:rsid w:val="0F0B4D32"/>
    <w:rsid w:val="0F26B5CE"/>
    <w:rsid w:val="0F3352C1"/>
    <w:rsid w:val="0F4A7235"/>
    <w:rsid w:val="0F80DAB5"/>
    <w:rsid w:val="0F92482C"/>
    <w:rsid w:val="0F9EAB82"/>
    <w:rsid w:val="0FBC06C3"/>
    <w:rsid w:val="0FF5B62C"/>
    <w:rsid w:val="1003792A"/>
    <w:rsid w:val="100E4782"/>
    <w:rsid w:val="10431E1F"/>
    <w:rsid w:val="106A7BDD"/>
    <w:rsid w:val="1070DC5D"/>
    <w:rsid w:val="10E25A6F"/>
    <w:rsid w:val="10EAB2C1"/>
    <w:rsid w:val="113A7BE3"/>
    <w:rsid w:val="11421377"/>
    <w:rsid w:val="114BDCE9"/>
    <w:rsid w:val="118F377E"/>
    <w:rsid w:val="11C9B4E1"/>
    <w:rsid w:val="11FDD8F1"/>
    <w:rsid w:val="11FDF574"/>
    <w:rsid w:val="1200D619"/>
    <w:rsid w:val="12474779"/>
    <w:rsid w:val="126F2E0A"/>
    <w:rsid w:val="128286D7"/>
    <w:rsid w:val="12BF1F3B"/>
    <w:rsid w:val="12C5C032"/>
    <w:rsid w:val="12D392F2"/>
    <w:rsid w:val="12E57F9C"/>
    <w:rsid w:val="13866A22"/>
    <w:rsid w:val="13B06AA5"/>
    <w:rsid w:val="13CE20B9"/>
    <w:rsid w:val="1419A52F"/>
    <w:rsid w:val="1447606D"/>
    <w:rsid w:val="144B30F8"/>
    <w:rsid w:val="14721CA5"/>
    <w:rsid w:val="1498122D"/>
    <w:rsid w:val="14B3297C"/>
    <w:rsid w:val="14CDB37E"/>
    <w:rsid w:val="14E19E4B"/>
    <w:rsid w:val="1512FA33"/>
    <w:rsid w:val="15322AAB"/>
    <w:rsid w:val="15452DF4"/>
    <w:rsid w:val="1546CD7F"/>
    <w:rsid w:val="1550801C"/>
    <w:rsid w:val="15B07C8E"/>
    <w:rsid w:val="15B4A339"/>
    <w:rsid w:val="15E05A39"/>
    <w:rsid w:val="15E637AC"/>
    <w:rsid w:val="15EE661C"/>
    <w:rsid w:val="160989F2"/>
    <w:rsid w:val="161DF519"/>
    <w:rsid w:val="16342659"/>
    <w:rsid w:val="16392316"/>
    <w:rsid w:val="163C9FBF"/>
    <w:rsid w:val="16CBFE5D"/>
    <w:rsid w:val="16F77964"/>
    <w:rsid w:val="1716A3DD"/>
    <w:rsid w:val="17205D0E"/>
    <w:rsid w:val="17409397"/>
    <w:rsid w:val="17863729"/>
    <w:rsid w:val="17A50F07"/>
    <w:rsid w:val="17BE0EFC"/>
    <w:rsid w:val="18380662"/>
    <w:rsid w:val="183C774E"/>
    <w:rsid w:val="18418CCF"/>
    <w:rsid w:val="185A3126"/>
    <w:rsid w:val="187CDC54"/>
    <w:rsid w:val="187D711A"/>
    <w:rsid w:val="18994189"/>
    <w:rsid w:val="18EC43FB"/>
    <w:rsid w:val="18F5C4A6"/>
    <w:rsid w:val="1931999F"/>
    <w:rsid w:val="198034B3"/>
    <w:rsid w:val="19AE9E8E"/>
    <w:rsid w:val="19C030B4"/>
    <w:rsid w:val="19C233C2"/>
    <w:rsid w:val="19CC4CE9"/>
    <w:rsid w:val="19D359FC"/>
    <w:rsid w:val="19D601D2"/>
    <w:rsid w:val="19ED0086"/>
    <w:rsid w:val="1A10CE37"/>
    <w:rsid w:val="1A46AE6A"/>
    <w:rsid w:val="1A783459"/>
    <w:rsid w:val="1A88145C"/>
    <w:rsid w:val="1AA3CC53"/>
    <w:rsid w:val="1AADD284"/>
    <w:rsid w:val="1ACE33D0"/>
    <w:rsid w:val="1AEFDEB5"/>
    <w:rsid w:val="1B225114"/>
    <w:rsid w:val="1B72B5E2"/>
    <w:rsid w:val="1BB0A512"/>
    <w:rsid w:val="1BB79270"/>
    <w:rsid w:val="1BC0B9BC"/>
    <w:rsid w:val="1BC8CF76"/>
    <w:rsid w:val="1BE70CA4"/>
    <w:rsid w:val="1C4DEA75"/>
    <w:rsid w:val="1C4FF5EB"/>
    <w:rsid w:val="1C9FCB43"/>
    <w:rsid w:val="1CBB0383"/>
    <w:rsid w:val="1CCEC179"/>
    <w:rsid w:val="1CDBF6BD"/>
    <w:rsid w:val="1D221784"/>
    <w:rsid w:val="1D240C6B"/>
    <w:rsid w:val="1D2530CC"/>
    <w:rsid w:val="1D412CAF"/>
    <w:rsid w:val="1D486EF9"/>
    <w:rsid w:val="1D79E5CB"/>
    <w:rsid w:val="1D82DD05"/>
    <w:rsid w:val="1D8ABFB2"/>
    <w:rsid w:val="1D8AEA01"/>
    <w:rsid w:val="1DBFB51E"/>
    <w:rsid w:val="1DCDAC48"/>
    <w:rsid w:val="1DE13353"/>
    <w:rsid w:val="1DEE4AEE"/>
    <w:rsid w:val="1E07F3F8"/>
    <w:rsid w:val="1E0C43DF"/>
    <w:rsid w:val="1E1C8A5F"/>
    <w:rsid w:val="1E374BB3"/>
    <w:rsid w:val="1E4A578A"/>
    <w:rsid w:val="1E79349A"/>
    <w:rsid w:val="1E7E09B6"/>
    <w:rsid w:val="1EE27277"/>
    <w:rsid w:val="1F1B8FEC"/>
    <w:rsid w:val="1F4B8D4D"/>
    <w:rsid w:val="1F55FA0D"/>
    <w:rsid w:val="1F596BC0"/>
    <w:rsid w:val="1F862D9C"/>
    <w:rsid w:val="1F99B130"/>
    <w:rsid w:val="1FBF8643"/>
    <w:rsid w:val="1FC36EF3"/>
    <w:rsid w:val="201F2055"/>
    <w:rsid w:val="2073BF16"/>
    <w:rsid w:val="2074EF64"/>
    <w:rsid w:val="20D8FE24"/>
    <w:rsid w:val="20EAE86C"/>
    <w:rsid w:val="20EB27EA"/>
    <w:rsid w:val="2109C9A7"/>
    <w:rsid w:val="210D1CC3"/>
    <w:rsid w:val="21177520"/>
    <w:rsid w:val="218FE848"/>
    <w:rsid w:val="21EDB0AF"/>
    <w:rsid w:val="220583A6"/>
    <w:rsid w:val="2209A6A5"/>
    <w:rsid w:val="220E1DDA"/>
    <w:rsid w:val="2252EF13"/>
    <w:rsid w:val="2253528E"/>
    <w:rsid w:val="22564E28"/>
    <w:rsid w:val="226AFC5D"/>
    <w:rsid w:val="22796E5C"/>
    <w:rsid w:val="228AE8E6"/>
    <w:rsid w:val="229E16D8"/>
    <w:rsid w:val="22B3C0C7"/>
    <w:rsid w:val="22CA4DDB"/>
    <w:rsid w:val="22D87BE5"/>
    <w:rsid w:val="22F729B7"/>
    <w:rsid w:val="2356C117"/>
    <w:rsid w:val="23699E13"/>
    <w:rsid w:val="238BC853"/>
    <w:rsid w:val="238F2708"/>
    <w:rsid w:val="23AA4532"/>
    <w:rsid w:val="23B5DE1D"/>
    <w:rsid w:val="23B66B32"/>
    <w:rsid w:val="23C34003"/>
    <w:rsid w:val="23C7C3C1"/>
    <w:rsid w:val="23D46A2A"/>
    <w:rsid w:val="23F98415"/>
    <w:rsid w:val="246F7D1D"/>
    <w:rsid w:val="2480DE29"/>
    <w:rsid w:val="24ABD266"/>
    <w:rsid w:val="24AC2775"/>
    <w:rsid w:val="24E8C587"/>
    <w:rsid w:val="24E8D34B"/>
    <w:rsid w:val="24F29178"/>
    <w:rsid w:val="253FA486"/>
    <w:rsid w:val="2548C33E"/>
    <w:rsid w:val="2595A4CE"/>
    <w:rsid w:val="259BC811"/>
    <w:rsid w:val="25EC5645"/>
    <w:rsid w:val="25F7D0A1"/>
    <w:rsid w:val="26048B27"/>
    <w:rsid w:val="26279B42"/>
    <w:rsid w:val="26746908"/>
    <w:rsid w:val="26A1CBE1"/>
    <w:rsid w:val="26C93C8C"/>
    <w:rsid w:val="26CB11EE"/>
    <w:rsid w:val="2719E0B6"/>
    <w:rsid w:val="27488E44"/>
    <w:rsid w:val="276441AA"/>
    <w:rsid w:val="276E84EA"/>
    <w:rsid w:val="2777AEF6"/>
    <w:rsid w:val="278CA6EB"/>
    <w:rsid w:val="27948E93"/>
    <w:rsid w:val="27BC4B34"/>
    <w:rsid w:val="27C7CEB7"/>
    <w:rsid w:val="27DAF282"/>
    <w:rsid w:val="27FCEBA6"/>
    <w:rsid w:val="27FE847E"/>
    <w:rsid w:val="28013021"/>
    <w:rsid w:val="2820F4A2"/>
    <w:rsid w:val="2839A1C6"/>
    <w:rsid w:val="284BB383"/>
    <w:rsid w:val="285900BC"/>
    <w:rsid w:val="28600400"/>
    <w:rsid w:val="28B127DD"/>
    <w:rsid w:val="28BFC48E"/>
    <w:rsid w:val="28E0ACB6"/>
    <w:rsid w:val="2900120B"/>
    <w:rsid w:val="29103596"/>
    <w:rsid w:val="29142502"/>
    <w:rsid w:val="29749A28"/>
    <w:rsid w:val="29A8887D"/>
    <w:rsid w:val="29BC4876"/>
    <w:rsid w:val="29D77ED1"/>
    <w:rsid w:val="29E9681B"/>
    <w:rsid w:val="2A0111BA"/>
    <w:rsid w:val="2A1A6B80"/>
    <w:rsid w:val="2A1F1F1F"/>
    <w:rsid w:val="2A6706ED"/>
    <w:rsid w:val="2A6C1452"/>
    <w:rsid w:val="2AE38DCA"/>
    <w:rsid w:val="2B2A8267"/>
    <w:rsid w:val="2B2C6D5E"/>
    <w:rsid w:val="2B338DDA"/>
    <w:rsid w:val="2B61D2FC"/>
    <w:rsid w:val="2B747A0C"/>
    <w:rsid w:val="2BB9A2F1"/>
    <w:rsid w:val="2BCD9BC3"/>
    <w:rsid w:val="2BD22B84"/>
    <w:rsid w:val="2C32AF2C"/>
    <w:rsid w:val="2C5D3DB9"/>
    <w:rsid w:val="2C72426B"/>
    <w:rsid w:val="2C7A8E1D"/>
    <w:rsid w:val="2C85100B"/>
    <w:rsid w:val="2C962230"/>
    <w:rsid w:val="2C96DCC6"/>
    <w:rsid w:val="2CCF5E3B"/>
    <w:rsid w:val="2CF898E1"/>
    <w:rsid w:val="2D01EBC9"/>
    <w:rsid w:val="2D3ED3C8"/>
    <w:rsid w:val="2D557352"/>
    <w:rsid w:val="2D5DAAE8"/>
    <w:rsid w:val="2D904A81"/>
    <w:rsid w:val="2DCDE66B"/>
    <w:rsid w:val="2DCFC611"/>
    <w:rsid w:val="2DDD68F2"/>
    <w:rsid w:val="2DE74690"/>
    <w:rsid w:val="2DFB43C2"/>
    <w:rsid w:val="2E059F4C"/>
    <w:rsid w:val="2E34ED66"/>
    <w:rsid w:val="2E583AEB"/>
    <w:rsid w:val="2E70CCC5"/>
    <w:rsid w:val="2E91C797"/>
    <w:rsid w:val="2EB93A1B"/>
    <w:rsid w:val="2EF93139"/>
    <w:rsid w:val="2F2FB2D3"/>
    <w:rsid w:val="2F3CBEB6"/>
    <w:rsid w:val="2F8AECBF"/>
    <w:rsid w:val="2FB6FEED"/>
    <w:rsid w:val="2FBF2961"/>
    <w:rsid w:val="2FCDB0F4"/>
    <w:rsid w:val="30078F74"/>
    <w:rsid w:val="301CEB43"/>
    <w:rsid w:val="3058CBD7"/>
    <w:rsid w:val="306DA16D"/>
    <w:rsid w:val="3072A9DA"/>
    <w:rsid w:val="30849138"/>
    <w:rsid w:val="3097021C"/>
    <w:rsid w:val="30B7AD14"/>
    <w:rsid w:val="30EFBB88"/>
    <w:rsid w:val="314641DA"/>
    <w:rsid w:val="3165DEA5"/>
    <w:rsid w:val="31698155"/>
    <w:rsid w:val="3180D707"/>
    <w:rsid w:val="3189F212"/>
    <w:rsid w:val="31939F13"/>
    <w:rsid w:val="31C96859"/>
    <w:rsid w:val="31DB04DC"/>
    <w:rsid w:val="326FCD00"/>
    <w:rsid w:val="327EC1EA"/>
    <w:rsid w:val="32A6E68F"/>
    <w:rsid w:val="32E64707"/>
    <w:rsid w:val="331418FD"/>
    <w:rsid w:val="336859CA"/>
    <w:rsid w:val="33800E6C"/>
    <w:rsid w:val="33855D6B"/>
    <w:rsid w:val="338B685C"/>
    <w:rsid w:val="339AD734"/>
    <w:rsid w:val="339AE169"/>
    <w:rsid w:val="33A8BCE7"/>
    <w:rsid w:val="33C93A45"/>
    <w:rsid w:val="33CA7579"/>
    <w:rsid w:val="33CCA25C"/>
    <w:rsid w:val="33D3AAEC"/>
    <w:rsid w:val="33FB3490"/>
    <w:rsid w:val="3422E46B"/>
    <w:rsid w:val="34750E0F"/>
    <w:rsid w:val="348A7010"/>
    <w:rsid w:val="349C81C3"/>
    <w:rsid w:val="34B74CCF"/>
    <w:rsid w:val="34D98E01"/>
    <w:rsid w:val="351C89A6"/>
    <w:rsid w:val="35230C08"/>
    <w:rsid w:val="3536B1CA"/>
    <w:rsid w:val="35455967"/>
    <w:rsid w:val="354A4B90"/>
    <w:rsid w:val="354F7B2D"/>
    <w:rsid w:val="35786BC9"/>
    <w:rsid w:val="357933A2"/>
    <w:rsid w:val="358ADA53"/>
    <w:rsid w:val="358ED953"/>
    <w:rsid w:val="3595B19E"/>
    <w:rsid w:val="35AC003A"/>
    <w:rsid w:val="35C2773D"/>
    <w:rsid w:val="35C45C1E"/>
    <w:rsid w:val="35DC4107"/>
    <w:rsid w:val="35E8D853"/>
    <w:rsid w:val="35E9F3B6"/>
    <w:rsid w:val="35F55B41"/>
    <w:rsid w:val="363F68CE"/>
    <w:rsid w:val="36A4C702"/>
    <w:rsid w:val="36E27B5E"/>
    <w:rsid w:val="36EF3F8C"/>
    <w:rsid w:val="36F606FC"/>
    <w:rsid w:val="375F700D"/>
    <w:rsid w:val="37936558"/>
    <w:rsid w:val="37DE5FE3"/>
    <w:rsid w:val="37E45850"/>
    <w:rsid w:val="37E79469"/>
    <w:rsid w:val="37EABFAC"/>
    <w:rsid w:val="37F0BE9D"/>
    <w:rsid w:val="37F3E948"/>
    <w:rsid w:val="3828935E"/>
    <w:rsid w:val="384750E3"/>
    <w:rsid w:val="385145F0"/>
    <w:rsid w:val="38C62573"/>
    <w:rsid w:val="38CBAF44"/>
    <w:rsid w:val="392F900F"/>
    <w:rsid w:val="3944CC72"/>
    <w:rsid w:val="394C14D6"/>
    <w:rsid w:val="3955888B"/>
    <w:rsid w:val="395DE133"/>
    <w:rsid w:val="3980857C"/>
    <w:rsid w:val="398ABDF2"/>
    <w:rsid w:val="398E203E"/>
    <w:rsid w:val="39AE5F88"/>
    <w:rsid w:val="39C463BF"/>
    <w:rsid w:val="3A33CE5B"/>
    <w:rsid w:val="3A6DBE1B"/>
    <w:rsid w:val="3A80B6D8"/>
    <w:rsid w:val="3AB6E21C"/>
    <w:rsid w:val="3AB9F3BC"/>
    <w:rsid w:val="3B01EB4B"/>
    <w:rsid w:val="3B176FB7"/>
    <w:rsid w:val="3B51C232"/>
    <w:rsid w:val="3B53BECA"/>
    <w:rsid w:val="3B7347D8"/>
    <w:rsid w:val="3BD8533D"/>
    <w:rsid w:val="3BF02DD9"/>
    <w:rsid w:val="3BF0E6A9"/>
    <w:rsid w:val="3C41EBD7"/>
    <w:rsid w:val="3C581987"/>
    <w:rsid w:val="3CC25EB4"/>
    <w:rsid w:val="3CD7E42E"/>
    <w:rsid w:val="3CE85170"/>
    <w:rsid w:val="3CEE3947"/>
    <w:rsid w:val="3D1F1F18"/>
    <w:rsid w:val="3D22149D"/>
    <w:rsid w:val="3D32B46D"/>
    <w:rsid w:val="3D7F272E"/>
    <w:rsid w:val="3DA66E4B"/>
    <w:rsid w:val="3DBDF8E9"/>
    <w:rsid w:val="3DCCC5F4"/>
    <w:rsid w:val="3DF6DB9F"/>
    <w:rsid w:val="3E1DF60F"/>
    <w:rsid w:val="3E205F94"/>
    <w:rsid w:val="3E277332"/>
    <w:rsid w:val="3E33309C"/>
    <w:rsid w:val="3E37ECE8"/>
    <w:rsid w:val="3E387768"/>
    <w:rsid w:val="3E504C39"/>
    <w:rsid w:val="3E6C472E"/>
    <w:rsid w:val="3E703A97"/>
    <w:rsid w:val="3EDC2F37"/>
    <w:rsid w:val="3EF107B2"/>
    <w:rsid w:val="3F0F5503"/>
    <w:rsid w:val="3F55C9E7"/>
    <w:rsid w:val="3F617CA2"/>
    <w:rsid w:val="3F6A81F2"/>
    <w:rsid w:val="3F8CB447"/>
    <w:rsid w:val="3FEF7C06"/>
    <w:rsid w:val="3FF91DD9"/>
    <w:rsid w:val="4036019F"/>
    <w:rsid w:val="404F02A2"/>
    <w:rsid w:val="4066999B"/>
    <w:rsid w:val="40CB3690"/>
    <w:rsid w:val="40DFC0C9"/>
    <w:rsid w:val="40E39BCA"/>
    <w:rsid w:val="41065253"/>
    <w:rsid w:val="4132F826"/>
    <w:rsid w:val="4159AE55"/>
    <w:rsid w:val="417C6EF3"/>
    <w:rsid w:val="41D1D200"/>
    <w:rsid w:val="4205C814"/>
    <w:rsid w:val="42062590"/>
    <w:rsid w:val="420FA63B"/>
    <w:rsid w:val="425C721F"/>
    <w:rsid w:val="426706F1"/>
    <w:rsid w:val="426EBA6B"/>
    <w:rsid w:val="427A05A5"/>
    <w:rsid w:val="42965045"/>
    <w:rsid w:val="42A7C19A"/>
    <w:rsid w:val="42B5FE66"/>
    <w:rsid w:val="42CAB5B2"/>
    <w:rsid w:val="42E58750"/>
    <w:rsid w:val="4328FB59"/>
    <w:rsid w:val="432AAFCC"/>
    <w:rsid w:val="432FAB23"/>
    <w:rsid w:val="43663937"/>
    <w:rsid w:val="43990CB0"/>
    <w:rsid w:val="43E2C626"/>
    <w:rsid w:val="43FB3FBE"/>
    <w:rsid w:val="441D9D55"/>
    <w:rsid w:val="44A093DA"/>
    <w:rsid w:val="44BC88B1"/>
    <w:rsid w:val="44E6D8CF"/>
    <w:rsid w:val="453DC652"/>
    <w:rsid w:val="4550901C"/>
    <w:rsid w:val="457E9687"/>
    <w:rsid w:val="45D9335B"/>
    <w:rsid w:val="45DEFD76"/>
    <w:rsid w:val="46153ABD"/>
    <w:rsid w:val="461F3C01"/>
    <w:rsid w:val="4621201C"/>
    <w:rsid w:val="463BF919"/>
    <w:rsid w:val="4642D69A"/>
    <w:rsid w:val="46430B4D"/>
    <w:rsid w:val="4662508E"/>
    <w:rsid w:val="466BB8A4"/>
    <w:rsid w:val="46BB6F7A"/>
    <w:rsid w:val="46BDF554"/>
    <w:rsid w:val="46D25648"/>
    <w:rsid w:val="47157952"/>
    <w:rsid w:val="4732E080"/>
    <w:rsid w:val="473D3677"/>
    <w:rsid w:val="474972B6"/>
    <w:rsid w:val="47607CBB"/>
    <w:rsid w:val="477E0C53"/>
    <w:rsid w:val="47C9F9B5"/>
    <w:rsid w:val="47F3D684"/>
    <w:rsid w:val="48033159"/>
    <w:rsid w:val="480F7BBA"/>
    <w:rsid w:val="480FB607"/>
    <w:rsid w:val="484C964F"/>
    <w:rsid w:val="485B77A3"/>
    <w:rsid w:val="48742E15"/>
    <w:rsid w:val="4874B4F9"/>
    <w:rsid w:val="48C717D1"/>
    <w:rsid w:val="48D89EDF"/>
    <w:rsid w:val="48FDA65E"/>
    <w:rsid w:val="49224458"/>
    <w:rsid w:val="495F10EC"/>
    <w:rsid w:val="497399DB"/>
    <w:rsid w:val="4992DC2B"/>
    <w:rsid w:val="49B173A7"/>
    <w:rsid w:val="49F36C14"/>
    <w:rsid w:val="49FF297E"/>
    <w:rsid w:val="4A0C73FA"/>
    <w:rsid w:val="4A0FB738"/>
    <w:rsid w:val="4A113775"/>
    <w:rsid w:val="4A36F59D"/>
    <w:rsid w:val="4A3A66F3"/>
    <w:rsid w:val="4A4E9F93"/>
    <w:rsid w:val="4A528CD4"/>
    <w:rsid w:val="4A62E832"/>
    <w:rsid w:val="4A6C6755"/>
    <w:rsid w:val="4A7DE22F"/>
    <w:rsid w:val="4A81635E"/>
    <w:rsid w:val="4AB47FD4"/>
    <w:rsid w:val="4ABFA9F3"/>
    <w:rsid w:val="4AE19820"/>
    <w:rsid w:val="4AF3BE10"/>
    <w:rsid w:val="4B0EA009"/>
    <w:rsid w:val="4B15880C"/>
    <w:rsid w:val="4B2CA240"/>
    <w:rsid w:val="4B4C2B09"/>
    <w:rsid w:val="4B563838"/>
    <w:rsid w:val="4BA3ECE4"/>
    <w:rsid w:val="4BD015DB"/>
    <w:rsid w:val="4BDA0A22"/>
    <w:rsid w:val="4BE4315B"/>
    <w:rsid w:val="4CAB3A9D"/>
    <w:rsid w:val="4CB89595"/>
    <w:rsid w:val="4D076DA6"/>
    <w:rsid w:val="4D16FDE6"/>
    <w:rsid w:val="4D25F1D1"/>
    <w:rsid w:val="4D48D837"/>
    <w:rsid w:val="4D55B983"/>
    <w:rsid w:val="4D982CFF"/>
    <w:rsid w:val="4DB0C892"/>
    <w:rsid w:val="4DC7DE8A"/>
    <w:rsid w:val="4DECC2E1"/>
    <w:rsid w:val="4E20B82C"/>
    <w:rsid w:val="4E616395"/>
    <w:rsid w:val="4E67F2B4"/>
    <w:rsid w:val="4E931BDC"/>
    <w:rsid w:val="4EB32CB3"/>
    <w:rsid w:val="4EBC5141"/>
    <w:rsid w:val="4ED642D0"/>
    <w:rsid w:val="4EF189E4"/>
    <w:rsid w:val="4F06B632"/>
    <w:rsid w:val="4F087819"/>
    <w:rsid w:val="4F365955"/>
    <w:rsid w:val="4F366364"/>
    <w:rsid w:val="4F4FCDE9"/>
    <w:rsid w:val="4F5F11B6"/>
    <w:rsid w:val="4F7519B6"/>
    <w:rsid w:val="4FA509A6"/>
    <w:rsid w:val="4FEED83C"/>
    <w:rsid w:val="4FEF2249"/>
    <w:rsid w:val="50254CB3"/>
    <w:rsid w:val="50285593"/>
    <w:rsid w:val="5043B469"/>
    <w:rsid w:val="505EC17B"/>
    <w:rsid w:val="509418DB"/>
    <w:rsid w:val="50B0122A"/>
    <w:rsid w:val="50DFAA6C"/>
    <w:rsid w:val="50EB9E4A"/>
    <w:rsid w:val="5136B441"/>
    <w:rsid w:val="514A0B17"/>
    <w:rsid w:val="514D5CC9"/>
    <w:rsid w:val="517EABC0"/>
    <w:rsid w:val="51827109"/>
    <w:rsid w:val="51A336E4"/>
    <w:rsid w:val="51AB79B1"/>
    <w:rsid w:val="520DF666"/>
    <w:rsid w:val="523CE3E0"/>
    <w:rsid w:val="527F8882"/>
    <w:rsid w:val="52D83809"/>
    <w:rsid w:val="530972EE"/>
    <w:rsid w:val="53198CF8"/>
    <w:rsid w:val="532046A8"/>
    <w:rsid w:val="5341EC42"/>
    <w:rsid w:val="5397E103"/>
    <w:rsid w:val="53D2BFF4"/>
    <w:rsid w:val="53D490BA"/>
    <w:rsid w:val="53D56688"/>
    <w:rsid w:val="53D972F7"/>
    <w:rsid w:val="53E1E485"/>
    <w:rsid w:val="53F581D9"/>
    <w:rsid w:val="540E946D"/>
    <w:rsid w:val="547BB491"/>
    <w:rsid w:val="548DAAFA"/>
    <w:rsid w:val="54DDBCA3"/>
    <w:rsid w:val="54E5C1EA"/>
    <w:rsid w:val="5525AC25"/>
    <w:rsid w:val="552677D0"/>
    <w:rsid w:val="557607E5"/>
    <w:rsid w:val="55993FC0"/>
    <w:rsid w:val="55C66DB2"/>
    <w:rsid w:val="55CF9180"/>
    <w:rsid w:val="562DA223"/>
    <w:rsid w:val="563B2572"/>
    <w:rsid w:val="565424A9"/>
    <w:rsid w:val="566F862E"/>
    <w:rsid w:val="56836B6B"/>
    <w:rsid w:val="568FAAD8"/>
    <w:rsid w:val="569FE125"/>
    <w:rsid w:val="56A13131"/>
    <w:rsid w:val="56BBD6B0"/>
    <w:rsid w:val="56C6F75C"/>
    <w:rsid w:val="576568A4"/>
    <w:rsid w:val="57B49933"/>
    <w:rsid w:val="57D1380A"/>
    <w:rsid w:val="57D9896C"/>
    <w:rsid w:val="57FFC1D8"/>
    <w:rsid w:val="585A24C0"/>
    <w:rsid w:val="589DEE85"/>
    <w:rsid w:val="58A97E05"/>
    <w:rsid w:val="58BA68A4"/>
    <w:rsid w:val="58C8F2FC"/>
    <w:rsid w:val="58F2D0AD"/>
    <w:rsid w:val="591B94B7"/>
    <w:rsid w:val="592F7588"/>
    <w:rsid w:val="5940CCEC"/>
    <w:rsid w:val="59673EF5"/>
    <w:rsid w:val="597FDA26"/>
    <w:rsid w:val="598C81B3"/>
    <w:rsid w:val="59D7F722"/>
    <w:rsid w:val="59DD1D76"/>
    <w:rsid w:val="59F5F521"/>
    <w:rsid w:val="59F91D48"/>
    <w:rsid w:val="5A206D1B"/>
    <w:rsid w:val="5A487AE9"/>
    <w:rsid w:val="5A6B2B64"/>
    <w:rsid w:val="5A7B6F2C"/>
    <w:rsid w:val="5A8EA10E"/>
    <w:rsid w:val="5AAD0BE0"/>
    <w:rsid w:val="5ABCE82B"/>
    <w:rsid w:val="5AF95592"/>
    <w:rsid w:val="5B1CBB3F"/>
    <w:rsid w:val="5B42A38E"/>
    <w:rsid w:val="5B6E86D0"/>
    <w:rsid w:val="5B6E9544"/>
    <w:rsid w:val="5B71CE53"/>
    <w:rsid w:val="5B7354CB"/>
    <w:rsid w:val="5B9FEF56"/>
    <w:rsid w:val="5C088144"/>
    <w:rsid w:val="5C6DAA50"/>
    <w:rsid w:val="5C7956C9"/>
    <w:rsid w:val="5C7D6BE2"/>
    <w:rsid w:val="5C9E4FB7"/>
    <w:rsid w:val="5CA746E1"/>
    <w:rsid w:val="5CB77AE8"/>
    <w:rsid w:val="5CBF622A"/>
    <w:rsid w:val="5CC916E0"/>
    <w:rsid w:val="5D525FD2"/>
    <w:rsid w:val="5D668C0B"/>
    <w:rsid w:val="5D686D91"/>
    <w:rsid w:val="5D9E6B27"/>
    <w:rsid w:val="5DA2BAA0"/>
    <w:rsid w:val="5DA2CC26"/>
    <w:rsid w:val="5DD9C45C"/>
    <w:rsid w:val="5DE2B864"/>
    <w:rsid w:val="5DEB5519"/>
    <w:rsid w:val="5DFA11B5"/>
    <w:rsid w:val="5E2F8EA3"/>
    <w:rsid w:val="5E35A08E"/>
    <w:rsid w:val="5E754346"/>
    <w:rsid w:val="5E8D675A"/>
    <w:rsid w:val="5E92E064"/>
    <w:rsid w:val="5E92E915"/>
    <w:rsid w:val="5E94A2F8"/>
    <w:rsid w:val="5EA6591E"/>
    <w:rsid w:val="5EDAF394"/>
    <w:rsid w:val="5F06C01D"/>
    <w:rsid w:val="5F1152E0"/>
    <w:rsid w:val="5F19D495"/>
    <w:rsid w:val="5F2820C5"/>
    <w:rsid w:val="5F383480"/>
    <w:rsid w:val="5F5ED4D8"/>
    <w:rsid w:val="5F6CFEC5"/>
    <w:rsid w:val="5F6E7523"/>
    <w:rsid w:val="5F756293"/>
    <w:rsid w:val="5F85C4B0"/>
    <w:rsid w:val="5FB99578"/>
    <w:rsid w:val="5FD3CD06"/>
    <w:rsid w:val="5FDA4617"/>
    <w:rsid w:val="5FE833A9"/>
    <w:rsid w:val="601113F9"/>
    <w:rsid w:val="603808D8"/>
    <w:rsid w:val="60663416"/>
    <w:rsid w:val="607448BF"/>
    <w:rsid w:val="60A6AB40"/>
    <w:rsid w:val="60BC3C5A"/>
    <w:rsid w:val="60C75EBF"/>
    <w:rsid w:val="60E1F4CC"/>
    <w:rsid w:val="6118602F"/>
    <w:rsid w:val="615920B5"/>
    <w:rsid w:val="618110E4"/>
    <w:rsid w:val="618C821E"/>
    <w:rsid w:val="619D3560"/>
    <w:rsid w:val="61D41F6A"/>
    <w:rsid w:val="61D8D317"/>
    <w:rsid w:val="61FBD9C5"/>
    <w:rsid w:val="622101B6"/>
    <w:rsid w:val="6227B6E8"/>
    <w:rsid w:val="62464E65"/>
    <w:rsid w:val="62531242"/>
    <w:rsid w:val="627A3D7D"/>
    <w:rsid w:val="62AE6F07"/>
    <w:rsid w:val="62B920DB"/>
    <w:rsid w:val="6309E677"/>
    <w:rsid w:val="630B8AD7"/>
    <w:rsid w:val="631A8BD1"/>
    <w:rsid w:val="631CE145"/>
    <w:rsid w:val="63636229"/>
    <w:rsid w:val="63665187"/>
    <w:rsid w:val="636ABC2B"/>
    <w:rsid w:val="6388AF1E"/>
    <w:rsid w:val="638B868D"/>
    <w:rsid w:val="63E7C262"/>
    <w:rsid w:val="64481A42"/>
    <w:rsid w:val="6463DB2D"/>
    <w:rsid w:val="648A2C34"/>
    <w:rsid w:val="64ADB89B"/>
    <w:rsid w:val="64B4D76F"/>
    <w:rsid w:val="64BB3575"/>
    <w:rsid w:val="64BFD4E3"/>
    <w:rsid w:val="64DDEC85"/>
    <w:rsid w:val="650EEF13"/>
    <w:rsid w:val="6513B892"/>
    <w:rsid w:val="65247F7F"/>
    <w:rsid w:val="656880B7"/>
    <w:rsid w:val="65AF638A"/>
    <w:rsid w:val="65B2C27A"/>
    <w:rsid w:val="65CDF511"/>
    <w:rsid w:val="65D63AAB"/>
    <w:rsid w:val="65F22F3A"/>
    <w:rsid w:val="66166C63"/>
    <w:rsid w:val="665BA544"/>
    <w:rsid w:val="6670D5C3"/>
    <w:rsid w:val="66743DDA"/>
    <w:rsid w:val="66979E54"/>
    <w:rsid w:val="66C04FE0"/>
    <w:rsid w:val="66D3A080"/>
    <w:rsid w:val="66D89934"/>
    <w:rsid w:val="66DB7B13"/>
    <w:rsid w:val="67014E6D"/>
    <w:rsid w:val="671AAD19"/>
    <w:rsid w:val="676FC199"/>
    <w:rsid w:val="677585A0"/>
    <w:rsid w:val="6788ACFD"/>
    <w:rsid w:val="67C1CCF6"/>
    <w:rsid w:val="67E9335A"/>
    <w:rsid w:val="67FD776E"/>
    <w:rsid w:val="68003C70"/>
    <w:rsid w:val="681885C5"/>
    <w:rsid w:val="684D4F23"/>
    <w:rsid w:val="68A9FF57"/>
    <w:rsid w:val="68C2E005"/>
    <w:rsid w:val="68C559E8"/>
    <w:rsid w:val="68EA06F3"/>
    <w:rsid w:val="69A87685"/>
    <w:rsid w:val="69F7F0A2"/>
    <w:rsid w:val="6A1935C4"/>
    <w:rsid w:val="6A3DA19A"/>
    <w:rsid w:val="6A4DC267"/>
    <w:rsid w:val="6A5401F5"/>
    <w:rsid w:val="6A619B55"/>
    <w:rsid w:val="6A9032D7"/>
    <w:rsid w:val="6A98ADD9"/>
    <w:rsid w:val="6AA0F97B"/>
    <w:rsid w:val="6AE696DB"/>
    <w:rsid w:val="6AF43404"/>
    <w:rsid w:val="6B2B895E"/>
    <w:rsid w:val="6B2D29D0"/>
    <w:rsid w:val="6B2FFA69"/>
    <w:rsid w:val="6B7C3463"/>
    <w:rsid w:val="6B9526BC"/>
    <w:rsid w:val="6BB05953"/>
    <w:rsid w:val="6BB2FEF9"/>
    <w:rsid w:val="6BBAFE9C"/>
    <w:rsid w:val="6BED30AB"/>
    <w:rsid w:val="6C0AFA17"/>
    <w:rsid w:val="6C1EA50E"/>
    <w:rsid w:val="6C1F45C9"/>
    <w:rsid w:val="6C325970"/>
    <w:rsid w:val="6C3875F6"/>
    <w:rsid w:val="6C5077B8"/>
    <w:rsid w:val="6C6159A0"/>
    <w:rsid w:val="6C7BFA2D"/>
    <w:rsid w:val="6C87882C"/>
    <w:rsid w:val="6C8E6EC9"/>
    <w:rsid w:val="6C9B86AD"/>
    <w:rsid w:val="6CAA847D"/>
    <w:rsid w:val="6CB18A87"/>
    <w:rsid w:val="6CB46908"/>
    <w:rsid w:val="6CE92138"/>
    <w:rsid w:val="6CEEF549"/>
    <w:rsid w:val="6D0155B8"/>
    <w:rsid w:val="6D2F9164"/>
    <w:rsid w:val="6D821CF4"/>
    <w:rsid w:val="6D83A834"/>
    <w:rsid w:val="6D847F7A"/>
    <w:rsid w:val="6DBB05DE"/>
    <w:rsid w:val="6DF46920"/>
    <w:rsid w:val="6DF95DB0"/>
    <w:rsid w:val="6E00D272"/>
    <w:rsid w:val="6E090B9C"/>
    <w:rsid w:val="6E503969"/>
    <w:rsid w:val="6E640E92"/>
    <w:rsid w:val="6E7BE7A8"/>
    <w:rsid w:val="6E7E24C5"/>
    <w:rsid w:val="6E884F7F"/>
    <w:rsid w:val="6EA698C1"/>
    <w:rsid w:val="6EE512D3"/>
    <w:rsid w:val="6EF3C16B"/>
    <w:rsid w:val="6EFEA4C9"/>
    <w:rsid w:val="6F135537"/>
    <w:rsid w:val="6F24D16D"/>
    <w:rsid w:val="6F2E077B"/>
    <w:rsid w:val="6F38B225"/>
    <w:rsid w:val="6F4BCDBF"/>
    <w:rsid w:val="7017B809"/>
    <w:rsid w:val="7023C4A6"/>
    <w:rsid w:val="7030E066"/>
    <w:rsid w:val="703D87B6"/>
    <w:rsid w:val="705EF182"/>
    <w:rsid w:val="7078107C"/>
    <w:rsid w:val="709C53DA"/>
    <w:rsid w:val="711CD247"/>
    <w:rsid w:val="7144B7EC"/>
    <w:rsid w:val="71566F33"/>
    <w:rsid w:val="718C2E05"/>
    <w:rsid w:val="71A274FB"/>
    <w:rsid w:val="71B3886A"/>
    <w:rsid w:val="71BF9507"/>
    <w:rsid w:val="71C8F78D"/>
    <w:rsid w:val="71D95817"/>
    <w:rsid w:val="71F4B738"/>
    <w:rsid w:val="7243EBE2"/>
    <w:rsid w:val="725E2927"/>
    <w:rsid w:val="728DE395"/>
    <w:rsid w:val="729D6D0F"/>
    <w:rsid w:val="72B70E1C"/>
    <w:rsid w:val="72CCCED3"/>
    <w:rsid w:val="732F6854"/>
    <w:rsid w:val="73457A8B"/>
    <w:rsid w:val="73556D1B"/>
    <w:rsid w:val="736BF397"/>
    <w:rsid w:val="739B6F68"/>
    <w:rsid w:val="739ECC24"/>
    <w:rsid w:val="73A1B706"/>
    <w:rsid w:val="73B8AD39"/>
    <w:rsid w:val="73CD9DFD"/>
    <w:rsid w:val="73D0F383"/>
    <w:rsid w:val="73E101B4"/>
    <w:rsid w:val="73F3C0FE"/>
    <w:rsid w:val="73F4605E"/>
    <w:rsid w:val="7482F3EF"/>
    <w:rsid w:val="748A3874"/>
    <w:rsid w:val="74DF5801"/>
    <w:rsid w:val="753643EF"/>
    <w:rsid w:val="7539C440"/>
    <w:rsid w:val="7568BA27"/>
    <w:rsid w:val="75F91170"/>
    <w:rsid w:val="760048A1"/>
    <w:rsid w:val="760A88D2"/>
    <w:rsid w:val="76739008"/>
    <w:rsid w:val="7686F98D"/>
    <w:rsid w:val="7687265C"/>
    <w:rsid w:val="76A49435"/>
    <w:rsid w:val="76ACC93A"/>
    <w:rsid w:val="76BC0399"/>
    <w:rsid w:val="76BFB72F"/>
    <w:rsid w:val="76C462E5"/>
    <w:rsid w:val="76D9BC24"/>
    <w:rsid w:val="76E99FD4"/>
    <w:rsid w:val="76FA7927"/>
    <w:rsid w:val="76FF3689"/>
    <w:rsid w:val="773643A3"/>
    <w:rsid w:val="77454067"/>
    <w:rsid w:val="77457051"/>
    <w:rsid w:val="776297B8"/>
    <w:rsid w:val="77DC9414"/>
    <w:rsid w:val="77E561D0"/>
    <w:rsid w:val="77F24B3D"/>
    <w:rsid w:val="7822C9EE"/>
    <w:rsid w:val="7848999B"/>
    <w:rsid w:val="78758C85"/>
    <w:rsid w:val="7889CB93"/>
    <w:rsid w:val="78B50900"/>
    <w:rsid w:val="78F882E3"/>
    <w:rsid w:val="796210B8"/>
    <w:rsid w:val="799051C9"/>
    <w:rsid w:val="799E27A4"/>
    <w:rsid w:val="79B500C7"/>
    <w:rsid w:val="79B56C26"/>
    <w:rsid w:val="79C687D5"/>
    <w:rsid w:val="79E469FC"/>
    <w:rsid w:val="7A0603CA"/>
    <w:rsid w:val="7A115CE6"/>
    <w:rsid w:val="7A1C9F3A"/>
    <w:rsid w:val="7A50FD62"/>
    <w:rsid w:val="7A5EC1BA"/>
    <w:rsid w:val="7A631057"/>
    <w:rsid w:val="7AEAA093"/>
    <w:rsid w:val="7B50D128"/>
    <w:rsid w:val="7B5FC68C"/>
    <w:rsid w:val="7B803A5D"/>
    <w:rsid w:val="7B891200"/>
    <w:rsid w:val="7BA26883"/>
    <w:rsid w:val="7BC5BE2C"/>
    <w:rsid w:val="7BD7880C"/>
    <w:rsid w:val="7BE80D2D"/>
    <w:rsid w:val="7C2ECD01"/>
    <w:rsid w:val="7C96AF7E"/>
    <w:rsid w:val="7CB87577"/>
    <w:rsid w:val="7CDD5C99"/>
    <w:rsid w:val="7CE6F01F"/>
    <w:rsid w:val="7CFE2897"/>
    <w:rsid w:val="7D0F636E"/>
    <w:rsid w:val="7D112C5F"/>
    <w:rsid w:val="7D19B454"/>
    <w:rsid w:val="7D2317D0"/>
    <w:rsid w:val="7D2AF949"/>
    <w:rsid w:val="7D4383E0"/>
    <w:rsid w:val="7D55B8C9"/>
    <w:rsid w:val="7D7B909B"/>
    <w:rsid w:val="7D90165C"/>
    <w:rsid w:val="7D9FFA82"/>
    <w:rsid w:val="7DA82058"/>
    <w:rsid w:val="7DB481EB"/>
    <w:rsid w:val="7DDD5D2F"/>
    <w:rsid w:val="7DF90D16"/>
    <w:rsid w:val="7E3901F5"/>
    <w:rsid w:val="7E7BEBC0"/>
    <w:rsid w:val="7E882C98"/>
    <w:rsid w:val="7E920B72"/>
    <w:rsid w:val="7E92A47F"/>
    <w:rsid w:val="7E9EDD2F"/>
    <w:rsid w:val="7EB7DB1F"/>
    <w:rsid w:val="7ED42674"/>
    <w:rsid w:val="7EDDC0F7"/>
    <w:rsid w:val="7F11C33C"/>
    <w:rsid w:val="7F1CF17D"/>
    <w:rsid w:val="7F29C160"/>
    <w:rsid w:val="7F5E1D7B"/>
    <w:rsid w:val="7F72B60B"/>
    <w:rsid w:val="7F7AC408"/>
    <w:rsid w:val="7FC4C66F"/>
    <w:rsid w:val="7FC8A71C"/>
    <w:rsid w:val="7FFAF8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B27A9"/>
  <w15:chartTrackingRefBased/>
  <w15:docId w15:val="{B26044D6-5DDD-0B4F-8E25-D7C43415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D408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character" w:customStyle="1" w:styleId="Titlu1Caracter">
    <w:name w:val="Titlu 1 Caracter"/>
    <w:basedOn w:val="Fontdeparagrafimplicit"/>
    <w:link w:val="Titlu1"/>
    <w:uiPriority w:val="9"/>
    <w:rPr>
      <w:rFonts w:asciiTheme="majorHAnsi" w:eastAsiaTheme="majorEastAsia" w:hAnsiTheme="majorHAnsi" w:cstheme="majorBidi"/>
      <w:color w:val="2F5496" w:themeColor="accent1" w:themeShade="BF"/>
      <w:sz w:val="32"/>
      <w:szCs w:val="32"/>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2F5496" w:themeColor="accent1" w:themeShade="BF"/>
      <w:sz w:val="26"/>
      <w:szCs w:val="26"/>
    </w:rPr>
  </w:style>
  <w:style w:type="character" w:customStyle="1" w:styleId="Titlu3Caracter">
    <w:name w:val="Titlu 3 Caracter"/>
    <w:basedOn w:val="Fontdeparagrafimplicit"/>
    <w:link w:val="Titlu3"/>
    <w:uiPriority w:val="9"/>
    <w:rsid w:val="00D40865"/>
    <w:rPr>
      <w:rFonts w:asciiTheme="majorHAnsi" w:eastAsiaTheme="majorEastAsia" w:hAnsiTheme="majorHAnsi" w:cstheme="majorBidi"/>
      <w:color w:val="1F3763" w:themeColor="accent1" w:themeShade="7F"/>
      <w:sz w:val="24"/>
      <w:szCs w:val="24"/>
    </w:rPr>
  </w:style>
  <w:style w:type="paragraph" w:styleId="Listparagraf">
    <w:name w:val="List Paragraph"/>
    <w:basedOn w:val="Normal"/>
    <w:uiPriority w:val="34"/>
    <w:qFormat/>
    <w:rsid w:val="00D40865"/>
    <w:pPr>
      <w:ind w:left="720"/>
      <w:contextualSpacing/>
    </w:pPr>
  </w:style>
  <w:style w:type="paragraph" w:styleId="Frspaiere">
    <w:name w:val="No Spacing"/>
    <w:uiPriority w:val="1"/>
    <w:qFormat/>
    <w:pPr>
      <w:spacing w:after="0" w:line="240" w:lineRule="auto"/>
    </w:pPr>
  </w:style>
  <w:style w:type="character" w:styleId="Hyperlink">
    <w:name w:val="Hyperlink"/>
    <w:basedOn w:val="Fontdeparagrafimplicit"/>
    <w:uiPriority w:val="99"/>
    <w:unhideWhenUsed/>
    <w:rsid w:val="00785110"/>
    <w:rPr>
      <w:color w:val="0563C1" w:themeColor="hyperlink"/>
      <w:u w:val="single"/>
    </w:rPr>
  </w:style>
  <w:style w:type="table" w:styleId="Tabelgril">
    <w:name w:val="Table Grid"/>
    <w:basedOn w:val="TabelNormal"/>
    <w:uiPriority w:val="59"/>
    <w:rsid w:val="00F03F0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dx.doi.org/10.1080/14783363.2018.1486544" TargetMode="External"/><Relationship Id="rId21" Type="http://schemas.openxmlformats.org/officeDocument/2006/relationships/hyperlink" Target="http://dx.doi.org/10.1177/002224299405800404" TargetMode="External"/><Relationship Id="rId42" Type="http://schemas.openxmlformats.org/officeDocument/2006/relationships/hyperlink" Target="https://cdn.fbsbx.com/v/t59.2708-21/364947267_817686613069373_3375762142748143461_n.pdf/annualreport-2022.pdf" TargetMode="External"/><Relationship Id="rId47" Type="http://schemas.openxmlformats.org/officeDocument/2006/relationships/hyperlink" Target="https://www.jpmorgan.com/about-us" TargetMode="External"/><Relationship Id="rId63" Type="http://schemas.openxmlformats.org/officeDocument/2006/relationships/hyperlink" Target="https://wiselancer.net/pestel-analysis-of-jpmorgan-chase-and-co/" TargetMode="External"/><Relationship Id="rId68" Type="http://schemas.openxmlformats.org/officeDocument/2006/relationships/hyperlink" Target="https://dailyhodl.com/2023/12/30/jpmorgan-chase-issues-major-economic-alert-as-2024-arrives-warns-market-declines-and-volatility-incoming-report" TargetMode="External"/><Relationship Id="rId7" Type="http://schemas.openxmlformats.org/officeDocument/2006/relationships/image" Target="media/image3.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strogrowth.com/blog/jp-morgan-chase-mission-statement/" TargetMode="External"/><Relationship Id="rId29" Type="http://schemas.openxmlformats.org/officeDocument/2006/relationships/hyperlink" Target="https://islandstudiesjournal.org/files/ISJ-11-2-MS353-Lane.pdf" TargetMode="External"/><Relationship Id="rId11" Type="http://schemas.openxmlformats.org/officeDocument/2006/relationships/image" Target="media/image7.jpeg"/><Relationship Id="rId24" Type="http://schemas.openxmlformats.org/officeDocument/2006/relationships/hyperlink" Target="https://am.jpmorgan.com/us/en/asset-management/adv/insights/market-insights/guide-to-the-markets/economic-and-market-update/" TargetMode="External"/><Relationship Id="rId32" Type="http://schemas.openxmlformats.org/officeDocument/2006/relationships/hyperlink" Target="https://www.howandwhat.net/swot-analysis-jpmorgan-chase/" TargetMode="External"/><Relationship Id="rId37" Type="http://schemas.openxmlformats.org/officeDocument/2006/relationships/hyperlink" Target="https://cdn.fbsbx.com/v/t59.2708-21/429645245_1142640230185767_1118791063256755867_n.pdf/tcfd-report.pdf" TargetMode="External"/><Relationship Id="rId40" Type="http://schemas.openxmlformats.org/officeDocument/2006/relationships/hyperlink" Target="https://cdn.fbsbx.com/v/t59.2708-21/418723982_2772831809537700_2951262260139952365_n.pdf/jpmc-esg-report-2021.pdf?_nc_cat=110&amp;ccb=1-7&amp;_nc_sid=2b0e22&amp;_nc_ohc=J8_6vSzkwqIAX9eCGt9&amp;_nc_ht=cdn.fbsbx.com&amp;oh=03_AdQe-PGzlrIjB6FPBWRrOxHBSXVe2juh20EBB9gm5tg72A&amp;oe=65EF05F1&amp;dl=1" TargetMode="External"/><Relationship Id="rId45" Type="http://schemas.openxmlformats.org/officeDocument/2006/relationships/hyperlink" Target="https://cdn.fbsbx.com/v/t59.2708-21/426621534_940131444148233_3108294008982712664_n.pdf/Investment-Outlook-for-2024.pdf" TargetMode="External"/><Relationship Id="rId53" Type="http://schemas.openxmlformats.org/officeDocument/2006/relationships/hyperlink" Target="https://www.researchgate.net/publication/370490059_JPMorgan_Chase_Co_Fundamental_Business_Research" TargetMode="External"/><Relationship Id="rId58" Type="http://schemas.openxmlformats.org/officeDocument/2006/relationships/hyperlink" Target="https://pestleanalysis.com/jp-morgan-swot-analysis/amp/" TargetMode="External"/><Relationship Id="rId66" Type="http://schemas.openxmlformats.org/officeDocument/2006/relationships/hyperlink" Target="https://www.swotandpestle.com/j-p-morgan-chase-porters/" TargetMode="External"/><Relationship Id="rId5" Type="http://schemas.openxmlformats.org/officeDocument/2006/relationships/image" Target="media/image1.png"/><Relationship Id="rId61" Type="http://schemas.openxmlformats.org/officeDocument/2006/relationships/hyperlink" Target="http://ejmr.org/ahead-print/PREVALENCE%20OF%20FALLS%20AND%20SOCIODEMOGRAPHIC.pdf" TargetMode="External"/><Relationship Id="rId19" Type="http://schemas.openxmlformats.org/officeDocument/2006/relationships/hyperlink" Target="http://dx.doi.org/10.25270/con.2020.05.00011" TargetMode="External"/><Relationship Id="rId14" Type="http://schemas.openxmlformats.org/officeDocument/2006/relationships/image" Target="media/image10.jpg"/><Relationship Id="rId22" Type="http://schemas.openxmlformats.org/officeDocument/2006/relationships/hyperlink" Target="https://dcf.fm/blogs/blog/jpm-mission-vision" TargetMode="External"/><Relationship Id="rId27" Type="http://schemas.openxmlformats.org/officeDocument/2006/relationships/hyperlink" Target="http://dx.doi.org/10.46336/ijmsc.v2i1.63" TargetMode="External"/><Relationship Id="rId30" Type="http://schemas.openxmlformats.org/officeDocument/2006/relationships/hyperlink" Target="http://dx.doi.org/10.24043/isj.354" TargetMode="External"/><Relationship Id="rId35" Type="http://schemas.openxmlformats.org/officeDocument/2006/relationships/hyperlink" Target="https://www.jpmorgan.com/disclosures/jpm-pb-risks-for-investments" TargetMode="External"/><Relationship Id="rId43" Type="http://schemas.openxmlformats.org/officeDocument/2006/relationships/hyperlink" Target="https://cdn.fbsbx.com/v/t59.2708-21/393013474_865762145081092_1430007627242227114_n.pdf/managements-discussion-analysis-2022.pdf" TargetMode="External"/><Relationship Id="rId48" Type="http://schemas.openxmlformats.org/officeDocument/2006/relationships/hyperlink" Target="https://www.jpmorganchase.com/about/our-business/business-principles" TargetMode="External"/><Relationship Id="rId56" Type="http://schemas.openxmlformats.org/officeDocument/2006/relationships/hyperlink" Target="https://www.mbaskool.com/brandguide/banking-and-financial-services/617-jp-morgan-and-chase.html" TargetMode="External"/><Relationship Id="rId64" Type="http://schemas.openxmlformats.org/officeDocument/2006/relationships/hyperlink" Target="https://www.studysmarter.co.uk/explanations/business-studies/strategic-analysis/porters-five-forces/" TargetMode="External"/><Relationship Id="rId69" Type="http://schemas.openxmlformats.org/officeDocument/2006/relationships/hyperlink" Target="http://dx.doi.org/10.54254/2754-1169/37/20231849" TargetMode="External"/><Relationship Id="rId8" Type="http://schemas.openxmlformats.org/officeDocument/2006/relationships/image" Target="media/image4.jpg"/><Relationship Id="rId51" Type="http://schemas.openxmlformats.org/officeDocument/2006/relationships/hyperlink" Target="https://www.jpmorgan.com/insights/esg/governance-strategies"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case48.com/bcg-matrix/3260-JPMorgan-Chase-Co" TargetMode="External"/><Relationship Id="rId25" Type="http://schemas.openxmlformats.org/officeDocument/2006/relationships/hyperlink" Target="https://embapro.com/frontpage/bcgcoanalysis/7678-jpmorgan" TargetMode="External"/><Relationship Id="rId33" Type="http://schemas.openxmlformats.org/officeDocument/2006/relationships/hyperlink" Target="https://www.insiderintelligence.com/content/jpmorgan-s-growth-strategy-2021-encompassed-fintechs-digital-only-consumer-banking-and-yes-even-crypto" TargetMode="External"/><Relationship Id="rId38" Type="http://schemas.openxmlformats.org/officeDocument/2006/relationships/hyperlink" Target="https://jpmorganchaseco.gcs-web.com/static-files/0218206f-a163-449c-a606-0b34381699d2" TargetMode="External"/><Relationship Id="rId46" Type="http://schemas.openxmlformats.org/officeDocument/2006/relationships/hyperlink" Target="https://www.jpmorganchase.com/content/dam/jpmc/jpmorgan-chase-and-co/documents/Climate-Report-2023.pdf" TargetMode="External"/><Relationship Id="rId59" Type="http://schemas.openxmlformats.org/officeDocument/2006/relationships/hyperlink" Target="https://businessmodelanalyst.com/jpmorgan-chase-business-model/" TargetMode="External"/><Relationship Id="rId67" Type="http://schemas.openxmlformats.org/officeDocument/2006/relationships/hyperlink" Target="https://dcf.fm/blogs/blog/jpm-porters-five-forces-analysis" TargetMode="External"/><Relationship Id="rId20" Type="http://schemas.openxmlformats.org/officeDocument/2006/relationships/hyperlink" Target="https://cdn.fbsbx.com/v/t59.2708-21/104856737_499262074159549_8329496597118830886_n.pdf/sustainability-11-06046.pdf" TargetMode="External"/><Relationship Id="rId41" Type="http://schemas.openxmlformats.org/officeDocument/2006/relationships/hyperlink" Target="https://cdn.fbsbx.com/v/t59.2708-21/398435626_1527759561394678_8754052851662983437_n.pdf/jpmc-esg-report-2022.pdf?_nc_cat=104&amp;ccb=1-7&amp;_nc_sid=2b0e22&amp;_nc_ohc=m-u7I76A-Z0AX_dToMw&amp;_nc_ht=cdn.fbsbx.com&amp;oh=03_AdSClfTSfFHBs6QgMAym7GNuze1PxWLknqk8pp93sWjRZA&amp;oe=65EF02BA&amp;dl=1" TargetMode="External"/><Relationship Id="rId54" Type="http://schemas.openxmlformats.org/officeDocument/2006/relationships/hyperlink" Target="https://www.professionalacademy.com/blogs/marketing-theories-boston-consulting-group-matrix/" TargetMode="External"/><Relationship Id="rId62" Type="http://schemas.openxmlformats.org/officeDocument/2006/relationships/hyperlink" Target="http://dx.doi.org/10.24041/ejmr2020.10"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reuters.com/business/finance/jpmorgan-cfo-expects-trading-revenue-decline-first-quarter-2024-02-27/" TargetMode="External"/><Relationship Id="rId23" Type="http://schemas.openxmlformats.org/officeDocument/2006/relationships/hyperlink" Target="http://dx.doi.org/10.1002/mde.3041" TargetMode="External"/><Relationship Id="rId28" Type="http://schemas.openxmlformats.org/officeDocument/2006/relationships/hyperlink" Target="https://graetzelkaiser.medium.com/decoding-jpmorgan-chases-marketing-strategy-lessons-for-the-financial-industry-73f5b958088" TargetMode="External"/><Relationship Id="rId36" Type="http://schemas.openxmlformats.org/officeDocument/2006/relationships/hyperlink" Target="https://am.jpmorgan.com/gb/en/asset-management/adv/insights/market-insights/investment-outlook/" TargetMode="External"/><Relationship Id="rId49" Type="http://schemas.openxmlformats.org/officeDocument/2006/relationships/hyperlink" Target="https://www.jpmorgan.com/insights/business/corporate-strategy" TargetMode="External"/><Relationship Id="rId57" Type="http://schemas.openxmlformats.org/officeDocument/2006/relationships/hyperlink" Target="https://pestleanalysis.com/intel-pestle-analysis/" TargetMode="External"/><Relationship Id="rId10" Type="http://schemas.openxmlformats.org/officeDocument/2006/relationships/image" Target="media/image6.png"/><Relationship Id="rId31" Type="http://schemas.openxmlformats.org/officeDocument/2006/relationships/hyperlink" Target="https://www.hivelr.com/2023/06/jp-morgan-jpm-porters-five-forces-industry-and-competition-analysis/" TargetMode="External"/><Relationship Id="rId44" Type="http://schemas.openxmlformats.org/officeDocument/2006/relationships/hyperlink" Target="https://cdn.fbsbx.com/v/t59.2708-21/429532153_1461678688087853_6970790600948474699_n.pdf/investment-stewardship-report.pdf?_nc_cat=105&amp;ccb=1-7&amp;_nc_sid=2b0e22&amp;_nc_ohc=hre-wkhcPNgAX-DPAGQ&amp;_nc_ht=cdn.fbsbx.com&amp;oh=03_AdRGtjYiQQPnPmjp_hnNkngTQaJ7CmDqVLbJakPJ4qt1dw&amp;oe=65EF2B77&amp;dl=1" TargetMode="External"/><Relationship Id="rId52" Type="http://schemas.openxmlformats.org/officeDocument/2006/relationships/hyperlink" Target="https://www.jpmorganchase.com/" TargetMode="External"/><Relationship Id="rId60" Type="http://schemas.openxmlformats.org/officeDocument/2006/relationships/hyperlink" Target="http://dx.doi.org/10.19080/asm.2019.04.555639" TargetMode="External"/><Relationship Id="rId65" Type="http://schemas.openxmlformats.org/officeDocument/2006/relationships/hyperlink" Target="https://www.swotandpestle.com/j-p-morgan-chase/"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hyperlink" Target="https://www.consultant360.com/article/consultant360/congenital-hypothyroidism-due-thyroid-agenesis" TargetMode="External"/><Relationship Id="rId39" Type="http://schemas.openxmlformats.org/officeDocument/2006/relationships/hyperlink" Target="https://cdn.fbsbx.com/v/t59.2708-21/426635716_3752956161607235_3334901058337326409_n.pdf/The_Optimization_Imperative.pdf" TargetMode="External"/><Relationship Id="rId34" Type="http://schemas.openxmlformats.org/officeDocument/2006/relationships/hyperlink" Target="https://www.jpmorgan.com/insights/global-research/esg/covid-19-esg-investing" TargetMode="External"/><Relationship Id="rId50" Type="http://schemas.openxmlformats.org/officeDocument/2006/relationships/hyperlink" Target="https://www.jpmorganchase.com/impact/sustainability/es-initiatives" TargetMode="External"/><Relationship Id="rId55" Type="http://schemas.openxmlformats.org/officeDocument/2006/relationships/hyperlink" Target="https://www.investopedia.com/articles/markets/020916/analyzing-porters-five-forces-jpmorgan-chase-jpm.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8967</Words>
  <Characters>52015</Characters>
  <Application>Microsoft Office Word</Application>
  <DocSecurity>0</DocSecurity>
  <Lines>433</Lines>
  <Paragraphs>121</Paragraphs>
  <ScaleCrop>false</ScaleCrop>
  <Company/>
  <LinksUpToDate>false</LinksUpToDate>
  <CharactersWithSpaces>60861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 (2108840)</cp:lastModifiedBy>
  <cp:revision>2</cp:revision>
  <dcterms:created xsi:type="dcterms:W3CDTF">2024-03-15T17:22:00Z</dcterms:created>
  <dcterms:modified xsi:type="dcterms:W3CDTF">2024-03-15T17:22:00Z</dcterms:modified>
</cp:coreProperties>
</file>