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AB42C6">
      <w:pPr>
        <w:spacing w:after="200" w:line="276" w:lineRule="auto"/>
        <w:jc w:val="center"/>
        <w:rPr>
          <w:b/>
          <w:bCs/>
          <w:lang w:val="en-GB"/>
        </w:rPr>
      </w:pPr>
      <w:r>
        <w:rPr>
          <w:b/>
          <w:bCs/>
          <w:lang w:val="en-GB"/>
        </w:rPr>
        <w:drawing>
          <wp:inline distT="0" distB="0" distL="0" distR="0">
            <wp:extent cx="4377055" cy="1743710"/>
            <wp:effectExtent l="0" t="0" r="4445" b="0"/>
            <wp:docPr id="16523407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340796"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377055" cy="1743710"/>
                    </a:xfrm>
                    <a:prstGeom prst="rect">
                      <a:avLst/>
                    </a:prstGeom>
                    <a:noFill/>
                  </pic:spPr>
                </pic:pic>
              </a:graphicData>
            </a:graphic>
          </wp:inline>
        </w:drawing>
      </w:r>
    </w:p>
    <w:p w14:paraId="616AE14B">
      <w:pPr>
        <w:spacing w:after="200" w:line="276" w:lineRule="auto"/>
        <w:jc w:val="left"/>
        <w:rPr>
          <w:b/>
          <w:bCs/>
          <w:lang w:val="en-GB"/>
        </w:rPr>
      </w:pPr>
      <w:r>
        <w:rPr>
          <w:b/>
          <w:bCs/>
          <w:lang w:val="en-GB"/>
        </w:rPr>
        <w:t>Program Name: Master of Business Administration</w:t>
      </w:r>
    </w:p>
    <w:p w14:paraId="5C51D848">
      <w:pPr>
        <w:spacing w:after="200" w:line="276" w:lineRule="auto"/>
        <w:jc w:val="left"/>
        <w:rPr>
          <w:lang w:val="en-GB"/>
        </w:rPr>
      </w:pPr>
      <w:r>
        <w:rPr>
          <w:b/>
          <w:bCs/>
          <w:lang w:val="en-GB"/>
        </w:rPr>
        <w:t>Module Code:</w:t>
      </w:r>
      <w:r>
        <w:rPr>
          <w:lang w:val="en-GB"/>
        </w:rPr>
        <w:t xml:space="preserve"> </w:t>
      </w:r>
      <w:r>
        <w:rPr>
          <w:b/>
          <w:lang w:val="en-GB"/>
        </w:rPr>
        <w:t>LCMB7024</w:t>
      </w:r>
    </w:p>
    <w:p w14:paraId="4AE31A6C">
      <w:pPr>
        <w:spacing w:after="200" w:line="276" w:lineRule="auto"/>
        <w:jc w:val="left"/>
        <w:rPr>
          <w:b/>
          <w:bCs/>
        </w:rPr>
      </w:pPr>
      <w:r>
        <w:rPr>
          <w:b/>
          <w:bCs/>
        </w:rPr>
        <w:t>Module Name: Marketing Management</w:t>
      </w:r>
    </w:p>
    <w:p w14:paraId="05797A07">
      <w:pPr>
        <w:spacing w:after="200" w:line="276" w:lineRule="auto"/>
        <w:jc w:val="left"/>
        <w:rPr>
          <w:b/>
          <w:bCs/>
        </w:rPr>
      </w:pPr>
      <w:r>
        <w:rPr>
          <w:b/>
          <w:bCs/>
        </w:rPr>
        <w:t>Lecturer: Dian Mayasari</w:t>
      </w:r>
      <w:bookmarkStart w:id="16" w:name="_GoBack"/>
      <w:bookmarkEnd w:id="16"/>
    </w:p>
    <w:p w14:paraId="204B1B63">
      <w:pPr>
        <w:spacing w:after="200" w:line="276" w:lineRule="auto"/>
        <w:jc w:val="left"/>
        <w:rPr>
          <w:b/>
          <w:bCs/>
        </w:rPr>
      </w:pPr>
      <w:r>
        <w:rPr>
          <w:b/>
          <w:bCs/>
        </w:rPr>
        <w:t>Student Name: Sabbir Ahmed</w:t>
      </w:r>
    </w:p>
    <w:p w14:paraId="7C666B52">
      <w:pPr>
        <w:spacing w:after="200" w:line="276" w:lineRule="auto"/>
        <w:jc w:val="left"/>
        <w:rPr>
          <w:b/>
          <w:bCs/>
        </w:rPr>
      </w:pPr>
      <w:r>
        <w:rPr>
          <w:b/>
          <w:bCs/>
        </w:rPr>
        <w:t>Student ID number: 2438312</w:t>
      </w:r>
    </w:p>
    <w:p w14:paraId="00301823">
      <w:pPr>
        <w:spacing w:after="200" w:line="276" w:lineRule="auto"/>
        <w:jc w:val="left"/>
        <w:rPr>
          <w:b/>
          <w:bCs/>
        </w:rPr>
      </w:pPr>
      <w:r>
        <w:rPr>
          <w:b/>
          <w:bCs/>
        </w:rPr>
        <w:t>Word count: 2653</w:t>
      </w:r>
    </w:p>
    <w:p w14:paraId="4A19FE95">
      <w:pPr>
        <w:spacing w:after="200"/>
        <w:jc w:val="left"/>
        <w:rPr>
          <w:b/>
          <w:bCs/>
        </w:rPr>
      </w:pPr>
      <w:r>
        <w:rPr>
          <w:b/>
          <w:bCs/>
        </w:rPr>
        <w:t>Assignment Title:</w:t>
      </w:r>
      <w:r>
        <w:t xml:space="preserve"> </w:t>
      </w:r>
      <w:r>
        <w:rPr>
          <w:b/>
          <w:bCs/>
        </w:rPr>
        <w:t>“Strategic Marketing Responses to Technological and Environmental Forces: A Comparative Analysis of Tesla and BYD”</w:t>
      </w:r>
    </w:p>
    <w:p w14:paraId="10A14240">
      <w:pPr>
        <w:spacing w:after="200" w:line="276" w:lineRule="auto"/>
        <w:jc w:val="left"/>
      </w:pPr>
      <w:r>
        <w:br w:type="page"/>
      </w:r>
    </w:p>
    <w:sdt>
      <w:sdtPr>
        <w:rPr>
          <w:rFonts w:ascii="Arial" w:hAnsi="Arial" w:eastAsiaTheme="minorEastAsia" w:cstheme="minorBidi"/>
          <w:color w:val="auto"/>
          <w:sz w:val="24"/>
          <w:szCs w:val="22"/>
          <w:lang w:val="en-US" w:eastAsia="en-US" w:bidi="ar-SA"/>
        </w:rPr>
        <w:id w:val="-1013535141"/>
        <w:docPartObj>
          <w:docPartGallery w:val="Table of Contents"/>
          <w:docPartUnique/>
        </w:docPartObj>
      </w:sdtPr>
      <w:sdtEndPr>
        <w:rPr>
          <w:rFonts w:ascii="Arial" w:hAnsi="Arial" w:eastAsiaTheme="minorEastAsia" w:cstheme="minorBidi"/>
          <w:b/>
          <w:bCs/>
          <w:color w:val="auto"/>
          <w:sz w:val="24"/>
          <w:szCs w:val="22"/>
          <w:lang w:val="en-US" w:eastAsia="en-US" w:bidi="ar-SA"/>
        </w:rPr>
      </w:sdtEndPr>
      <w:sdtContent>
        <w:p w14:paraId="075E2D0F">
          <w:pPr>
            <w:pStyle w:val="21"/>
          </w:pPr>
          <w:r>
            <w:t>Table of Contents</w:t>
          </w:r>
        </w:p>
        <w:p w14:paraId="7DA69F30">
          <w:pPr>
            <w:pStyle w:val="13"/>
            <w:tabs>
              <w:tab w:val="right" w:leader="dot" w:pos="9350"/>
            </w:tabs>
            <w:rPr>
              <w:rFonts w:asciiTheme="minorHAnsi" w:hAnsiTheme="minorHAnsi"/>
              <w:kern w:val="2"/>
              <w:szCs w:val="30"/>
              <w:lang w:val="en-GB" w:eastAsia="en-GB" w:bidi="bn-BD"/>
              <w14:ligatures w14:val="standardContextual"/>
            </w:rPr>
          </w:pPr>
          <w:r>
            <w:fldChar w:fldCharType="begin"/>
          </w:r>
          <w:r>
            <w:instrText xml:space="preserve"> TOC \o "1-3" \h \z \u </w:instrText>
          </w:r>
          <w:r>
            <w:fldChar w:fldCharType="separate"/>
          </w:r>
          <w:r>
            <w:fldChar w:fldCharType="begin"/>
          </w:r>
          <w:r>
            <w:instrText xml:space="preserve"> HYPERLINK \l "_Toc212132003" </w:instrText>
          </w:r>
          <w:r>
            <w:fldChar w:fldCharType="separate"/>
          </w:r>
          <w:r>
            <w:rPr>
              <w:rStyle w:val="10"/>
            </w:rPr>
            <w:t>Introduction</w:t>
          </w:r>
          <w:r>
            <w:tab/>
          </w:r>
          <w:r>
            <w:fldChar w:fldCharType="begin"/>
          </w:r>
          <w:r>
            <w:instrText xml:space="preserve"> PAGEREF _Toc212132003 \h </w:instrText>
          </w:r>
          <w:r>
            <w:fldChar w:fldCharType="separate"/>
          </w:r>
          <w:r>
            <w:t>3</w:t>
          </w:r>
          <w:r>
            <w:fldChar w:fldCharType="end"/>
          </w:r>
          <w:r>
            <w:fldChar w:fldCharType="end"/>
          </w:r>
        </w:p>
        <w:p w14:paraId="7C35FDB4">
          <w:pPr>
            <w:pStyle w:val="13"/>
            <w:tabs>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"_Toc212132004" </w:instrText>
          </w:r>
          <w:r>
            <w:fldChar w:fldCharType="separate"/>
          </w:r>
          <w:r>
            <w:rPr>
              <w:rStyle w:val="10"/>
            </w:rPr>
            <w:t>Section 1: Critical Analysis of the Macro Marketing Environment</w:t>
          </w:r>
          <w:r>
            <w:tab/>
          </w:r>
          <w:r>
            <w:fldChar w:fldCharType="begin"/>
          </w:r>
          <w:r>
            <w:instrText xml:space="preserve"> PAGEREF _Toc212132004 \h </w:instrText>
          </w:r>
          <w:r>
            <w:fldChar w:fldCharType="separate"/>
          </w:r>
          <w:r>
            <w:t>3</w:t>
          </w:r>
          <w:r>
            <w:fldChar w:fldCharType="end"/>
          </w:r>
          <w:r>
            <w:fldChar w:fldCharType="end"/>
          </w:r>
        </w:p>
        <w:p w14:paraId="3E52D99A">
          <w:pPr>
            <w:pStyle w:val="14"/>
            <w:tabs>
              <w:tab w:val="left" w:pos="72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"_Toc212132005" </w:instrText>
          </w:r>
          <w:r>
            <w:fldChar w:fldCharType="separate"/>
          </w:r>
          <w:r>
            <w:rPr>
              <w:rStyle w:val="10"/>
              <w:lang w:val="en-GB"/>
            </w:rPr>
            <w:t>i.</w:t>
          </w:r>
          <w:r>
            <w:rPr>
              <w:rFonts w:asciiTheme="minorHAnsi" w:hAnsiTheme="minorHAnsi"/>
              <w:kern w:val="2"/>
              <w:szCs w:val="30"/>
              <w:lang w:val="en-GB" w:eastAsia="en-GB" w:bidi="bn-BD"/>
              <w14:ligatures w14:val="standardContextual"/>
            </w:rPr>
            <w:tab/>
          </w:r>
          <w:r>
            <w:rPr>
              <w:rStyle w:val="10"/>
            </w:rPr>
            <w:t>Technological Environment</w:t>
          </w:r>
          <w:r>
            <w:tab/>
          </w:r>
          <w:r>
            <w:fldChar w:fldCharType="begin"/>
          </w:r>
          <w:r>
            <w:instrText xml:space="preserve"> PAGEREF _Toc212132005 \h </w:instrText>
          </w:r>
          <w:r>
            <w:fldChar w:fldCharType="separate"/>
          </w:r>
          <w:r>
            <w:t>3</w:t>
          </w:r>
          <w:r>
            <w:fldChar w:fldCharType="end"/>
          </w:r>
          <w:r>
            <w:fldChar w:fldCharType="end"/>
          </w:r>
        </w:p>
        <w:p w14:paraId="0B72C27D">
          <w:pPr>
            <w:pStyle w:val="14"/>
            <w:tabs>
              <w:tab w:val="left" w:pos="72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"_Toc212132006" </w:instrText>
          </w:r>
          <w:r>
            <w:fldChar w:fldCharType="separate"/>
          </w:r>
          <w:r>
            <w:rPr>
              <w:rStyle w:val="10"/>
            </w:rPr>
            <w:t>ii.</w:t>
          </w:r>
          <w:r>
            <w:rPr>
              <w:rFonts w:asciiTheme="minorHAnsi" w:hAnsiTheme="minorHAnsi"/>
              <w:kern w:val="2"/>
              <w:szCs w:val="30"/>
              <w:lang w:val="en-GB" w:eastAsia="en-GB" w:bidi="bn-BD"/>
              <w14:ligatures w14:val="standardContextual"/>
            </w:rPr>
            <w:tab/>
          </w:r>
          <w:r>
            <w:rPr>
              <w:rStyle w:val="10"/>
            </w:rPr>
            <w:t>Environmental (Sustainability) Environment</w:t>
          </w:r>
          <w:r>
            <w:tab/>
          </w:r>
          <w:r>
            <w:fldChar w:fldCharType="begin"/>
          </w:r>
          <w:r>
            <w:instrText xml:space="preserve"> PAGEREF _Toc212132006 \h </w:instrText>
          </w:r>
          <w:r>
            <w:fldChar w:fldCharType="separate"/>
          </w:r>
          <w:r>
            <w:t>5</w:t>
          </w:r>
          <w:r>
            <w:fldChar w:fldCharType="end"/>
          </w:r>
          <w:r>
            <w:fldChar w:fldCharType="end"/>
          </w:r>
        </w:p>
        <w:p w14:paraId="4C9BEB35">
          <w:pPr>
            <w:pStyle w:val="13"/>
            <w:tabs>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"_Toc212132007" </w:instrText>
          </w:r>
          <w:r>
            <w:fldChar w:fldCharType="separate"/>
          </w:r>
          <w:r>
            <w:rPr>
              <w:rStyle w:val="10"/>
            </w:rPr>
            <w:t>Section 2: Strategic Responses to the Selected External Factors</w:t>
          </w:r>
          <w:r>
            <w:tab/>
          </w:r>
          <w:r>
            <w:fldChar w:fldCharType="begin"/>
          </w:r>
          <w:r>
            <w:instrText xml:space="preserve"> PAGEREF _Toc212132007 \h </w:instrText>
          </w:r>
          <w:r>
            <w:fldChar w:fldCharType="separate"/>
          </w:r>
          <w:r>
            <w:t>7</w:t>
          </w:r>
          <w:r>
            <w:fldChar w:fldCharType="end"/>
          </w:r>
          <w:r>
            <w:fldChar w:fldCharType="end"/>
          </w:r>
        </w:p>
        <w:p w14:paraId="149B3A21">
          <w:pPr>
            <w:pStyle w:val="14"/>
            <w:tabs>
              <w:tab w:val="left" w:pos="72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"_Toc212132008" </w:instrText>
          </w:r>
          <w:r>
            <w:fldChar w:fldCharType="separate"/>
          </w:r>
          <w:r>
            <w:rPr>
              <w:rStyle w:val="10"/>
            </w:rPr>
            <w:t>i.</w:t>
          </w:r>
          <w:r>
            <w:rPr>
              <w:rFonts w:asciiTheme="minorHAnsi" w:hAnsiTheme="minorHAnsi"/>
              <w:kern w:val="2"/>
              <w:szCs w:val="30"/>
              <w:lang w:val="en-GB" w:eastAsia="en-GB" w:bidi="bn-BD"/>
              <w14:ligatures w14:val="standardContextual"/>
            </w:rPr>
            <w:tab/>
          </w:r>
          <w:r>
            <w:rPr>
              <w:rStyle w:val="10"/>
            </w:rPr>
            <w:t>Strategic Responses to Technological Factors</w:t>
          </w:r>
          <w:r>
            <w:tab/>
          </w:r>
          <w:r>
            <w:fldChar w:fldCharType="begin"/>
          </w:r>
          <w:r>
            <w:instrText xml:space="preserve"> PAGEREF _Toc212132008 \h </w:instrText>
          </w:r>
          <w:r>
            <w:fldChar w:fldCharType="separate"/>
          </w:r>
          <w:r>
            <w:t>7</w:t>
          </w:r>
          <w:r>
            <w:fldChar w:fldCharType="end"/>
          </w:r>
          <w:r>
            <w:fldChar w:fldCharType="end"/>
          </w:r>
        </w:p>
        <w:p w14:paraId="2211D0B8">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"_Toc212132009" </w:instrText>
          </w:r>
          <w:r>
            <w:fldChar w:fldCharType="separate"/>
          </w:r>
          <w:r>
            <w:rPr>
              <w:rStyle w:val="10"/>
            </w:rPr>
            <w:t>a.</w:t>
          </w:r>
          <w:r>
            <w:rPr>
              <w:rFonts w:asciiTheme="minorHAnsi" w:hAnsiTheme="minorHAnsi"/>
              <w:kern w:val="2"/>
              <w:szCs w:val="30"/>
              <w:lang w:val="en-GB" w:eastAsia="en-GB" w:bidi="bn-BD"/>
              <w14:ligatures w14:val="standardContextual"/>
            </w:rPr>
            <w:tab/>
          </w:r>
          <w:r>
            <w:rPr>
              <w:rStyle w:val="10"/>
            </w:rPr>
            <w:t>Tesla’s Technological Strategy – Innovation-led Differentiation</w:t>
          </w:r>
          <w:r>
            <w:tab/>
          </w:r>
          <w:r>
            <w:fldChar w:fldCharType="begin"/>
          </w:r>
          <w:r>
            <w:instrText xml:space="preserve"> PAGEREF _Toc212132009 \h </w:instrText>
          </w:r>
          <w:r>
            <w:fldChar w:fldCharType="separate"/>
          </w:r>
          <w:r>
            <w:t>7</w:t>
          </w:r>
          <w:r>
            <w:fldChar w:fldCharType="end"/>
          </w:r>
          <w:r>
            <w:fldChar w:fldCharType="end"/>
          </w:r>
        </w:p>
        <w:p w14:paraId="2080D652">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"_Toc212132010" </w:instrText>
          </w:r>
          <w:r>
            <w:fldChar w:fldCharType="separate"/>
          </w:r>
          <w:r>
            <w:rPr>
              <w:rStyle w:val="10"/>
              <w:lang w:val="en-GB"/>
            </w:rPr>
            <w:t>b.</w:t>
          </w:r>
          <w:r>
            <w:rPr>
              <w:rFonts w:asciiTheme="minorHAnsi" w:hAnsiTheme="minorHAnsi"/>
              <w:kern w:val="2"/>
              <w:szCs w:val="30"/>
              <w:lang w:val="en-GB" w:eastAsia="en-GB" w:bidi="bn-BD"/>
              <w14:ligatures w14:val="standardContextual"/>
            </w:rPr>
            <w:tab/>
          </w:r>
          <w:r>
            <w:rPr>
              <w:rStyle w:val="10"/>
              <w:lang w:val="en-GB"/>
            </w:rPr>
            <w:t>BYD’s Technological Strategy – Adaptive Cost Leadership and Market Penetration</w:t>
          </w:r>
          <w:r>
            <w:tab/>
          </w:r>
          <w:r>
            <w:fldChar w:fldCharType="begin"/>
          </w:r>
          <w:r>
            <w:instrText xml:space="preserve"> PAGEREF _Toc212132010 \h </w:instrText>
          </w:r>
          <w:r>
            <w:fldChar w:fldCharType="separate"/>
          </w:r>
          <w:r>
            <w:t>8</w:t>
          </w:r>
          <w:r>
            <w:fldChar w:fldCharType="end"/>
          </w:r>
          <w:r>
            <w:fldChar w:fldCharType="end"/>
          </w:r>
        </w:p>
        <w:p w14:paraId="09AAD977">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"_Toc212132011" </w:instrText>
          </w:r>
          <w:r>
            <w:fldChar w:fldCharType="separate"/>
          </w:r>
          <w:r>
            <w:rPr>
              <w:rStyle w:val="10"/>
            </w:rPr>
            <w:t>c.</w:t>
          </w:r>
          <w:r>
            <w:rPr>
              <w:rFonts w:asciiTheme="minorHAnsi" w:hAnsiTheme="minorHAnsi"/>
              <w:kern w:val="2"/>
              <w:szCs w:val="30"/>
              <w:lang w:val="en-GB" w:eastAsia="en-GB" w:bidi="bn-BD"/>
              <w14:ligatures w14:val="standardContextual"/>
            </w:rPr>
            <w:tab/>
          </w:r>
          <w:r>
            <w:rPr>
              <w:rStyle w:val="10"/>
            </w:rPr>
            <w:t>Comparative Evaluation</w:t>
          </w:r>
          <w:r>
            <w:tab/>
          </w:r>
          <w:r>
            <w:fldChar w:fldCharType="begin"/>
          </w:r>
          <w:r>
            <w:instrText xml:space="preserve"> PAGEREF _Toc212132011 \h </w:instrText>
          </w:r>
          <w:r>
            <w:fldChar w:fldCharType="separate"/>
          </w:r>
          <w:r>
            <w:t>8</w:t>
          </w:r>
          <w:r>
            <w:fldChar w:fldCharType="end"/>
          </w:r>
          <w:r>
            <w:fldChar w:fldCharType="end"/>
          </w:r>
        </w:p>
        <w:p w14:paraId="7A655D41">
          <w:pPr>
            <w:pStyle w:val="14"/>
            <w:tabs>
              <w:tab w:val="left" w:pos="72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"_Toc212132012" </w:instrText>
          </w:r>
          <w:r>
            <w:fldChar w:fldCharType="separate"/>
          </w:r>
          <w:r>
            <w:rPr>
              <w:rStyle w:val="10"/>
            </w:rPr>
            <w:t>ii.</w:t>
          </w:r>
          <w:r>
            <w:rPr>
              <w:rFonts w:asciiTheme="minorHAnsi" w:hAnsiTheme="minorHAnsi"/>
              <w:kern w:val="2"/>
              <w:szCs w:val="30"/>
              <w:lang w:val="en-GB" w:eastAsia="en-GB" w:bidi="bn-BD"/>
              <w14:ligatures w14:val="standardContextual"/>
            </w:rPr>
            <w:tab/>
          </w:r>
          <w:r>
            <w:rPr>
              <w:rStyle w:val="10"/>
            </w:rPr>
            <w:t>Strategic Responses to Environmental Factors</w:t>
          </w:r>
          <w:r>
            <w:tab/>
          </w:r>
          <w:r>
            <w:fldChar w:fldCharType="begin"/>
          </w:r>
          <w:r>
            <w:instrText xml:space="preserve"> PAGEREF _Toc212132012 \h </w:instrText>
          </w:r>
          <w:r>
            <w:fldChar w:fldCharType="separate"/>
          </w:r>
          <w:r>
            <w:t>9</w:t>
          </w:r>
          <w:r>
            <w:fldChar w:fldCharType="end"/>
          </w:r>
          <w:r>
            <w:fldChar w:fldCharType="end"/>
          </w:r>
        </w:p>
        <w:p w14:paraId="1DB77B34">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"_Toc212132013" </w:instrText>
          </w:r>
          <w:r>
            <w:fldChar w:fldCharType="separate"/>
          </w:r>
          <w:r>
            <w:rPr>
              <w:rStyle w:val="10"/>
            </w:rPr>
            <w:t>a.</w:t>
          </w:r>
          <w:r>
            <w:rPr>
              <w:rFonts w:asciiTheme="minorHAnsi" w:hAnsiTheme="minorHAnsi"/>
              <w:kern w:val="2"/>
              <w:szCs w:val="30"/>
              <w:lang w:val="en-GB" w:eastAsia="en-GB" w:bidi="bn-BD"/>
              <w14:ligatures w14:val="standardContextual"/>
            </w:rPr>
            <w:tab/>
          </w:r>
          <w:r>
            <w:rPr>
              <w:rStyle w:val="10"/>
            </w:rPr>
            <w:t>Tesla’s Environmental Strategy – Sustainability as a Brand Core</w:t>
          </w:r>
          <w:r>
            <w:tab/>
          </w:r>
          <w:r>
            <w:fldChar w:fldCharType="begin"/>
          </w:r>
          <w:r>
            <w:instrText xml:space="preserve"> PAGEREF _Toc212132013 \h </w:instrText>
          </w:r>
          <w:r>
            <w:fldChar w:fldCharType="separate"/>
          </w:r>
          <w:r>
            <w:t>9</w:t>
          </w:r>
          <w:r>
            <w:fldChar w:fldCharType="end"/>
          </w:r>
          <w:r>
            <w:fldChar w:fldCharType="end"/>
          </w:r>
        </w:p>
        <w:p w14:paraId="22FE45A5">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"_Toc212132014" </w:instrText>
          </w:r>
          <w:r>
            <w:fldChar w:fldCharType="separate"/>
          </w:r>
          <w:r>
            <w:rPr>
              <w:rStyle w:val="10"/>
            </w:rPr>
            <w:t>b.</w:t>
          </w:r>
          <w:r>
            <w:rPr>
              <w:rFonts w:asciiTheme="minorHAnsi" w:hAnsiTheme="minorHAnsi"/>
              <w:kern w:val="2"/>
              <w:szCs w:val="30"/>
              <w:lang w:val="en-GB" w:eastAsia="en-GB" w:bidi="bn-BD"/>
              <w14:ligatures w14:val="standardContextual"/>
            </w:rPr>
            <w:tab/>
          </w:r>
          <w:r>
            <w:rPr>
              <w:rStyle w:val="10"/>
            </w:rPr>
            <w:t>BYD’s Environmental Strategy – Policy-driven Green Expansion</w:t>
          </w:r>
          <w:r>
            <w:tab/>
          </w:r>
          <w:r>
            <w:fldChar w:fldCharType="begin"/>
          </w:r>
          <w:r>
            <w:instrText xml:space="preserve"> PAGEREF _Toc212132014 \h </w:instrText>
          </w:r>
          <w:r>
            <w:fldChar w:fldCharType="separate"/>
          </w:r>
          <w:r>
            <w:t>10</w:t>
          </w:r>
          <w:r>
            <w:fldChar w:fldCharType="end"/>
          </w:r>
          <w:r>
            <w:fldChar w:fldCharType="end"/>
          </w:r>
        </w:p>
        <w:p w14:paraId="0FC296EC">
          <w:pPr>
            <w:pStyle w:val="15"/>
            <w:tabs>
              <w:tab w:val="left" w:pos="960"/>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"_Toc212132015" </w:instrText>
          </w:r>
          <w:r>
            <w:fldChar w:fldCharType="separate"/>
          </w:r>
          <w:r>
            <w:rPr>
              <w:rStyle w:val="10"/>
            </w:rPr>
            <w:t>c.</w:t>
          </w:r>
          <w:r>
            <w:rPr>
              <w:rFonts w:asciiTheme="minorHAnsi" w:hAnsiTheme="minorHAnsi"/>
              <w:kern w:val="2"/>
              <w:szCs w:val="30"/>
              <w:lang w:val="en-GB" w:eastAsia="en-GB" w:bidi="bn-BD"/>
              <w14:ligatures w14:val="standardContextual"/>
            </w:rPr>
            <w:tab/>
          </w:r>
          <w:r>
            <w:rPr>
              <w:rStyle w:val="10"/>
            </w:rPr>
            <w:t>Comparative Evaluation</w:t>
          </w:r>
          <w:r>
            <w:tab/>
          </w:r>
          <w:r>
            <w:fldChar w:fldCharType="begin"/>
          </w:r>
          <w:r>
            <w:instrText xml:space="preserve"> PAGEREF _Toc212132015 \h </w:instrText>
          </w:r>
          <w:r>
            <w:fldChar w:fldCharType="separate"/>
          </w:r>
          <w:r>
            <w:t>10</w:t>
          </w:r>
          <w:r>
            <w:fldChar w:fldCharType="end"/>
          </w:r>
          <w:r>
            <w:fldChar w:fldCharType="end"/>
          </w:r>
        </w:p>
        <w:p w14:paraId="37249641">
          <w:pPr>
            <w:pStyle w:val="13"/>
            <w:tabs>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"_Toc212132016" </w:instrText>
          </w:r>
          <w:r>
            <w:fldChar w:fldCharType="separate"/>
          </w:r>
          <w:r>
            <w:rPr>
              <w:rStyle w:val="10"/>
              <w:lang w:val="en-GB"/>
            </w:rPr>
            <w:t>Conclusion</w:t>
          </w:r>
          <w:r>
            <w:tab/>
          </w:r>
          <w:r>
            <w:fldChar w:fldCharType="begin"/>
          </w:r>
          <w:r>
            <w:instrText xml:space="preserve"> PAGEREF _Toc212132016 \h </w:instrText>
          </w:r>
          <w:r>
            <w:fldChar w:fldCharType="separate"/>
          </w:r>
          <w:r>
            <w:t>11</w:t>
          </w:r>
          <w:r>
            <w:fldChar w:fldCharType="end"/>
          </w:r>
          <w:r>
            <w:fldChar w:fldCharType="end"/>
          </w:r>
        </w:p>
        <w:p w14:paraId="11A51023">
          <w:pPr>
            <w:pStyle w:val="13"/>
            <w:tabs>
              <w:tab w:val="right" w:leader="dot" w:pos="9350"/>
            </w:tabs>
            <w:rPr>
              <w:rFonts w:asciiTheme="minorHAnsi" w:hAnsiTheme="minorHAnsi"/>
              <w:kern w:val="2"/>
              <w:szCs w:val="30"/>
              <w:lang w:val="en-GB" w:eastAsia="en-GB" w:bidi="bn-BD"/>
              <w14:ligatures w14:val="standardContextual"/>
            </w:rPr>
          </w:pPr>
          <w:r>
            <w:fldChar w:fldCharType="begin"/>
          </w:r>
          <w:r>
            <w:instrText xml:space="preserve"> HYPERLINK \l "_Toc212132017" </w:instrText>
          </w:r>
          <w:r>
            <w:fldChar w:fldCharType="separate"/>
          </w:r>
          <w:r>
            <w:rPr>
              <w:rStyle w:val="10"/>
              <w:lang w:val="en-GB"/>
            </w:rPr>
            <w:t>References</w:t>
          </w:r>
          <w:r>
            <w:tab/>
          </w:r>
          <w:r>
            <w:fldChar w:fldCharType="begin"/>
          </w:r>
          <w:r>
            <w:instrText xml:space="preserve"> PAGEREF _Toc212132017 \h </w:instrText>
          </w:r>
          <w:r>
            <w:fldChar w:fldCharType="separate"/>
          </w:r>
          <w:r>
            <w:t>12</w:t>
          </w:r>
          <w:r>
            <w:fldChar w:fldCharType="end"/>
          </w:r>
          <w:r>
            <w:fldChar w:fldCharType="end"/>
          </w:r>
        </w:p>
        <w:p w14:paraId="42F34E3F">
          <w:r>
            <w:rPr>
              <w:b/>
              <w:bCs/>
            </w:rPr>
            <w:fldChar w:fldCharType="end"/>
          </w:r>
        </w:p>
      </w:sdtContent>
    </w:sdt>
    <w:p w14:paraId="5A9899B0">
      <w:pPr>
        <w:spacing w:after="200" w:line="276" w:lineRule="auto"/>
        <w:jc w:val="left"/>
      </w:pPr>
      <w:r>
        <w:br w:type="page"/>
      </w:r>
    </w:p>
    <w:p w14:paraId="3406BB72">
      <w:pPr>
        <w:pStyle w:val="2"/>
      </w:pPr>
      <w:bookmarkStart w:id="0" w:name="_Toc212132003"/>
      <w:r>
        <w:t>Introduction</w:t>
      </w:r>
      <w:bookmarkEnd w:id="0"/>
    </w:p>
    <w:p w14:paraId="71CD0491">
      <w:pPr>
        <w:rPr>
          <w:lang w:val="en-GB"/>
        </w:rPr>
      </w:pPr>
      <w:r>
        <w:rPr>
          <w:lang w:val="en-GB"/>
        </w:rPr>
        <w:t>In today's fast-paced business world, marketing managers need to evaluate, prepare, and carry out their plans. Strategic marketing managers need to be up-to-date about macro environment. Macro environment has an impact on how customers act, the future of the market, and how well a business does</w:t>
      </w:r>
      <w:r>
        <w:t xml:space="preserve"> </w:t>
      </w:r>
      <w:r>
        <w:rPr>
          <w:lang w:val="en-GB"/>
        </w:rPr>
        <w:t>(Aaker and Moorman, 2023). PESTLE examines external influences that influence the process of strategic decision-making. This study examines technological and environmental macro environment in the global electric vehicle (EV) market. BYD a rapid low-cost follower brand whose rapid expansion and worldwide presence have been achieved through localization. Tesla, a high-end electric vehicle manufacturer and brand leader. First, consider the influence of the two businesses by the technical and environmental factors. The next activity is comparing the strategies that BYD and Tesla used in response to these external variables using STP, the 7Ps, and Porters Generic Strategies.</w:t>
      </w:r>
    </w:p>
    <w:p w14:paraId="3B5EB3F2">
      <w:pPr>
        <w:pStyle w:val="2"/>
      </w:pPr>
      <w:bookmarkStart w:id="1" w:name="_Toc212132004"/>
      <w:r>
        <w:t>Section 1: Critical Analysis of the Macro Marketing Environment</w:t>
      </w:r>
      <w:bookmarkEnd w:id="1"/>
    </w:p>
    <w:p w14:paraId="42A260C6">
      <w:pPr>
        <w:pStyle w:val="3"/>
        <w:rPr>
          <w:lang w:val="en-GB"/>
        </w:rPr>
      </w:pPr>
      <w:bookmarkStart w:id="2" w:name="_Toc212132005"/>
      <w:r>
        <w:t>Technological Environment</w:t>
      </w:r>
      <w:bookmarkEnd w:id="2"/>
    </w:p>
    <w:p w14:paraId="56E31A01">
      <w:pPr>
        <w:rPr>
          <w:lang w:val="en-GB"/>
        </w:rPr>
      </w:pPr>
      <w:r>
        <w:rPr>
          <w:lang w:val="en-GB"/>
        </w:rPr>
        <w:t xml:space="preserve">Technology is changing the electric vehicle (EV) market faster than other industries. Improvements in battery efficiency, self-driving cars, charging infrastructure, and AI are rapidly transforming the competitive landscape. According to the PESTLE model, technology determines product differentiation, consumer expectations, and price (Aaker and Moorman, 2023). Companies must innovate and constantly working to meet these objectives. </w:t>
      </w:r>
      <w:r>
        <w:rPr>
          <w:lang w:val="en-GB"/>
        </w:rPr>
        <w:br w:type="textWrapping"/>
      </w:r>
      <w:r>
        <w:rPr>
          <w:lang w:val="en-GB"/>
        </w:rPr>
        <w:t>Tesla was the first to explore batteries, integrate software, and update software remotely. Its integrated software, hardware, and energy storage ecosystem discourages new entrants and retains clients (Debnath et al., 2021). The Resource-Based View (RBV) says that Tesla has an edge over its competitors because of its Supercharger network, Autopilot, and AI-powered energy management. Dynamic Capabilities, or the capacity to discover, analyse, and alter technology, make it possible for quick adaption to new ideas</w:t>
      </w:r>
      <w:r>
        <w:t xml:space="preserve"> </w:t>
      </w:r>
      <w:r>
        <w:rPr>
          <w:lang w:val="en-GB"/>
        </w:rPr>
        <w:t>(Daylan, Majid and Sandberg, 2023). For example, better battery life and AI-driven safety features are examples of this.</w:t>
      </w:r>
    </w:p>
    <w:p w14:paraId="18ABBC44">
      <w:pPr>
        <w:rPr>
          <w:lang w:val="en-GB"/>
        </w:rPr>
      </w:pPr>
      <w:r>
        <w:rPr>
          <w:lang w:val="en-GB"/>
        </w:rPr>
        <w:t>Tesla has superior technology but there are some challenges too. With diminishing returns on innovation, ongoing research and development raises the expense burden. BYD, NIO, and other traditional Original Equipment Manufacturers (OEMs) are imitating Tesla. Tesla's AI and other technologies are at jeopardy because of doubts about cybersecurity and global data-privacy laws</w:t>
      </w:r>
      <w:r>
        <w:t xml:space="preserve"> </w:t>
      </w:r>
      <w:r>
        <w:rPr>
          <w:lang w:val="en-GB"/>
        </w:rPr>
        <w:t xml:space="preserve">(Hu, 2022). Patent copying in China's industrial ecosystem hurts the exclusivity of vital technologies. </w:t>
      </w:r>
    </w:p>
    <w:p w14:paraId="7AEC9310">
      <w:pPr>
        <w:rPr>
          <w:lang w:val="en-GB"/>
        </w:rPr>
      </w:pPr>
      <w:r>
        <w:rPr>
          <w:lang w:val="en-GB"/>
        </w:rPr>
        <w:t>BYD takes advantage as a follower by using a fast-follower innovation technique based on the Diffusion of Innovation Theory. BYD benefits from Tesla's work to instruct customers because it wasn't the first to market. BYD's Blade Battery vertical integration helps it keep prices low and a steady supply. This process enables the company to become a market leader in China and facilitate global expansion. Innovation of process helping the company to operate at a low cost. By focusing more on efficiency than innovation can be helpful at times</w:t>
      </w:r>
      <w:r>
        <w:t xml:space="preserve"> (</w:t>
      </w:r>
      <w:r>
        <w:rPr>
          <w:lang w:val="en-GB"/>
        </w:rPr>
        <w:t xml:space="preserve">Sun and Yang, 2025). BYD implementing RBV by getting funds from the government which is its strength. Rather than focussing on highest quality software or investment in AI it is focussing on affordability. </w:t>
      </w:r>
    </w:p>
    <w:p w14:paraId="1DB2164E">
      <w:pPr>
        <w:rPr>
          <w:lang w:val="en-GB"/>
        </w:rPr>
      </w:pPr>
      <w:r>
        <w:rPr>
          <w:lang w:val="en-GB"/>
        </w:rPr>
        <w:t>BYD is limited by technology. The software ecosystem isn't as strong as Tesla's, the brand isn't as sophisticated and customers aren't as engaged. The reliance on domestic technological ecosystems makes hard to share data and connect to the cloud from other countries</w:t>
      </w:r>
      <w:r>
        <w:t xml:space="preserve"> </w:t>
      </w:r>
      <w:r>
        <w:rPr>
          <w:lang w:val="en-GB"/>
        </w:rPr>
        <w:t>(Hu, 2022). Because of these limitations, BYD can't compete with Tesla in the high-end market outside of Asia or match Tesla's worldwide ecosystem advantage.</w:t>
      </w:r>
    </w:p>
    <w:p w14:paraId="51492EA4">
      <w:pPr>
        <w:rPr>
          <w:lang w:val="en-GB"/>
        </w:rPr>
      </w:pPr>
      <w:r>
        <w:rPr>
          <w:lang w:val="en-GB"/>
        </w:rPr>
        <w:t>Tesla focuses radical innovation and premium distinction over BYD's adaptive innovation and market penetration. Tesla keeps its edge as the first company to use new technology by always coming up with new ideas, but this costs and risks more. Tesla’s investment in R&amp;D was $4.54 billion in 2024</w:t>
      </w:r>
      <w:r>
        <w:t xml:space="preserve"> </w:t>
      </w:r>
      <w:r>
        <w:rPr>
          <w:lang w:val="en-GB"/>
        </w:rPr>
        <w:t xml:space="preserve">(Statista, 2025). By adopting tried-and-true technology for broad appeal, BYD's strategy offers nimbleness but inhibits brand originality in industrialized countries. Technology causes disruption in the EV industry. BYD uses cost-effectiveness and adaptability. Tesla leads innovation with unique technology and integrated systems that use dynamic capabilities. BYD's strategic objective is to enhance access, while Tesla innovates to shift markets. </w:t>
      </w:r>
    </w:p>
    <w:p w14:paraId="64FD88F2">
      <w:pPr>
        <w:pStyle w:val="3"/>
      </w:pPr>
      <w:bookmarkStart w:id="3" w:name="_Toc212132006"/>
      <w:r>
        <w:t>Environmental (Sustainability) Environment</w:t>
      </w:r>
      <w:bookmarkEnd w:id="3"/>
    </w:p>
    <w:p w14:paraId="59F6F18F">
      <w:pPr>
        <w:rPr>
          <w:lang w:val="en-GB"/>
        </w:rPr>
      </w:pPr>
      <w:r>
        <w:rPr>
          <w:lang w:val="en-GB"/>
        </w:rPr>
        <w:t>The environmental issue in the macro marketing environment is affecting the strategy and image of EV companies. Environmental restrictions, carbon-neutral mandates, and customer awareness are all ways that global attempts to cut down on greenhouse gas emissions are hurting automotive companies. PESTLE says that environmental conditions affect how companies’ brand, make, and deliver goods in different markets.</w:t>
      </w:r>
    </w:p>
    <w:p w14:paraId="7B4B9FF4">
      <w:pPr>
        <w:rPr>
          <w:lang w:val="en-GB"/>
        </w:rPr>
      </w:pPr>
      <w:r>
        <w:rPr>
          <w:lang w:val="en-GB"/>
        </w:rPr>
        <w:t>Tesla's corporate strategy and marketing distinction is "to speed up the world's shift to sustainable energy," which helps the environment across the world. Government assistance for zero-emission cars and the integration of renewable energy around the world are good for the environment</w:t>
      </w:r>
      <w:r>
        <w:t xml:space="preserve"> </w:t>
      </w:r>
      <w:r>
        <w:rPr>
          <w:lang w:val="en-GB"/>
        </w:rPr>
        <w:t>(Cardoso et al., 2025). Tesla's Triple Bottom Line strategy strikes a balance between profitability and being socially and environmentally responsible by investing into solar power, energy storage, and recycling batteries. Tesla becomes more valuable to eco-conscious customers by linking the brand to new ideas and long-term success.</w:t>
      </w:r>
    </w:p>
    <w:p w14:paraId="5A34A16B">
      <w:pPr>
        <w:rPr>
          <w:lang w:val="en-GB"/>
        </w:rPr>
      </w:pPr>
      <w:r>
        <w:rPr>
          <w:lang w:val="en-GB"/>
        </w:rPr>
        <w:t xml:space="preserve">Threats to the environment have long been a concern at Tesla. The building of batteries harms the environment and raises moral questions. The use of precious material as cobalt and lithium causes a great quantity of carbon impact (Gnanavendan et al., 2024). Regulators and stakeholders are closely observing how Tesla deals with battery waste, and just how open its supply chain is. This is damaging the company’s ESG reputation. Each of the world's different countries have their own environmental laws which make it even more difficult. This applies in the case of European carbon prices and US recycling standards (Kurian, 2023). Stakeholder Theory suggests that the company must address these flaws if aren’t, the brand can lose some trustworthiness. </w:t>
      </w:r>
    </w:p>
    <w:p w14:paraId="0180687F">
      <w:pPr>
        <w:rPr>
          <w:lang w:val="en-GB"/>
        </w:rPr>
      </w:pPr>
      <w:r>
        <w:rPr>
          <w:lang w:val="en-GB"/>
        </w:rPr>
        <w:t>BYD aligns with the policies being executed within the region, and receives government incentives for transitioning BYD's facilities with environmentally friendly manufacturing processes. This will also accelerate the production of affordable electric vehicles, which will rapidly propagate the global shift toward cleaner transportation (Chen, Li, and Zhao, 2024). Expanding partnerships with electric buses and trucks, BYD will further reinforce the government's sustainability and eco-friendly targets. This also amplifies the great impact Tesla has on the environment, producing an equivalent of 100,000 vehicles daily. Vertical integration of battery production streamlines the supply chain and yields positive environmental benefits.</w:t>
      </w:r>
    </w:p>
    <w:p w14:paraId="715A7519">
      <w:pPr>
        <w:rPr>
          <w:lang w:val="en-GB"/>
        </w:rPr>
      </w:pPr>
      <w:r>
        <w:rPr>
          <w:lang w:val="en-GB"/>
        </w:rPr>
        <w:t>Unlike Tesla, BYD is concerned with the environment. Stakeholders are concerned with the energy and the lack of rare-earth elements. Moreover, when global operations lack clarity and there are no ESG disclosures, trust is lost (Zhang, 2024). BYD's cost-minimizing strategy allows wider access, but this may make it more difficult to obtain financing from the circular economy, particularly for battery recycling. Tesla's strategy originates from the sustainability of their brand. In contrast, BYD’s is centred on lowering costs and then sustaining targets. BYD's collaborative goal with the government is to encourage the use of sustainable strategies, whereas Tesla provides the clean energy ecosystem needed.</w:t>
      </w:r>
    </w:p>
    <w:p w14:paraId="781D1AA7">
      <w:pPr>
        <w:rPr>
          <w:lang w:val="en-GB"/>
        </w:rPr>
      </w:pPr>
      <w:r>
        <w:rPr>
          <w:lang w:val="en-GB"/>
        </w:rPr>
        <w:t>Raising ethical issues about resource use and providing opportunities for firms and consumers to develop brand reputations (Tripathy et al., 2022). Tesla remains the best company for ESG as it continues to be creative and transparent (open) but still needs to solve some supply chain issues. BYD on the other hand needs to be more transparent and eco-friendlier and accelerate the pace toward green transport. These two companies illustrate how pioneer and follower within the industry use balanced approach of social responsibility and profitability.</w:t>
      </w:r>
    </w:p>
    <w:p w14:paraId="4818CE01">
      <w:pPr>
        <w:keepNext/>
        <w:jc w:val="center"/>
      </w:pPr>
      <w:r>
        <w:drawing>
          <wp:inline distT="0" distB="0" distL="0" distR="0">
            <wp:extent cx="4682490" cy="2298700"/>
            <wp:effectExtent l="0" t="0" r="3810" b="6350"/>
            <wp:docPr id="9414670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67014" name="Picture 5"/>
                    <pic:cNvPicPr>
                      <a:picLocks noChangeAspect="1" noChangeArrowheads="1"/>
                    </pic:cNvPicPr>
                  </pic:nvPicPr>
                  <pic:blipFill>
                    <a:blip r:embed="rId8">
                      <a:extLst>
                        <a:ext uri="{28A0092B-C50C-407E-A947-70E740481C1C}">
                          <a14:useLocalDpi xmlns:a14="http://schemas.microsoft.com/office/drawing/2010/main" val="0"/>
                        </a:ext>
                      </a:extLst>
                    </a:blip>
                    <a:srcRect b="9576"/>
                    <a:stretch>
                      <a:fillRect/>
                    </a:stretch>
                  </pic:blipFill>
                  <pic:spPr>
                    <a:xfrm>
                      <a:off x="0" y="0"/>
                      <a:ext cx="4780261" cy="2347142"/>
                    </a:xfrm>
                    <a:prstGeom prst="rect">
                      <a:avLst/>
                    </a:prstGeom>
                    <a:noFill/>
                    <a:ln>
                      <a:noFill/>
                    </a:ln>
                  </pic:spPr>
                </pic:pic>
              </a:graphicData>
            </a:graphic>
          </wp:inline>
        </w:drawing>
      </w:r>
    </w:p>
    <w:p w14:paraId="2A91F157">
      <w:pPr>
        <w:pStyle w:val="7"/>
        <w:jc w:val="center"/>
        <w:rPr>
          <w:lang w:val="en-GB"/>
        </w:rPr>
      </w:pPr>
      <w:r>
        <w:t xml:space="preserve">Figure </w:t>
      </w:r>
      <w:r>
        <w:fldChar w:fldCharType="begin"/>
      </w:r>
      <w:r>
        <w:instrText xml:space="preserve"> SEQ Figure \* ARABIC </w:instrText>
      </w:r>
      <w:r>
        <w:fldChar w:fldCharType="separate"/>
      </w:r>
      <w:r>
        <w:t>1</w:t>
      </w:r>
      <w:r>
        <w:fldChar w:fldCharType="end"/>
      </w:r>
      <w:r>
        <w:t>: Summary of Opportunities and Threats for Tesla and BYD (Source: Author)</w:t>
      </w:r>
    </w:p>
    <w:p w14:paraId="6F94C838">
      <w:pPr>
        <w:pStyle w:val="2"/>
      </w:pPr>
      <w:bookmarkStart w:id="4" w:name="_Toc212132007"/>
      <w:r>
        <w:t>Section 2: Strategic Responses to the Selected External Factors</w:t>
      </w:r>
      <w:bookmarkEnd w:id="4"/>
    </w:p>
    <w:p w14:paraId="2B5D75FA">
      <w:pPr>
        <w:pStyle w:val="3"/>
        <w:numPr>
          <w:ilvl w:val="0"/>
          <w:numId w:val="3"/>
        </w:numPr>
      </w:pPr>
      <w:bookmarkStart w:id="5" w:name="_Toc212132008"/>
      <w:r>
        <w:t>Strategic Responses to Technological Factors</w:t>
      </w:r>
      <w:bookmarkEnd w:id="5"/>
    </w:p>
    <w:p w14:paraId="1551F6D2">
      <w:pPr>
        <w:rPr>
          <w:lang w:val="en-GB"/>
        </w:rPr>
      </w:pPr>
      <w:r>
        <w:rPr>
          <w:lang w:val="en-GB"/>
        </w:rPr>
        <w:t>Technological factors impact greatly on the performance of a company in the EV industry as it is evolving rapidly. As early innovators and fast followers, both Tesla and BYD effectively managed technological change. This can analyse using the 7Ps of Marketing, STP, and Porter's Generic Strategies.</w:t>
      </w:r>
    </w:p>
    <w:p w14:paraId="5FD9EF26">
      <w:pPr>
        <w:pStyle w:val="4"/>
      </w:pPr>
      <w:bookmarkStart w:id="6" w:name="_Toc212132009"/>
      <w:r>
        <w:t>Tesla’s Technological Strategy – Innovation-led Differentiation</w:t>
      </w:r>
      <w:bookmarkEnd w:id="6"/>
    </w:p>
    <w:p w14:paraId="58438D48">
      <w:pPr>
        <w:rPr>
          <w:lang w:val="en-GB"/>
        </w:rPr>
      </w:pPr>
      <w:r>
        <w:rPr>
          <w:lang w:val="en-GB"/>
        </w:rPr>
        <w:t>Tesla is the best example of using Porter’s generic strategy and own technology. The Ansoff Matrix shows that the company is most focused on creating new things. It's working on AI, self-driving cars and new battery technology (Richmond, 2022) to achieve this. Tesla continues to lead the way by rolling out new features and refining old ones, such as Full Self-Driving and software updates that occur over the air. Tesla’s STP build on the people who want latest technology in EV blend with luxury and most eco-friendly cars. "Technology-driven sustainable luxury" is what makes it different from other car firms. The user journey comprises cutting-edge innovation that puts the customer first.</w:t>
      </w:r>
    </w:p>
    <w:p w14:paraId="46B93BB6">
      <w:pPr>
        <w:rPr>
          <w:lang w:val="en-GB"/>
        </w:rPr>
      </w:pPr>
      <w:r>
        <w:rPr>
          <w:lang w:val="en-GB"/>
        </w:rPr>
        <w:t xml:space="preserve">Tesla's 7Ps product strategy includes using AI, performance, and create to constantly come up with unique ideas for the Model S and Cybertruck. The price shows how unique and cutting-edge the product is, which helps create a high-end brand. The best ways to market directly to consumers are online platforms and storefronts owned by the brand. It cuts out the dealership and offers purchasers greater control. Using digital interaction, viral content, and word-of-mouth referrals to market a firm builds trust in it without costing a lot of money </w:t>
      </w:r>
      <w:bookmarkStart w:id="7" w:name="_Hlk212129054"/>
      <w:r>
        <w:rPr>
          <w:lang w:val="en-GB"/>
        </w:rPr>
        <w:t>(Chen, Li, and Zhao, 2024)</w:t>
      </w:r>
      <w:bookmarkEnd w:id="7"/>
      <w:r>
        <w:rPr>
          <w:lang w:val="en-GB"/>
        </w:rPr>
        <w:t xml:space="preserve">. Elon Musk puts a lot of importance on technical skill and visionary leadership to make sure that Tesla's culture fits its technological goals. Automation of the supply chain and AI-driven production make sure that things run smoothly and new ideas come up quickly. Tesla's showrooms, Supercharger stations, and car interfaces show just how advanced and futuristic the company is. </w:t>
      </w:r>
    </w:p>
    <w:p w14:paraId="7A5715E6">
      <w:pPr>
        <w:pStyle w:val="4"/>
        <w:rPr>
          <w:lang w:val="en-GB"/>
        </w:rPr>
      </w:pPr>
      <w:bookmarkStart w:id="8" w:name="_Toc212132010"/>
      <w:r>
        <w:rPr>
          <w:lang w:val="en-GB"/>
        </w:rPr>
        <w:t>BYD’s Technological Strategy – Adaptive Cost Leadership and Market Penetration</w:t>
      </w:r>
      <w:bookmarkEnd w:id="8"/>
    </w:p>
    <w:p w14:paraId="05C8632D">
      <w:pPr>
        <w:rPr>
          <w:lang w:val="en-GB"/>
        </w:rPr>
      </w:pPr>
      <w:r>
        <w:rPr>
          <w:lang w:val="en-GB"/>
        </w:rPr>
        <w:t xml:space="preserve">BYD, a fast follower, employs the Ansoff Matrix to go into new markets and Porter's model to keep costs low. BYD doesn't produce completely new products; instead, it makes existing ones better so that they are cheaper. The company is achieving the goal of low-cost and economies of scale by using vertical integration in battery manufacturing. This is why their strategy of marketing focused on value makes sense (Zhan, 2025). BYD is marketing itself as a "technology-accessible green mobility brand" to attract clients with restricted budgets in STP. It uses technology to provide clients valuable, cheap perks that Tesla can't match. </w:t>
      </w:r>
    </w:p>
    <w:p w14:paraId="5986F6DD">
      <w:r>
        <w:rPr>
          <w:lang w:val="en-GB"/>
        </w:rPr>
        <w:t xml:space="preserve">BYD's 7Ps product model focuses more on dependability and price than on new ideas. The Price approach makes it easier for people to embrace by offering low prices and flexible financing. Place's many dealerships and deals with regional distributors make it easier to get to in areas that are booming. BYD gains governmental permission and uses the internet to market their goods as cheap and good for the environment (Zhan, 2025). </w:t>
      </w:r>
      <w:r>
        <w:t>The Process component is used to speed up the production and create new batteries, such as the Blade Battery technology, which is safer and less costly. Physical Evidence constructs stores and cars that are functional over beautiful, in order to appeal to a wide variety of people.</w:t>
      </w:r>
    </w:p>
    <w:p w14:paraId="7DA32228">
      <w:pPr>
        <w:pStyle w:val="4"/>
      </w:pPr>
      <w:bookmarkStart w:id="9" w:name="_Toc212132011"/>
      <w:r>
        <w:t>Comparative Evaluation</w:t>
      </w:r>
      <w:bookmarkEnd w:id="9"/>
      <w:r>
        <w:t xml:space="preserve"> </w:t>
      </w:r>
    </w:p>
    <w:p w14:paraId="6036AA3E">
      <w:pPr>
        <w:rPr>
          <w:lang w:val="en-GB"/>
        </w:rPr>
      </w:pPr>
      <w:r>
        <w:rPr>
          <w:lang w:val="en-GB"/>
        </w:rPr>
        <w:t>BYD plans to innovate slowly and keep prices at low levels. Tesla, meanwhile, wants to be distinct and to have a strong brand. BYD leverages technology to reduce cost, while Tesla bends it simply to not compromise on their high-end marketing mix. BYD’s utilitarian approach ensures having a lot of people in a lot of markets using its products. Tesla’s flexibility for new technologies maintains its branding in complex markets (Ispas, 2025). Tesla and BYD are prime example of how pioneer and follower in the EV industry uses technology and market conditions to achieve their goals.</w:t>
      </w:r>
    </w:p>
    <w:p w14:paraId="566E6506">
      <w:pPr>
        <w:keepNext/>
        <w:jc w:val="center"/>
      </w:pPr>
      <w:r>
        <w:drawing>
          <wp:inline distT="0" distB="0" distL="0" distR="0">
            <wp:extent cx="4309745" cy="1731645"/>
            <wp:effectExtent l="0" t="0" r="0" b="1905"/>
            <wp:docPr id="16865971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97119" name="Picture 4"/>
                    <pic:cNvPicPr>
                      <a:picLocks noChangeAspect="1" noChangeArrowheads="1"/>
                    </pic:cNvPicPr>
                  </pic:nvPicPr>
                  <pic:blipFill>
                    <a:blip r:embed="rId9">
                      <a:extLst>
                        <a:ext uri="{28A0092B-C50C-407E-A947-70E740481C1C}">
                          <a14:useLocalDpi xmlns:a14="http://schemas.microsoft.com/office/drawing/2010/main" val="0"/>
                        </a:ext>
                      </a:extLst>
                    </a:blip>
                    <a:srcRect l="11772" r="11654" b="15393"/>
                    <a:stretch>
                      <a:fillRect/>
                    </a:stretch>
                  </pic:blipFill>
                  <pic:spPr>
                    <a:xfrm>
                      <a:off x="0" y="0"/>
                      <a:ext cx="4368680" cy="1755474"/>
                    </a:xfrm>
                    <a:prstGeom prst="rect">
                      <a:avLst/>
                    </a:prstGeom>
                    <a:noFill/>
                    <a:ln>
                      <a:noFill/>
                    </a:ln>
                  </pic:spPr>
                </pic:pic>
              </a:graphicData>
            </a:graphic>
          </wp:inline>
        </w:drawing>
      </w:r>
    </w:p>
    <w:p w14:paraId="60C03FBE">
      <w:pPr>
        <w:pStyle w:val="7"/>
        <w:jc w:val="center"/>
      </w:pPr>
      <w:r>
        <w:t xml:space="preserve">Figure </w:t>
      </w:r>
      <w:r>
        <w:fldChar w:fldCharType="begin"/>
      </w:r>
      <w:r>
        <w:instrText xml:space="preserve"> SEQ Figure \* ARABIC </w:instrText>
      </w:r>
      <w:r>
        <w:fldChar w:fldCharType="separate"/>
      </w:r>
      <w:r>
        <w:t>2</w:t>
      </w:r>
      <w:r>
        <w:fldChar w:fldCharType="end"/>
      </w:r>
      <w:r>
        <w:t>: Porter’s Generic Strategies Matrix – Tesla vs BYD (Source: Author)</w:t>
      </w:r>
    </w:p>
    <w:p w14:paraId="1875F9D7"/>
    <w:p w14:paraId="5E99CBA4">
      <w:pPr>
        <w:pStyle w:val="3"/>
      </w:pPr>
      <w:bookmarkStart w:id="10" w:name="_Toc212132012"/>
      <w:r>
        <w:t>Strategic Responses to Environmental Factors</w:t>
      </w:r>
      <w:bookmarkEnd w:id="10"/>
    </w:p>
    <w:p w14:paraId="1BB3179D">
      <w:pPr>
        <w:rPr>
          <w:lang w:val="en-GB"/>
        </w:rPr>
      </w:pPr>
      <w:r>
        <w:rPr>
          <w:lang w:val="en-GB"/>
        </w:rPr>
        <w:t>In the electric vehicle industry, success is directly tied to the issue of environmental sustainability. Thus, these companies in their business operations must take into account global environmental rule, evolving consumer’s expectations and ethical production standards. Combining the 7Ps, Triple Bottom Line (TBL), Market Orientation, and Corporate Social Responsibilities (CSR) to analyse the green strategies of BYD and Tesla that are being developed now.</w:t>
      </w:r>
    </w:p>
    <w:p w14:paraId="008EFF4D">
      <w:pPr>
        <w:pStyle w:val="4"/>
        <w:numPr>
          <w:ilvl w:val="0"/>
          <w:numId w:val="4"/>
        </w:numPr>
      </w:pPr>
      <w:bookmarkStart w:id="11" w:name="_Toc212132013"/>
      <w:r>
        <w:t>Tesla’s Environmental Strategy – Sustainability as a Brand Core</w:t>
      </w:r>
      <w:bookmarkEnd w:id="11"/>
    </w:p>
    <w:p w14:paraId="2960415A">
      <w:pPr>
        <w:rPr>
          <w:lang w:val="en-GB"/>
        </w:rPr>
      </w:pPr>
      <w:r>
        <w:rPr>
          <w:lang w:val="en-GB"/>
        </w:rPr>
        <w:t xml:space="preserve">Tesla aims to 'accelerate the worldwide shift to sustainable energy' and protect the environment. This imaginative strategy shows how TBL may earn revenue and assist people and the environment through CSR. Battery recycling, solar energy use, and energy storage make the company environmentally friendly. </w:t>
      </w:r>
    </w:p>
    <w:p w14:paraId="6BA9C74A">
      <w:pPr>
        <w:rPr>
          <w:lang w:val="en-GB"/>
        </w:rPr>
      </w:pPr>
      <w:r>
        <w:rPr>
          <w:lang w:val="en-GB"/>
        </w:rPr>
        <w:t>Tesla uses Market Orientation to determine what customers want and how to improve it. Marketers must address the environment with their style and distribution methods. The 7Ps product strategy of Tesla prioritizes green field technologies. Tesla automobiles are clean and run on renewable energy. Its pricing strategy maximizes firm profits while offering a ‘good deal’ for environmentally conscious customers. Direct transportation and eco-friendly logistics eliminate carbon emissions and middlemen in Place of 7Ps. Instead of advertising, stories, internet interactions, and brand openness promote environmental values.</w:t>
      </w:r>
    </w:p>
    <w:p w14:paraId="654368F7">
      <w:pPr>
        <w:rPr>
          <w:lang w:val="en-GB"/>
        </w:rPr>
      </w:pPr>
      <w:r>
        <w:rPr>
          <w:lang w:val="en-GB"/>
        </w:rPr>
        <w:t>Tesla expects its workers to show passion for environment in their pursuit of company’s goals. Using renewable energy at the Gigafactory increases the environmental friendliness of production process. Eventually there is concrete evidence that Musk’s assertions about green technologies are true. This consists charging networks that works with solar panels and simple designs.</w:t>
      </w:r>
    </w:p>
    <w:p w14:paraId="752D5312">
      <w:pPr>
        <w:rPr>
          <w:lang w:val="en-GB"/>
        </w:rPr>
      </w:pPr>
      <w:r>
        <w:rPr>
          <w:lang w:val="en-GB"/>
        </w:rPr>
        <w:t>It is difficult for Tesla to emerge as an environmentally conscience leader. The use of lithium and cobalt in their production presents ethical and environmental issues which may undermine stakeholders' trust towards the company. These problems demonstrate the fact that sometimes goals aimed at preservation of environment can run against certain realities, such as growth being too rapid and threatening long-term viability. Regarding Tesla's brand, its recycling ability if they practicing financial openness reduce the danger and raise an ESG effort in the future.</w:t>
      </w:r>
    </w:p>
    <w:p w14:paraId="468E4F36">
      <w:pPr>
        <w:pStyle w:val="4"/>
      </w:pPr>
      <w:bookmarkStart w:id="12" w:name="_Toc212132014"/>
      <w:r>
        <w:t>BYD’s Environmental Strategy – Policy-driven Green Expansion</w:t>
      </w:r>
      <w:bookmarkEnd w:id="12"/>
    </w:p>
    <w:p w14:paraId="4F8B85D7">
      <w:pPr>
        <w:rPr>
          <w:lang w:val="en-GB"/>
        </w:rPr>
      </w:pPr>
      <w:r>
        <w:rPr>
          <w:lang w:val="en-GB"/>
        </w:rPr>
        <w:t xml:space="preserve">BYD's work to protect the environment helps China and the rest of the world cut down on carbon emissions. The social part of the Triple Bottom Line helps its environmental goal of making electric cars affordable so that everyone can use eco-friendly transportation. </w:t>
      </w:r>
      <w:r>
        <w:rPr>
          <w:lang w:val="en-GB"/>
        </w:rPr>
        <w:br w:type="textWrapping"/>
      </w:r>
      <w:r>
        <w:rPr>
          <w:lang w:val="en-GB"/>
        </w:rPr>
        <w:t xml:space="preserve">BYD customizes its environmental programs to fit the needs and budgets of each market as part of its Market Orientation approach. BYD used the 7Ps to make products that use less energy and can be recycled. Its pricing plan indicates that electric cars, which are essential for achieving environmental goals (Zhang, 2024), can be purchased by people in the middle class. Place strategies focus on making things in the country and expanding to other countries to lessen the environmental impact of logistics. Building trust through working together with the government and using green branding. </w:t>
      </w:r>
      <w:r>
        <w:rPr>
          <w:lang w:val="en-GB"/>
        </w:rPr>
        <w:br w:type="textWrapping"/>
      </w:r>
      <w:r>
        <w:rPr>
          <w:lang w:val="en-GB"/>
        </w:rPr>
        <w:t>BYD adds value to the community by supporting local jobs and using eco-friendly workers. Closed-loop production and making batteries in-house cut down on waste and reliance on outside sources. The company is focused on building structures that last and having electric public transit fleets.</w:t>
      </w:r>
    </w:p>
    <w:p w14:paraId="2444A4C7">
      <w:pPr>
        <w:pStyle w:val="4"/>
      </w:pPr>
      <w:bookmarkStart w:id="13" w:name="_Toc212132015"/>
      <w:r>
        <w:t>Comparative Evaluation</w:t>
      </w:r>
      <w:bookmarkEnd w:id="13"/>
    </w:p>
    <w:p w14:paraId="6D99C2BE">
      <w:r>
        <w:t>Tesla is more focused on achieving highest level of environmental sustainability. The company revolves on bringing new technologies with less environmental impact. BYD’s goal is to make its product affordable to a higher chunk of people. Its objective is to align China’s environmental goal and spread worldwide by using affordability strategy (Cardoso et al., 2025). Brand value and environmental innovation is the focal point of Tesla and for BYD it is policy synergy and social inclusiveness.</w:t>
      </w:r>
    </w:p>
    <w:p w14:paraId="3464997D">
      <w:pPr>
        <w:rPr>
          <w:lang w:val="en-GB"/>
        </w:rPr>
      </w:pPr>
      <w:r>
        <w:rPr>
          <w:lang w:val="en-GB"/>
        </w:rPr>
        <w:t>Cost minimization and localization approach of BYD is more sustainable but Tesla’s approach is more eco-friendly. Responsible approach from both companies demonstrates that greater impact can be achieved through socially and environmentally conscious policy making and implementation.</w:t>
      </w:r>
    </w:p>
    <w:p w14:paraId="47021002">
      <w:pPr>
        <w:pStyle w:val="2"/>
        <w:rPr>
          <w:lang w:val="en-GB"/>
        </w:rPr>
      </w:pPr>
      <w:bookmarkStart w:id="14" w:name="_Toc212132016"/>
      <w:r>
        <w:rPr>
          <w:lang w:val="en-GB"/>
        </w:rPr>
        <w:t>Conclusion</w:t>
      </w:r>
      <w:bookmarkEnd w:id="14"/>
    </w:p>
    <w:p w14:paraId="09C3C05A">
      <w:pPr>
        <w:rPr>
          <w:lang w:val="en-GB"/>
        </w:rPr>
      </w:pPr>
      <w:r>
        <w:rPr>
          <w:lang w:val="en-GB"/>
        </w:rPr>
        <w:t>This study is based on the macro environment impact on formulating strategy in the EV industry worldwide. Through brand value, innovation at a highest rate, and reduced environmental impact Tesla stays in top of the EV industry. Policy alignment with the government, cost leadership, and localization is the key to success for BYD. Different strategic marketing tools such as 7Ps, STP models used by these companies to navigate external environment. Tesla keep the leader title in the EV industry by investing huge money in innovation and non-compromise strategy about environment. The focal point for BYD is to become inexpensive and accessible for greater number of people.</w:t>
      </w:r>
    </w:p>
    <w:p w14:paraId="76B61B92">
      <w:pPr>
        <w:spacing w:after="120"/>
        <w:rPr>
          <w:lang w:val="en-GB"/>
        </w:rPr>
      </w:pPr>
    </w:p>
    <w:p w14:paraId="131FEF40">
      <w:pPr>
        <w:spacing w:after="200" w:line="276" w:lineRule="auto"/>
        <w:jc w:val="left"/>
        <w:rPr>
          <w:lang w:val="en-GB"/>
        </w:rPr>
      </w:pPr>
      <w:r>
        <w:rPr>
          <w:lang w:val="en-GB"/>
        </w:rPr>
        <w:br w:type="page"/>
      </w:r>
    </w:p>
    <w:p w14:paraId="7F9A101C">
      <w:pPr>
        <w:pStyle w:val="2"/>
        <w:rPr>
          <w:lang w:val="en-GB"/>
        </w:rPr>
      </w:pPr>
      <w:bookmarkStart w:id="15" w:name="_Toc212132017"/>
      <w:r>
        <w:rPr>
          <w:lang w:val="en-GB"/>
        </w:rPr>
        <w:t>References</w:t>
      </w:r>
      <w:bookmarkEnd w:id="15"/>
    </w:p>
    <w:p w14:paraId="59C873D2">
      <w:pPr>
        <w:pStyle w:val="11"/>
        <w:spacing w:before="0" w:beforeAutospacing="0" w:after="240" w:afterAutospacing="0" w:line="360" w:lineRule="auto"/>
        <w:rPr>
          <w:rFonts w:ascii="Arial" w:hAnsi="Arial" w:cs="Arial"/>
          <w:lang w:val="en-US"/>
        </w:rPr>
      </w:pPr>
      <w:r>
        <w:rPr>
          <w:rFonts w:ascii="Arial" w:hAnsi="Arial" w:cs="Arial"/>
          <w:lang w:val="en-US"/>
        </w:rPr>
        <w:t>Aaker, D.A. and Moorman, C., 2023. </w:t>
      </w:r>
      <w:r>
        <w:rPr>
          <w:rFonts w:ascii="Arial" w:hAnsi="Arial" w:cs="Arial"/>
          <w:i/>
          <w:iCs/>
          <w:lang w:val="en-US"/>
        </w:rPr>
        <w:t>Strategic market management</w:t>
      </w:r>
      <w:r>
        <w:rPr>
          <w:rFonts w:ascii="Arial" w:hAnsi="Arial" w:cs="Arial"/>
          <w:lang w:val="en-US"/>
        </w:rPr>
        <w:t>. John Wiley &amp; Sons.</w:t>
      </w:r>
    </w:p>
    <w:p w14:paraId="724E54E6">
      <w:pPr>
        <w:pStyle w:val="11"/>
        <w:spacing w:before="0" w:beforeAutospacing="0" w:after="240" w:afterAutospacing="0" w:line="360" w:lineRule="auto"/>
        <w:rPr>
          <w:rFonts w:ascii="Arial" w:hAnsi="Arial" w:cs="Arial"/>
        </w:rPr>
      </w:pPr>
      <w:r>
        <w:rPr>
          <w:rFonts w:ascii="Arial" w:hAnsi="Arial" w:cs="Arial"/>
        </w:rPr>
        <w:t xml:space="preserve">Cardoso, S., Gabriel, González, P.H. and Vanessa (2025). Evaluating the Social Impact of Electrical Vehicle Towards a Sustainability Transition: A Critical Analysis of Tesla, BYD, and EU Environment Reports. </w:t>
      </w:r>
      <w:r>
        <w:rPr>
          <w:rFonts w:ascii="Arial" w:hAnsi="Arial" w:cs="Arial"/>
          <w:i/>
          <w:iCs/>
        </w:rPr>
        <w:t>Springer proceedings in energy</w:t>
      </w:r>
      <w:r>
        <w:rPr>
          <w:rFonts w:ascii="Arial" w:hAnsi="Arial" w:cs="Arial"/>
        </w:rPr>
        <w:t>, pp.143–157.</w:t>
      </w:r>
    </w:p>
    <w:p w14:paraId="421BDEAF">
      <w:pPr>
        <w:pStyle w:val="11"/>
        <w:spacing w:before="0" w:beforeAutospacing="0" w:after="240" w:afterAutospacing="0" w:line="360" w:lineRule="auto"/>
        <w:rPr>
          <w:rFonts w:ascii="Arial" w:hAnsi="Arial" w:cs="Arial"/>
        </w:rPr>
      </w:pPr>
      <w:r>
        <w:rPr>
          <w:rFonts w:ascii="Arial" w:hAnsi="Arial" w:cs="Arial"/>
          <w:lang w:val="en-US"/>
        </w:rPr>
        <w:t>Chen, X., Li, J. and Zhao, C., 2024. Analysis of the promotion strategy of new energy vehicles based on HSM theory: Taking Tesla Motors and BYD Motors as examples. In </w:t>
      </w:r>
      <w:r>
        <w:rPr>
          <w:rFonts w:ascii="Arial" w:hAnsi="Arial" w:cs="Arial"/>
          <w:i/>
          <w:iCs/>
          <w:lang w:val="en-US"/>
        </w:rPr>
        <w:t>Addressing Global Challenges-Exploring Socio-Cultural Dynamics and Sustainable Solutions in a Changing World</w:t>
      </w:r>
      <w:r>
        <w:rPr>
          <w:rFonts w:ascii="Arial" w:hAnsi="Arial" w:cs="Arial"/>
          <w:lang w:val="en-US"/>
        </w:rPr>
        <w:t> (pp. 175-187). Routledge.</w:t>
      </w:r>
    </w:p>
    <w:p w14:paraId="423AC567">
      <w:pPr>
        <w:pStyle w:val="11"/>
        <w:spacing w:before="0" w:beforeAutospacing="0" w:after="240" w:afterAutospacing="0" w:line="360" w:lineRule="auto"/>
        <w:rPr>
          <w:rFonts w:ascii="Arial" w:hAnsi="Arial" w:cs="Arial"/>
        </w:rPr>
      </w:pPr>
      <w:r>
        <w:rPr>
          <w:rFonts w:ascii="Arial" w:hAnsi="Arial" w:cs="Arial"/>
        </w:rPr>
        <w:t xml:space="preserve">Daylan, A., Majid, D. and Sandberg, A. (2023). </w:t>
      </w:r>
      <w:r>
        <w:rPr>
          <w:rFonts w:ascii="Arial" w:hAnsi="Arial" w:cs="Arial"/>
          <w:i/>
          <w:iCs/>
        </w:rPr>
        <w:t>Examining the Disruptive Innovation Theory by Analysing Tesla, Inc</w:t>
      </w:r>
      <w:r>
        <w:rPr>
          <w:rFonts w:ascii="Arial" w:hAnsi="Arial" w:cs="Arial"/>
        </w:rPr>
        <w:t>.</w:t>
      </w:r>
    </w:p>
    <w:p w14:paraId="63B3D47C">
      <w:pPr>
        <w:pStyle w:val="11"/>
        <w:spacing w:before="0" w:beforeAutospacing="0" w:after="240" w:afterAutospacing="0" w:line="360" w:lineRule="auto"/>
        <w:rPr>
          <w:rFonts w:ascii="Arial" w:hAnsi="Arial" w:cs="Arial"/>
        </w:rPr>
      </w:pPr>
      <w:r>
        <w:rPr>
          <w:rFonts w:ascii="Arial" w:hAnsi="Arial" w:cs="Arial"/>
          <w:lang w:val="en-US"/>
        </w:rPr>
        <w:t>Debnath, R., Bardhan, R., Reiner, D.M. and Miller, J.R., 2021. Political, economic, social, technological, legal and environmental dimensions of electric vehicle adoption in the United States: A social-media interaction analysis. </w:t>
      </w:r>
      <w:r>
        <w:rPr>
          <w:rFonts w:ascii="Arial" w:hAnsi="Arial" w:cs="Arial"/>
          <w:i/>
          <w:iCs/>
          <w:lang w:val="en-US"/>
        </w:rPr>
        <w:t>Renewable and Sustainable Energy Reviews</w:t>
      </w:r>
      <w:r>
        <w:rPr>
          <w:rFonts w:ascii="Arial" w:hAnsi="Arial" w:cs="Arial"/>
          <w:lang w:val="en-US"/>
        </w:rPr>
        <w:t>, </w:t>
      </w:r>
      <w:r>
        <w:rPr>
          <w:rFonts w:ascii="Arial" w:hAnsi="Arial" w:cs="Arial"/>
          <w:i/>
          <w:iCs/>
          <w:lang w:val="en-US"/>
        </w:rPr>
        <w:t>152</w:t>
      </w:r>
      <w:r>
        <w:rPr>
          <w:rFonts w:ascii="Arial" w:hAnsi="Arial" w:cs="Arial"/>
          <w:lang w:val="en-US"/>
        </w:rPr>
        <w:t>, p.111707.</w:t>
      </w:r>
    </w:p>
    <w:p w14:paraId="44ABAB58">
      <w:pPr>
        <w:pStyle w:val="11"/>
        <w:spacing w:before="0" w:beforeAutospacing="0" w:after="240" w:afterAutospacing="0" w:line="360" w:lineRule="auto"/>
        <w:rPr>
          <w:rFonts w:ascii="Arial" w:hAnsi="Arial" w:cs="Arial"/>
          <w:lang w:val="en-US"/>
        </w:rPr>
      </w:pPr>
      <w:r>
        <w:rPr>
          <w:rFonts w:ascii="Arial" w:hAnsi="Arial" w:cs="Arial"/>
          <w:lang w:val="en-US"/>
        </w:rPr>
        <w:t>Gnanavendan, S., Selvaraj, S.K., Dev, S.J., Mahato, K.K., Swathish, R.S., Sundaramali, G., Accouche, O. and Azab, M., 2024. Challenges, solutions and future trends in EV-technology: A review. </w:t>
      </w:r>
      <w:r>
        <w:rPr>
          <w:rFonts w:ascii="Arial" w:hAnsi="Arial" w:cs="Arial"/>
          <w:i/>
          <w:iCs/>
          <w:lang w:val="en-US"/>
        </w:rPr>
        <w:t>IEEe Access</w:t>
      </w:r>
      <w:r>
        <w:rPr>
          <w:rFonts w:ascii="Arial" w:hAnsi="Arial" w:cs="Arial"/>
          <w:lang w:val="en-US"/>
        </w:rPr>
        <w:t>, </w:t>
      </w:r>
      <w:r>
        <w:rPr>
          <w:rFonts w:ascii="Arial" w:hAnsi="Arial" w:cs="Arial"/>
          <w:i/>
          <w:iCs/>
          <w:lang w:val="en-US"/>
        </w:rPr>
        <w:t>12</w:t>
      </w:r>
      <w:r>
        <w:rPr>
          <w:rFonts w:ascii="Arial" w:hAnsi="Arial" w:cs="Arial"/>
          <w:lang w:val="en-US"/>
        </w:rPr>
        <w:t>, pp.17242-17260.</w:t>
      </w:r>
    </w:p>
    <w:p w14:paraId="5C3DCB1D">
      <w:pPr>
        <w:pStyle w:val="11"/>
        <w:spacing w:before="0" w:beforeAutospacing="0" w:after="240" w:afterAutospacing="0" w:line="360" w:lineRule="auto"/>
        <w:rPr>
          <w:rFonts w:ascii="Arial" w:hAnsi="Arial" w:cs="Arial"/>
        </w:rPr>
      </w:pPr>
      <w:r>
        <w:rPr>
          <w:rFonts w:ascii="Arial" w:hAnsi="Arial" w:cs="Arial"/>
          <w:lang w:val="en-US"/>
        </w:rPr>
        <w:t>Hu, Z., 2022. „Research on the Consumer Behavior Characteristics and Marketing Strategy of New Energy Vehicles——Taking BYD and Tesla as Examples.“. </w:t>
      </w:r>
      <w:r>
        <w:rPr>
          <w:rFonts w:ascii="Arial" w:hAnsi="Arial" w:cs="Arial"/>
          <w:i/>
          <w:iCs/>
          <w:lang w:val="en-US"/>
        </w:rPr>
        <w:t>BCP Business &amp; Management</w:t>
      </w:r>
      <w:r>
        <w:rPr>
          <w:rFonts w:ascii="Arial" w:hAnsi="Arial" w:cs="Arial"/>
          <w:lang w:val="en-US"/>
        </w:rPr>
        <w:t>, </w:t>
      </w:r>
      <w:r>
        <w:rPr>
          <w:rFonts w:ascii="Arial" w:hAnsi="Arial" w:cs="Arial"/>
          <w:i/>
          <w:iCs/>
          <w:lang w:val="en-US"/>
        </w:rPr>
        <w:t>31</w:t>
      </w:r>
      <w:r>
        <w:rPr>
          <w:rFonts w:ascii="Arial" w:hAnsi="Arial" w:cs="Arial"/>
          <w:lang w:val="en-US"/>
        </w:rPr>
        <w:t>, pp.168-175.</w:t>
      </w:r>
    </w:p>
    <w:p w14:paraId="49A5EF47">
      <w:pPr>
        <w:pStyle w:val="11"/>
        <w:spacing w:before="0" w:beforeAutospacing="0" w:after="240" w:afterAutospacing="0" w:line="360" w:lineRule="auto"/>
        <w:rPr>
          <w:rFonts w:ascii="Arial" w:hAnsi="Arial" w:cs="Arial"/>
        </w:rPr>
      </w:pPr>
      <w:r>
        <w:rPr>
          <w:rFonts w:ascii="Arial" w:hAnsi="Arial" w:cs="Arial"/>
          <w:lang w:val="en-US"/>
        </w:rPr>
        <w:t>Ispas, R., 2024. Pricing Policy as a Strategic Tool in the Context of Global Competition. </w:t>
      </w:r>
      <w:r>
        <w:rPr>
          <w:rFonts w:ascii="Arial" w:hAnsi="Arial" w:cs="Arial"/>
          <w:i/>
          <w:iCs/>
          <w:lang w:val="en-US"/>
        </w:rPr>
        <w:t>Ovidius University Annals, Economic Sciences Series</w:t>
      </w:r>
      <w:r>
        <w:rPr>
          <w:rFonts w:ascii="Arial" w:hAnsi="Arial" w:cs="Arial"/>
          <w:lang w:val="en-US"/>
        </w:rPr>
        <w:t>, </w:t>
      </w:r>
      <w:r>
        <w:rPr>
          <w:rFonts w:ascii="Arial" w:hAnsi="Arial" w:cs="Arial"/>
          <w:i/>
          <w:iCs/>
          <w:lang w:val="en-US"/>
        </w:rPr>
        <w:t>24</w:t>
      </w:r>
      <w:r>
        <w:rPr>
          <w:rFonts w:ascii="Arial" w:hAnsi="Arial" w:cs="Arial"/>
          <w:lang w:val="en-US"/>
        </w:rPr>
        <w:t>(2), pp.543-548.</w:t>
      </w:r>
    </w:p>
    <w:p w14:paraId="7DD9452A">
      <w:pPr>
        <w:pStyle w:val="11"/>
        <w:spacing w:before="0" w:beforeAutospacing="0" w:after="240" w:afterAutospacing="0" w:line="360" w:lineRule="auto"/>
        <w:rPr>
          <w:rFonts w:ascii="Arial" w:hAnsi="Arial" w:cs="Arial"/>
        </w:rPr>
      </w:pPr>
      <w:r>
        <w:rPr>
          <w:rFonts w:ascii="Arial" w:hAnsi="Arial" w:cs="Arial"/>
          <w:lang w:val="en-US"/>
        </w:rPr>
        <w:t>Kurian, A., 2023. Sustainable Marketing: Electric Vehicles' Commitment to a Sustainable Future. </w:t>
      </w:r>
      <w:r>
        <w:rPr>
          <w:rFonts w:ascii="Arial" w:hAnsi="Arial" w:cs="Arial"/>
          <w:i/>
          <w:iCs/>
          <w:lang w:val="en-US"/>
        </w:rPr>
        <w:t>Ushus Journal of Business Management</w:t>
      </w:r>
      <w:r>
        <w:rPr>
          <w:rFonts w:ascii="Arial" w:hAnsi="Arial" w:cs="Arial"/>
          <w:lang w:val="en-US"/>
        </w:rPr>
        <w:t>, </w:t>
      </w:r>
      <w:r>
        <w:rPr>
          <w:rFonts w:ascii="Arial" w:hAnsi="Arial" w:cs="Arial"/>
          <w:i/>
          <w:iCs/>
          <w:lang w:val="en-US"/>
        </w:rPr>
        <w:t>22</w:t>
      </w:r>
      <w:r>
        <w:rPr>
          <w:rFonts w:ascii="Arial" w:hAnsi="Arial" w:cs="Arial"/>
          <w:lang w:val="en-US"/>
        </w:rPr>
        <w:t>(3), pp.13-25.</w:t>
      </w:r>
    </w:p>
    <w:p w14:paraId="133F5C50">
      <w:pPr>
        <w:pStyle w:val="11"/>
        <w:spacing w:before="0" w:beforeAutospacing="0" w:after="240" w:afterAutospacing="0" w:line="360" w:lineRule="auto"/>
        <w:rPr>
          <w:rFonts w:ascii="Arial" w:hAnsi="Arial" w:cs="Arial"/>
        </w:rPr>
      </w:pPr>
      <w:r>
        <w:rPr>
          <w:rFonts w:ascii="Arial" w:hAnsi="Arial" w:cs="Arial"/>
        </w:rPr>
        <w:t xml:space="preserve">Richmond, S. (2022). Advancing Artificial Intelligence and Creating the Technology of the Future. </w:t>
      </w:r>
      <w:r>
        <w:rPr>
          <w:rFonts w:ascii="Arial" w:hAnsi="Arial" w:cs="Arial"/>
          <w:i/>
          <w:iCs/>
        </w:rPr>
        <w:t>Forbes</w:t>
      </w:r>
      <w:r>
        <w:rPr>
          <w:rFonts w:ascii="Arial" w:hAnsi="Arial" w:cs="Arial"/>
        </w:rPr>
        <w:t>. [online] 3 Aug.</w:t>
      </w:r>
    </w:p>
    <w:p w14:paraId="00C52CE0">
      <w:pPr>
        <w:pStyle w:val="11"/>
        <w:spacing w:before="0" w:beforeAutospacing="0" w:after="240" w:afterAutospacing="0" w:line="360" w:lineRule="auto"/>
        <w:rPr>
          <w:rFonts w:ascii="Arial" w:hAnsi="Arial" w:cs="Arial"/>
        </w:rPr>
      </w:pPr>
      <w:r>
        <w:rPr>
          <w:rFonts w:ascii="Arial" w:hAnsi="Arial" w:cs="Arial"/>
        </w:rPr>
        <w:t xml:space="preserve">Statista (2025). </w:t>
      </w:r>
      <w:r>
        <w:rPr>
          <w:rFonts w:ascii="Arial" w:hAnsi="Arial" w:cs="Arial"/>
          <w:i/>
          <w:iCs/>
        </w:rPr>
        <w:t>Tesla’s Research and Development Expenses from FY 2010 to FY 2023</w:t>
      </w:r>
      <w:r>
        <w:rPr>
          <w:rFonts w:ascii="Arial" w:hAnsi="Arial" w:cs="Arial"/>
        </w:rPr>
        <w:t xml:space="preserve">. [online] Statista. </w:t>
      </w:r>
    </w:p>
    <w:p w14:paraId="27574F9D">
      <w:pPr>
        <w:pStyle w:val="11"/>
        <w:spacing w:before="0" w:beforeAutospacing="0" w:after="240" w:afterAutospacing="0" w:line="360" w:lineRule="auto"/>
        <w:rPr>
          <w:rFonts w:ascii="Arial" w:hAnsi="Arial" w:cs="Arial"/>
        </w:rPr>
      </w:pPr>
      <w:r>
        <w:rPr>
          <w:rFonts w:ascii="Arial" w:hAnsi="Arial" w:cs="Arial"/>
          <w:lang w:val="en-US"/>
        </w:rPr>
        <w:t>Sun, L. and Yang, Q., 2025. Strategic Synergy between Financial Leverage and Technological Innovation: Analyzing BYD's Competitive Edge in the Global EV Market: A Mixed-Methods Study Integrating Porter's Five Forces Analysis with a Financial Strategy Matrix (2018--2024). </w:t>
      </w:r>
      <w:r>
        <w:rPr>
          <w:rFonts w:ascii="Arial" w:hAnsi="Arial" w:cs="Arial"/>
          <w:i/>
          <w:iCs/>
          <w:lang w:val="en-US"/>
        </w:rPr>
        <w:t>Financial Economics Research</w:t>
      </w:r>
      <w:r>
        <w:rPr>
          <w:rFonts w:ascii="Arial" w:hAnsi="Arial" w:cs="Arial"/>
          <w:lang w:val="en-US"/>
        </w:rPr>
        <w:t>, </w:t>
      </w:r>
      <w:r>
        <w:rPr>
          <w:rFonts w:ascii="Arial" w:hAnsi="Arial" w:cs="Arial"/>
          <w:i/>
          <w:iCs/>
          <w:lang w:val="en-US"/>
        </w:rPr>
        <w:t>2</w:t>
      </w:r>
      <w:r>
        <w:rPr>
          <w:rFonts w:ascii="Arial" w:hAnsi="Arial" w:cs="Arial"/>
          <w:lang w:val="en-US"/>
        </w:rPr>
        <w:t>(1), pp.57-66.</w:t>
      </w:r>
    </w:p>
    <w:p w14:paraId="250CF201">
      <w:pPr>
        <w:pStyle w:val="11"/>
        <w:spacing w:before="0" w:beforeAutospacing="0" w:after="240" w:afterAutospacing="0" w:line="360" w:lineRule="auto"/>
        <w:rPr>
          <w:rFonts w:ascii="Arial" w:hAnsi="Arial" w:cs="Arial"/>
        </w:rPr>
      </w:pPr>
      <w:r>
        <w:rPr>
          <w:rFonts w:ascii="Arial" w:hAnsi="Arial" w:cs="Arial"/>
          <w:lang w:val="en-US"/>
        </w:rPr>
        <w:t>Zhan, Y., 2025, July. Digital Transformation in China: BYD as a Case Study for Technological and Strategic Evolution. In </w:t>
      </w:r>
      <w:r>
        <w:rPr>
          <w:rFonts w:ascii="Arial" w:hAnsi="Arial" w:cs="Arial"/>
          <w:i/>
          <w:iCs/>
          <w:lang w:val="en-US"/>
        </w:rPr>
        <w:t>2025 International Conference on Financial Risk and Investment Management (ICFRIM 2025)</w:t>
      </w:r>
      <w:r>
        <w:rPr>
          <w:rFonts w:ascii="Arial" w:hAnsi="Arial" w:cs="Arial"/>
          <w:lang w:val="en-US"/>
        </w:rPr>
        <w:t> (pp. 628-638). Atlantis Press.</w:t>
      </w:r>
    </w:p>
    <w:p w14:paraId="7CACC3E9">
      <w:pPr>
        <w:pStyle w:val="11"/>
        <w:spacing w:before="0" w:beforeAutospacing="0" w:after="240" w:afterAutospacing="0" w:line="360" w:lineRule="auto"/>
        <w:rPr>
          <w:rFonts w:ascii="Arial" w:hAnsi="Arial" w:cs="Arial"/>
        </w:rPr>
      </w:pPr>
      <w:r>
        <w:rPr>
          <w:rFonts w:ascii="Arial" w:hAnsi="Arial" w:cs="Arial"/>
          <w:lang w:val="en-US"/>
        </w:rPr>
        <w:t>Zhang, J., 2024. ESG Information Disclosure in China’s New Energy Vehicle Industry: A case study of BYD. In </w:t>
      </w:r>
      <w:r>
        <w:rPr>
          <w:rFonts w:ascii="Arial" w:hAnsi="Arial" w:cs="Arial"/>
          <w:i/>
          <w:iCs/>
          <w:lang w:val="en-US"/>
        </w:rPr>
        <w:t>SHS Web of Conferences</w:t>
      </w:r>
      <w:r>
        <w:rPr>
          <w:rFonts w:ascii="Arial" w:hAnsi="Arial" w:cs="Arial"/>
          <w:lang w:val="en-US"/>
        </w:rPr>
        <w:t> (Vol. 208, p. 02012). EDP Sciences.</w:t>
      </w:r>
    </w:p>
    <w:p w14:paraId="7C80C852">
      <w:pPr>
        <w:spacing w:after="200" w:line="276" w:lineRule="auto"/>
        <w:jc w:val="left"/>
        <w:rPr>
          <w:lang w:val="en-GB"/>
        </w:rPr>
      </w:pPr>
    </w:p>
    <w:sectPr>
      <w:footerReference r:id="rId5"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Vrinda">
    <w:altName w:val="Segoe UI Symbol"/>
    <w:panose1 w:val="020B0502040204020203"/>
    <w:charset w:val="00"/>
    <w:family w:val="swiss"/>
    <w:pitch w:val="default"/>
    <w:sig w:usb0="00000000" w:usb1="00000000" w:usb2="00000000" w:usb3="00000000" w:csb0="00000001" w:csb1="00000000"/>
  </w:font>
  <w:font w:name="Cambria">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58017594"/>
      <w:docPartObj>
        <w:docPartGallery w:val="AutoText"/>
      </w:docPartObj>
    </w:sdtPr>
    <w:sdtContent>
      <w:p w14:paraId="131FEF45">
        <w:pPr>
          <w:pStyle w:val="8"/>
          <w:jc w:val="right"/>
        </w:pPr>
        <w:r>
          <w:fldChar w:fldCharType="begin"/>
        </w:r>
        <w:r>
          <w:instrText xml:space="preserve"> PAGE   \* MERGEFORMAT </w:instrText>
        </w:r>
        <w:r>
          <w:fldChar w:fldCharType="separate"/>
        </w:r>
        <w:r>
          <w:t>1</w:t>
        </w:r>
        <w:r>
          <w:fldChar w:fldCharType="end"/>
        </w:r>
      </w:p>
    </w:sdtContent>
  </w:sdt>
  <w:p w14:paraId="131FEF46">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EF7537A"/>
    <w:multiLevelType w:val="multilevel"/>
    <w:tmpl w:val="3EF7537A"/>
    <w:lvl w:ilvl="0" w:tentative="0">
      <w:start w:val="1"/>
      <w:numFmt w:val="lowerRoman"/>
      <w:pStyle w:val="3"/>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7EE61B6"/>
    <w:multiLevelType w:val="multilevel"/>
    <w:tmpl w:val="67EE61B6"/>
    <w:lvl w:ilvl="0" w:tentative="0">
      <w:start w:val="1"/>
      <w:numFmt w:val="lowerLetter"/>
      <w:pStyle w:val="4"/>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 w:numId="3">
    <w:abstractNumId w:val="0"/>
    <w:lvlOverride w:ilvl="0">
      <w:startOverride w:val="1"/>
    </w:lvlOverride>
  </w:num>
  <w:num w:numId="4">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2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6346"/>
    <w:rsid w:val="00002A05"/>
    <w:rsid w:val="0003701C"/>
    <w:rsid w:val="00075A3E"/>
    <w:rsid w:val="00115424"/>
    <w:rsid w:val="001169D9"/>
    <w:rsid w:val="0018245B"/>
    <w:rsid w:val="001B21C7"/>
    <w:rsid w:val="001B5F13"/>
    <w:rsid w:val="001C32CC"/>
    <w:rsid w:val="001D79D1"/>
    <w:rsid w:val="001E0079"/>
    <w:rsid w:val="002446D7"/>
    <w:rsid w:val="00285FB3"/>
    <w:rsid w:val="00293FB7"/>
    <w:rsid w:val="002D5B9C"/>
    <w:rsid w:val="00300C6B"/>
    <w:rsid w:val="003B3B2E"/>
    <w:rsid w:val="0042046D"/>
    <w:rsid w:val="004238C1"/>
    <w:rsid w:val="004304A0"/>
    <w:rsid w:val="00492FA5"/>
    <w:rsid w:val="004A51E0"/>
    <w:rsid w:val="004A5A69"/>
    <w:rsid w:val="004C3874"/>
    <w:rsid w:val="00563491"/>
    <w:rsid w:val="00594660"/>
    <w:rsid w:val="005B56D8"/>
    <w:rsid w:val="006030D2"/>
    <w:rsid w:val="006147AA"/>
    <w:rsid w:val="006629A9"/>
    <w:rsid w:val="007251C3"/>
    <w:rsid w:val="00737B10"/>
    <w:rsid w:val="00762F9B"/>
    <w:rsid w:val="007700DD"/>
    <w:rsid w:val="007848A4"/>
    <w:rsid w:val="00793629"/>
    <w:rsid w:val="007939D1"/>
    <w:rsid w:val="0079670D"/>
    <w:rsid w:val="008B06F4"/>
    <w:rsid w:val="008D0682"/>
    <w:rsid w:val="0097234A"/>
    <w:rsid w:val="00A141D9"/>
    <w:rsid w:val="00A24841"/>
    <w:rsid w:val="00A51CC5"/>
    <w:rsid w:val="00A73B00"/>
    <w:rsid w:val="00A76FD4"/>
    <w:rsid w:val="00A86F36"/>
    <w:rsid w:val="00AA780B"/>
    <w:rsid w:val="00AF594B"/>
    <w:rsid w:val="00B04633"/>
    <w:rsid w:val="00BC6771"/>
    <w:rsid w:val="00BE6346"/>
    <w:rsid w:val="00C43A16"/>
    <w:rsid w:val="00C90FD9"/>
    <w:rsid w:val="00C93148"/>
    <w:rsid w:val="00CF2342"/>
    <w:rsid w:val="00D5478A"/>
    <w:rsid w:val="00D609CC"/>
    <w:rsid w:val="00D754B6"/>
    <w:rsid w:val="00D8191F"/>
    <w:rsid w:val="00DD0E42"/>
    <w:rsid w:val="00E143E9"/>
    <w:rsid w:val="00F568DE"/>
    <w:rsid w:val="00F960CF"/>
    <w:rsid w:val="00FF2289"/>
    <w:rsid w:val="09521C09"/>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80" w:line="360" w:lineRule="auto"/>
      <w:jc w:val="both"/>
    </w:pPr>
    <w:rPr>
      <w:rFonts w:ascii="Arial" w:hAnsi="Arial" w:eastAsiaTheme="minorEastAsia" w:cstheme="minorBidi"/>
      <w:sz w:val="24"/>
      <w:szCs w:val="22"/>
      <w:lang w:val="en-US" w:eastAsia="en-US" w:bidi="ar-SA"/>
    </w:rPr>
  </w:style>
  <w:style w:type="paragraph" w:styleId="2">
    <w:name w:val="heading 1"/>
    <w:basedOn w:val="1"/>
    <w:next w:val="1"/>
    <w:link w:val="16"/>
    <w:qFormat/>
    <w:uiPriority w:val="9"/>
    <w:pPr>
      <w:keepNext/>
      <w:keepLines/>
      <w:spacing w:before="240" w:after="0"/>
      <w:jc w:val="left"/>
      <w:outlineLvl w:val="0"/>
    </w:pPr>
    <w:rPr>
      <w:rFonts w:eastAsiaTheme="majorEastAsia" w:cstheme="majorBidi"/>
      <w:b/>
      <w:bCs/>
      <w:color w:val="000000" w:themeColor="text1"/>
      <w:sz w:val="32"/>
      <w:szCs w:val="28"/>
      <w14:textFill>
        <w14:solidFill>
          <w14:schemeClr w14:val="tx1"/>
        </w14:solidFill>
      </w14:textFill>
    </w:rPr>
  </w:style>
  <w:style w:type="paragraph" w:styleId="3">
    <w:name w:val="heading 2"/>
    <w:basedOn w:val="1"/>
    <w:next w:val="1"/>
    <w:link w:val="17"/>
    <w:unhideWhenUsed/>
    <w:qFormat/>
    <w:uiPriority w:val="9"/>
    <w:pPr>
      <w:keepNext/>
      <w:keepLines/>
      <w:numPr>
        <w:ilvl w:val="0"/>
        <w:numId w:val="1"/>
      </w:numPr>
      <w:spacing w:before="120" w:after="0"/>
      <w:outlineLvl w:val="1"/>
    </w:pPr>
    <w:rPr>
      <w:rFonts w:eastAsiaTheme="majorEastAsia" w:cstheme="majorBidi"/>
      <w:b/>
      <w:bCs/>
      <w:i/>
      <w:color w:val="1F497D" w:themeColor="text2"/>
      <w:sz w:val="28"/>
      <w:szCs w:val="26"/>
      <w14:textFill>
        <w14:solidFill>
          <w14:schemeClr w14:val="tx2"/>
        </w14:solidFill>
      </w14:textFill>
    </w:rPr>
  </w:style>
  <w:style w:type="paragraph" w:styleId="4">
    <w:name w:val="heading 3"/>
    <w:basedOn w:val="1"/>
    <w:next w:val="1"/>
    <w:link w:val="18"/>
    <w:unhideWhenUsed/>
    <w:qFormat/>
    <w:uiPriority w:val="9"/>
    <w:pPr>
      <w:keepNext/>
      <w:keepLines/>
      <w:numPr>
        <w:ilvl w:val="0"/>
        <w:numId w:val="2"/>
      </w:numPr>
      <w:spacing w:before="200" w:after="0"/>
      <w:outlineLvl w:val="2"/>
    </w:pPr>
    <w:rPr>
      <w:rFonts w:eastAsiaTheme="majorEastAsia" w:cstheme="majorBidi"/>
      <w:b/>
      <w:bCs/>
    </w:rPr>
  </w:style>
  <w:style w:type="character" w:default="1" w:styleId="5">
    <w:name w:val="Default Paragraph Font"/>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caption"/>
    <w:basedOn w:val="1"/>
    <w:next w:val="1"/>
    <w:unhideWhenUsed/>
    <w:qFormat/>
    <w:uiPriority w:val="35"/>
    <w:pPr>
      <w:spacing w:after="200" w:line="240" w:lineRule="auto"/>
    </w:pPr>
    <w:rPr>
      <w:i/>
      <w:iCs/>
      <w:color w:val="1F497D" w:themeColor="text2"/>
      <w:sz w:val="18"/>
      <w:szCs w:val="18"/>
      <w14:textFill>
        <w14:solidFill>
          <w14:schemeClr w14:val="tx2"/>
        </w14:solidFill>
      </w14:textFill>
    </w:rPr>
  </w:style>
  <w:style w:type="paragraph" w:styleId="8">
    <w:name w:val="footer"/>
    <w:basedOn w:val="1"/>
    <w:link w:val="20"/>
    <w:unhideWhenUsed/>
    <w:uiPriority w:val="99"/>
    <w:pPr>
      <w:tabs>
        <w:tab w:val="center" w:pos="4680"/>
        <w:tab w:val="right" w:pos="9360"/>
      </w:tabs>
      <w:spacing w:after="0" w:line="240" w:lineRule="auto"/>
    </w:pPr>
  </w:style>
  <w:style w:type="paragraph" w:styleId="9">
    <w:name w:val="header"/>
    <w:basedOn w:val="1"/>
    <w:link w:val="19"/>
    <w:semiHidden/>
    <w:unhideWhenUsed/>
    <w:uiPriority w:val="99"/>
    <w:pPr>
      <w:tabs>
        <w:tab w:val="center" w:pos="4680"/>
        <w:tab w:val="right" w:pos="9360"/>
      </w:tabs>
      <w:spacing w:after="0" w:line="240" w:lineRule="auto"/>
    </w:pPr>
  </w:style>
  <w:style w:type="character" w:styleId="10">
    <w:name w:val="Hyperlink"/>
    <w:basedOn w:val="5"/>
    <w:unhideWhenUsed/>
    <w:uiPriority w:val="99"/>
    <w:rPr>
      <w:color w:val="0000FF" w:themeColor="hyperlink"/>
      <w:u w:val="single"/>
      <w14:textFill>
        <w14:solidFill>
          <w14:schemeClr w14:val="hlink"/>
        </w14:solidFill>
      </w14:textFill>
    </w:rPr>
  </w:style>
  <w:style w:type="paragraph" w:styleId="11">
    <w:name w:val="Normal (Web)"/>
    <w:basedOn w:val="1"/>
    <w:semiHidden/>
    <w:unhideWhenUsed/>
    <w:uiPriority w:val="99"/>
    <w:pPr>
      <w:spacing w:before="100" w:beforeAutospacing="1" w:after="100" w:afterAutospacing="1" w:line="240" w:lineRule="auto"/>
      <w:jc w:val="left"/>
    </w:pPr>
    <w:rPr>
      <w:rFonts w:ascii="Times New Roman" w:hAnsi="Times New Roman" w:eastAsia="Times New Roman" w:cs="Times New Roman"/>
      <w:szCs w:val="24"/>
      <w:lang w:val="en-GB" w:eastAsia="en-GB" w:bidi="bn-BD"/>
    </w:rPr>
  </w:style>
  <w:style w:type="table" w:styleId="12">
    <w:name w:val="Table Grid"/>
    <w:basedOn w:val="6"/>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40"/>
    </w:pPr>
  </w:style>
  <w:style w:type="paragraph" w:styleId="15">
    <w:name w:val="toc 3"/>
    <w:basedOn w:val="1"/>
    <w:next w:val="1"/>
    <w:autoRedefine/>
    <w:unhideWhenUsed/>
    <w:uiPriority w:val="39"/>
    <w:pPr>
      <w:spacing w:after="100"/>
      <w:ind w:left="480"/>
    </w:pPr>
  </w:style>
  <w:style w:type="character" w:customStyle="1" w:styleId="16">
    <w:name w:val="Heading 1 Char"/>
    <w:basedOn w:val="5"/>
    <w:link w:val="2"/>
    <w:uiPriority w:val="9"/>
    <w:rPr>
      <w:rFonts w:ascii="Arial" w:hAnsi="Arial" w:eastAsiaTheme="majorEastAsia" w:cstheme="majorBidi"/>
      <w:b/>
      <w:bCs/>
      <w:color w:val="000000" w:themeColor="text1"/>
      <w:sz w:val="32"/>
      <w:szCs w:val="28"/>
      <w14:textFill>
        <w14:solidFill>
          <w14:schemeClr w14:val="tx1"/>
        </w14:solidFill>
      </w14:textFill>
    </w:rPr>
  </w:style>
  <w:style w:type="character" w:customStyle="1" w:styleId="17">
    <w:name w:val="Heading 2 Char"/>
    <w:basedOn w:val="5"/>
    <w:link w:val="3"/>
    <w:uiPriority w:val="9"/>
    <w:rPr>
      <w:rFonts w:ascii="Arial" w:hAnsi="Arial" w:eastAsiaTheme="majorEastAsia" w:cstheme="majorBidi"/>
      <w:b/>
      <w:bCs/>
      <w:i/>
      <w:color w:val="1F497D" w:themeColor="text2"/>
      <w:sz w:val="28"/>
      <w:szCs w:val="26"/>
      <w14:textFill>
        <w14:solidFill>
          <w14:schemeClr w14:val="tx2"/>
        </w14:solidFill>
      </w14:textFill>
    </w:rPr>
  </w:style>
  <w:style w:type="character" w:customStyle="1" w:styleId="18">
    <w:name w:val="Heading 3 Char"/>
    <w:basedOn w:val="5"/>
    <w:link w:val="4"/>
    <w:uiPriority w:val="9"/>
    <w:rPr>
      <w:rFonts w:ascii="Arial" w:hAnsi="Arial" w:eastAsiaTheme="majorEastAsia" w:cstheme="majorBidi"/>
      <w:b/>
      <w:bCs/>
      <w:sz w:val="24"/>
    </w:rPr>
  </w:style>
  <w:style w:type="character" w:customStyle="1" w:styleId="19">
    <w:name w:val="Header Char"/>
    <w:basedOn w:val="5"/>
    <w:link w:val="9"/>
    <w:semiHidden/>
    <w:uiPriority w:val="99"/>
    <w:rPr>
      <w:rFonts w:ascii="Times New Roman" w:hAnsi="Times New Roman"/>
      <w:sz w:val="24"/>
    </w:rPr>
  </w:style>
  <w:style w:type="character" w:customStyle="1" w:styleId="20">
    <w:name w:val="Footer Char"/>
    <w:basedOn w:val="5"/>
    <w:link w:val="8"/>
    <w:uiPriority w:val="99"/>
    <w:rPr>
      <w:rFonts w:ascii="Times New Roman" w:hAnsi="Times New Roman"/>
      <w:sz w:val="24"/>
    </w:rPr>
  </w:style>
  <w:style w:type="paragraph" w:customStyle="1" w:styleId="21">
    <w:name w:val="TOC Heading"/>
    <w:basedOn w:val="2"/>
    <w:next w:val="1"/>
    <w:unhideWhenUsed/>
    <w:qFormat/>
    <w:uiPriority w:val="39"/>
    <w:pPr>
      <w:spacing w:line="259" w:lineRule="auto"/>
      <w:outlineLvl w:val="9"/>
    </w:pPr>
    <w:rPr>
      <w:rFonts w:asciiTheme="majorHAnsi" w:hAnsiTheme="majorHAnsi"/>
      <w:b w:val="0"/>
      <w:bCs w:val="0"/>
      <w:color w:val="376092" w:themeColor="accent1" w:themeShade="BF"/>
      <w:szCs w:val="32"/>
      <w:lang w:val="en-GB" w:eastAsia="en-GB" w:bidi="bn-BD"/>
    </w:rPr>
  </w:style>
</w:styles>
</file>

<file path=word/_rels/document.xml.rels><?xml version="1.0" encoding="UTF-8" standalone="yes"?>
<Relationships xmlns="http://schemas.openxmlformats.org/package/2006/relationships"><Relationship Id="rId9" Type="http://schemas.openxmlformats.org/officeDocument/2006/relationships/image" Target="media/image3.emf"/><Relationship Id="rId8" Type="http://schemas.openxmlformats.org/officeDocument/2006/relationships/image" Target="media/image2.emf"/><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4A0F35-FE8E-4F0D-86F0-2202D06B43E6}">
  <ds:schemaRefs/>
</ds:datastoreItem>
</file>

<file path=docProps/app.xml><?xml version="1.0" encoding="utf-8"?>
<Properties xmlns="http://schemas.openxmlformats.org/officeDocument/2006/extended-properties" xmlns:vt="http://schemas.openxmlformats.org/officeDocument/2006/docPropsVTypes">
  <Template>Normal</Template>
  <Pages>13</Pages>
  <Words>3175</Words>
  <Characters>18463</Characters>
  <Lines>161</Lines>
  <Paragraphs>45</Paragraphs>
  <TotalTime>1</TotalTime>
  <ScaleCrop>false</ScaleCrop>
  <LinksUpToDate>false</LinksUpToDate>
  <CharactersWithSpaces>21615</CharactersWithSpaces>
  <Application>WPS Office_12.2.0.22556_F1E327BC-269C-435d-A152-05C5408002CA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2025-10-23T11:19:00Z</dcterms:created>
  <dc:creator>Sabbir Ahmed</dc:creator>
  <cp:lastModifiedBy>Sabbir Shawon</cp:lastModifiedBy>
  <dcterms:modified xsi:type="dcterms:W3CDTF">2025-10-23T14:23:49Z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1033-12.2.0.22556</vt:lpwstr>
  </property>
  <property fmtid="{D5CDD505-2E9C-101B-9397-08002B2CF9AE}" pid="3" name="ICV">
    <vt:lpwstr>0B465E09828C48D5A310FBF112FF7A71_12</vt:lpwstr>
  </property>
</Properties>
</file>