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LCBB4002</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Community Engagement</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Assessment 2</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Reflective Report</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engagement is the chore which every company must meet at some point and thus, grabbing the CSR or the Corporate Social Responsibility Threshold (Green, 2017). Be it a large or a small company, every company has the headache to do something for the society they are setting it along with their usual profit maximization, collecting return of revenue and satisfy the stakeholders. It is important form the part of the public to understand the importance of an organization to be involved in the community work and help it to mitigate any sort of fallacy while increasing the economy of the locality as well (Edward, 2007). The required paper is a mean to elaborate the insights of a reflection on the practices which are best adopted in this Community Engagement. The critical explanation will involve different theories and model and parting personal reflection on personal development by self-critic the ways to increase employability in the future thanks to the acquisition of different skills from varieties of modules to be then incorporated in the corporate world (Gibbs, 2014). The paper will be using the Gibbs Reflective Cycle as well as different model to explain the findings from the CSR work done by Unilever as well.  </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Insights of Community Engagement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community engagement is the area in which the concepts of personal skills are integrated with a view to adapt those in an organization. These are mainly aligned with the theoretical concepts and the true situation in the creative thinking (Edward, 2007). The organization include their being in the society to deliver their products and services to the consumers and by helping the people in the employment. This monetize the condition of the company and thus, economic situation is in a growth to also providing enough income for the working people and give a fruitful figure in the personal goal attainment. Moreover, it is true that the people are the main assets of every companies by adding value in creating innovative ideas and chances in develop the products in question. </w:t>
      </w:r>
    </w:p>
    <w:p>
      <w:pPr>
        <w:keepNext w:val="true"/>
        <w:keepLines w:val="true"/>
        <w:spacing w:before="240" w:after="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Models and Principles in the Community Engagement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 nutshell, all the works related in the justice, fairness, self-determination and participation give a boost in the realization of community engagement. It is not only reaching people but also giving them enough resources through interaction. As according to Hussey who recently quoted in 2020 that the requirement for community engagement is between the public decision makers and the communities availed. </w:t>
      </w:r>
    </w:p>
    <w:p>
      <w:pPr>
        <w:spacing w:before="0" w:after="160" w:line="259"/>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Model</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object w:dxaOrig="6502" w:dyaOrig="5054">
          <v:rect xmlns:o="urn:schemas-microsoft-com:office:office" xmlns:v="urn:schemas-microsoft-com:vml" id="rectole0000000000" style="width:325.100000pt;height:252.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Figure 1: Community Engagement (Edward, 2007)</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steps in the model for community engagement includes:</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reflect the strategies within the company and realize the constituent of it in the field of engagement and participation of the people</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stakeholders are to be identified and allocated according to their kind and types of involvement to retain a vivid picture of the organization’s operation.</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community in which the allocation and involvement is to be done, are to be identified and defined.</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impart work in a certain community, the gathering of data and information is to be done to assess the type of the communities and all the wants and needs of the people dwelling in that specific community and their work in that community.</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matter of fact that without a secure and safe place, the engagement cannot be compelled properly (Green, 2017). In this regard, the community where such condition is to be initiated to work must be free from any kinds of issue that might hamper the health state of the community. The priority on health issue is to be given (Edward, 2007).</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Records are done to make a list of the activities involved for a check review of the upcoming works schedule and thus, systematic scenario of the condition. These again are to be conveyed and showed clearly as a mean of outcomes and results.</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Once every resource is set, systematic planning is to be done which will involve in the follow up of implementation strategies and acquisition of lucrative results (Henisz, 2017).</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strategies in the plan are to be set in a visual platform for implementation and setting.</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going through the whole paradigm, the elaboration enlisted are to be compelled and revised to assist and measure the progress acquired.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Principles of Community Engagement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1:</w:t>
      </w:r>
      <w:r>
        <w:rPr>
          <w:rFonts w:ascii="Times New Roman" w:hAnsi="Times New Roman" w:cs="Times New Roman" w:eastAsia="Times New Roman"/>
          <w:color w:val="auto"/>
          <w:spacing w:val="0"/>
          <w:position w:val="0"/>
          <w:sz w:val="24"/>
          <w:shd w:fill="auto" w:val="clear"/>
        </w:rPr>
        <w:t xml:space="preserve"> It is necessary to be clear in the goal of the organization as well as the engagement of the community (Henisz, 2017). Unilever in this case clearly make their purposes showcased to the public with a view to make their condition understood by everyone without any constriction and explaining the reason of their participation in the potential benefit in terms of development.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2:</w:t>
      </w:r>
      <w:r>
        <w:rPr>
          <w:rFonts w:ascii="Times New Roman" w:hAnsi="Times New Roman" w:cs="Times New Roman" w:eastAsia="Times New Roman"/>
          <w:color w:val="auto"/>
          <w:spacing w:val="0"/>
          <w:position w:val="0"/>
          <w:sz w:val="24"/>
          <w:shd w:fill="auto" w:val="clear"/>
        </w:rPr>
        <w:t xml:space="preserve"> Getting to know the community is one of the steps included in the models too. As it is important to know the values and customs by assessing their old history as well as the political conundrum and economic situation.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3:</w:t>
      </w:r>
      <w:r>
        <w:rPr>
          <w:rFonts w:ascii="Times New Roman" w:hAnsi="Times New Roman" w:cs="Times New Roman" w:eastAsia="Times New Roman"/>
          <w:color w:val="auto"/>
          <w:spacing w:val="0"/>
          <w:position w:val="0"/>
          <w:sz w:val="24"/>
          <w:shd w:fill="auto" w:val="clear"/>
        </w:rPr>
        <w:t xml:space="preserve"> Make constant engagement and relationship in the targeted community is necessary. Movers in the community are to the unearth and engage them in their natural free environment with a view to setting up the relationships that are existent (Edward, 2007). It is important for so have a awareness in the resilience of the people dwelling.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4:</w:t>
      </w:r>
      <w:r>
        <w:rPr>
          <w:rFonts w:ascii="Times New Roman" w:hAnsi="Times New Roman" w:cs="Times New Roman" w:eastAsia="Times New Roman"/>
          <w:color w:val="auto"/>
          <w:spacing w:val="0"/>
          <w:position w:val="0"/>
          <w:sz w:val="24"/>
          <w:shd w:fill="auto" w:val="clear"/>
        </w:rPr>
        <w:t xml:space="preserve"> Promotion and proper respect of the dwellers in the community with give space in the boosting up of relationship (Henisz, 2017). These acts will augment the trust and future lucrative partnership between the organization and the people in question. Eventually, people in the community would not be skeptic and will not resist at any involvement by the organization.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5:</w:t>
      </w:r>
      <w:r>
        <w:rPr>
          <w:rFonts w:ascii="Times New Roman" w:hAnsi="Times New Roman" w:cs="Times New Roman" w:eastAsia="Times New Roman"/>
          <w:color w:val="auto"/>
          <w:spacing w:val="0"/>
          <w:position w:val="0"/>
          <w:sz w:val="24"/>
          <w:shd w:fill="auto" w:val="clear"/>
        </w:rPr>
        <w:t xml:space="preserve"> A mutual partnering with the targeted community is promptly necessary to mitigate any fallacy in the social, political or economic paradigm (Edward, 2007). Opportunity in growth and prosperity is formerly ensured when it comes to fruitful partnership. The learning activities become more engaging.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6:</w:t>
      </w:r>
      <w:r>
        <w:rPr>
          <w:rFonts w:ascii="Times New Roman" w:hAnsi="Times New Roman" w:cs="Times New Roman" w:eastAsia="Times New Roman"/>
          <w:color w:val="auto"/>
          <w:spacing w:val="0"/>
          <w:position w:val="0"/>
          <w:sz w:val="24"/>
          <w:shd w:fill="auto" w:val="clear"/>
        </w:rPr>
        <w:t xml:space="preserve"> The recognition and acknowledgment of diversity inclusion in the organization are needed to be maintained for the community. The depiction of diversity in race, gender, age, religion or any other issues shouldn’t be the mean to any fallacy.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7:</w:t>
      </w:r>
      <w:r>
        <w:rPr>
          <w:rFonts w:ascii="Times New Roman" w:hAnsi="Times New Roman" w:cs="Times New Roman" w:eastAsia="Times New Roman"/>
          <w:color w:val="auto"/>
          <w:spacing w:val="0"/>
          <w:position w:val="0"/>
          <w:sz w:val="24"/>
          <w:shd w:fill="auto" w:val="clear"/>
        </w:rPr>
        <w:t xml:space="preserve"> The assets and resources in the community are to be mobilized and the encouragement in building capacity as to be maintained. Some of the skills to be pertaining are the technical one along with the networking, advocacy and the planning of projects.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8:</w:t>
      </w:r>
      <w:r>
        <w:rPr>
          <w:rFonts w:ascii="Times New Roman" w:hAnsi="Times New Roman" w:cs="Times New Roman" w:eastAsia="Times New Roman"/>
          <w:color w:val="auto"/>
          <w:spacing w:val="0"/>
          <w:position w:val="0"/>
          <w:sz w:val="24"/>
          <w:shd w:fill="auto" w:val="clear"/>
        </w:rPr>
        <w:t xml:space="preserve"> An intervention is needed to build and create a change which will happen to be flexible across the board (Henisz, 2017). Identification of the areas where the individuals are more engaged is to be maintained to impart a positive change for every response.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Principle 9:</w:t>
      </w:r>
      <w:r>
        <w:rPr>
          <w:rFonts w:ascii="Times New Roman" w:hAnsi="Times New Roman" w:cs="Times New Roman" w:eastAsia="Times New Roman"/>
          <w:color w:val="auto"/>
          <w:spacing w:val="0"/>
          <w:position w:val="0"/>
          <w:sz w:val="24"/>
          <w:shd w:fill="auto" w:val="clear"/>
        </w:rPr>
        <w:t xml:space="preserve"> The collaboration of the community and the commitment are to be ensured to be on the long term for implementing the inclusiveness via the adoption of sustainable valuable approaches. </w:t>
      </w:r>
    </w:p>
    <w:p>
      <w:pPr>
        <w:keepNext w:val="true"/>
        <w:keepLines w:val="true"/>
        <w:spacing w:before="240" w:after="0" w:line="259"/>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Planning stages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elements to be assessed, there are some key elements for the community engagement that are to be uphold in the matter of staging planning (Green, 2017). These stages in fact have inclusions of consultation, participation, collaboration, etc.</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Stage 1:</w:t>
      </w:r>
      <w:r>
        <w:rPr>
          <w:rFonts w:ascii="Times New Roman" w:hAnsi="Times New Roman" w:cs="Times New Roman" w:eastAsia="Times New Roman"/>
          <w:color w:val="auto"/>
          <w:spacing w:val="0"/>
          <w:position w:val="0"/>
          <w:sz w:val="24"/>
          <w:shd w:fill="auto" w:val="clear"/>
        </w:rPr>
        <w:t xml:space="preserve"> There must have a clear assumption in the profile of stakeholders and related roles. The plan is done for resources as well as the timeline for the methodologies to induce the effective communication.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Stage 2:</w:t>
      </w:r>
      <w:r>
        <w:rPr>
          <w:rFonts w:ascii="Times New Roman" w:hAnsi="Times New Roman" w:cs="Times New Roman" w:eastAsia="Times New Roman"/>
          <w:color w:val="auto"/>
          <w:spacing w:val="0"/>
          <w:position w:val="0"/>
          <w:sz w:val="24"/>
          <w:shd w:fill="auto" w:val="clear"/>
        </w:rPr>
        <w:t xml:space="preserve"> The decision in the communication of plan that involve in the reshape of the management and mechanism control is to be documented for effective quality and time evaluation.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Stage 3:</w:t>
      </w:r>
      <w:r>
        <w:rPr>
          <w:rFonts w:ascii="Times New Roman" w:hAnsi="Times New Roman" w:cs="Times New Roman" w:eastAsia="Times New Roman"/>
          <w:color w:val="auto"/>
          <w:spacing w:val="0"/>
          <w:position w:val="0"/>
          <w:sz w:val="24"/>
          <w:shd w:fill="auto" w:val="clear"/>
        </w:rPr>
        <w:t xml:space="preserve"> A progress in the running of the activities is done by recording and tracking (Henisz, 2017). Gathering of data is another process for the formation of feedback as well as the adjustments in the flexibility of the recourses.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Stage 4:</w:t>
      </w:r>
      <w:r>
        <w:rPr>
          <w:rFonts w:ascii="Times New Roman" w:hAnsi="Times New Roman" w:cs="Times New Roman" w:eastAsia="Times New Roman"/>
          <w:color w:val="auto"/>
          <w:spacing w:val="0"/>
          <w:position w:val="0"/>
          <w:sz w:val="24"/>
          <w:shd w:fill="auto" w:val="clear"/>
        </w:rPr>
        <w:t xml:space="preserve"> Once all the activities are input, some recommendations are validated and proposed to rectify the success factors in the critical scenario to confirm the points decided and eventually learn from the mistakes.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Stage 5:</w:t>
      </w:r>
      <w:r>
        <w:rPr>
          <w:rFonts w:ascii="Times New Roman" w:hAnsi="Times New Roman" w:cs="Times New Roman" w:eastAsia="Times New Roman"/>
          <w:color w:val="auto"/>
          <w:spacing w:val="0"/>
          <w:position w:val="0"/>
          <w:sz w:val="24"/>
          <w:shd w:fill="auto" w:val="clear"/>
        </w:rPr>
        <w:t xml:space="preserve"> The review of the record and the tracking is done to give a final verdict in the documentation. For the formal evaluation the investigation is done accurately. Team review are then conducted and revealed for intensive simulation (Edward, 2007). The results and outcomes are then conveyed and communicated to celebrate the successive stages in the engagement. </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Graham Gibb’s Reflective Cycle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5184" w:dyaOrig="4204">
          <v:rect xmlns:o="urn:schemas-microsoft-com:office:office" xmlns:v="urn:schemas-microsoft-com:vml" id="rectole0000000001" style="width:259.200000pt;height:210.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rPr>
          <w:rFonts w:ascii="Times New Roman" w:hAnsi="Times New Roman" w:cs="Times New Roman" w:eastAsia="Times New Roman"/>
          <w:color w:val="auto"/>
          <w:spacing w:val="0"/>
          <w:position w:val="0"/>
          <w:sz w:val="24"/>
          <w:shd w:fill="auto" w:val="clear"/>
        </w:rPr>
        <w:t xml:space="preserve">My reflective process for the community engagement is described below dividing it into 8(eight) sections: </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Gibbs’ Reflective Cycle (Gibbs, 2014)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25"/>
        </w:numPr>
        <w:tabs>
          <w:tab w:val="left" w:pos="720" w:leader="none"/>
        </w:tabs>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Descriptive scenario</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focus of the paper was to identify the importance of community engagement from organization to individuals (Gibbs, 2014). Although it is quite clear how important the method of communication is for pertaining the process of partnership and retaining the trust of the people with a view to assisting them in their community. Elaboration of which I gained a lot more core insights into the importance of engagement in the community and do good. </w:t>
      </w:r>
    </w:p>
    <w:p>
      <w:pPr>
        <w:numPr>
          <w:ilvl w:val="0"/>
          <w:numId w:val="27"/>
        </w:num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Personal Feelings</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feelings throughout the structure of the report had been fluctuating because I came across both on the good side as well as the over non-effective side that might hamper the partnership in question. However, I remained keen and curious which gave me an absolute feeling of achievement and contentment after I compelled the work (Gibbs, 2014). The topic of communication and engagement with the community become so interesting and intriguing to me (Webster, 2013). Though my core focus was centered especially in the importance of committing to the betterment of the society by the organization (Unilever), I content and happy to find on the condition of use in my daily life.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29"/>
        </w:num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Experience Evaluation</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experience I’ve had while analyzing all the models and theories aligned with the real fact the works pertaining by Unilever, I was quite good for me in terms of innovative and new skill acquisition and achievement. The research writing that I set down in and the extensive effort that it brought me to scrutinize and analyze those and present to the instructor were ultimately all I could collect from the finding (Webster, 2013). Anyhow, I personally feel that this learning goes beyond that. Indeed, I’ve have learned an adequate and bulk amount on the effective speech and communication when involving oneself in communication and engagement. </w:t>
      </w:r>
    </w:p>
    <w:p>
      <w:pPr>
        <w:numPr>
          <w:ilvl w:val="0"/>
          <w:numId w:val="31"/>
        </w:num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Analysis and scrutiny</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result that I had summed up in my report had mirrored the research that was involved into writing the pertaining assignment (Henisz, 2017). Although the epicenter and focus of the study was directed towards the corporate social responsibility side from Unilever, the topic gave me knowledge and insights into effective management and planning of any strategies along with the scheduling on the importance of group work and distribution (Graham, 2018). </w:t>
      </w:r>
    </w:p>
    <w:p>
      <w:pPr>
        <w:numPr>
          <w:ilvl w:val="0"/>
          <w:numId w:val="33"/>
        </w:num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Conclusion of action</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conclude personal reflection and cluster in a summary my revelations, it must be elaborate that one of the most powerful weapons that a human being can involve is the effective engagement and communication when it comes to build trust and awareness in a unison (Graham, 2018). Via optimum communication of the social responsibility, the community can be helped much in terms of fulfilling the wants and needs. It is a foremost duty to depict the extensive process of writing this report as I have acknowledged and understood about my own shortcomings and obstacles from becoming an excellent worker in the society and do good for it.  </w:t>
      </w:r>
    </w:p>
    <w:p>
      <w:pPr>
        <w:numPr>
          <w:ilvl w:val="0"/>
          <w:numId w:val="35"/>
        </w:num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Action plan:</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upcoming simulation, I will be more involved into my research study for information gathering. I will promptly try and become better at elaborate and express my conveyance and messages in a written form for further finding an optimum way to analyze and set my findings (Edward, 2007). In this way, it will not only be consistence for me as a student but also to spread the vision of my career’s horizon.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importance of community engagement is important for every organization, especially organization like Unilever that are set all over the world by providing their good to a very massive target market. In the paper, the extensive elaboration of the model and principles for the community engagement are given with appropriate reflective thoughts and conclusion of mine thanks to the Gibbs’ reflective cycle to prove the insights of community engagement through my thoughts.</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Reference</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Edwards, T., 2007. Cultural theory.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ed. Sage Publications.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Gibbs, G., 2014. </w:t>
      </w:r>
      <w:r>
        <w:rPr>
          <w:rFonts w:ascii="Times New Roman" w:hAnsi="Times New Roman" w:cs="Times New Roman" w:eastAsia="Times New Roman"/>
          <w:i/>
          <w:color w:val="auto"/>
          <w:spacing w:val="0"/>
          <w:position w:val="0"/>
          <w:sz w:val="24"/>
          <w:shd w:fill="auto" w:val="clear"/>
        </w:rPr>
        <w:t xml:space="preserve">Teaching students to learn</w:t>
      </w:r>
      <w:r>
        <w:rPr>
          <w:rFonts w:ascii="Times New Roman" w:hAnsi="Times New Roman" w:cs="Times New Roman" w:eastAsia="Times New Roman"/>
          <w:color w:val="auto"/>
          <w:spacing w:val="0"/>
          <w:position w:val="0"/>
          <w:sz w:val="24"/>
          <w:shd w:fill="auto" w:val="clear"/>
        </w:rPr>
        <w:t xml:space="preserve">. 8th ed. Milton Keynes: Open University.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Graham, I., 2018. </w:t>
      </w:r>
      <w:r>
        <w:rPr>
          <w:rFonts w:ascii="Times New Roman" w:hAnsi="Times New Roman" w:cs="Times New Roman" w:eastAsia="Times New Roman"/>
          <w:i/>
          <w:color w:val="auto"/>
          <w:spacing w:val="0"/>
          <w:position w:val="0"/>
          <w:sz w:val="24"/>
          <w:shd w:fill="auto" w:val="clear"/>
        </w:rPr>
        <w:t xml:space="preserve">Communication</w:t>
      </w:r>
      <w:r>
        <w:rPr>
          <w:rFonts w:ascii="Times New Roman" w:hAnsi="Times New Roman" w:cs="Times New Roman" w:eastAsia="Times New Roman"/>
          <w:color w:val="auto"/>
          <w:spacing w:val="0"/>
          <w:position w:val="0"/>
          <w:sz w:val="24"/>
          <w:shd w:fill="auto" w:val="clear"/>
        </w:rPr>
        <w:t xml:space="preserve">. 6th ed. Mankato, Minn.: QEB Pub.</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Green, L. and Clarke, K., 2016. Social policy for social work: placing social work in its wider context. 3</w:t>
      </w:r>
      <w:r>
        <w:rPr>
          <w:rFonts w:ascii="Times New Roman" w:hAnsi="Times New Roman" w:cs="Times New Roman" w:eastAsia="Times New Roman"/>
          <w:color w:val="auto"/>
          <w:spacing w:val="0"/>
          <w:position w:val="0"/>
          <w:sz w:val="24"/>
          <w:shd w:fill="auto" w:val="clear"/>
          <w:vertAlign w:val="superscript"/>
        </w:rPr>
        <w:t xml:space="preserve">rd</w:t>
      </w:r>
      <w:r>
        <w:rPr>
          <w:rFonts w:ascii="Times New Roman" w:hAnsi="Times New Roman" w:cs="Times New Roman" w:eastAsia="Times New Roman"/>
          <w:color w:val="auto"/>
          <w:spacing w:val="0"/>
          <w:position w:val="0"/>
          <w:sz w:val="24"/>
          <w:shd w:fill="auto" w:val="clear"/>
        </w:rPr>
        <w:t xml:space="preserve"> ed. Cambridge: Polity Press.</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Henisz, W.J. and Taylor (2017). Corporate diplomacy: building reputations and relationships with external stakeholders. 3</w:t>
      </w:r>
      <w:r>
        <w:rPr>
          <w:rFonts w:ascii="Times New Roman" w:hAnsi="Times New Roman" w:cs="Times New Roman" w:eastAsia="Times New Roman"/>
          <w:color w:val="auto"/>
          <w:spacing w:val="0"/>
          <w:position w:val="0"/>
          <w:sz w:val="24"/>
          <w:shd w:fill="auto" w:val="clear"/>
          <w:vertAlign w:val="superscript"/>
        </w:rPr>
        <w:t xml:space="preserve">rd</w:t>
      </w:r>
      <w:r>
        <w:rPr>
          <w:rFonts w:ascii="Times New Roman" w:hAnsi="Times New Roman" w:cs="Times New Roman" w:eastAsia="Times New Roman"/>
          <w:color w:val="auto"/>
          <w:spacing w:val="0"/>
          <w:position w:val="0"/>
          <w:sz w:val="24"/>
          <w:shd w:fill="auto" w:val="clear"/>
        </w:rPr>
        <w:t xml:space="preserve"> ed. Taylor &amp; Francis Group.</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Webster, G., 2013. </w:t>
      </w:r>
      <w:r>
        <w:rPr>
          <w:rFonts w:ascii="Times New Roman" w:hAnsi="Times New Roman" w:cs="Times New Roman" w:eastAsia="Times New Roman"/>
          <w:i/>
          <w:color w:val="auto"/>
          <w:spacing w:val="0"/>
          <w:position w:val="0"/>
          <w:sz w:val="24"/>
          <w:shd w:fill="auto" w:val="clear"/>
        </w:rPr>
        <w:t xml:space="preserve">Personal development</w:t>
      </w:r>
      <w:r>
        <w:rPr>
          <w:rFonts w:ascii="Times New Roman" w:hAnsi="Times New Roman" w:cs="Times New Roman" w:eastAsia="Times New Roman"/>
          <w:color w:val="auto"/>
          <w:spacing w:val="0"/>
          <w:position w:val="0"/>
          <w:sz w:val="24"/>
          <w:shd w:fill="auto" w:val="clear"/>
        </w:rPr>
        <w:t xml:space="preserve">. 12th ed. Gainesville.</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225"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
    <w:lvl w:ilvl="0">
      <w:start w:val="1"/>
      <w:numFmt w:val="decimal"/>
      <w:lvlText w:val="%1."/>
    </w:lvl>
  </w:abstractNum>
  <w:abstractNum w:abstractNumId="7">
    <w:lvl w:ilvl="0">
      <w:start w:val="1"/>
      <w:numFmt w:val="decimal"/>
      <w:lvlText w:val="%1."/>
    </w:lvl>
  </w:abstractNum>
  <w:abstractNum w:abstractNumId="13">
    <w:lvl w:ilvl="0">
      <w:start w:val="1"/>
      <w:numFmt w:val="decimal"/>
      <w:lvlText w:val="%1."/>
    </w:lvl>
  </w:abstractNum>
  <w:abstractNum w:abstractNumId="19">
    <w:lvl w:ilvl="0">
      <w:start w:val="1"/>
      <w:numFmt w:val="decimal"/>
      <w:lvlText w:val="%1."/>
    </w:lvl>
  </w:abstractNum>
  <w:abstractNum w:abstractNumId="25">
    <w:lvl w:ilvl="0">
      <w:start w:val="1"/>
      <w:numFmt w:val="decimal"/>
      <w:lvlText w:val="%1."/>
    </w:lvl>
  </w:abstractNum>
  <w:num w:numId="14">
    <w:abstractNumId w:val="6"/>
  </w:num>
  <w:num w:numId="25">
    <w:abstractNumId w:val="0"/>
  </w:num>
  <w:num w:numId="27">
    <w:abstractNumId w:val="25"/>
  </w:num>
  <w:num w:numId="29">
    <w:abstractNumId w:val="19"/>
  </w:num>
  <w:num w:numId="31">
    <w:abstractNumId w:val="13"/>
  </w:num>
  <w:num w:numId="33">
    <w:abstractNumId w:val="7"/>
  </w:num>
  <w:num w:numId="35">
    <w:abstractNumId w:val="1"/>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