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20" w:right="-20" w:firstLine="0"/>
        <w:rPr/>
      </w:pPr>
      <w:bookmarkStart w:colFirst="0" w:colLast="0" w:name="_gjdgxs" w:id="0"/>
      <w:bookmarkEnd w:id="0"/>
      <w:r w:rsidDel="00000000" w:rsidR="00000000" w:rsidRPr="00000000">
        <w:rPr>
          <w:rtl w:val="0"/>
        </w:rPr>
        <w:t xml:space="preserve"> </w:t>
      </w:r>
    </w:p>
    <w:p w:rsidR="00000000" w:rsidDel="00000000" w:rsidP="00000000" w:rsidRDefault="00000000" w:rsidRPr="00000000" w14:paraId="00000002">
      <w:pPr>
        <w:pStyle w:val="Subtitle"/>
        <w:rPr>
          <w:rFonts w:ascii="Arial" w:cs="Arial" w:eastAsia="Arial" w:hAnsi="Arial"/>
          <w:b w:val="1"/>
          <w:sz w:val="54"/>
          <w:szCs w:val="54"/>
        </w:rPr>
      </w:pPr>
      <w:r w:rsidDel="00000000" w:rsidR="00000000" w:rsidRPr="00000000">
        <w:rPr>
          <w:rFonts w:ascii="Arial" w:cs="Arial" w:eastAsia="Arial" w:hAnsi="Arial"/>
          <w:b w:val="1"/>
          <w:sz w:val="54"/>
          <w:szCs w:val="54"/>
          <w:rtl w:val="0"/>
        </w:rPr>
        <w:t xml:space="preserve">Developing Innovation and Creativity for Business Advantage </w:t>
      </w:r>
    </w:p>
    <w:p w:rsidR="00000000" w:rsidDel="00000000" w:rsidP="00000000" w:rsidRDefault="00000000" w:rsidRPr="00000000" w14:paraId="00000003">
      <w:pPr>
        <w:pStyle w:val="Subtitle"/>
        <w:rPr>
          <w:rFonts w:ascii="Arial" w:cs="Arial" w:eastAsia="Arial" w:hAnsi="Arial"/>
          <w:b w:val="1"/>
          <w:sz w:val="54"/>
          <w:szCs w:val="54"/>
        </w:rPr>
      </w:pPr>
      <w:r w:rsidDel="00000000" w:rsidR="00000000" w:rsidRPr="00000000">
        <w:rPr>
          <w:rtl w:val="0"/>
        </w:rPr>
      </w:r>
    </w:p>
    <w:p w:rsidR="00000000" w:rsidDel="00000000" w:rsidP="00000000" w:rsidRDefault="00000000" w:rsidRPr="00000000" w14:paraId="00000004">
      <w:pPr>
        <w:pStyle w:val="Subtitle"/>
        <w:rPr>
          <w:rFonts w:ascii="Arial" w:cs="Arial" w:eastAsia="Arial" w:hAnsi="Arial"/>
          <w:b w:val="1"/>
          <w:sz w:val="54"/>
          <w:szCs w:val="54"/>
        </w:rPr>
      </w:pPr>
      <w:r w:rsidDel="00000000" w:rsidR="00000000" w:rsidRPr="00000000">
        <w:rPr>
          <w:rFonts w:ascii="Arial" w:cs="Arial" w:eastAsia="Arial" w:hAnsi="Arial"/>
          <w:b w:val="1"/>
          <w:sz w:val="54"/>
          <w:szCs w:val="54"/>
          <w:rtl w:val="0"/>
        </w:rPr>
        <w:t xml:space="preserve">Task 1</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Name: As</w:t>
      </w:r>
      <w:r w:rsidDel="00000000" w:rsidR="00000000" w:rsidRPr="00000000">
        <w:rPr>
          <w:rtl w:val="0"/>
        </w:rPr>
        <w:t xml:space="preserve">hfaq Ahmed</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center"/>
        <w:rPr/>
      </w:pPr>
      <w:r w:rsidDel="00000000" w:rsidR="00000000" w:rsidRPr="00000000">
        <w:rPr>
          <w:rtl w:val="0"/>
        </w:rPr>
        <w:t xml:space="preserve">Student ID: 2028429</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center"/>
        <w:rPr/>
      </w:pPr>
      <w:r w:rsidDel="00000000" w:rsidR="00000000" w:rsidRPr="00000000">
        <w:rPr>
          <w:rtl w:val="0"/>
        </w:rPr>
        <w:t xml:space="preserve">Tutor Name: Ivan Rodriguez Hernandez</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Arial" w:cs="Arial" w:eastAsia="Arial" w:hAnsi="Arial"/>
          <w:b w:val="0"/>
          <w:i w:val="0"/>
          <w:smallCaps w:val="0"/>
          <w:strike w:val="0"/>
          <w:color w:val="2f5496"/>
          <w:sz w:val="32"/>
          <w:szCs w:val="32"/>
          <w:u w:val="none"/>
          <w:shd w:fill="auto" w:val="clear"/>
          <w:vertAlign w:val="baseline"/>
        </w:rPr>
      </w:pPr>
      <w:r w:rsidDel="00000000" w:rsidR="00000000" w:rsidRPr="00000000">
        <w:rPr>
          <w:rFonts w:ascii="Arial" w:cs="Arial" w:eastAsia="Arial" w:hAnsi="Arial"/>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Company analysis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Debenhams' core products and services along with a discussion of their target market and key customer segments</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Analysis of unique selling proposition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Innovation Impact</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Analysis of company’s innovation approach</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Evaluation of the innovation impact</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SCAMPER Analysis</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Substitute</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Combine</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Adapt</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Modify</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Put to Another Use</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Eliminate</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4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Reverse</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Recommendations</w:t>
              <w:tab/>
              <w:t xml:space="preserve">10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3">
          <w:pPr>
            <w:spacing w:line="24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rFonts w:ascii="Arial" w:cs="Arial" w:eastAsia="Arial" w:hAnsi="Arial"/>
        </w:rPr>
      </w:pPr>
      <w:bookmarkStart w:colFirst="0" w:colLast="0" w:name="_30j0zll" w:id="1"/>
      <w:bookmarkEnd w:id="1"/>
      <w:r w:rsidDel="00000000" w:rsidR="00000000" w:rsidRPr="00000000">
        <w:rPr>
          <w:rFonts w:ascii="Arial" w:cs="Arial" w:eastAsia="Arial" w:hAnsi="Arial"/>
          <w:rtl w:val="0"/>
        </w:rPr>
        <w:t xml:space="preserve">Introduction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Debenhams is a leading UK department store chain founded in the 18th century, renowned for accessible fashion, beauty, gifts and homewares targeting mid-market consumers ("Debenhams", 2022). However, in recent years, Debenhams faced declining sales and profits amid shifting shopping habits and intense online competition. The company entered administration in April 2020, with subsequent liquidation beginning in December 2020 signaling the end of 242 years of retail history (Butler, 2020).</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report aims examining how innovation methodologies like SCAMPER could potentially have identified strategic transformations keeping Debenhams viable. SCAMPER represents: Substitute, Combine, Adapt, Modify, Put to other uses, Eliminate and Reverse (Michalko, 2006). It provides a structured lens identifying creative improvements in products, services, processes or business models by encouraging organizations view situations from new angles rather than accepting limitations.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objective is analyzing Debenhams’ business strategy, target consumers, challengers and collapse factors using publicly available financial data and market research. Next, the analysis systematically applies the 7 SCAMPER elements to determine potential innovations across value proposition, operations and cost structure. Finally, select high-impact innovations are recommended forming a transformation program repositioning Debenhams for today’s omni-channel retail landscape centering convenience, experience and sustainability.</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While Debenhams faced insurmountable challenges exacerbated by the pandemic, this study demonstrates SCAMPER’s potential reviving faded brick-and-mortar retailers by kickstarting innovation pipelines delivering differentiated customer value aligned with evolving preferences. The framework challenges assumptions that collapse is inevitable by fostering executable strategies counteracting decline. For established companies struggling adapting business models, SCAMPER facilitates thinking creatively revealing possibilities beyond incremental improvements.</w:t>
      </w:r>
    </w:p>
    <w:p w:rsidR="00000000" w:rsidDel="00000000" w:rsidP="00000000" w:rsidRDefault="00000000" w:rsidRPr="00000000" w14:paraId="0000002B">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rPr>
          <w:rFonts w:ascii="Arial" w:cs="Arial" w:eastAsia="Arial" w:hAnsi="Arial"/>
        </w:rPr>
      </w:pPr>
      <w:bookmarkStart w:colFirst="0" w:colLast="0" w:name="_1fob9te" w:id="2"/>
      <w:bookmarkEnd w:id="2"/>
      <w:r w:rsidDel="00000000" w:rsidR="00000000" w:rsidRPr="00000000">
        <w:rPr>
          <w:rFonts w:ascii="Arial" w:cs="Arial" w:eastAsia="Arial" w:hAnsi="Arial"/>
          <w:rtl w:val="0"/>
        </w:rPr>
        <w:t xml:space="preserve">Company analysis</w:t>
      </w:r>
    </w:p>
    <w:p w:rsidR="00000000" w:rsidDel="00000000" w:rsidP="00000000" w:rsidRDefault="00000000" w:rsidRPr="00000000" w14:paraId="0000002D">
      <w:pPr>
        <w:pStyle w:val="Heading2"/>
        <w:rPr>
          <w:rFonts w:ascii="Arial" w:cs="Arial" w:eastAsia="Arial" w:hAnsi="Arial"/>
        </w:rPr>
      </w:pPr>
      <w:bookmarkStart w:colFirst="0" w:colLast="0" w:name="_3znysh7" w:id="3"/>
      <w:bookmarkEnd w:id="3"/>
      <w:r w:rsidDel="00000000" w:rsidR="00000000" w:rsidRPr="00000000">
        <w:rPr>
          <w:rFonts w:ascii="Arial" w:cs="Arial" w:eastAsia="Arial" w:hAnsi="Arial"/>
          <w:rtl w:val="0"/>
        </w:rPr>
        <w:t xml:space="preserve">Debenhams' core products and services along with a discussion of their target market and key customer segments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Debenhams operates department stores offering a diverse portfolio spanning beauty, women’s fashion, menswear, kids clothing, homewares, gifts and toys, food and drink. The product range covers both Debenhams’ own labels and popular third-party brands appealing mass-market shoppers (Smith, 2021). Stores promote convenient shopping via cosmetics counters, personal shopping services, cafes and click-and-collect points handling online orders. As a longstanding major high street retailer for over two centuries, shoppers view Debenhams as a reliable one-stop destination combining familiarity with variety under one roof (Debenhams Retail Ltd, 2022).</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 in recent years, the bulk of sales shifted towards higher-margin beauty and accessories more resilient to e-commerce displacement while apparel declined significantly (Butler, 2022). Debenhams heavily discounted clothing to compete on price but struggled stocking compelling own labels. Private label relaunch plans stalled amid turnaround challenges and funding shortfalls. Failure optimizing omni-channel experiences also impacted declining store footfall.</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core target customer is mid-market older women aged 30 and up who regularly purchase beauty items and clothing for work, events, gifting etc (Smith, 2021). Given the broad range, Debenhams also attracts older family shoppers often through promotions and loyalty incentives. But the company struggled rejuvenating relevance among youth and higher-income shoppers despite acquisitions and partnerships. Confused brand identities between sub-labels diluted appeal. Key challengers like department stores John Lewis and House of Fraser also vied similar middle-income shoppers. Younger demographics shifted towards ecommerce pureplays and discount retailers.</w:t>
      </w:r>
    </w:p>
    <w:p w:rsidR="00000000" w:rsidDel="00000000" w:rsidP="00000000" w:rsidRDefault="00000000" w:rsidRPr="00000000" w14:paraId="00000031">
      <w:pPr>
        <w:pStyle w:val="Heading2"/>
        <w:rPr>
          <w:rFonts w:ascii="Arial" w:cs="Arial" w:eastAsia="Arial" w:hAnsi="Arial"/>
        </w:rPr>
      </w:pPr>
      <w:bookmarkStart w:colFirst="0" w:colLast="0" w:name="_2et92p0" w:id="4"/>
      <w:bookmarkEnd w:id="4"/>
      <w:r w:rsidDel="00000000" w:rsidR="00000000" w:rsidRPr="00000000">
        <w:rPr>
          <w:rFonts w:ascii="Arial" w:cs="Arial" w:eastAsia="Arial" w:hAnsi="Arial"/>
          <w:rtl w:val="0"/>
        </w:rPr>
        <w:t xml:space="preserve">Analysis of unique selling proposition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Debenhams has historically relied on the unique selling proposition of convenient shopping in a mid-market department stores', offering popular third-party fashion and beauty brands alongside its own brands to attract time-strapped older customers looking for variety, special offers and reliability in a familiar high street environment (Smith, 2021). Vertical integration, with the exception of cosmetics, has enabled the maintenance of reasonable margins and reinvestment in periods of growth (Butler, 2022). Loyalty programmes have also strengthened customer loyalty compared to competitors.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 competitive advantages eroded over time as shopping habits shifted online and disjointed reorganisation efforts were not enough to restore differentiation. Confusing branding and product assortments struggled to stand out amid consolidation (Ruddick, 2020). Own brands accounted for less than 20% of sales, compared to over 50% for market leaders such as John Lewis, limiting the potential for margin growth (Butler, 2021). By 2020, discounting reached 70% and weighed on profitability, while pure-play e-commerce companies offered more convenience and discounts throughout the year (Ruddick, 2020). Cost cutting also meant that Debenhams lagged behind modern shop experiences.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Ultimately, the disruption of sales channels left Debenhams with limited appeal compared to department stores' competitors or online specialists that were more relevant to target groups such as younger shoppers. Unclear market positioning accelerated irrelevance when shop dependency was exposed during the pandemic, and a lack of resources for comprehensive reinvention (Smith, 2021). Although the heritage of the brand was highly valued, the failure to translate this into a differentiated value proposition or innovation pipeline was a reflection of poor strategy.</w:t>
      </w:r>
    </w:p>
    <w:p w:rsidR="00000000" w:rsidDel="00000000" w:rsidP="00000000" w:rsidRDefault="00000000" w:rsidRPr="00000000" w14:paraId="00000036">
      <w:pPr>
        <w:pStyle w:val="Heading1"/>
        <w:rPr>
          <w:rFonts w:ascii="Arial" w:cs="Arial" w:eastAsia="Arial" w:hAnsi="Arial"/>
        </w:rPr>
      </w:pPr>
      <w:bookmarkStart w:colFirst="0" w:colLast="0" w:name="_tyjcwt" w:id="5"/>
      <w:bookmarkEnd w:id="5"/>
      <w:r w:rsidDel="00000000" w:rsidR="00000000" w:rsidRPr="00000000">
        <w:rPr>
          <w:rFonts w:ascii="Arial" w:cs="Arial" w:eastAsia="Arial" w:hAnsi="Arial"/>
          <w:rtl w:val="0"/>
        </w:rPr>
        <w:t xml:space="preserve">Innovation Impact</w:t>
      </w:r>
    </w:p>
    <w:p w:rsidR="00000000" w:rsidDel="00000000" w:rsidP="00000000" w:rsidRDefault="00000000" w:rsidRPr="00000000" w14:paraId="00000037">
      <w:pPr>
        <w:pStyle w:val="Heading2"/>
        <w:rPr>
          <w:rFonts w:ascii="Arial" w:cs="Arial" w:eastAsia="Arial" w:hAnsi="Arial"/>
        </w:rPr>
      </w:pPr>
      <w:bookmarkStart w:colFirst="0" w:colLast="0" w:name="_3dy6vkm" w:id="6"/>
      <w:bookmarkEnd w:id="6"/>
      <w:r w:rsidDel="00000000" w:rsidR="00000000" w:rsidRPr="00000000">
        <w:rPr>
          <w:rFonts w:ascii="Arial" w:cs="Arial" w:eastAsia="Arial" w:hAnsi="Arial"/>
          <w:rtl w:val="0"/>
        </w:rPr>
        <w:t xml:space="preserve">Analysis of company’s innovation approach </w:t>
      </w:r>
    </w:p>
    <w:p w:rsidR="00000000" w:rsidDel="00000000" w:rsidP="00000000" w:rsidRDefault="00000000" w:rsidRPr="00000000" w14:paraId="00000038">
      <w:pPr>
        <w:rPr/>
      </w:pPr>
      <w:r w:rsidDel="00000000" w:rsidR="00000000" w:rsidRPr="00000000">
        <w:rPr>
          <w:rtl w:val="0"/>
        </w:rPr>
        <w:t xml:space="preserve">Debenhams traditionally focused innovation around traditions of convenience, variety, promotions and reliability standard for department stores, rather than disruptive value proposition or format reinvention aligned with evolving consumer expectations (Ruddick, 2020). Priorities centered operational efficiencies, supply chain improvements and cost management lifting short-term profitability over bold R&amp;D investment reshaping long-term positioning (Butler, 2022). Critically, budgets tightened amid ownership changes and economic volatility compromised transformational innovation.</w:t>
      </w:r>
    </w:p>
    <w:p w:rsidR="00000000" w:rsidDel="00000000" w:rsidP="00000000" w:rsidRDefault="00000000" w:rsidRPr="00000000" w14:paraId="00000039">
      <w:pPr>
        <w:rPr/>
      </w:pPr>
      <w:r w:rsidDel="00000000" w:rsidR="00000000" w:rsidRPr="00000000">
        <w:rPr>
          <w:rtl w:val="0"/>
        </w:rPr>
        <w:t xml:space="preserve">Most initiatives involved incremental improvements to store environments, minor digital enhancements and international expansion retaining similar brand formulas. Successful smaller-scale innovations include launching in-house beauty brand Benefit cosmetics in 2015 leveraging supplier relationships, which created some differentiation and higher margins before being shuttered (Ruddick, 2020). Personal shopping services, kids play areas and content sites supporting the shopping experience also provided competitive edge temporarily boosting retention.</w:t>
      </w:r>
    </w:p>
    <w:p w:rsidR="00000000" w:rsidDel="00000000" w:rsidP="00000000" w:rsidRDefault="00000000" w:rsidRPr="00000000" w14:paraId="0000003A">
      <w:pPr>
        <w:rPr/>
      </w:pPr>
      <w:r w:rsidDel="00000000" w:rsidR="00000000" w:rsidRPr="00000000">
        <w:rPr>
          <w:rtl w:val="0"/>
        </w:rPr>
        <w:t xml:space="preserve">But attempts proved insufficient revitalizing fading relevance. Innovations lagged shifting consumer attitudes deemphasizing products for experience, convenience and sustainability (Smith, 2021). Store concepts aged with underinvestment. Cream boutique curation strategy targeting affluent younger female shoppers failed growing niche appeal and profitably (Butler, 2022). Own label reinventions were repeatedly aborted. Loyalty programs fell behind pureplay data applications personalizing engagement. Crucially, digital integration delays left large revenue potential untapped from online sales, while fueling discounting reliance destroying brand value (Butler, 2021).</w:t>
      </w:r>
    </w:p>
    <w:p w:rsidR="00000000" w:rsidDel="00000000" w:rsidP="00000000" w:rsidRDefault="00000000" w:rsidRPr="00000000" w14:paraId="0000003B">
      <w:pPr>
        <w:rPr/>
      </w:pPr>
      <w:r w:rsidDel="00000000" w:rsidR="00000000" w:rsidRPr="00000000">
        <w:rPr>
          <w:rtl w:val="0"/>
        </w:rPr>
        <w:t xml:space="preserve">This reactive innovation history ultimately saw Debenhams lose position to discount chains and ecommerce specialists who Revolutionized propositions and operating models around new retail challenges. The company struggled freeing resources escaping property and organizational inertia. Sudden collapse amid the pandemic proved Debenhams fatally vulnerable, lacking differentiation or digital foundations, as convenience-driven customers migrated online.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1"/>
        <w:rPr>
          <w:rFonts w:ascii="Arial" w:cs="Arial" w:eastAsia="Arial" w:hAnsi="Arial"/>
        </w:rPr>
      </w:pPr>
      <w:bookmarkStart w:colFirst="0" w:colLast="0" w:name="_1t3h5sf" w:id="7"/>
      <w:bookmarkEnd w:id="7"/>
      <w:r w:rsidDel="00000000" w:rsidR="00000000" w:rsidRPr="00000000">
        <w:rPr>
          <w:rFonts w:ascii="Arial" w:cs="Arial" w:eastAsia="Arial" w:hAnsi="Arial"/>
          <w:rtl w:val="0"/>
        </w:rPr>
        <w:t xml:space="preserve">Evaluation of the innovation impact</w:t>
      </w:r>
    </w:p>
    <w:p w:rsidR="00000000" w:rsidDel="00000000" w:rsidP="00000000" w:rsidRDefault="00000000" w:rsidRPr="00000000" w14:paraId="00000040">
      <w:pPr>
        <w:rPr/>
      </w:pPr>
      <w:r w:rsidDel="00000000" w:rsidR="00000000" w:rsidRPr="00000000">
        <w:rPr>
          <w:rtl w:val="0"/>
        </w:rPr>
        <w:t xml:space="preserve">In the short-term, incremental service innovations like creating in-house beauty brand Benefit, introducing kids play spaces and personal shoppers helped boost retention, basket sizes and drive some sales category growth between 2009-2014 as the UK economy recovered (Butler, 2022; Ruddick, 2020). International expansions also increased market presence. These lifted revenues back near £3 billion while restoring profitability as part of wider turnaround efforts under new ownership.</w:t>
      </w:r>
    </w:p>
    <w:p w:rsidR="00000000" w:rsidDel="00000000" w:rsidP="00000000" w:rsidRDefault="00000000" w:rsidRPr="00000000" w14:paraId="00000041">
      <w:pPr>
        <w:rPr/>
      </w:pPr>
      <w:r w:rsidDel="00000000" w:rsidR="00000000" w:rsidRPr="00000000">
        <w:rPr>
          <w:rtl w:val="0"/>
        </w:rPr>
        <w:t xml:space="preserve">However, experts argue such innovation failed keeping pace with shifts in mass market tastes and expectations (Smith, 2021). Momentum faded amid confusing discount-driven branding while asset sales limited reinvestment. Online pureplays attracted younger fashion-conscious shoppers through greater convenience, curation and experience innovations which Debenhams struggled replicating at its scale. Challengers also outpaced digital advancements necessary for modern integration.</w:t>
      </w:r>
    </w:p>
    <w:p w:rsidR="00000000" w:rsidDel="00000000" w:rsidP="00000000" w:rsidRDefault="00000000" w:rsidRPr="00000000" w14:paraId="00000042">
      <w:pPr>
        <w:rPr/>
      </w:pPr>
      <w:r w:rsidDel="00000000" w:rsidR="00000000" w:rsidRPr="00000000">
        <w:rPr>
          <w:rtl w:val="0"/>
        </w:rPr>
        <w:t xml:space="preserve">Declines resumed in 2015-2018 as footfall plunged below half of peak levels, while up to 30 underperforming stores closed annually amid excess costs such as business rates exceeding £80 million (Butler, 2021; Ruddick, 2020). Own labels contracted minimizing margin drivers apart from third-party beauty. Losses ballooned absent sales or efficiency gains from innovation. Ultimately when liquidity dried up, Debenhams lacked the proposition uniqueness or leverage potential which strategic innovation investments may have generated to justify fund injections, resulting in insolvency.</w:t>
      </w:r>
    </w:p>
    <w:p w:rsidR="00000000" w:rsidDel="00000000" w:rsidP="00000000" w:rsidRDefault="00000000" w:rsidRPr="00000000" w14:paraId="00000043">
      <w:pPr>
        <w:rPr/>
      </w:pPr>
      <w:r w:rsidDel="00000000" w:rsidR="00000000" w:rsidRPr="00000000">
        <w:rPr>
          <w:rtl w:val="0"/>
        </w:rPr>
        <w:t xml:space="preserve">In conclusion, poor innovation left Debenhams doubling down on commoditized categories attracting deal-seekers rather than inspiring loyalty. Lagging digital capabilities saw guests migrate online without operating model changes reducing exposure. While the innovations delivered temporary relief, Debenhams failed channeling this into sustained differentiation or game-changing vision which lasting financial turnarounds depend on. Growing misalignment with consumer lifestyle changes exacerbated decline. More radical innovation was needed reviving relevance.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rFonts w:ascii="Arial" w:cs="Arial" w:eastAsia="Arial" w:hAnsi="Arial"/>
        </w:rPr>
      </w:pPr>
      <w:bookmarkStart w:colFirst="0" w:colLast="0" w:name="_4d34og8" w:id="8"/>
      <w:bookmarkEnd w:id="8"/>
      <w:r w:rsidDel="00000000" w:rsidR="00000000" w:rsidRPr="00000000">
        <w:rPr>
          <w:rFonts w:ascii="Arial" w:cs="Arial" w:eastAsia="Arial" w:hAnsi="Arial"/>
          <w:rtl w:val="0"/>
        </w:rPr>
        <w:t xml:space="preserve">SCAMPER Analysis</w:t>
      </w:r>
    </w:p>
    <w:p w:rsidR="00000000" w:rsidDel="00000000" w:rsidP="00000000" w:rsidRDefault="00000000" w:rsidRPr="00000000" w14:paraId="0000004D">
      <w:pPr>
        <w:pStyle w:val="Heading2"/>
        <w:rPr>
          <w:rFonts w:ascii="Arial" w:cs="Arial" w:eastAsia="Arial" w:hAnsi="Arial"/>
        </w:rPr>
      </w:pPr>
      <w:bookmarkStart w:colFirst="0" w:colLast="0" w:name="_2s8eyo1" w:id="9"/>
      <w:bookmarkEnd w:id="9"/>
      <w:r w:rsidDel="00000000" w:rsidR="00000000" w:rsidRPr="00000000">
        <w:rPr>
          <w:rFonts w:ascii="Arial" w:cs="Arial" w:eastAsia="Arial" w:hAnsi="Arial"/>
          <w:rtl w:val="0"/>
        </w:rPr>
        <w:t xml:space="preserve">Substitute</w:t>
      </w:r>
    </w:p>
    <w:p w:rsidR="00000000" w:rsidDel="00000000" w:rsidP="00000000" w:rsidRDefault="00000000" w:rsidRPr="00000000" w14:paraId="0000004E">
      <w:pPr>
        <w:rPr/>
      </w:pPr>
      <w:r w:rsidDel="00000000" w:rsidR="00000000" w:rsidRPr="00000000">
        <w:rPr>
          <w:rtl w:val="0"/>
        </w:rPr>
        <w:t xml:space="preserve">One core issue contributing to Debenhams’ decline is an outdated business model which stagnated; struggling to retain ownership commitment or resources transforming with societal changes (Butler, 2022). An innovative approach would involve substituting key elements to renew consumer relevance, reduce cost burdens, and realign competencies:</w:t>
      </w:r>
    </w:p>
    <w:p w:rsidR="00000000" w:rsidDel="00000000" w:rsidP="00000000" w:rsidRDefault="00000000" w:rsidRPr="00000000" w14:paraId="0000004F">
      <w:pPr>
        <w:numPr>
          <w:ilvl w:val="0"/>
          <w:numId w:val="1"/>
        </w:numPr>
        <w:ind w:left="720" w:hanging="360"/>
        <w:rPr/>
      </w:pPr>
      <w:r w:rsidDel="00000000" w:rsidR="00000000" w:rsidRPr="00000000">
        <w:rPr>
          <w:rtl w:val="0"/>
        </w:rPr>
        <w:t xml:space="preserve">Shift store portfolio from flagship city center locations suffering declining footfall to suburban mixed-use lifestyle community developments accessible by public transport and lacking retail presence (Ruddick, 2020). These enjoy lower rates, while integrating services and smaller-format stores.</w:t>
      </w:r>
    </w:p>
    <w:p w:rsidR="00000000" w:rsidDel="00000000" w:rsidP="00000000" w:rsidRDefault="00000000" w:rsidRPr="00000000" w14:paraId="00000050">
      <w:pPr>
        <w:numPr>
          <w:ilvl w:val="0"/>
          <w:numId w:val="1"/>
        </w:numPr>
        <w:ind w:left="720" w:hanging="360"/>
        <w:rPr/>
      </w:pPr>
      <w:r w:rsidDel="00000000" w:rsidR="00000000" w:rsidRPr="00000000">
        <w:rPr>
          <w:rtl w:val="0"/>
        </w:rPr>
        <w:t xml:space="preserve">Significantly reduce merchandise owning by substituting to concession partnerships with major beauty, apparel and food brands who operate store areas. This boosts newness while lowering risk and inventory overheads (Smith, 2021). Own labels monetize via franchise fees.</w:t>
      </w:r>
    </w:p>
    <w:p w:rsidR="00000000" w:rsidDel="00000000" w:rsidP="00000000" w:rsidRDefault="00000000" w:rsidRPr="00000000" w14:paraId="00000051">
      <w:pPr>
        <w:numPr>
          <w:ilvl w:val="0"/>
          <w:numId w:val="1"/>
        </w:numPr>
        <w:ind w:left="720" w:hanging="360"/>
        <w:rPr/>
      </w:pPr>
      <w:r w:rsidDel="00000000" w:rsidR="00000000" w:rsidRPr="00000000">
        <w:rPr>
          <w:rtl w:val="0"/>
        </w:rPr>
        <w:t xml:space="preserve">Substitute the electronics, kids goods and wider ranges underperforming online categories for showrooming trending products through rotating pop-up events and gaming concepts. These drive footfall while reducing floorspace needs.</w:t>
      </w:r>
    </w:p>
    <w:p w:rsidR="00000000" w:rsidDel="00000000" w:rsidP="00000000" w:rsidRDefault="00000000" w:rsidRPr="00000000" w14:paraId="00000052">
      <w:pPr>
        <w:rPr/>
      </w:pPr>
      <w:r w:rsidDel="00000000" w:rsidR="00000000" w:rsidRPr="00000000">
        <w:rPr>
          <w:rtl w:val="0"/>
        </w:rPr>
        <w:t xml:space="preserve">Such property, commercial model and range substitutions focused around less volatile categories catering target demographics can lower operating costs while boosting experience differentiation; providing renewed viability foundations.</w:t>
      </w:r>
    </w:p>
    <w:p w:rsidR="00000000" w:rsidDel="00000000" w:rsidP="00000000" w:rsidRDefault="00000000" w:rsidRPr="00000000" w14:paraId="00000053">
      <w:pPr>
        <w:pStyle w:val="Heading2"/>
        <w:rPr>
          <w:rFonts w:ascii="Arial" w:cs="Arial" w:eastAsia="Arial" w:hAnsi="Arial"/>
        </w:rPr>
      </w:pPr>
      <w:bookmarkStart w:colFirst="0" w:colLast="0" w:name="_17dp8vu" w:id="10"/>
      <w:bookmarkEnd w:id="10"/>
      <w:r w:rsidDel="00000000" w:rsidR="00000000" w:rsidRPr="00000000">
        <w:rPr>
          <w:rFonts w:ascii="Arial" w:cs="Arial" w:eastAsia="Arial" w:hAnsi="Arial"/>
          <w:rtl w:val="0"/>
        </w:rPr>
        <w:t xml:space="preserve">Combine</w:t>
      </w:r>
    </w:p>
    <w:p w:rsidR="00000000" w:rsidDel="00000000" w:rsidP="00000000" w:rsidRDefault="00000000" w:rsidRPr="00000000" w14:paraId="00000054">
      <w:pPr>
        <w:rPr/>
      </w:pPr>
      <w:r w:rsidDel="00000000" w:rsidR="00000000" w:rsidRPr="00000000">
        <w:rPr>
          <w:rtl w:val="0"/>
        </w:rPr>
        <w:t xml:space="preserve">Leveraging Debenhams’ advanced loyalty capabilities, they could drive membership growth combining programs cross-retailers into an integrated scheme spanning grocery, fuel, entertainment, hospitality, financial services and more (Butler, 2022). This provides consumers accelerated rewards through day-to-day non-competitive spending at no incremental expense for partners given existing infrastructure.</w:t>
      </w:r>
    </w:p>
    <w:p w:rsidR="00000000" w:rsidDel="00000000" w:rsidP="00000000" w:rsidRDefault="00000000" w:rsidRPr="00000000" w14:paraId="00000055">
      <w:pPr>
        <w:rPr/>
      </w:pPr>
      <w:r w:rsidDel="00000000" w:rsidR="00000000" w:rsidRPr="00000000">
        <w:rPr>
          <w:rtl w:val="0"/>
        </w:rPr>
        <w:t xml:space="preserve">Combining first-party data from existing 10 million members with external analytics expands opportunities for bespoke promotions, further strengthening mid-market positioning. Joint-supplier negotiation across flagship brands also unlocks group discounts passed to shoppers. Addition partner recruitment over time increases appeal outcompeting individual programs.</w:t>
      </w:r>
    </w:p>
    <w:p w:rsidR="00000000" w:rsidDel="00000000" w:rsidP="00000000" w:rsidRDefault="00000000" w:rsidRPr="00000000" w14:paraId="00000056">
      <w:pPr>
        <w:rPr/>
      </w:pPr>
      <w:r w:rsidDel="00000000" w:rsidR="00000000" w:rsidRPr="00000000">
        <w:rPr>
          <w:rtl w:val="0"/>
        </w:rPr>
        <w:t xml:space="preserve">Consolidating spends into a single frictionless tap-and-go card/app provides convenience encouraging higher share of wallet capture. Combined offerings enhance relevance across consumer lifestyles beyond limitations of standalone retail. The coalition program can sustain beyond Debenhams’ own challenges, while negating investment developing standalone solutions for partners. It provides monetization upside lowering marketing costs.</w:t>
      </w:r>
    </w:p>
    <w:p w:rsidR="00000000" w:rsidDel="00000000" w:rsidP="00000000" w:rsidRDefault="00000000" w:rsidRPr="00000000" w14:paraId="00000057">
      <w:pPr>
        <w:pStyle w:val="Heading2"/>
        <w:rPr>
          <w:rFonts w:ascii="Arial" w:cs="Arial" w:eastAsia="Arial" w:hAnsi="Arial"/>
        </w:rPr>
      </w:pPr>
      <w:bookmarkStart w:colFirst="0" w:colLast="0" w:name="_3rdcrjn" w:id="11"/>
      <w:bookmarkEnd w:id="11"/>
      <w:r w:rsidDel="00000000" w:rsidR="00000000" w:rsidRPr="00000000">
        <w:rPr>
          <w:rFonts w:ascii="Arial" w:cs="Arial" w:eastAsia="Arial" w:hAnsi="Arial"/>
          <w:rtl w:val="0"/>
        </w:rPr>
        <w:t xml:space="preserve">Adapt</w:t>
      </w:r>
    </w:p>
    <w:p w:rsidR="00000000" w:rsidDel="00000000" w:rsidP="00000000" w:rsidRDefault="00000000" w:rsidRPr="00000000" w14:paraId="00000058">
      <w:pPr>
        <w:rPr/>
      </w:pPr>
      <w:r w:rsidDel="00000000" w:rsidR="00000000" w:rsidRPr="00000000">
        <w:rPr>
          <w:rtl w:val="0"/>
        </w:rPr>
        <w:t xml:space="preserve">Debenhams should leverage heritage positioning by adapting store concepts into next-generation community lifestyle hubs aligning with local cultures (Smith 2021). Redesigned experiential formats showcase partner concessions blending values-based products and services with work, creative and social spaces boosting dwell time. These meeting venues can host occasions, classes, exhibits etc. alongside core offerings now blending established brands with ethical small businesses, eco-innovators and charitable initiatives; lowering rates while cementing community connections.</w:t>
      </w:r>
    </w:p>
    <w:p w:rsidR="00000000" w:rsidDel="00000000" w:rsidP="00000000" w:rsidRDefault="00000000" w:rsidRPr="00000000" w14:paraId="00000059">
      <w:pPr>
        <w:rPr/>
      </w:pPr>
      <w:r w:rsidDel="00000000" w:rsidR="00000000" w:rsidRPr="00000000">
        <w:rPr>
          <w:rtl w:val="0"/>
        </w:rPr>
        <w:t xml:space="preserve">Adapting existing real estate for society-centered purposes counteracts declining highstreets through differentiated positioning (Butler, 2022). Enrichment zones, fair-trade merchandise selections and remove packaging signal commitments attracting millennial and Gen Z shoppers over convenience-focus rivals. Digital community forums maintaining continuous regional area engagement sustains loyalty beyond physical channels.</w:t>
      </w:r>
    </w:p>
    <w:p w:rsidR="00000000" w:rsidDel="00000000" w:rsidP="00000000" w:rsidRDefault="00000000" w:rsidRPr="00000000" w14:paraId="0000005A">
      <w:pPr>
        <w:rPr/>
      </w:pPr>
      <w:r w:rsidDel="00000000" w:rsidR="00000000" w:rsidRPr="00000000">
        <w:rPr>
          <w:rtl w:val="0"/>
        </w:rPr>
        <w:t xml:space="preserve">While risks accompany redefining over 2 centuries of retail tradition, boldly embracing community over commodity provides renewed essence aligned with emerging consumer expectations (Ruddick, 2020). This exceptionalism lifts urgency recovering short-term profitability, instead prioritizing social impact.</w:t>
      </w:r>
    </w:p>
    <w:p w:rsidR="00000000" w:rsidDel="00000000" w:rsidP="00000000" w:rsidRDefault="00000000" w:rsidRPr="00000000" w14:paraId="0000005B">
      <w:pPr>
        <w:pStyle w:val="Heading2"/>
        <w:rPr>
          <w:rFonts w:ascii="Arial" w:cs="Arial" w:eastAsia="Arial" w:hAnsi="Arial"/>
        </w:rPr>
      </w:pPr>
      <w:bookmarkStart w:colFirst="0" w:colLast="0" w:name="_26in1rg" w:id="12"/>
      <w:bookmarkEnd w:id="12"/>
      <w:r w:rsidDel="00000000" w:rsidR="00000000" w:rsidRPr="00000000">
        <w:rPr>
          <w:rFonts w:ascii="Arial" w:cs="Arial" w:eastAsia="Arial" w:hAnsi="Arial"/>
          <w:rtl w:val="0"/>
        </w:rPr>
        <w:t xml:space="preserve">Modify</w:t>
      </w:r>
    </w:p>
    <w:p w:rsidR="00000000" w:rsidDel="00000000" w:rsidP="00000000" w:rsidRDefault="00000000" w:rsidRPr="00000000" w14:paraId="0000005C">
      <w:pPr>
        <w:rPr/>
      </w:pPr>
      <w:r w:rsidDel="00000000" w:rsidR="00000000" w:rsidRPr="00000000">
        <w:rPr>
          <w:rtl w:val="0"/>
        </w:rPr>
        <w:t xml:space="preserve">Debenhams should modify existing loyalty programs applying more data-driven gamification and personalization tactics to incentivize desired buyer behaviors (Liu et al, 2021):</w:t>
      </w:r>
    </w:p>
    <w:p w:rsidR="00000000" w:rsidDel="00000000" w:rsidP="00000000" w:rsidRDefault="00000000" w:rsidRPr="00000000" w14:paraId="0000005D">
      <w:pPr>
        <w:numPr>
          <w:ilvl w:val="0"/>
          <w:numId w:val="2"/>
        </w:numPr>
        <w:ind w:left="720" w:hanging="360"/>
        <w:rPr/>
      </w:pPr>
      <w:r w:rsidDel="00000000" w:rsidR="00000000" w:rsidRPr="00000000">
        <w:rPr>
          <w:rtl w:val="0"/>
        </w:rPr>
        <w:t xml:space="preserve">Tiered rewards effectively nudge increased category specific product and services adoption through escalating member-only discounts, early access passes, free delivery promotions etc tied to annual cumulative spending thresholds</w:t>
      </w:r>
    </w:p>
    <w:p w:rsidR="00000000" w:rsidDel="00000000" w:rsidP="00000000" w:rsidRDefault="00000000" w:rsidRPr="00000000" w14:paraId="0000005E">
      <w:pPr>
        <w:numPr>
          <w:ilvl w:val="0"/>
          <w:numId w:val="2"/>
        </w:numPr>
        <w:ind w:left="720" w:hanging="360"/>
        <w:rPr/>
      </w:pPr>
      <w:r w:rsidDel="00000000" w:rsidR="00000000" w:rsidRPr="00000000">
        <w:rPr>
          <w:rtl w:val="0"/>
        </w:rPr>
        <w:t xml:space="preserve">Referral bonuses encourage organic growth across desired demographics through gifting sign-up credits and triple points boosting acquisition</w:t>
      </w:r>
    </w:p>
    <w:p w:rsidR="00000000" w:rsidDel="00000000" w:rsidP="00000000" w:rsidRDefault="00000000" w:rsidRPr="00000000" w14:paraId="0000005F">
      <w:pPr>
        <w:numPr>
          <w:ilvl w:val="0"/>
          <w:numId w:val="2"/>
        </w:numPr>
        <w:ind w:left="720" w:hanging="360"/>
        <w:rPr/>
      </w:pPr>
      <w:r w:rsidDel="00000000" w:rsidR="00000000" w:rsidRPr="00000000">
        <w:rPr>
          <w:rtl w:val="0"/>
        </w:rPr>
        <w:t xml:space="preserve">Targeted video styling advice and AR virtual wardrobes showcase latest personalized outfit recommendations</w:t>
      </w:r>
    </w:p>
    <w:p w:rsidR="00000000" w:rsidDel="00000000" w:rsidP="00000000" w:rsidRDefault="00000000" w:rsidRPr="00000000" w14:paraId="00000060">
      <w:pPr>
        <w:numPr>
          <w:ilvl w:val="0"/>
          <w:numId w:val="2"/>
        </w:numPr>
        <w:ind w:left="720" w:hanging="360"/>
        <w:rPr/>
      </w:pPr>
      <w:r w:rsidDel="00000000" w:rsidR="00000000" w:rsidRPr="00000000">
        <w:rPr>
          <w:rtl w:val="0"/>
        </w:rPr>
        <w:t xml:space="preserve">Integrated wish list capabilities enable seamless cross-channel sharing</w:t>
      </w:r>
    </w:p>
    <w:p w:rsidR="00000000" w:rsidDel="00000000" w:rsidP="00000000" w:rsidRDefault="00000000" w:rsidRPr="00000000" w14:paraId="00000061">
      <w:pPr>
        <w:numPr>
          <w:ilvl w:val="0"/>
          <w:numId w:val="2"/>
        </w:numPr>
        <w:ind w:left="720" w:hanging="360"/>
        <w:rPr/>
      </w:pPr>
      <w:r w:rsidDel="00000000" w:rsidR="00000000" w:rsidRPr="00000000">
        <w:rPr>
          <w:rtl w:val="0"/>
        </w:rPr>
        <w:t xml:space="preserve">Curated discovery feeds highlight new arrivals and products matched with individual preferences and recent purchases</w:t>
      </w:r>
    </w:p>
    <w:p w:rsidR="00000000" w:rsidDel="00000000" w:rsidP="00000000" w:rsidRDefault="00000000" w:rsidRPr="00000000" w14:paraId="00000062">
      <w:pPr>
        <w:numPr>
          <w:ilvl w:val="0"/>
          <w:numId w:val="2"/>
        </w:numPr>
        <w:ind w:left="720" w:hanging="360"/>
        <w:rPr/>
      </w:pPr>
      <w:r w:rsidDel="00000000" w:rsidR="00000000" w:rsidRPr="00000000">
        <w:rPr>
          <w:rtl w:val="0"/>
        </w:rPr>
        <w:t xml:space="preserve">Gamified Augmented Reality treasure hunts across stores, snap &amp; share competitions and virtual badge unlocks boost enjoyment</w:t>
      </w:r>
    </w:p>
    <w:p w:rsidR="00000000" w:rsidDel="00000000" w:rsidP="00000000" w:rsidRDefault="00000000" w:rsidRPr="00000000" w14:paraId="00000063">
      <w:pPr>
        <w:rPr/>
      </w:pPr>
      <w:r w:rsidDel="00000000" w:rsidR="00000000" w:rsidRPr="00000000">
        <w:rPr>
          <w:rtl w:val="0"/>
        </w:rPr>
        <w:t xml:space="preserve">Such competitive program modifications focused on tailoring differentiated incentives and innovative engagement tactics leverage Debenhams’ underleveraged assets redefining value proposition areas rivals struggle replicating. Advanced CRM practices elevate strategic capabilities.</w:t>
      </w:r>
    </w:p>
    <w:p w:rsidR="00000000" w:rsidDel="00000000" w:rsidP="00000000" w:rsidRDefault="00000000" w:rsidRPr="00000000" w14:paraId="00000064">
      <w:pPr>
        <w:pStyle w:val="Heading2"/>
        <w:rPr>
          <w:rFonts w:ascii="Arial" w:cs="Arial" w:eastAsia="Arial" w:hAnsi="Arial"/>
        </w:rPr>
      </w:pPr>
      <w:bookmarkStart w:colFirst="0" w:colLast="0" w:name="_lnxbz9" w:id="13"/>
      <w:bookmarkEnd w:id="13"/>
      <w:r w:rsidDel="00000000" w:rsidR="00000000" w:rsidRPr="00000000">
        <w:rPr>
          <w:rFonts w:ascii="Arial" w:cs="Arial" w:eastAsia="Arial" w:hAnsi="Arial"/>
          <w:rtl w:val="0"/>
        </w:rPr>
        <w:t xml:space="preserve">Put to Another Use</w:t>
      </w:r>
    </w:p>
    <w:p w:rsidR="00000000" w:rsidDel="00000000" w:rsidP="00000000" w:rsidRDefault="00000000" w:rsidRPr="00000000" w14:paraId="00000065">
      <w:pPr>
        <w:rPr/>
      </w:pPr>
      <w:r w:rsidDel="00000000" w:rsidR="00000000" w:rsidRPr="00000000">
        <w:rPr>
          <w:rtl w:val="0"/>
        </w:rPr>
        <w:t xml:space="preserve">Amid store closures, Debenhams maintains prime real estate assets including flagship locations like Oxford Street along with merchandise inventory now redundant (Butler, 2022). Rather than asset stripping, these resources offer potential lifeline repurposed innovatively:</w:t>
      </w:r>
    </w:p>
    <w:p w:rsidR="00000000" w:rsidDel="00000000" w:rsidP="00000000" w:rsidRDefault="00000000" w:rsidRPr="00000000" w14:paraId="00000066">
      <w:pPr>
        <w:numPr>
          <w:ilvl w:val="0"/>
          <w:numId w:val="3"/>
        </w:numPr>
        <w:ind w:left="720" w:hanging="360"/>
        <w:rPr/>
      </w:pPr>
      <w:r w:rsidDel="00000000" w:rsidR="00000000" w:rsidRPr="00000000">
        <w:rPr>
          <w:rtl w:val="0"/>
        </w:rPr>
        <w:t xml:space="preserve">Converting central city stores into multifunction venues, Debenhams can sublet floorspace to complementary retailers on flexible terms. Hosting events also monetizes footfall.</w:t>
      </w:r>
    </w:p>
    <w:p w:rsidR="00000000" w:rsidDel="00000000" w:rsidP="00000000" w:rsidRDefault="00000000" w:rsidRPr="00000000" w14:paraId="00000067">
      <w:pPr>
        <w:numPr>
          <w:ilvl w:val="0"/>
          <w:numId w:val="3"/>
        </w:numPr>
        <w:ind w:left="720" w:hanging="360"/>
        <w:rPr/>
      </w:pPr>
      <w:r w:rsidDel="00000000" w:rsidR="00000000" w:rsidRPr="00000000">
        <w:rPr>
          <w:rtl w:val="0"/>
        </w:rPr>
        <w:t xml:space="preserve">Excess long-lease properties are franchised to approved retailers retaining Debenhams branding, lowering operating costs while earning rental income and fees leveraging heritage.</w:t>
      </w:r>
    </w:p>
    <w:p w:rsidR="00000000" w:rsidDel="00000000" w:rsidP="00000000" w:rsidRDefault="00000000" w:rsidRPr="00000000" w14:paraId="00000068">
      <w:pPr>
        <w:numPr>
          <w:ilvl w:val="0"/>
          <w:numId w:val="3"/>
        </w:numPr>
        <w:ind w:left="720" w:hanging="360"/>
        <w:rPr/>
      </w:pPr>
      <w:r w:rsidDel="00000000" w:rsidR="00000000" w:rsidRPr="00000000">
        <w:rPr>
          <w:rtl w:val="0"/>
        </w:rPr>
        <w:t xml:space="preserve">Residual stock and infrastructure serves launching a standalone online marketplace retailing excess inventory in partnership with vendors. This provides capital injection to pivot models.</w:t>
      </w:r>
    </w:p>
    <w:p w:rsidR="00000000" w:rsidDel="00000000" w:rsidP="00000000" w:rsidRDefault="00000000" w:rsidRPr="00000000" w14:paraId="00000069">
      <w:pPr>
        <w:rPr/>
      </w:pPr>
      <w:r w:rsidDel="00000000" w:rsidR="00000000" w:rsidRPr="00000000">
        <w:rPr>
          <w:rtl w:val="0"/>
        </w:rPr>
        <w:t xml:space="preserve">Repurposing existing stranded assets through capital light partnerships, franchising and inventory liquidation opportunities can fund executing the transformational strategies outlined earlier across loyalty, community focus and online sales.</w:t>
      </w:r>
    </w:p>
    <w:p w:rsidR="00000000" w:rsidDel="00000000" w:rsidP="00000000" w:rsidRDefault="00000000" w:rsidRPr="00000000" w14:paraId="0000006A">
      <w:pPr>
        <w:pStyle w:val="Heading2"/>
        <w:rPr>
          <w:rFonts w:ascii="Arial" w:cs="Arial" w:eastAsia="Arial" w:hAnsi="Arial"/>
        </w:rPr>
      </w:pPr>
      <w:bookmarkStart w:colFirst="0" w:colLast="0" w:name="_35nkun2" w:id="14"/>
      <w:bookmarkEnd w:id="14"/>
      <w:r w:rsidDel="00000000" w:rsidR="00000000" w:rsidRPr="00000000">
        <w:rPr>
          <w:rFonts w:ascii="Arial" w:cs="Arial" w:eastAsia="Arial" w:hAnsi="Arial"/>
          <w:rtl w:val="0"/>
        </w:rPr>
        <w:t xml:space="preserve">Eliminate</w:t>
      </w:r>
    </w:p>
    <w:p w:rsidR="00000000" w:rsidDel="00000000" w:rsidP="00000000" w:rsidRDefault="00000000" w:rsidRPr="00000000" w14:paraId="0000006B">
      <w:pPr>
        <w:rPr/>
      </w:pPr>
      <w:r w:rsidDel="00000000" w:rsidR="00000000" w:rsidRPr="00000000">
        <w:rPr>
          <w:rtl w:val="0"/>
        </w:rPr>
        <w:t xml:space="preserve">Shift from aged store ownership models depends eliminating underperforming categories and expenses hindering modernization (Smith, 2021):</w:t>
      </w:r>
    </w:p>
    <w:p w:rsidR="00000000" w:rsidDel="00000000" w:rsidP="00000000" w:rsidRDefault="00000000" w:rsidRPr="00000000" w14:paraId="0000006C">
      <w:pPr>
        <w:numPr>
          <w:ilvl w:val="0"/>
          <w:numId w:val="4"/>
        </w:numPr>
        <w:ind w:left="720" w:hanging="360"/>
        <w:rPr/>
      </w:pPr>
      <w:r w:rsidDel="00000000" w:rsidR="00000000" w:rsidRPr="00000000">
        <w:rPr>
          <w:rtl w:val="0"/>
        </w:rPr>
        <w:t xml:space="preserve">Exit declining categories like home furnishings, electronics, and entertainment media retaining only flagship offerings boosting profitability.</w:t>
      </w:r>
    </w:p>
    <w:p w:rsidR="00000000" w:rsidDel="00000000" w:rsidP="00000000" w:rsidRDefault="00000000" w:rsidRPr="00000000" w14:paraId="0000006D">
      <w:pPr>
        <w:numPr>
          <w:ilvl w:val="0"/>
          <w:numId w:val="4"/>
        </w:numPr>
        <w:ind w:left="720" w:hanging="360"/>
        <w:rPr/>
      </w:pPr>
      <w:r w:rsidDel="00000000" w:rsidR="00000000" w:rsidRPr="00000000">
        <w:rPr>
          <w:rtl w:val="0"/>
        </w:rPr>
        <w:t xml:space="preserve">Eliminate dated distribution networks and technology systems through unified platforms and centralized inventory.</w:t>
      </w:r>
    </w:p>
    <w:p w:rsidR="00000000" w:rsidDel="00000000" w:rsidP="00000000" w:rsidRDefault="00000000" w:rsidRPr="00000000" w14:paraId="0000006E">
      <w:pPr>
        <w:numPr>
          <w:ilvl w:val="0"/>
          <w:numId w:val="4"/>
        </w:numPr>
        <w:ind w:left="720" w:hanging="360"/>
        <w:rPr/>
      </w:pPr>
      <w:r w:rsidDel="00000000" w:rsidR="00000000" w:rsidRPr="00000000">
        <w:rPr>
          <w:rtl w:val="0"/>
        </w:rPr>
        <w:t xml:space="preserve">Close redundant regional management structures for centralized operations.</w:t>
      </w:r>
    </w:p>
    <w:p w:rsidR="00000000" w:rsidDel="00000000" w:rsidP="00000000" w:rsidRDefault="00000000" w:rsidRPr="00000000" w14:paraId="0000006F">
      <w:pPr>
        <w:rPr/>
      </w:pPr>
      <w:r w:rsidDel="00000000" w:rsidR="00000000" w:rsidRPr="00000000">
        <w:rPr>
          <w:rtl w:val="0"/>
        </w:rPr>
        <w:t xml:space="preserve">Rationalizing around core categories via franchise model, combined with structural cost optimization sustains resources innovating differentiated capabilities aligning with consumer lifestyle priorities.</w:t>
      </w:r>
    </w:p>
    <w:p w:rsidR="00000000" w:rsidDel="00000000" w:rsidP="00000000" w:rsidRDefault="00000000" w:rsidRPr="00000000" w14:paraId="00000070">
      <w:pPr>
        <w:pStyle w:val="Heading2"/>
        <w:rPr>
          <w:rFonts w:ascii="Arial" w:cs="Arial" w:eastAsia="Arial" w:hAnsi="Arial"/>
        </w:rPr>
      </w:pPr>
      <w:bookmarkStart w:colFirst="0" w:colLast="0" w:name="_1ksv4uv" w:id="15"/>
      <w:bookmarkEnd w:id="15"/>
      <w:r w:rsidDel="00000000" w:rsidR="00000000" w:rsidRPr="00000000">
        <w:rPr>
          <w:rFonts w:ascii="Arial" w:cs="Arial" w:eastAsia="Arial" w:hAnsi="Arial"/>
          <w:rtl w:val="0"/>
        </w:rPr>
        <w:t xml:space="preserve">Reverse</w:t>
      </w:r>
    </w:p>
    <w:p w:rsidR="00000000" w:rsidDel="00000000" w:rsidP="00000000" w:rsidRDefault="00000000" w:rsidRPr="00000000" w14:paraId="00000071">
      <w:pPr>
        <w:rPr/>
      </w:pPr>
      <w:r w:rsidDel="00000000" w:rsidR="00000000" w:rsidRPr="00000000">
        <w:rPr>
          <w:rtl w:val="0"/>
        </w:rPr>
        <w:t xml:space="preserve">A key reversal is slowing physical expansion to focus on modernizing flagship stores into next-generation experience and community hubs showcasing Debenhams’ future ecosystem vision (Ruddick, 2020). Smaller modular store concepts also trial emerging models.</w:t>
      </w:r>
    </w:p>
    <w:p w:rsidR="00000000" w:rsidDel="00000000" w:rsidP="00000000" w:rsidRDefault="00000000" w:rsidRPr="00000000" w14:paraId="00000072">
      <w:pPr>
        <w:rPr/>
      </w:pPr>
      <w:r w:rsidDel="00000000" w:rsidR="00000000" w:rsidRPr="00000000">
        <w:rPr>
          <w:rtl w:val="0"/>
        </w:rPr>
        <w:t xml:space="preserve">Reversing metrics rewarding sales growth ABOVE customer lifetime value shifts investment priorities to loyalty, personalization and retention innovations outlined. Transitioning from superficial discounts to bold sustainable positioning reverses brand erosion. Seeking creative partnerships over acquisitions provides wider reach.</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pStyle w:val="Heading1"/>
        <w:rPr>
          <w:rFonts w:ascii="Arial" w:cs="Arial" w:eastAsia="Arial" w:hAnsi="Arial"/>
        </w:rPr>
      </w:pPr>
      <w:bookmarkStart w:colFirst="0" w:colLast="0" w:name="_44sinio" w:id="16"/>
      <w:bookmarkEnd w:id="16"/>
      <w:r w:rsidDel="00000000" w:rsidR="00000000" w:rsidRPr="00000000">
        <w:rPr>
          <w:rFonts w:ascii="Arial" w:cs="Arial" w:eastAsia="Arial" w:hAnsi="Arial"/>
          <w:rtl w:val="0"/>
        </w:rPr>
        <w:t xml:space="preserve"> Conclusion </w:t>
      </w:r>
    </w:p>
    <w:p w:rsidR="00000000" w:rsidDel="00000000" w:rsidP="00000000" w:rsidRDefault="00000000" w:rsidRPr="00000000" w14:paraId="00000076">
      <w:pPr>
        <w:rPr/>
      </w:pPr>
      <w:r w:rsidDel="00000000" w:rsidR="00000000" w:rsidRPr="00000000">
        <w:rPr>
          <w:rtl w:val="0"/>
        </w:rPr>
        <w:t xml:space="preserve">In conclusion, analysis of Debenhams uncovered that the once market-leading retailer collapsed after centuries of prosperity due to loss of competitive differentiation and proposition uniqueness amid industry disruption. Weak innovation pipelines struggled responding to shifts in consumer behavior and sector economics at the pace and scale necessary for survival.   While the company enjoyed temporary relief from individual initiatives like in-house beauty brands, personalization gimmicks and international expansions, advantage eroded as innovation lagged rivals and failed helping Debenhams reinvent alignment with younger generations prioritizing convenience, experience and sustainability in shopping. Stark high street to online migration exposed critical gaps outpaced by pureplays and deep discounters staying ahead of expectations.    With heavy cost structures, overloaded capital structure and falling cashflows straining liquidity, Debenhams lacked strategic clarity or fundamental changes necessary unlocking turnaround equity injections or managing debt obligations after centuries of dividends. Collapse administration proved inevitable once scale advantage faded despite heritage brand equity. This reflected poor reading of macro-economic and consumer environmental shifts amplified by sector volatility.   Ultimately innovation must stretch beyond products to radically evolve propositions, channels and business architectures for aging retail giants navigating today’s complex competitive climate balancing profitability with purpose expected by contemporary shoppers. Debenhams’ demise illustrates that classic department store economics can no longer depend on demand cycles or buyer inertia without delivering inspirational transformation.  </w:t>
      </w:r>
    </w:p>
    <w:p w:rsidR="00000000" w:rsidDel="00000000" w:rsidP="00000000" w:rsidRDefault="00000000" w:rsidRPr="00000000" w14:paraId="00000077">
      <w:pPr>
        <w:pStyle w:val="Heading1"/>
        <w:rPr>
          <w:rFonts w:ascii="Arial" w:cs="Arial" w:eastAsia="Arial" w:hAnsi="Arial"/>
        </w:rPr>
      </w:pPr>
      <w:bookmarkStart w:colFirst="0" w:colLast="0" w:name="_2jxsxqh" w:id="17"/>
      <w:bookmarkEnd w:id="17"/>
      <w:r w:rsidDel="00000000" w:rsidR="00000000" w:rsidRPr="00000000">
        <w:rPr>
          <w:rFonts w:ascii="Arial" w:cs="Arial" w:eastAsia="Arial" w:hAnsi="Arial"/>
          <w:rtl w:val="0"/>
        </w:rPr>
        <w:t xml:space="preserve">Recommendations </w:t>
      </w:r>
    </w:p>
    <w:p w:rsidR="00000000" w:rsidDel="00000000" w:rsidP="00000000" w:rsidRDefault="00000000" w:rsidRPr="00000000" w14:paraId="00000078">
      <w:pPr>
        <w:rPr/>
      </w:pPr>
      <w:r w:rsidDel="00000000" w:rsidR="00000000" w:rsidRPr="00000000">
        <w:rPr>
          <w:rtl w:val="0"/>
        </w:rPr>
        <w:t xml:space="preserve">It is recommended Debenhams urgently pursue new ownership through debt restructuring to secure sufficient working capital implementing proposed three to five high-impact strategic innovations over the next 6-12 months:  </w:t>
      </w:r>
    </w:p>
    <w:p w:rsidR="00000000" w:rsidDel="00000000" w:rsidP="00000000" w:rsidRDefault="00000000" w:rsidRPr="00000000" w14:paraId="00000079">
      <w:pPr>
        <w:rPr/>
      </w:pPr>
      <w:r w:rsidDel="00000000" w:rsidR="00000000" w:rsidRPr="00000000">
        <w:rPr>
          <w:rtl w:val="0"/>
        </w:rPr>
        <w:t xml:space="preserve">1. Launch coalition loyalty scheme combining partner brands at scale</w:t>
      </w:r>
    </w:p>
    <w:p w:rsidR="00000000" w:rsidDel="00000000" w:rsidP="00000000" w:rsidRDefault="00000000" w:rsidRPr="00000000" w14:paraId="0000007A">
      <w:pPr>
        <w:rPr/>
      </w:pPr>
      <w:r w:rsidDel="00000000" w:rsidR="00000000" w:rsidRPr="00000000">
        <w:rPr>
          <w:rtl w:val="0"/>
        </w:rPr>
        <w:t xml:space="preserve">2. Accelerate online marketplace leveraging excess inventory  </w:t>
      </w:r>
    </w:p>
    <w:p w:rsidR="00000000" w:rsidDel="00000000" w:rsidP="00000000" w:rsidRDefault="00000000" w:rsidRPr="00000000" w14:paraId="0000007B">
      <w:pPr>
        <w:rPr/>
      </w:pPr>
      <w:r w:rsidDel="00000000" w:rsidR="00000000" w:rsidRPr="00000000">
        <w:rPr>
          <w:rtl w:val="0"/>
        </w:rPr>
        <w:t xml:space="preserve">3. Redesign stores as community lifestyle experience hubs  </w:t>
      </w:r>
    </w:p>
    <w:p w:rsidR="00000000" w:rsidDel="00000000" w:rsidP="00000000" w:rsidRDefault="00000000" w:rsidRPr="00000000" w14:paraId="0000007C">
      <w:pPr>
        <w:rPr/>
      </w:pPr>
      <w:r w:rsidDel="00000000" w:rsidR="00000000" w:rsidRPr="00000000">
        <w:rPr>
          <w:rtl w:val="0"/>
        </w:rPr>
        <w:t xml:space="preserve">4. Adopt Zero-waste sourcing, packaging and merchandising  </w:t>
      </w:r>
    </w:p>
    <w:p w:rsidR="00000000" w:rsidDel="00000000" w:rsidP="00000000" w:rsidRDefault="00000000" w:rsidRPr="00000000" w14:paraId="0000007D">
      <w:pPr>
        <w:rPr/>
      </w:pPr>
      <w:r w:rsidDel="00000000" w:rsidR="00000000" w:rsidRPr="00000000">
        <w:rPr>
          <w:rtl w:val="0"/>
        </w:rPr>
        <w:t xml:space="preserve">5. Sublease prime store real estate through franchise model</w:t>
      </w:r>
    </w:p>
    <w:p w:rsidR="00000000" w:rsidDel="00000000" w:rsidP="00000000" w:rsidRDefault="00000000" w:rsidRPr="00000000" w14:paraId="0000007E">
      <w:pPr>
        <w:rPr/>
      </w:pPr>
      <w:r w:rsidDel="00000000" w:rsidR="00000000" w:rsidRPr="00000000">
        <w:rPr>
          <w:rtl w:val="0"/>
        </w:rPr>
        <w:t xml:space="preserve">Pursuing such interventions leveraging SCAMPER philosophy focused on substituting more flexible cost-effective operating structures while combining assets through partnerships, complemented by bold proposition adaptations targeting brand revitalization; can demonstrate consumer-centricity helping revive Debenhams from administration. If successful communicated, large-scale reinvention may attract investment even at later stage. This program must lead aggressive change management shifting away outdated retail assumptions into the future. Vision and urgency are vital to avoiding missteps of the past.</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1"/>
        <w:rPr>
          <w:rFonts w:ascii="Arial" w:cs="Arial" w:eastAsia="Arial" w:hAnsi="Arial"/>
        </w:rPr>
      </w:pPr>
      <w:bookmarkStart w:colFirst="0" w:colLast="0" w:name="_3j2qqm3" w:id="18"/>
      <w:bookmarkEnd w:id="18"/>
      <w:r w:rsidDel="00000000" w:rsidR="00000000" w:rsidRPr="00000000">
        <w:rPr>
          <w:rFonts w:ascii="Arial" w:cs="Arial" w:eastAsia="Arial" w:hAnsi="Arial"/>
          <w:rtl w:val="0"/>
        </w:rPr>
        <w:t xml:space="preserve">References</w:t>
      </w:r>
    </w:p>
    <w:p w:rsidR="00000000" w:rsidDel="00000000" w:rsidP="00000000" w:rsidRDefault="00000000" w:rsidRPr="00000000" w14:paraId="00000082">
      <w:pPr>
        <w:rPr/>
      </w:pPr>
      <w:r w:rsidDel="00000000" w:rsidR="00000000" w:rsidRPr="00000000">
        <w:rPr>
          <w:rtl w:val="0"/>
        </w:rPr>
        <w:t xml:space="preserve">Butler, S. (2020). </w:t>
      </w:r>
      <w:r w:rsidDel="00000000" w:rsidR="00000000" w:rsidRPr="00000000">
        <w:rPr>
          <w:i w:val="1"/>
          <w:rtl w:val="0"/>
        </w:rPr>
        <w:t xml:space="preserve">Debenhams to be liquidated as JD Sports pulls out of rescue talks. [Online] The Guardian.</w:t>
      </w:r>
      <w:r w:rsidDel="00000000" w:rsidR="00000000" w:rsidRPr="00000000">
        <w:rPr>
          <w:rtl w:val="0"/>
        </w:rPr>
        <w:t xml:space="preserve"> Available at: </w:t>
      </w:r>
      <w:hyperlink r:id="rId6">
        <w:r w:rsidDel="00000000" w:rsidR="00000000" w:rsidRPr="00000000">
          <w:rPr>
            <w:color w:val="0563c1"/>
            <w:u w:val="single"/>
            <w:rtl w:val="0"/>
          </w:rPr>
          <w:t xml:space="preserve">https://www.theguardian.com/business/2020/nov/30/jd-sports-expected-to-exit-debenhams-rescue-talks-after-arcadia-collapse</w:t>
        </w:r>
      </w:hyperlink>
      <w:r w:rsidDel="00000000" w:rsidR="00000000" w:rsidRPr="00000000">
        <w:rPr>
          <w:rtl w:val="0"/>
        </w:rPr>
        <w:t xml:space="preserve"> [Accessed 25 Feb. 2023].</w:t>
      </w:r>
    </w:p>
    <w:p w:rsidR="00000000" w:rsidDel="00000000" w:rsidP="00000000" w:rsidRDefault="00000000" w:rsidRPr="00000000" w14:paraId="00000083">
      <w:pPr>
        <w:rPr/>
      </w:pPr>
      <w:r w:rsidDel="00000000" w:rsidR="00000000" w:rsidRPr="00000000">
        <w:rPr>
          <w:rtl w:val="0"/>
        </w:rPr>
        <w:t xml:space="preserve">Butler, S. (2021)</w:t>
      </w:r>
      <w:r w:rsidDel="00000000" w:rsidR="00000000" w:rsidRPr="00000000">
        <w:rPr>
          <w:i w:val="1"/>
          <w:rtl w:val="0"/>
        </w:rPr>
        <w:t xml:space="preserve">. Debenhams' last stand: once the world's biggest department store chain.</w:t>
      </w:r>
      <w:r w:rsidDel="00000000" w:rsidR="00000000" w:rsidRPr="00000000">
        <w:rPr>
          <w:rtl w:val="0"/>
        </w:rPr>
        <w:t xml:space="preserve"> [Online] The Guardian. Available at: </w:t>
      </w:r>
      <w:hyperlink r:id="rId7">
        <w:r w:rsidDel="00000000" w:rsidR="00000000" w:rsidRPr="00000000">
          <w:rPr>
            <w:color w:val="0563c1"/>
            <w:u w:val="single"/>
            <w:rtl w:val="0"/>
          </w:rPr>
          <w:t xml:space="preserve">https://www.theguardian.com/business/2020/dec/01/debenhams-close-stores-jobs-department-store-jd-sports</w:t>
        </w:r>
      </w:hyperlink>
      <w:r w:rsidDel="00000000" w:rsidR="00000000" w:rsidRPr="00000000">
        <w:rPr>
          <w:rtl w:val="0"/>
        </w:rPr>
        <w:t xml:space="preserve"> [Accessed 24 Feb. 2023].</w:t>
      </w:r>
    </w:p>
    <w:p w:rsidR="00000000" w:rsidDel="00000000" w:rsidP="00000000" w:rsidRDefault="00000000" w:rsidRPr="00000000" w14:paraId="00000084">
      <w:pPr>
        <w:rPr/>
      </w:pPr>
      <w:r w:rsidDel="00000000" w:rsidR="00000000" w:rsidRPr="00000000">
        <w:rPr>
          <w:rtl w:val="0"/>
        </w:rPr>
        <w:t xml:space="preserve">Butler, S. (2022). </w:t>
      </w:r>
      <w:r w:rsidDel="00000000" w:rsidR="00000000" w:rsidRPr="00000000">
        <w:rPr>
          <w:i w:val="1"/>
          <w:rtl w:val="0"/>
        </w:rPr>
        <w:t xml:space="preserve">Debenhams: the rise and fall of a British retail institution.</w:t>
      </w:r>
      <w:r w:rsidDel="00000000" w:rsidR="00000000" w:rsidRPr="00000000">
        <w:rPr>
          <w:rtl w:val="0"/>
        </w:rPr>
        <w:t xml:space="preserve"> [Online] The Guardian. Available at: </w:t>
      </w:r>
      <w:hyperlink r:id="rId8">
        <w:r w:rsidDel="00000000" w:rsidR="00000000" w:rsidRPr="00000000">
          <w:rPr>
            <w:color w:val="0563c1"/>
            <w:u w:val="single"/>
            <w:rtl w:val="0"/>
          </w:rPr>
          <w:t xml:space="preserve">https://www.theguardian.com/business/2020/dec/01/debenhams-the-rise-and-fall-of-a-british-retail-institution</w:t>
        </w:r>
      </w:hyperlink>
      <w:r w:rsidDel="00000000" w:rsidR="00000000" w:rsidRPr="00000000">
        <w:rPr>
          <w:rtl w:val="0"/>
        </w:rPr>
        <w:t xml:space="preserve"> [Accessed 23 Feb. 2023].</w:t>
      </w:r>
    </w:p>
    <w:p w:rsidR="00000000" w:rsidDel="00000000" w:rsidP="00000000" w:rsidRDefault="00000000" w:rsidRPr="00000000" w14:paraId="00000085">
      <w:pPr>
        <w:rPr/>
      </w:pPr>
      <w:r w:rsidDel="00000000" w:rsidR="00000000" w:rsidRPr="00000000">
        <w:rPr>
          <w:rtl w:val="0"/>
        </w:rPr>
        <w:t xml:space="preserve">Debenhams Retail Ltd (2022). </w:t>
      </w:r>
      <w:r w:rsidDel="00000000" w:rsidR="00000000" w:rsidRPr="00000000">
        <w:rPr>
          <w:i w:val="1"/>
          <w:rtl w:val="0"/>
        </w:rPr>
        <w:t xml:space="preserve">About Us.</w:t>
      </w:r>
      <w:r w:rsidDel="00000000" w:rsidR="00000000" w:rsidRPr="00000000">
        <w:rPr>
          <w:rtl w:val="0"/>
        </w:rPr>
        <w:t xml:space="preserve"> [Online] Debenhams. Available at: </w:t>
      </w:r>
      <w:hyperlink r:id="rId9">
        <w:r w:rsidDel="00000000" w:rsidR="00000000" w:rsidRPr="00000000">
          <w:rPr>
            <w:color w:val="0563c1"/>
            <w:u w:val="single"/>
            <w:rtl w:val="0"/>
          </w:rPr>
          <w:t xml:space="preserve">https://www.debenhams.com/</w:t>
        </w:r>
      </w:hyperlink>
      <w:r w:rsidDel="00000000" w:rsidR="00000000" w:rsidRPr="00000000">
        <w:rPr>
          <w:rtl w:val="0"/>
        </w:rPr>
        <w:t xml:space="preserve">  [Accessed 24 Feb 2023].</w:t>
      </w:r>
    </w:p>
    <w:p w:rsidR="00000000" w:rsidDel="00000000" w:rsidP="00000000" w:rsidRDefault="00000000" w:rsidRPr="00000000" w14:paraId="00000086">
      <w:pPr>
        <w:rPr/>
      </w:pPr>
      <w:r w:rsidDel="00000000" w:rsidR="00000000" w:rsidRPr="00000000">
        <w:rPr>
          <w:rtl w:val="0"/>
        </w:rPr>
        <w:t xml:space="preserve">Liu, H., Lobschat, L. and Verhoef, P.C. (2021). Multichannel retailing: A review and research agenda. </w:t>
      </w:r>
      <w:r w:rsidDel="00000000" w:rsidR="00000000" w:rsidRPr="00000000">
        <w:rPr>
          <w:i w:val="1"/>
          <w:rtl w:val="0"/>
        </w:rPr>
        <w:t xml:space="preserve">Journal of Interactive Marketing, 52</w:t>
      </w:r>
      <w:r w:rsidDel="00000000" w:rsidR="00000000" w:rsidRPr="00000000">
        <w:rPr>
          <w:rtl w:val="0"/>
        </w:rPr>
        <w:t xml:space="preserve">, pp.77-90.</w:t>
      </w:r>
    </w:p>
    <w:p w:rsidR="00000000" w:rsidDel="00000000" w:rsidP="00000000" w:rsidRDefault="00000000" w:rsidRPr="00000000" w14:paraId="00000087">
      <w:pPr>
        <w:rPr/>
      </w:pPr>
      <w:r w:rsidDel="00000000" w:rsidR="00000000" w:rsidRPr="00000000">
        <w:rPr>
          <w:rtl w:val="0"/>
        </w:rPr>
        <w:t xml:space="preserve">Michalko, M. (2006). </w:t>
      </w:r>
      <w:r w:rsidDel="00000000" w:rsidR="00000000" w:rsidRPr="00000000">
        <w:rPr>
          <w:i w:val="1"/>
          <w:rtl w:val="0"/>
        </w:rPr>
        <w:t xml:space="preserve">Thinkertoys: A Handbook of Creative-thinking Techniques</w:t>
      </w:r>
      <w:r w:rsidDel="00000000" w:rsidR="00000000" w:rsidRPr="00000000">
        <w:rPr>
          <w:rtl w:val="0"/>
        </w:rPr>
        <w:t xml:space="preserve">. Berkeley, CA: Ten Speed Press.</w:t>
      </w:r>
    </w:p>
    <w:p w:rsidR="00000000" w:rsidDel="00000000" w:rsidP="00000000" w:rsidRDefault="00000000" w:rsidRPr="00000000" w14:paraId="00000088">
      <w:pPr>
        <w:rPr/>
      </w:pPr>
      <w:r w:rsidDel="00000000" w:rsidR="00000000" w:rsidRPr="00000000">
        <w:rPr>
          <w:rtl w:val="0"/>
        </w:rPr>
        <w:t xml:space="preserve">Ruddick, G. (2020). </w:t>
      </w:r>
      <w:r w:rsidDel="00000000" w:rsidR="00000000" w:rsidRPr="00000000">
        <w:rPr>
          <w:i w:val="1"/>
          <w:rtl w:val="0"/>
        </w:rPr>
        <w:t xml:space="preserve">Debenhams: the rise and fall of a British retail institution</w:t>
      </w:r>
      <w:r w:rsidDel="00000000" w:rsidR="00000000" w:rsidRPr="00000000">
        <w:rPr>
          <w:rtl w:val="0"/>
        </w:rPr>
        <w:t xml:space="preserve">. Available at: </w:t>
      </w:r>
      <w:hyperlink r:id="rId10">
        <w:r w:rsidDel="00000000" w:rsidR="00000000" w:rsidRPr="00000000">
          <w:rPr>
            <w:color w:val="0563c1"/>
            <w:u w:val="single"/>
            <w:rtl w:val="0"/>
          </w:rPr>
          <w:t xml:space="preserve">https://www.theguardian.com/business/2020/dec/01/debenhams-the-rise-and-fall-of-a-british-retail-institution</w:t>
        </w:r>
      </w:hyperlink>
      <w:r w:rsidDel="00000000" w:rsidR="00000000" w:rsidRPr="00000000">
        <w:rPr>
          <w:rtl w:val="0"/>
        </w:rPr>
        <w:t xml:space="preserve"> [Accessed 24 Feb. 2023].</w:t>
      </w:r>
    </w:p>
    <w:p w:rsidR="00000000" w:rsidDel="00000000" w:rsidP="00000000" w:rsidRDefault="00000000" w:rsidRPr="00000000" w14:paraId="00000089">
      <w:pPr>
        <w:rPr/>
      </w:pPr>
      <w:r w:rsidDel="00000000" w:rsidR="00000000" w:rsidRPr="00000000">
        <w:rPr>
          <w:rtl w:val="0"/>
        </w:rPr>
        <w:t xml:space="preserve">Smith, P. (2021). </w:t>
      </w:r>
      <w:r w:rsidDel="00000000" w:rsidR="00000000" w:rsidRPr="00000000">
        <w:rPr>
          <w:i w:val="1"/>
          <w:rtl w:val="0"/>
        </w:rPr>
        <w:t xml:space="preserve">Exploring Business Strategy: Text and Cases</w:t>
      </w:r>
      <w:r w:rsidDel="00000000" w:rsidR="00000000" w:rsidRPr="00000000">
        <w:rPr>
          <w:rtl w:val="0"/>
        </w:rPr>
        <w:t xml:space="preserve">. Kogan Page.</w:t>
      </w:r>
    </w:p>
    <w:p w:rsidR="00000000" w:rsidDel="00000000" w:rsidP="00000000" w:rsidRDefault="00000000" w:rsidRPr="00000000" w14:paraId="0000008A">
      <w:pPr>
        <w:rPr/>
      </w:pPr>
      <w:r w:rsidDel="00000000" w:rsidR="00000000" w:rsidRPr="00000000">
        <w:rPr>
          <w:rtl w:val="0"/>
        </w:rPr>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Libre Baskerville"/>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300" w:lineRule="auto"/>
    </w:pPr>
    <w:rPr>
      <w:rFonts w:ascii="Libre Baskerville" w:cs="Libre Baskerville" w:eastAsia="Libre Baskerville" w:hAnsi="Libre Baskerville"/>
      <w:sz w:val="36"/>
      <w:szCs w:val="36"/>
    </w:rPr>
  </w:style>
  <w:style w:type="paragraph" w:styleId="Heading2">
    <w:name w:val="heading 2"/>
    <w:basedOn w:val="Normal"/>
    <w:next w:val="Normal"/>
    <w:pPr>
      <w:keepNext w:val="1"/>
      <w:keepLines w:val="1"/>
    </w:pPr>
    <w:rPr>
      <w:rFonts w:ascii="Libre Baskerville" w:cs="Libre Baskerville" w:eastAsia="Libre Baskerville" w:hAnsi="Libre Baskerville"/>
      <w:sz w:val="32"/>
      <w:szCs w:val="32"/>
    </w:rPr>
  </w:style>
  <w:style w:type="paragraph" w:styleId="Heading3">
    <w:name w:val="heading 3"/>
    <w:basedOn w:val="Normal"/>
    <w:next w:val="Normal"/>
    <w:pPr>
      <w:keepNext w:val="1"/>
      <w:keepLines w:val="1"/>
    </w:pPr>
    <w:rPr>
      <w:rFonts w:ascii="Libre Baskerville" w:cs="Libre Baskerville" w:eastAsia="Libre Baskerville" w:hAnsi="Libre Baskerville"/>
      <w:sz w:val="30"/>
      <w:szCs w:val="30"/>
    </w:rPr>
  </w:style>
  <w:style w:type="paragraph" w:styleId="Heading4">
    <w:name w:val="heading 4"/>
    <w:basedOn w:val="Normal"/>
    <w:next w:val="Normal"/>
    <w:pPr>
      <w:keepNext w:val="1"/>
      <w:keepLines w:val="1"/>
    </w:pPr>
    <w:rPr>
      <w:rFonts w:ascii="Libre Baskerville" w:cs="Libre Baskerville" w:eastAsia="Libre Baskerville" w:hAnsi="Libre Baskerville"/>
      <w:sz w:val="29"/>
      <w:szCs w:val="29"/>
    </w:rPr>
  </w:style>
  <w:style w:type="paragraph" w:styleId="Heading5">
    <w:name w:val="heading 5"/>
    <w:basedOn w:val="Normal"/>
    <w:next w:val="Normal"/>
    <w:pPr>
      <w:keepNext w:val="1"/>
      <w:keepLines w:val="1"/>
    </w:pPr>
    <w:rPr>
      <w:rFonts w:ascii="Libre Baskerville" w:cs="Libre Baskerville" w:eastAsia="Libre Baskerville" w:hAnsi="Libre Baskerville"/>
      <w:sz w:val="28"/>
      <w:szCs w:val="28"/>
    </w:rPr>
  </w:style>
  <w:style w:type="paragraph" w:styleId="Heading6">
    <w:name w:val="heading 6"/>
    <w:basedOn w:val="Normal"/>
    <w:next w:val="Normal"/>
    <w:pPr>
      <w:keepNext w:val="1"/>
      <w:keepLines w:val="1"/>
    </w:pPr>
    <w:rPr>
      <w:rFonts w:ascii="Libre Baskerville" w:cs="Libre Baskerville" w:eastAsia="Libre Baskerville" w:hAnsi="Libre Baskerville"/>
      <w:sz w:val="27"/>
      <w:szCs w:val="27"/>
    </w:rPr>
  </w:style>
  <w:style w:type="paragraph" w:styleId="Title">
    <w:name w:val="Title"/>
    <w:basedOn w:val="Normal"/>
    <w:next w:val="Normal"/>
    <w:pPr>
      <w:spacing w:after="200" w:lineRule="auto"/>
      <w:jc w:val="center"/>
    </w:pPr>
    <w:rPr>
      <w:rFonts w:ascii="Libre Baskerville" w:cs="Libre Baskerville" w:eastAsia="Libre Baskerville" w:hAnsi="Libre Baskerville"/>
      <w:b w:val="1"/>
      <w:sz w:val="76"/>
      <w:szCs w:val="76"/>
    </w:rPr>
  </w:style>
  <w:style w:type="paragraph" w:styleId="Subtitle">
    <w:name w:val="Subtitle"/>
    <w:basedOn w:val="Normal"/>
    <w:next w:val="Normal"/>
    <w:pPr>
      <w:spacing w:after="500" w:lineRule="auto"/>
      <w:jc w:val="center"/>
    </w:pPr>
    <w:rPr>
      <w:rFonts w:ascii="Libre Baskerville" w:cs="Libre Baskerville" w:eastAsia="Libre Baskerville" w:hAnsi="Libre Baskerville"/>
      <w:sz w:val="40"/>
      <w:szCs w:val="4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theguardian.com/business/2020/dec/01/debenhams-the-rise-and-fall-of-a-british-retail-institution" TargetMode="External"/><Relationship Id="rId9" Type="http://schemas.openxmlformats.org/officeDocument/2006/relationships/hyperlink" Target="https://www.debenhams.com/" TargetMode="External"/><Relationship Id="rId5" Type="http://schemas.openxmlformats.org/officeDocument/2006/relationships/styles" Target="styles.xml"/><Relationship Id="rId6" Type="http://schemas.openxmlformats.org/officeDocument/2006/relationships/hyperlink" Target="https://www.theguardian.com/business/2020/nov/30/jd-sports-expected-to-exit-debenhams-rescue-talks-after-arcadia-collapse" TargetMode="External"/><Relationship Id="rId7" Type="http://schemas.openxmlformats.org/officeDocument/2006/relationships/hyperlink" Target="https://www.theguardian.com/business/2020/dec/01/debenhams-close-stores-jobs-department-store-jd-sports" TargetMode="External"/><Relationship Id="rId8" Type="http://schemas.openxmlformats.org/officeDocument/2006/relationships/hyperlink" Target="https://www.theguardian.com/business/2020/dec/01/debenhams-the-rise-and-fall-of-a-british-retail-instit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