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1A8A2A" w14:textId="77777777" w:rsidR="00E11F02" w:rsidRPr="00863CDE" w:rsidRDefault="00E11F02" w:rsidP="00817A44">
      <w:pPr>
        <w:spacing w:after="0" w:line="480" w:lineRule="auto"/>
        <w:rPr>
          <w:rFonts w:ascii="Georgia" w:hAnsi="Georgia"/>
          <w:sz w:val="24"/>
          <w:szCs w:val="24"/>
        </w:rPr>
      </w:pPr>
      <w:r w:rsidRPr="00863CDE">
        <w:rPr>
          <w:rFonts w:ascii="Georgia" w:hAnsi="Georgia"/>
          <w:sz w:val="24"/>
          <w:szCs w:val="24"/>
        </w:rPr>
        <w:t>Mary Bowen-Perkins</w:t>
      </w:r>
      <w:r w:rsidR="00BD07BF">
        <w:rPr>
          <w:rFonts w:ascii="Georgia" w:hAnsi="Georgia"/>
          <w:sz w:val="24"/>
          <w:szCs w:val="24"/>
        </w:rPr>
        <w:t xml:space="preserve"> (1601141)</w:t>
      </w:r>
    </w:p>
    <w:p w14:paraId="7333601F" w14:textId="6B35A45D" w:rsidR="00026059" w:rsidRPr="00863CDE" w:rsidRDefault="00073CF4" w:rsidP="00817A44">
      <w:pPr>
        <w:spacing w:after="0" w:line="480" w:lineRule="auto"/>
        <w:rPr>
          <w:rFonts w:ascii="Georgia" w:hAnsi="Georgia"/>
          <w:sz w:val="24"/>
          <w:szCs w:val="24"/>
        </w:rPr>
      </w:pPr>
      <w:r>
        <w:rPr>
          <w:rFonts w:ascii="Georgia" w:hAnsi="Georgia"/>
          <w:sz w:val="24"/>
          <w:szCs w:val="24"/>
        </w:rPr>
        <w:t>Urban Sounds and Visions</w:t>
      </w:r>
      <w:r w:rsidR="00324230">
        <w:rPr>
          <w:rFonts w:ascii="Georgia" w:hAnsi="Georgia"/>
          <w:sz w:val="24"/>
          <w:szCs w:val="24"/>
        </w:rPr>
        <w:t>: Cultural Histories of the Modern City</w:t>
      </w:r>
      <w:r w:rsidR="00024247">
        <w:rPr>
          <w:rFonts w:ascii="Georgia" w:hAnsi="Georgia"/>
          <w:sz w:val="24"/>
          <w:szCs w:val="24"/>
        </w:rPr>
        <w:t xml:space="preserve"> (</w:t>
      </w:r>
      <w:r>
        <w:rPr>
          <w:rFonts w:ascii="Georgia" w:hAnsi="Georgia"/>
          <w:sz w:val="24"/>
          <w:szCs w:val="24"/>
        </w:rPr>
        <w:t>HPHI6008</w:t>
      </w:r>
      <w:r w:rsidR="00024247">
        <w:rPr>
          <w:rFonts w:ascii="Georgia" w:hAnsi="Georgia"/>
          <w:sz w:val="24"/>
          <w:szCs w:val="24"/>
        </w:rPr>
        <w:t>)</w:t>
      </w:r>
    </w:p>
    <w:p w14:paraId="272E1493" w14:textId="421016ED" w:rsidR="00E7589F" w:rsidRDefault="00C949FA" w:rsidP="00817A44">
      <w:pPr>
        <w:spacing w:after="0" w:line="480" w:lineRule="auto"/>
        <w:rPr>
          <w:rFonts w:ascii="Georgia" w:hAnsi="Georgia"/>
          <w:sz w:val="24"/>
          <w:szCs w:val="24"/>
        </w:rPr>
      </w:pPr>
      <w:r>
        <w:rPr>
          <w:rFonts w:ascii="Georgia" w:hAnsi="Georgia"/>
          <w:sz w:val="24"/>
          <w:szCs w:val="24"/>
        </w:rPr>
        <w:t>1</w:t>
      </w:r>
      <w:r w:rsidR="008F628E">
        <w:rPr>
          <w:rFonts w:ascii="Georgia" w:hAnsi="Georgia"/>
          <w:sz w:val="24"/>
          <w:szCs w:val="24"/>
        </w:rPr>
        <w:t>6</w:t>
      </w:r>
      <w:r w:rsidRPr="00C949FA">
        <w:rPr>
          <w:rFonts w:ascii="Georgia" w:hAnsi="Georgia"/>
          <w:sz w:val="24"/>
          <w:szCs w:val="24"/>
          <w:vertAlign w:val="superscript"/>
        </w:rPr>
        <w:t>th</w:t>
      </w:r>
      <w:r w:rsidR="00D64660">
        <w:rPr>
          <w:rFonts w:ascii="Georgia" w:hAnsi="Georgia"/>
          <w:sz w:val="24"/>
          <w:szCs w:val="24"/>
        </w:rPr>
        <w:t xml:space="preserve"> December 2018</w:t>
      </w:r>
    </w:p>
    <w:p w14:paraId="2DD82073" w14:textId="42E9A623" w:rsidR="00F82D04" w:rsidRPr="00563515" w:rsidRDefault="000E3D06" w:rsidP="000E3D06">
      <w:pPr>
        <w:shd w:val="clear" w:color="auto" w:fill="FFFFFF"/>
        <w:tabs>
          <w:tab w:val="left" w:pos="6945"/>
        </w:tabs>
        <w:spacing w:before="240" w:line="240" w:lineRule="auto"/>
        <w:jc w:val="center"/>
        <w:rPr>
          <w:rFonts w:ascii="Georgia" w:hAnsi="Georgia"/>
          <w:i/>
          <w:sz w:val="30"/>
          <w:szCs w:val="30"/>
        </w:rPr>
      </w:pPr>
      <w:r>
        <w:rPr>
          <w:rFonts w:ascii="Georgia" w:hAnsi="Georgia"/>
          <w:sz w:val="30"/>
          <w:szCs w:val="30"/>
        </w:rPr>
        <w:t>A Lost Heterotopia</w:t>
      </w:r>
      <w:r w:rsidR="005254CC" w:rsidRPr="00563515">
        <w:rPr>
          <w:rFonts w:ascii="Georgia" w:hAnsi="Georgia"/>
          <w:sz w:val="30"/>
          <w:szCs w:val="30"/>
        </w:rPr>
        <w:t xml:space="preserve">: </w:t>
      </w:r>
      <w:r w:rsidR="00D723F2" w:rsidRPr="00563515">
        <w:rPr>
          <w:rFonts w:ascii="Georgia" w:hAnsi="Georgia"/>
          <w:sz w:val="30"/>
          <w:szCs w:val="30"/>
        </w:rPr>
        <w:t>Representation of</w:t>
      </w:r>
      <w:r>
        <w:rPr>
          <w:rFonts w:ascii="Georgia" w:hAnsi="Georgia"/>
          <w:sz w:val="30"/>
          <w:szCs w:val="30"/>
        </w:rPr>
        <w:t xml:space="preserve"> Algier</w:t>
      </w:r>
      <w:r w:rsidR="00C949FA">
        <w:rPr>
          <w:rFonts w:ascii="Georgia" w:hAnsi="Georgia"/>
          <w:sz w:val="30"/>
          <w:szCs w:val="30"/>
        </w:rPr>
        <w:t xml:space="preserve">s in </w:t>
      </w:r>
      <w:proofErr w:type="spellStart"/>
      <w:r w:rsidR="00C949FA">
        <w:rPr>
          <w:rFonts w:ascii="Georgia" w:hAnsi="Georgia"/>
          <w:sz w:val="30"/>
          <w:szCs w:val="30"/>
        </w:rPr>
        <w:t>Assia</w:t>
      </w:r>
      <w:proofErr w:type="spellEnd"/>
      <w:r w:rsidR="00C949FA">
        <w:rPr>
          <w:rFonts w:ascii="Georgia" w:hAnsi="Georgia"/>
          <w:sz w:val="30"/>
          <w:szCs w:val="30"/>
        </w:rPr>
        <w:t xml:space="preserve"> Djebar’s</w:t>
      </w:r>
      <w:r w:rsidR="00383D14" w:rsidRPr="00563515">
        <w:rPr>
          <w:rFonts w:ascii="Georgia" w:hAnsi="Georgia"/>
          <w:sz w:val="30"/>
          <w:szCs w:val="30"/>
        </w:rPr>
        <w:t xml:space="preserve"> </w:t>
      </w:r>
      <w:r w:rsidR="007C5BA8">
        <w:rPr>
          <w:rFonts w:ascii="Georgia" w:hAnsi="Georgia"/>
          <w:sz w:val="30"/>
          <w:szCs w:val="30"/>
        </w:rPr>
        <w:t>‘</w:t>
      </w:r>
      <w:r w:rsidR="00C949FA" w:rsidRPr="007C5BA8">
        <w:rPr>
          <w:rFonts w:ascii="Georgia" w:hAnsi="Georgia"/>
          <w:sz w:val="30"/>
          <w:szCs w:val="30"/>
        </w:rPr>
        <w:t>Women of Algiers in Their Apartment</w:t>
      </w:r>
      <w:r w:rsidR="007C5BA8">
        <w:rPr>
          <w:rFonts w:ascii="Georgia" w:hAnsi="Georgia"/>
          <w:sz w:val="30"/>
          <w:szCs w:val="30"/>
        </w:rPr>
        <w:t>’</w:t>
      </w:r>
    </w:p>
    <w:p w14:paraId="4F3EB567" w14:textId="77777777" w:rsidR="005859DC" w:rsidRDefault="005859DC" w:rsidP="005859DC">
      <w:pPr>
        <w:shd w:val="clear" w:color="auto" w:fill="FFFFFF"/>
        <w:tabs>
          <w:tab w:val="left" w:pos="6945"/>
        </w:tabs>
        <w:spacing w:after="0" w:line="240" w:lineRule="auto"/>
        <w:jc w:val="center"/>
        <w:rPr>
          <w:rFonts w:ascii="Georgia" w:hAnsi="Georgia"/>
          <w:sz w:val="32"/>
          <w:szCs w:val="32"/>
        </w:rPr>
      </w:pPr>
    </w:p>
    <w:p w14:paraId="49856899" w14:textId="77777777" w:rsidR="00E779FE" w:rsidRDefault="00DB633F" w:rsidP="00E84848">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 xml:space="preserve">When </w:t>
      </w:r>
      <w:proofErr w:type="spellStart"/>
      <w:r>
        <w:rPr>
          <w:rFonts w:ascii="Georgia" w:hAnsi="Georgia"/>
          <w:sz w:val="24"/>
          <w:szCs w:val="24"/>
        </w:rPr>
        <w:t>Assia</w:t>
      </w:r>
      <w:proofErr w:type="spellEnd"/>
      <w:r>
        <w:rPr>
          <w:rFonts w:ascii="Georgia" w:hAnsi="Georgia"/>
          <w:sz w:val="24"/>
          <w:szCs w:val="24"/>
        </w:rPr>
        <w:t xml:space="preserve"> Djebar first published her collection of short stories, </w:t>
      </w:r>
      <w:r w:rsidRPr="009C1A77">
        <w:rPr>
          <w:rFonts w:ascii="Georgia" w:hAnsi="Georgia"/>
          <w:i/>
          <w:sz w:val="24"/>
          <w:szCs w:val="24"/>
        </w:rPr>
        <w:t>Women of Algiers in Their Apartment</w:t>
      </w:r>
      <w:r>
        <w:rPr>
          <w:rFonts w:ascii="Georgia" w:hAnsi="Georgia"/>
          <w:sz w:val="24"/>
          <w:szCs w:val="24"/>
        </w:rPr>
        <w:t xml:space="preserve"> (originally published in French as </w:t>
      </w:r>
      <w:r w:rsidRPr="00B241BB">
        <w:rPr>
          <w:rFonts w:ascii="Georgia" w:hAnsi="Georgia"/>
          <w:i/>
          <w:sz w:val="24"/>
          <w:szCs w:val="24"/>
        </w:rPr>
        <w:t xml:space="preserve">Femmes </w:t>
      </w:r>
      <w:proofErr w:type="spellStart"/>
      <w:r w:rsidRPr="00B241BB">
        <w:rPr>
          <w:rFonts w:ascii="Georgia" w:hAnsi="Georgia"/>
          <w:i/>
          <w:sz w:val="24"/>
          <w:szCs w:val="24"/>
        </w:rPr>
        <w:t>d’Alger</w:t>
      </w:r>
      <w:proofErr w:type="spellEnd"/>
      <w:r w:rsidRPr="00B241BB">
        <w:rPr>
          <w:rFonts w:ascii="Georgia" w:hAnsi="Georgia"/>
          <w:i/>
          <w:sz w:val="24"/>
          <w:szCs w:val="24"/>
        </w:rPr>
        <w:t xml:space="preserve"> dans </w:t>
      </w:r>
      <w:proofErr w:type="spellStart"/>
      <w:r w:rsidRPr="00B241BB">
        <w:rPr>
          <w:rFonts w:ascii="Georgia" w:hAnsi="Georgia"/>
          <w:i/>
          <w:sz w:val="24"/>
          <w:szCs w:val="24"/>
        </w:rPr>
        <w:t>leur</w:t>
      </w:r>
      <w:proofErr w:type="spellEnd"/>
      <w:r w:rsidRPr="00B241BB">
        <w:rPr>
          <w:rFonts w:ascii="Georgia" w:hAnsi="Georgia"/>
          <w:i/>
          <w:sz w:val="24"/>
          <w:szCs w:val="24"/>
        </w:rPr>
        <w:t xml:space="preserve"> </w:t>
      </w:r>
      <w:proofErr w:type="spellStart"/>
      <w:r w:rsidR="009C1A77" w:rsidRPr="00B241BB">
        <w:rPr>
          <w:rFonts w:ascii="Georgia" w:hAnsi="Georgia"/>
          <w:i/>
          <w:sz w:val="24"/>
          <w:szCs w:val="24"/>
        </w:rPr>
        <w:t>appartement</w:t>
      </w:r>
      <w:proofErr w:type="spellEnd"/>
      <w:r w:rsidR="009C1A77">
        <w:rPr>
          <w:rFonts w:ascii="Georgia" w:hAnsi="Georgia"/>
          <w:sz w:val="24"/>
          <w:szCs w:val="24"/>
        </w:rPr>
        <w:t>), its title was deliberately copied from another</w:t>
      </w:r>
      <w:r w:rsidR="0024228F">
        <w:rPr>
          <w:rFonts w:ascii="Georgia" w:hAnsi="Georgia"/>
          <w:sz w:val="24"/>
          <w:szCs w:val="24"/>
        </w:rPr>
        <w:t xml:space="preserve"> </w:t>
      </w:r>
      <w:r w:rsidR="009C1A77">
        <w:rPr>
          <w:rFonts w:ascii="Georgia" w:hAnsi="Georgia"/>
          <w:sz w:val="24"/>
          <w:szCs w:val="24"/>
        </w:rPr>
        <w:t xml:space="preserve">famous work.  Around 150 years before Djebar wrote her book, in 1834, the French painter Eugene Delacroix produced his own ‘Femmes </w:t>
      </w:r>
      <w:proofErr w:type="spellStart"/>
      <w:r w:rsidR="009C1A77">
        <w:rPr>
          <w:rFonts w:ascii="Georgia" w:hAnsi="Georgia"/>
          <w:sz w:val="24"/>
          <w:szCs w:val="24"/>
        </w:rPr>
        <w:t>d’Alger</w:t>
      </w:r>
      <w:proofErr w:type="spellEnd"/>
      <w:r w:rsidR="009C1A77">
        <w:rPr>
          <w:rFonts w:ascii="Georgia" w:hAnsi="Georgia"/>
          <w:sz w:val="24"/>
          <w:szCs w:val="24"/>
        </w:rPr>
        <w:t xml:space="preserve"> dans </w:t>
      </w:r>
      <w:proofErr w:type="spellStart"/>
      <w:r w:rsidR="009C1A77">
        <w:rPr>
          <w:rFonts w:ascii="Georgia" w:hAnsi="Georgia"/>
          <w:sz w:val="24"/>
          <w:szCs w:val="24"/>
        </w:rPr>
        <w:t>leur</w:t>
      </w:r>
      <w:proofErr w:type="spellEnd"/>
      <w:r w:rsidR="009C1A77">
        <w:rPr>
          <w:rFonts w:ascii="Georgia" w:hAnsi="Georgia"/>
          <w:sz w:val="24"/>
          <w:szCs w:val="24"/>
        </w:rPr>
        <w:t xml:space="preserve"> </w:t>
      </w:r>
      <w:proofErr w:type="spellStart"/>
      <w:r w:rsidR="009C1A77">
        <w:rPr>
          <w:rFonts w:ascii="Georgia" w:hAnsi="Georgia"/>
          <w:sz w:val="24"/>
          <w:szCs w:val="24"/>
        </w:rPr>
        <w:t>appartement</w:t>
      </w:r>
      <w:proofErr w:type="spellEnd"/>
      <w:r w:rsidR="009C1A77">
        <w:rPr>
          <w:rFonts w:ascii="Georgia" w:hAnsi="Georgia"/>
          <w:sz w:val="24"/>
          <w:szCs w:val="24"/>
        </w:rPr>
        <w:t xml:space="preserve">’: an oil painting depicting a </w:t>
      </w:r>
      <w:r w:rsidR="0005410E">
        <w:rPr>
          <w:rFonts w:ascii="Georgia" w:hAnsi="Georgia"/>
          <w:sz w:val="24"/>
          <w:szCs w:val="24"/>
        </w:rPr>
        <w:t xml:space="preserve">Romanticised harem scene, based upon Delacroix’s own brief experience of visiting a harem during his visit to Algiers. </w:t>
      </w:r>
      <w:r w:rsidR="00775930">
        <w:rPr>
          <w:rFonts w:ascii="Georgia" w:hAnsi="Georgia"/>
          <w:sz w:val="24"/>
          <w:szCs w:val="24"/>
        </w:rPr>
        <w:t xml:space="preserve">Delacroix’s painting is </w:t>
      </w:r>
      <w:r w:rsidR="00EB307D">
        <w:rPr>
          <w:rFonts w:ascii="Georgia" w:hAnsi="Georgia"/>
          <w:sz w:val="24"/>
          <w:szCs w:val="24"/>
        </w:rPr>
        <w:t>a</w:t>
      </w:r>
      <w:r w:rsidR="00775930">
        <w:rPr>
          <w:rFonts w:ascii="Georgia" w:hAnsi="Georgia"/>
          <w:sz w:val="24"/>
          <w:szCs w:val="24"/>
        </w:rPr>
        <w:t xml:space="preserve"> </w:t>
      </w:r>
      <w:r w:rsidR="00ED7B33">
        <w:rPr>
          <w:rFonts w:ascii="Georgia" w:hAnsi="Georgia"/>
          <w:sz w:val="24"/>
          <w:szCs w:val="24"/>
        </w:rPr>
        <w:t>voyeuristic</w:t>
      </w:r>
      <w:r w:rsidR="00775930">
        <w:rPr>
          <w:rFonts w:ascii="Georgia" w:hAnsi="Georgia"/>
          <w:sz w:val="24"/>
          <w:szCs w:val="24"/>
        </w:rPr>
        <w:t xml:space="preserve"> one, providing viewers with a ‘stolen glance’ into the exotic, eroticised world of the harem. Djebar’s choice </w:t>
      </w:r>
      <w:r w:rsidR="00852D25">
        <w:rPr>
          <w:rFonts w:ascii="Georgia" w:hAnsi="Georgia"/>
          <w:sz w:val="24"/>
          <w:szCs w:val="24"/>
        </w:rPr>
        <w:t xml:space="preserve">to use </w:t>
      </w:r>
      <w:r w:rsidR="00CE0699">
        <w:rPr>
          <w:rFonts w:ascii="Georgia" w:hAnsi="Georgia"/>
          <w:sz w:val="24"/>
          <w:szCs w:val="24"/>
        </w:rPr>
        <w:t xml:space="preserve">Delacroix’s title for her own work can be interpreted as an act of reclamation, in which Djebar challenges the </w:t>
      </w:r>
      <w:r w:rsidR="00ED7B33">
        <w:rPr>
          <w:rFonts w:ascii="Georgia" w:hAnsi="Georgia"/>
          <w:sz w:val="24"/>
          <w:szCs w:val="24"/>
        </w:rPr>
        <w:t>objectifying</w:t>
      </w:r>
      <w:r w:rsidR="00CE0699">
        <w:rPr>
          <w:rFonts w:ascii="Georgia" w:hAnsi="Georgia"/>
          <w:sz w:val="24"/>
          <w:szCs w:val="24"/>
        </w:rPr>
        <w:t xml:space="preserve"> depiction of Algerian women in the painting by presenting her own, subjective representation of their real-life experiences. </w:t>
      </w:r>
      <w:r w:rsidR="00B91A10">
        <w:rPr>
          <w:rFonts w:ascii="Georgia" w:hAnsi="Georgia"/>
          <w:sz w:val="24"/>
          <w:szCs w:val="24"/>
        </w:rPr>
        <w:t xml:space="preserve">Like Delacroix’s painting, Djebar’s story of the same name </w:t>
      </w:r>
      <w:r w:rsidR="00932659">
        <w:rPr>
          <w:rFonts w:ascii="Georgia" w:hAnsi="Georgia"/>
          <w:sz w:val="24"/>
          <w:szCs w:val="24"/>
        </w:rPr>
        <w:t>offers a vision of the female side of Algiers. Yet the Algiers experienced by Djebar’s characters is not limited to harems. Her title story encapsulates a more modern, female experience of the city: one that includes some female spaces, but also represents the ambivalence felt by many women of Algiers as they navigate the male-dominated public spaces of the city, and the psychological need to return to a place they can call their own.</w:t>
      </w:r>
      <w:r w:rsidR="00357880">
        <w:rPr>
          <w:rFonts w:ascii="Georgia" w:hAnsi="Georgia"/>
          <w:sz w:val="24"/>
          <w:szCs w:val="24"/>
        </w:rPr>
        <w:t xml:space="preserve"> </w:t>
      </w:r>
    </w:p>
    <w:p w14:paraId="762BA2CD" w14:textId="4D53FD12" w:rsidR="00D06238" w:rsidRDefault="00832576" w:rsidP="00E84848">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lastRenderedPageBreak/>
        <w:tab/>
      </w:r>
      <w:r w:rsidR="00B618A8">
        <w:rPr>
          <w:rFonts w:ascii="Georgia" w:hAnsi="Georgia"/>
          <w:sz w:val="24"/>
          <w:szCs w:val="24"/>
        </w:rPr>
        <w:t>The scene depicted in Delacroix’s painting is of a</w:t>
      </w:r>
      <w:r w:rsidR="00F16667">
        <w:rPr>
          <w:rFonts w:ascii="Georgia" w:hAnsi="Georgia"/>
          <w:sz w:val="24"/>
          <w:szCs w:val="24"/>
        </w:rPr>
        <w:t>n enclosed</w:t>
      </w:r>
      <w:r w:rsidR="00B618A8">
        <w:rPr>
          <w:rFonts w:ascii="Georgia" w:hAnsi="Georgia"/>
          <w:sz w:val="24"/>
          <w:szCs w:val="24"/>
        </w:rPr>
        <w:t xml:space="preserve"> feminine world, as </w:t>
      </w:r>
      <w:r w:rsidR="00F16667">
        <w:rPr>
          <w:rFonts w:ascii="Georgia" w:hAnsi="Georgia"/>
          <w:sz w:val="24"/>
          <w:szCs w:val="24"/>
        </w:rPr>
        <w:t xml:space="preserve">indicated by the title which specifies that the women of the painting are shown in ‘their apartment’ (the harem). </w:t>
      </w:r>
      <w:r w:rsidR="00932659">
        <w:rPr>
          <w:rFonts w:ascii="Georgia" w:hAnsi="Georgia"/>
          <w:sz w:val="24"/>
          <w:szCs w:val="24"/>
        </w:rPr>
        <w:t>U</w:t>
      </w:r>
      <w:r w:rsidR="00F16667">
        <w:rPr>
          <w:rFonts w:ascii="Georgia" w:hAnsi="Georgia"/>
          <w:sz w:val="24"/>
          <w:szCs w:val="24"/>
        </w:rPr>
        <w:t xml:space="preserve">nlike Delacroix’s painting, Djebar’s writing presents these scenes primarily from the perspective of women looking out, rather than men looking in. </w:t>
      </w:r>
      <w:r w:rsidR="00E003DF">
        <w:rPr>
          <w:rFonts w:ascii="Georgia" w:hAnsi="Georgia"/>
          <w:sz w:val="24"/>
          <w:szCs w:val="24"/>
        </w:rPr>
        <w:t xml:space="preserve">In the 150 years that elapsed between the creation of Delacroix’s painting and Djebar’s stories, the range of spaces that were accessible to women in Algiers had also expanded. </w:t>
      </w:r>
      <w:r w:rsidR="009E17E0">
        <w:rPr>
          <w:rFonts w:ascii="Georgia" w:hAnsi="Georgia"/>
          <w:sz w:val="24"/>
          <w:szCs w:val="24"/>
        </w:rPr>
        <w:t xml:space="preserve">Djebar’s ‘Women in Algiers in Their Apartment’ is set after the war for Algerian independence, which saw women </w:t>
      </w:r>
      <w:r w:rsidR="00240AEE">
        <w:rPr>
          <w:rFonts w:ascii="Georgia" w:hAnsi="Georgia"/>
          <w:sz w:val="24"/>
          <w:szCs w:val="24"/>
        </w:rPr>
        <w:t xml:space="preserve">moving from the segregated spaces of their houses out into public areas, sometimes removing their veils in the process, in order to support the revolutionary effort. </w:t>
      </w:r>
      <w:r w:rsidR="009B007F">
        <w:rPr>
          <w:rFonts w:ascii="Georgia" w:hAnsi="Georgia"/>
          <w:sz w:val="24"/>
          <w:szCs w:val="24"/>
        </w:rPr>
        <w:t xml:space="preserve">Yet this apparent ‘liberation’ was not a purely freeing experience for the women who lived through it. </w:t>
      </w:r>
      <w:r w:rsidR="001B0B8E">
        <w:rPr>
          <w:rFonts w:ascii="Georgia" w:hAnsi="Georgia"/>
          <w:sz w:val="24"/>
          <w:szCs w:val="24"/>
        </w:rPr>
        <w:t xml:space="preserve">In her essay ‘Forbidden Gaze, Severed Sound’ – published as a postface in </w:t>
      </w:r>
      <w:r w:rsidR="001B0B8E" w:rsidRPr="00E779FE">
        <w:rPr>
          <w:rFonts w:ascii="Georgia" w:hAnsi="Georgia"/>
          <w:i/>
          <w:sz w:val="24"/>
          <w:szCs w:val="24"/>
        </w:rPr>
        <w:t>Women of Algiers in Their Apartment</w:t>
      </w:r>
      <w:r w:rsidR="001B0B8E">
        <w:rPr>
          <w:rFonts w:ascii="Georgia" w:hAnsi="Georgia"/>
          <w:sz w:val="24"/>
          <w:szCs w:val="24"/>
        </w:rPr>
        <w:t xml:space="preserve"> – Djebar describes the </w:t>
      </w:r>
      <w:r w:rsidR="00E779FE">
        <w:rPr>
          <w:rFonts w:ascii="Georgia" w:hAnsi="Georgia"/>
          <w:sz w:val="24"/>
          <w:szCs w:val="24"/>
        </w:rPr>
        <w:t>complex</w:t>
      </w:r>
      <w:r w:rsidR="00F50579">
        <w:rPr>
          <w:rFonts w:ascii="Georgia" w:hAnsi="Georgia"/>
          <w:sz w:val="24"/>
          <w:szCs w:val="24"/>
        </w:rPr>
        <w:t xml:space="preserve"> feelings experienced by women venturing into the public world without their veils for the first time: </w:t>
      </w:r>
      <w:r w:rsidR="000C6953">
        <w:rPr>
          <w:rFonts w:ascii="Georgia" w:hAnsi="Georgia"/>
          <w:sz w:val="24"/>
          <w:szCs w:val="24"/>
        </w:rPr>
        <w:tab/>
      </w:r>
    </w:p>
    <w:p w14:paraId="33479CC4" w14:textId="30443464" w:rsidR="00832576" w:rsidRDefault="000C6953" w:rsidP="00D06238">
      <w:pPr>
        <w:shd w:val="clear" w:color="auto" w:fill="FFFFFF"/>
        <w:tabs>
          <w:tab w:val="left" w:pos="1080"/>
        </w:tabs>
        <w:spacing w:line="240" w:lineRule="auto"/>
        <w:ind w:left="720" w:right="720"/>
        <w:jc w:val="both"/>
        <w:rPr>
          <w:rFonts w:ascii="Georgia" w:hAnsi="Georgia"/>
          <w:sz w:val="24"/>
          <w:szCs w:val="24"/>
        </w:rPr>
      </w:pPr>
      <w:r>
        <w:rPr>
          <w:rFonts w:ascii="Georgia" w:hAnsi="Georgia"/>
          <w:sz w:val="24"/>
          <w:szCs w:val="24"/>
        </w:rPr>
        <w:t xml:space="preserve">Many a woman, often after an adolescence or her entire youth spent cloistered, has concretely lived the experience of the unveiling. The body moves forward out of the house and is, for the first time, felt as being “exposed” to every look; the gait becomes stiff, the step hasty, the facial expression tightens. </w:t>
      </w:r>
      <w:r w:rsidR="007C5354">
        <w:rPr>
          <w:rFonts w:ascii="Georgia" w:hAnsi="Georgia"/>
          <w:sz w:val="24"/>
          <w:szCs w:val="24"/>
        </w:rPr>
        <w:t xml:space="preserve">[…] </w:t>
      </w:r>
      <w:r w:rsidR="00D17100">
        <w:rPr>
          <w:rFonts w:ascii="Georgia" w:hAnsi="Georgia"/>
          <w:sz w:val="24"/>
          <w:szCs w:val="24"/>
        </w:rPr>
        <w:t>The veil that shielded her from the looks of strangers is in fact experienced as a “piece of clothing in itself” and to no longer have it means to be totally exposed.</w:t>
      </w:r>
      <w:r w:rsidR="00D06238">
        <w:rPr>
          <w:rStyle w:val="FootnoteReference"/>
          <w:rFonts w:ascii="Georgia" w:hAnsi="Georgia"/>
          <w:sz w:val="24"/>
          <w:szCs w:val="24"/>
        </w:rPr>
        <w:footnoteReference w:id="1"/>
      </w:r>
    </w:p>
    <w:p w14:paraId="5E94A619" w14:textId="7CECF0A2" w:rsidR="00D06238" w:rsidRDefault="00D17100" w:rsidP="00E84848">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In ‘Women of Algiers in Their Apartment’, </w:t>
      </w:r>
      <w:r w:rsidR="002F7A0D">
        <w:rPr>
          <w:rFonts w:ascii="Georgia" w:hAnsi="Georgia"/>
          <w:sz w:val="24"/>
          <w:szCs w:val="24"/>
        </w:rPr>
        <w:t xml:space="preserve">several years have passed since Algerian independence was established, and for women to go out in public without their veil is no longer such a viscerally uncomfortable experience. However, there remains a lingering sense of unease behind their interactions with the city. As women began to move </w:t>
      </w:r>
      <w:r w:rsidR="002F7A0D">
        <w:rPr>
          <w:rFonts w:ascii="Georgia" w:hAnsi="Georgia"/>
          <w:sz w:val="24"/>
          <w:szCs w:val="24"/>
        </w:rPr>
        <w:lastRenderedPageBreak/>
        <w:t>out into the public</w:t>
      </w:r>
      <w:r w:rsidR="00E779FE">
        <w:rPr>
          <w:rFonts w:ascii="Georgia" w:hAnsi="Georgia"/>
          <w:sz w:val="24"/>
          <w:szCs w:val="24"/>
        </w:rPr>
        <w:t xml:space="preserve"> </w:t>
      </w:r>
      <w:r w:rsidR="002F7A0D">
        <w:rPr>
          <w:rFonts w:ascii="Georgia" w:hAnsi="Georgia"/>
          <w:sz w:val="24"/>
          <w:szCs w:val="24"/>
        </w:rPr>
        <w:t xml:space="preserve">world of Algiers, the traditionally feminine side of the city began to disappear. </w:t>
      </w:r>
      <w:r w:rsidR="00F979E1">
        <w:rPr>
          <w:rFonts w:ascii="Georgia" w:hAnsi="Georgia"/>
          <w:sz w:val="24"/>
          <w:szCs w:val="24"/>
        </w:rPr>
        <w:t xml:space="preserve">Yet </w:t>
      </w:r>
      <w:r w:rsidR="00E779FE">
        <w:rPr>
          <w:rFonts w:ascii="Georgia" w:hAnsi="Georgia"/>
          <w:sz w:val="24"/>
          <w:szCs w:val="24"/>
        </w:rPr>
        <w:t>the</w:t>
      </w:r>
      <w:r w:rsidR="00F979E1">
        <w:rPr>
          <w:rFonts w:ascii="Georgia" w:hAnsi="Georgia"/>
          <w:sz w:val="24"/>
          <w:szCs w:val="24"/>
        </w:rPr>
        <w:t xml:space="preserve"> public sphere, male-dominated as it is, is no substitute for the old ‘women’s world’ that existed before. As a result, there is a sense of loss among the women in Djebar’s short story, of having exchanged one cage for another. </w:t>
      </w:r>
      <w:r w:rsidR="0026056C">
        <w:rPr>
          <w:rFonts w:ascii="Georgia" w:hAnsi="Georgia"/>
          <w:sz w:val="24"/>
          <w:szCs w:val="24"/>
        </w:rPr>
        <w:t xml:space="preserve">This is articulated most </w:t>
      </w:r>
      <w:r w:rsidR="001A6179">
        <w:rPr>
          <w:rFonts w:ascii="Georgia" w:hAnsi="Georgia"/>
          <w:sz w:val="24"/>
          <w:szCs w:val="24"/>
        </w:rPr>
        <w:t>explicitly</w:t>
      </w:r>
      <w:r w:rsidR="0026056C">
        <w:rPr>
          <w:rFonts w:ascii="Georgia" w:hAnsi="Georgia"/>
          <w:sz w:val="24"/>
          <w:szCs w:val="24"/>
        </w:rPr>
        <w:t xml:space="preserve"> by Sarah, a woman whose trauma </w:t>
      </w:r>
      <w:r w:rsidR="001A6179">
        <w:rPr>
          <w:rFonts w:ascii="Georgia" w:hAnsi="Georgia"/>
          <w:sz w:val="24"/>
          <w:szCs w:val="24"/>
        </w:rPr>
        <w:t xml:space="preserve">from her experiences during the war for independence manifests </w:t>
      </w:r>
      <w:r w:rsidR="00E779FE">
        <w:rPr>
          <w:rFonts w:ascii="Georgia" w:hAnsi="Georgia"/>
          <w:sz w:val="24"/>
          <w:szCs w:val="24"/>
        </w:rPr>
        <w:t xml:space="preserve">itself </w:t>
      </w:r>
      <w:r w:rsidR="001A6179">
        <w:rPr>
          <w:rFonts w:ascii="Georgia" w:hAnsi="Georgia"/>
          <w:sz w:val="24"/>
          <w:szCs w:val="24"/>
        </w:rPr>
        <w:t xml:space="preserve">as a fascination with the city and the history of women within it: </w:t>
      </w:r>
    </w:p>
    <w:p w14:paraId="328539F4" w14:textId="318536D0" w:rsidR="00D17100" w:rsidRDefault="001A6179" w:rsidP="00D06238">
      <w:pPr>
        <w:shd w:val="clear" w:color="auto" w:fill="FFFFFF"/>
        <w:tabs>
          <w:tab w:val="left" w:pos="1080"/>
        </w:tabs>
        <w:spacing w:line="240" w:lineRule="auto"/>
        <w:ind w:left="720" w:right="720"/>
        <w:jc w:val="both"/>
        <w:rPr>
          <w:rFonts w:ascii="Georgia" w:hAnsi="Georgia"/>
          <w:sz w:val="24"/>
          <w:szCs w:val="24"/>
        </w:rPr>
      </w:pPr>
      <w:r>
        <w:rPr>
          <w:rFonts w:ascii="Georgia" w:hAnsi="Georgia"/>
          <w:sz w:val="24"/>
          <w:szCs w:val="24"/>
        </w:rPr>
        <w:t>‘Leila said it only yesterday: I was a voiceless prisoner. A little like certain women of Algiers today, you see them going around outside without the ancestral veil, and yet, out of fear of the new and unexpected situations, they become entangled in other veils, invisible but very noticeable ones.’</w:t>
      </w:r>
      <w:r>
        <w:rPr>
          <w:rStyle w:val="FootnoteReference"/>
          <w:rFonts w:ascii="Georgia" w:hAnsi="Georgia"/>
          <w:sz w:val="24"/>
          <w:szCs w:val="24"/>
        </w:rPr>
        <w:footnoteReference w:id="2"/>
      </w:r>
    </w:p>
    <w:p w14:paraId="28D59550" w14:textId="77777777" w:rsidR="00A93232" w:rsidRDefault="001A6179" w:rsidP="00E84848">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 xml:space="preserve">This echoes a statement made by Djebar directly in her </w:t>
      </w:r>
      <w:proofErr w:type="gramStart"/>
      <w:r>
        <w:rPr>
          <w:rFonts w:ascii="Georgia" w:hAnsi="Georgia"/>
          <w:sz w:val="24"/>
          <w:szCs w:val="24"/>
        </w:rPr>
        <w:t>aforementioned essay</w:t>
      </w:r>
      <w:proofErr w:type="gramEnd"/>
      <w:r>
        <w:rPr>
          <w:rFonts w:ascii="Georgia" w:hAnsi="Georgia"/>
          <w:sz w:val="24"/>
          <w:szCs w:val="24"/>
        </w:rPr>
        <w:t xml:space="preserve">, in which she describes the younger generations’ rejection of the old ‘totally separate world of women’: </w:t>
      </w:r>
    </w:p>
    <w:p w14:paraId="28482DB4" w14:textId="38A5EDF6" w:rsidR="00832576" w:rsidRDefault="00A953CF" w:rsidP="00D06238">
      <w:pPr>
        <w:shd w:val="clear" w:color="auto" w:fill="FFFFFF"/>
        <w:tabs>
          <w:tab w:val="left" w:pos="1080"/>
        </w:tabs>
        <w:spacing w:line="240" w:lineRule="auto"/>
        <w:ind w:left="720" w:right="720"/>
        <w:jc w:val="both"/>
        <w:rPr>
          <w:rFonts w:ascii="Georgia" w:hAnsi="Georgia"/>
          <w:sz w:val="24"/>
          <w:szCs w:val="24"/>
        </w:rPr>
      </w:pPr>
      <w:r>
        <w:rPr>
          <w:rFonts w:ascii="Georgia" w:hAnsi="Georgia"/>
          <w:sz w:val="24"/>
          <w:szCs w:val="24"/>
        </w:rPr>
        <w:t>A world from which the growing boy</w:t>
      </w:r>
      <w:r w:rsidR="006B6BBB">
        <w:rPr>
          <w:rFonts w:ascii="Georgia" w:hAnsi="Georgia"/>
          <w:sz w:val="24"/>
          <w:szCs w:val="24"/>
        </w:rPr>
        <w:t xml:space="preserve"> removes himself, but from which today’s young, self-emancipating girl distances herself as well. For </w:t>
      </w:r>
      <w:proofErr w:type="gramStart"/>
      <w:r w:rsidR="006B6BBB">
        <w:rPr>
          <w:rFonts w:ascii="Georgia" w:hAnsi="Georgia"/>
          <w:sz w:val="24"/>
          <w:szCs w:val="24"/>
        </w:rPr>
        <w:t>her in particular, the</w:t>
      </w:r>
      <w:proofErr w:type="gramEnd"/>
      <w:r w:rsidR="006B6BBB">
        <w:rPr>
          <w:rFonts w:ascii="Georgia" w:hAnsi="Georgia"/>
          <w:sz w:val="24"/>
          <w:szCs w:val="24"/>
        </w:rPr>
        <w:t xml:space="preserve"> distancing amounts to shifting the location of her muteness: she exchanges the women’s quarters and the old community for an often deceptive one-on-one with a man. Thus, this world of women, when it no longer hums with the whisperings of an ancillary tenderness, of lost ballads […] suddenly, barrenly, becomes the world of autism.</w:t>
      </w:r>
      <w:r w:rsidR="00A37558" w:rsidRPr="00A37558">
        <w:rPr>
          <w:rStyle w:val="FootnoteReference"/>
          <w:rFonts w:ascii="Georgia" w:hAnsi="Georgia"/>
          <w:sz w:val="24"/>
          <w:szCs w:val="24"/>
        </w:rPr>
        <w:t xml:space="preserve"> </w:t>
      </w:r>
      <w:r w:rsidR="00A37558">
        <w:rPr>
          <w:rStyle w:val="FootnoteReference"/>
          <w:rFonts w:ascii="Georgia" w:hAnsi="Georgia"/>
          <w:sz w:val="24"/>
          <w:szCs w:val="24"/>
        </w:rPr>
        <w:footnoteReference w:id="3"/>
      </w:r>
    </w:p>
    <w:p w14:paraId="50A6BEBF" w14:textId="468F77B0" w:rsidR="00A37558" w:rsidRDefault="00D06238" w:rsidP="00565623">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This </w:t>
      </w:r>
      <w:r w:rsidR="00B5707E">
        <w:rPr>
          <w:rFonts w:ascii="Georgia" w:hAnsi="Georgia"/>
          <w:sz w:val="24"/>
          <w:szCs w:val="24"/>
        </w:rPr>
        <w:t xml:space="preserve">search for a </w:t>
      </w:r>
      <w:r w:rsidR="00565623">
        <w:rPr>
          <w:rFonts w:ascii="Georgia" w:hAnsi="Georgia"/>
          <w:sz w:val="24"/>
          <w:szCs w:val="24"/>
        </w:rPr>
        <w:t>free space recurs throughout Djebar’s work. In particular, the requirement seems to be for a space that allows women to look out, without (male) others looking in. The harem of days gone by does not satisfy this requirement, because it suggests a kind of restriction</w:t>
      </w:r>
      <w:r w:rsidR="006F2A72">
        <w:rPr>
          <w:rFonts w:ascii="Georgia" w:hAnsi="Georgia"/>
          <w:sz w:val="24"/>
          <w:szCs w:val="24"/>
        </w:rPr>
        <w:t xml:space="preserve"> on women’s movement, but that does not stop women like Sarah from mourning the loss of this fundamentally feminine space. </w:t>
      </w:r>
      <w:r w:rsidR="00D71EDD">
        <w:rPr>
          <w:rFonts w:ascii="Georgia" w:hAnsi="Georgia"/>
          <w:sz w:val="24"/>
          <w:szCs w:val="24"/>
        </w:rPr>
        <w:t xml:space="preserve">What she wants is, essentially, a </w:t>
      </w:r>
      <w:r w:rsidR="00D71EDD">
        <w:rPr>
          <w:rFonts w:ascii="Georgia" w:hAnsi="Georgia"/>
          <w:sz w:val="24"/>
          <w:szCs w:val="24"/>
        </w:rPr>
        <w:lastRenderedPageBreak/>
        <w:t>heterotopic space for women. Such a female heterotopia would fall somewhere along the lines of Foucault’s idea of a ‘heterotopia of deviation’.</w:t>
      </w:r>
      <w:r w:rsidR="00D71EDD">
        <w:rPr>
          <w:rStyle w:val="FootnoteReference"/>
          <w:rFonts w:ascii="Georgia" w:hAnsi="Georgia"/>
          <w:sz w:val="24"/>
          <w:szCs w:val="24"/>
        </w:rPr>
        <w:footnoteReference w:id="4"/>
      </w:r>
      <w:r w:rsidR="00D71EDD">
        <w:rPr>
          <w:rFonts w:ascii="Georgia" w:hAnsi="Georgia"/>
          <w:sz w:val="24"/>
          <w:szCs w:val="24"/>
        </w:rPr>
        <w:t xml:space="preserve"> While it may appear strange to classify the spaces belonging to half the population as being those of ‘deviation’, I would argue that in a world where all spaces are by default assumed to be the domain of men (including all public areas), those which </w:t>
      </w:r>
      <w:r w:rsidR="00E779FE">
        <w:rPr>
          <w:rFonts w:ascii="Georgia" w:hAnsi="Georgia"/>
          <w:sz w:val="24"/>
          <w:szCs w:val="24"/>
        </w:rPr>
        <w:t xml:space="preserve">exist </w:t>
      </w:r>
      <w:r w:rsidR="00D71EDD">
        <w:rPr>
          <w:rFonts w:ascii="Georgia" w:hAnsi="Georgia"/>
          <w:sz w:val="24"/>
          <w:szCs w:val="24"/>
        </w:rPr>
        <w:t xml:space="preserve">for women are naturally those of deviation. There has historically been less of a divide between </w:t>
      </w:r>
      <w:r w:rsidR="00E779FE">
        <w:rPr>
          <w:rFonts w:ascii="Georgia" w:hAnsi="Georgia"/>
          <w:sz w:val="24"/>
          <w:szCs w:val="24"/>
        </w:rPr>
        <w:t>explicitly</w:t>
      </w:r>
      <w:r w:rsidR="00D71EDD">
        <w:rPr>
          <w:rFonts w:ascii="Georgia" w:hAnsi="Georgia"/>
          <w:sz w:val="24"/>
          <w:szCs w:val="24"/>
        </w:rPr>
        <w:t xml:space="preserve"> male and female spaces in a segregated household, with perhaps a ‘neutral zone’ in between, than there has a setup of female spaces surrounded by all others (assumed to be male).</w:t>
      </w:r>
      <w:r w:rsidR="00D71EDD">
        <w:rPr>
          <w:rStyle w:val="FootnoteReference"/>
          <w:rFonts w:ascii="Georgia" w:hAnsi="Georgia"/>
          <w:sz w:val="24"/>
          <w:szCs w:val="24"/>
        </w:rPr>
        <w:footnoteReference w:id="5"/>
      </w:r>
      <w:r w:rsidR="00EA7E99">
        <w:rPr>
          <w:rFonts w:ascii="Georgia" w:hAnsi="Georgia"/>
          <w:sz w:val="24"/>
          <w:szCs w:val="24"/>
        </w:rPr>
        <w:t xml:space="preserve"> In losing the female </w:t>
      </w:r>
      <w:r w:rsidR="00E779FE">
        <w:rPr>
          <w:rFonts w:ascii="Georgia" w:hAnsi="Georgia"/>
          <w:sz w:val="24"/>
          <w:szCs w:val="24"/>
        </w:rPr>
        <w:t>ones</w:t>
      </w:r>
      <w:r w:rsidR="00EA7E99">
        <w:rPr>
          <w:rFonts w:ascii="Georgia" w:hAnsi="Georgia"/>
          <w:sz w:val="24"/>
          <w:szCs w:val="24"/>
        </w:rPr>
        <w:t xml:space="preserve">, Algerian women are set adrift in a world of </w:t>
      </w:r>
      <w:r w:rsidR="006055FC">
        <w:rPr>
          <w:rFonts w:ascii="Georgia" w:hAnsi="Georgia"/>
          <w:sz w:val="24"/>
          <w:szCs w:val="24"/>
        </w:rPr>
        <w:t xml:space="preserve">implicitly male spaces. As </w:t>
      </w:r>
      <w:r w:rsidR="00EC6ED7">
        <w:rPr>
          <w:rFonts w:ascii="Georgia" w:hAnsi="Georgia"/>
          <w:sz w:val="24"/>
          <w:szCs w:val="24"/>
        </w:rPr>
        <w:t>Victoria Best</w:t>
      </w:r>
      <w:r w:rsidR="006055FC">
        <w:rPr>
          <w:rFonts w:ascii="Georgia" w:hAnsi="Georgia"/>
          <w:sz w:val="24"/>
          <w:szCs w:val="24"/>
        </w:rPr>
        <w:t xml:space="preserve"> writes, this search for a women’s space is crucial to Djebar’s writing: </w:t>
      </w:r>
    </w:p>
    <w:p w14:paraId="6256864C" w14:textId="3996697D" w:rsidR="006055FC" w:rsidRDefault="005B5FF1" w:rsidP="008042E0">
      <w:pPr>
        <w:shd w:val="clear" w:color="auto" w:fill="FFFFFF"/>
        <w:tabs>
          <w:tab w:val="left" w:pos="1080"/>
        </w:tabs>
        <w:spacing w:line="240" w:lineRule="auto"/>
        <w:ind w:left="720" w:right="720"/>
        <w:jc w:val="both"/>
        <w:rPr>
          <w:rFonts w:ascii="Georgia" w:hAnsi="Georgia"/>
          <w:sz w:val="24"/>
          <w:szCs w:val="24"/>
        </w:rPr>
      </w:pPr>
      <w:r>
        <w:rPr>
          <w:rFonts w:ascii="Georgia" w:hAnsi="Georgia"/>
          <w:sz w:val="24"/>
          <w:szCs w:val="24"/>
        </w:rPr>
        <w:t>[Djebar’s texts]</w:t>
      </w:r>
      <w:r w:rsidR="003A65DD">
        <w:rPr>
          <w:rFonts w:ascii="Georgia" w:hAnsi="Georgia"/>
          <w:sz w:val="24"/>
          <w:szCs w:val="24"/>
        </w:rPr>
        <w:t xml:space="preserve"> provide a representative chronicle of women’s battle to inscribe themselves in space, a space that is paradigmatic of postcolonial life where past and present, tradition and innovation, and a multiplicity of voices and discourses can comfortably co</w:t>
      </w:r>
      <w:r w:rsidR="008042E0">
        <w:rPr>
          <w:rFonts w:ascii="Georgia" w:hAnsi="Georgia"/>
          <w:sz w:val="24"/>
          <w:szCs w:val="24"/>
        </w:rPr>
        <w:t xml:space="preserve">habit. Her writing maps out the search of a socio-sexual-historical space for women in </w:t>
      </w:r>
      <w:proofErr w:type="spellStart"/>
      <w:r w:rsidR="008042E0">
        <w:rPr>
          <w:rFonts w:ascii="Georgia" w:hAnsi="Georgia"/>
          <w:sz w:val="24"/>
          <w:szCs w:val="24"/>
        </w:rPr>
        <w:t>postrevolutionary</w:t>
      </w:r>
      <w:proofErr w:type="spellEnd"/>
      <w:r w:rsidR="008042E0">
        <w:rPr>
          <w:rFonts w:ascii="Georgia" w:hAnsi="Georgia"/>
          <w:sz w:val="24"/>
          <w:szCs w:val="24"/>
        </w:rPr>
        <w:t xml:space="preserve"> times, and the battlefield this time is domestic space itself and the renegotiation of its boundaries (Erickson 1996, 304).</w:t>
      </w:r>
      <w:r w:rsidR="00237278">
        <w:rPr>
          <w:rStyle w:val="FootnoteReference"/>
          <w:rFonts w:ascii="Georgia" w:hAnsi="Georgia"/>
          <w:sz w:val="24"/>
          <w:szCs w:val="24"/>
        </w:rPr>
        <w:footnoteReference w:id="6"/>
      </w:r>
    </w:p>
    <w:p w14:paraId="05C650E1" w14:textId="0EDEE6DB" w:rsidR="008042E0" w:rsidRDefault="009C34A4" w:rsidP="00565623">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There is not a total lack of female spaces in Djebar’s Algiers, but they are not as common (nor as protected from the male gaze) as they used to</w:t>
      </w:r>
      <w:r w:rsidR="00BC3420">
        <w:rPr>
          <w:rFonts w:ascii="Georgia" w:hAnsi="Georgia"/>
          <w:sz w:val="24"/>
          <w:szCs w:val="24"/>
        </w:rPr>
        <w:t xml:space="preserve"> be</w:t>
      </w:r>
      <w:r>
        <w:rPr>
          <w:rFonts w:ascii="Georgia" w:hAnsi="Georgia"/>
          <w:sz w:val="24"/>
          <w:szCs w:val="24"/>
        </w:rPr>
        <w:t xml:space="preserve">. </w:t>
      </w:r>
      <w:r w:rsidR="00947612">
        <w:rPr>
          <w:rFonts w:ascii="Georgia" w:hAnsi="Georgia"/>
          <w:sz w:val="24"/>
          <w:szCs w:val="24"/>
        </w:rPr>
        <w:t xml:space="preserve">When Sarah and a group of other women are seemingly alone in an orchard, one of them comments upon how </w:t>
      </w:r>
      <w:r w:rsidR="00CE17D2">
        <w:rPr>
          <w:rFonts w:ascii="Georgia" w:hAnsi="Georgia"/>
          <w:sz w:val="24"/>
          <w:szCs w:val="24"/>
        </w:rPr>
        <w:t>‘It’s so nice and quiet, far away from the men’ – yet they are also aware of a po</w:t>
      </w:r>
      <w:r w:rsidR="00AB76DF">
        <w:rPr>
          <w:rFonts w:ascii="Georgia" w:hAnsi="Georgia"/>
          <w:sz w:val="24"/>
          <w:szCs w:val="24"/>
        </w:rPr>
        <w:t>ssible</w:t>
      </w:r>
      <w:r w:rsidR="00CE17D2">
        <w:rPr>
          <w:rFonts w:ascii="Georgia" w:hAnsi="Georgia"/>
          <w:sz w:val="24"/>
          <w:szCs w:val="24"/>
        </w:rPr>
        <w:t xml:space="preserve"> male observer </w:t>
      </w:r>
      <w:r w:rsidR="00E779FE">
        <w:rPr>
          <w:rFonts w:ascii="Georgia" w:hAnsi="Georgia"/>
          <w:sz w:val="24"/>
          <w:szCs w:val="24"/>
        </w:rPr>
        <w:t xml:space="preserve">at a window </w:t>
      </w:r>
      <w:r w:rsidR="00CE17D2">
        <w:rPr>
          <w:rFonts w:ascii="Georgia" w:hAnsi="Georgia"/>
          <w:sz w:val="24"/>
          <w:szCs w:val="24"/>
        </w:rPr>
        <w:t>above them: ‘no doubt a male cousin who’d come to watch the girls dancing in the dark.’</w:t>
      </w:r>
      <w:r w:rsidR="00CE17D2">
        <w:rPr>
          <w:rStyle w:val="FootnoteReference"/>
          <w:rFonts w:ascii="Georgia" w:hAnsi="Georgia"/>
          <w:sz w:val="24"/>
          <w:szCs w:val="24"/>
        </w:rPr>
        <w:footnoteReference w:id="7"/>
      </w:r>
      <w:r w:rsidR="003679F1">
        <w:rPr>
          <w:rFonts w:ascii="Georgia" w:hAnsi="Georgia"/>
          <w:sz w:val="24"/>
          <w:szCs w:val="24"/>
        </w:rPr>
        <w:t xml:space="preserve"> </w:t>
      </w:r>
      <w:r w:rsidR="00FE5A3D">
        <w:rPr>
          <w:rFonts w:ascii="Georgia" w:hAnsi="Georgia"/>
          <w:sz w:val="24"/>
          <w:szCs w:val="24"/>
        </w:rPr>
        <w:t xml:space="preserve">Perhaps the closest the story comes to a female space </w:t>
      </w:r>
      <w:r w:rsidR="00D26C6F">
        <w:rPr>
          <w:rFonts w:ascii="Georgia" w:hAnsi="Georgia"/>
          <w:sz w:val="24"/>
          <w:szCs w:val="24"/>
        </w:rPr>
        <w:t xml:space="preserve">is the public </w:t>
      </w:r>
      <w:r w:rsidR="00D26C6F">
        <w:rPr>
          <w:rFonts w:ascii="Georgia" w:hAnsi="Georgia"/>
          <w:sz w:val="24"/>
          <w:szCs w:val="24"/>
        </w:rPr>
        <w:lastRenderedPageBreak/>
        <w:t xml:space="preserve">baths, which is the site of a conversation that sums up the </w:t>
      </w:r>
      <w:r w:rsidR="0072343F">
        <w:rPr>
          <w:rFonts w:ascii="Georgia" w:hAnsi="Georgia"/>
          <w:sz w:val="24"/>
          <w:szCs w:val="24"/>
        </w:rPr>
        <w:t>ambivalence</w:t>
      </w:r>
      <w:r w:rsidR="00D26C6F">
        <w:rPr>
          <w:rFonts w:ascii="Georgia" w:hAnsi="Georgia"/>
          <w:sz w:val="24"/>
          <w:szCs w:val="24"/>
        </w:rPr>
        <w:t xml:space="preserve"> experienced by Djebar’s characters when it comes to female spaces</w:t>
      </w:r>
      <w:r w:rsidR="00E779FE">
        <w:rPr>
          <w:rFonts w:ascii="Georgia" w:hAnsi="Georgia"/>
          <w:sz w:val="24"/>
          <w:szCs w:val="24"/>
        </w:rPr>
        <w:t xml:space="preserve"> (or the lack thereof)</w:t>
      </w:r>
      <w:r w:rsidR="00D26C6F">
        <w:rPr>
          <w:rFonts w:ascii="Georgia" w:hAnsi="Georgia"/>
          <w:sz w:val="24"/>
          <w:szCs w:val="24"/>
        </w:rPr>
        <w:t>:</w:t>
      </w:r>
    </w:p>
    <w:p w14:paraId="10A370F9" w14:textId="7F8A5D9A" w:rsidR="00D26C6F" w:rsidRDefault="00D26C6F" w:rsidP="00D26C6F">
      <w:pPr>
        <w:shd w:val="clear" w:color="auto" w:fill="FFFFFF"/>
        <w:tabs>
          <w:tab w:val="left" w:pos="1080"/>
        </w:tabs>
        <w:spacing w:after="0" w:line="240" w:lineRule="auto"/>
        <w:ind w:left="720" w:right="720"/>
        <w:jc w:val="both"/>
        <w:rPr>
          <w:rFonts w:ascii="Georgia" w:hAnsi="Georgia"/>
          <w:sz w:val="24"/>
          <w:szCs w:val="24"/>
        </w:rPr>
      </w:pPr>
      <w:r>
        <w:rPr>
          <w:rFonts w:ascii="Georgia" w:hAnsi="Georgia"/>
          <w:sz w:val="24"/>
          <w:szCs w:val="24"/>
        </w:rPr>
        <w:tab/>
        <w:t>The unknown woman intervenes: “In a socialist village, […] peasant women have broken the faucets so that they can go to the fountain every day! … such ignorance!”</w:t>
      </w:r>
    </w:p>
    <w:p w14:paraId="7A35C7B7" w14:textId="24FC05C0" w:rsidR="00D26C6F" w:rsidRDefault="00D26C6F" w:rsidP="00D26C6F">
      <w:pPr>
        <w:shd w:val="clear" w:color="auto" w:fill="FFFFFF"/>
        <w:tabs>
          <w:tab w:val="left" w:pos="1080"/>
        </w:tabs>
        <w:spacing w:after="0" w:line="240" w:lineRule="auto"/>
        <w:ind w:left="720" w:right="720"/>
        <w:jc w:val="both"/>
        <w:rPr>
          <w:rFonts w:ascii="Georgia" w:hAnsi="Georgia"/>
          <w:sz w:val="24"/>
          <w:szCs w:val="24"/>
        </w:rPr>
      </w:pPr>
      <w:r>
        <w:rPr>
          <w:rFonts w:ascii="Georgia" w:hAnsi="Georgia"/>
          <w:sz w:val="24"/>
          <w:szCs w:val="24"/>
        </w:rPr>
        <w:tab/>
        <w:t xml:space="preserve">“Freedom!” replies </w:t>
      </w:r>
      <w:proofErr w:type="spellStart"/>
      <w:r>
        <w:rPr>
          <w:rFonts w:ascii="Georgia" w:hAnsi="Georgia"/>
          <w:sz w:val="24"/>
          <w:szCs w:val="24"/>
        </w:rPr>
        <w:t>Baya</w:t>
      </w:r>
      <w:proofErr w:type="spellEnd"/>
      <w:r>
        <w:rPr>
          <w:rFonts w:ascii="Georgia" w:hAnsi="Georgia"/>
          <w:sz w:val="24"/>
          <w:szCs w:val="24"/>
        </w:rPr>
        <w:t xml:space="preserve">, coming out of the steam room. “How were the new houses built for them? Closed in, every one of them, locked in upon herself… Is that how they live in the </w:t>
      </w:r>
      <w:proofErr w:type="spellStart"/>
      <w:r>
        <w:rPr>
          <w:rFonts w:ascii="Georgia" w:hAnsi="Georgia"/>
          <w:sz w:val="24"/>
          <w:szCs w:val="24"/>
        </w:rPr>
        <w:t>douar</w:t>
      </w:r>
      <w:proofErr w:type="spellEnd"/>
      <w:r>
        <w:rPr>
          <w:rFonts w:ascii="Georgia" w:hAnsi="Georgia"/>
          <w:sz w:val="24"/>
          <w:szCs w:val="24"/>
        </w:rPr>
        <w:t>?”</w:t>
      </w:r>
    </w:p>
    <w:p w14:paraId="73756C3E" w14:textId="17253037" w:rsidR="00D26C6F" w:rsidRDefault="00D26C6F" w:rsidP="00D26C6F">
      <w:pPr>
        <w:shd w:val="clear" w:color="auto" w:fill="FFFFFF"/>
        <w:tabs>
          <w:tab w:val="left" w:pos="1080"/>
        </w:tabs>
        <w:spacing w:line="240" w:lineRule="auto"/>
        <w:ind w:left="720" w:right="720"/>
        <w:jc w:val="both"/>
        <w:rPr>
          <w:rFonts w:ascii="Georgia" w:hAnsi="Georgia"/>
          <w:sz w:val="24"/>
          <w:szCs w:val="24"/>
        </w:rPr>
      </w:pPr>
      <w:r>
        <w:rPr>
          <w:rFonts w:ascii="Georgia" w:hAnsi="Georgia"/>
          <w:sz w:val="24"/>
          <w:szCs w:val="24"/>
        </w:rPr>
        <w:tab/>
        <w:t>“What wouldn’t I break, inside of me or outside if need be, to get back with the others? To get back to the water that streams, that sings, that gets lost, that sets us all free, if only bit by bit.” Sarah has stopped listening.</w:t>
      </w:r>
    </w:p>
    <w:p w14:paraId="7B1D16EC" w14:textId="3A4F8FC8" w:rsidR="00D26C6F" w:rsidRDefault="00D26C6F" w:rsidP="00423D26">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423D26">
        <w:rPr>
          <w:rFonts w:ascii="Georgia" w:hAnsi="Georgia"/>
          <w:sz w:val="24"/>
          <w:szCs w:val="24"/>
        </w:rPr>
        <w:t xml:space="preserve">The Algiers that Djebar depicts in </w:t>
      </w:r>
      <w:r w:rsidR="00E779FE">
        <w:rPr>
          <w:rFonts w:ascii="Georgia" w:hAnsi="Georgia"/>
          <w:sz w:val="24"/>
          <w:szCs w:val="24"/>
        </w:rPr>
        <w:t>‘</w:t>
      </w:r>
      <w:r w:rsidR="00423D26">
        <w:rPr>
          <w:rFonts w:ascii="Georgia" w:hAnsi="Georgia"/>
          <w:sz w:val="24"/>
          <w:szCs w:val="24"/>
        </w:rPr>
        <w:t>Women of Algiers</w:t>
      </w:r>
      <w:r w:rsidR="00E779FE">
        <w:rPr>
          <w:rFonts w:ascii="Georgia" w:hAnsi="Georgia"/>
          <w:sz w:val="24"/>
          <w:szCs w:val="24"/>
        </w:rPr>
        <w:t xml:space="preserve"> in Their Apartment’</w:t>
      </w:r>
      <w:r w:rsidR="00423D26">
        <w:rPr>
          <w:rFonts w:ascii="Georgia" w:hAnsi="Georgia"/>
          <w:sz w:val="24"/>
          <w:szCs w:val="24"/>
        </w:rPr>
        <w:t xml:space="preserve"> is not a universal one. The experience of the city which she depicts is subjective, as it shows predominantly only the side of the city experienced by women. </w:t>
      </w:r>
      <w:r w:rsidR="001645DA">
        <w:rPr>
          <w:rFonts w:ascii="Georgia" w:hAnsi="Georgia"/>
          <w:sz w:val="24"/>
          <w:szCs w:val="24"/>
        </w:rPr>
        <w:t>She shows how a female experience of Algiers is shaped by historical context, and how there is a sense of both loss and freedom associated with the situation that history has led into. T</w:t>
      </w:r>
      <w:r w:rsidR="00423D26">
        <w:rPr>
          <w:rFonts w:ascii="Georgia" w:hAnsi="Georgia"/>
          <w:sz w:val="24"/>
          <w:szCs w:val="24"/>
        </w:rPr>
        <w:t xml:space="preserve">his view of the city, though </w:t>
      </w:r>
      <w:r w:rsidR="001645DA">
        <w:rPr>
          <w:rFonts w:ascii="Georgia" w:hAnsi="Georgia"/>
          <w:sz w:val="24"/>
          <w:szCs w:val="24"/>
        </w:rPr>
        <w:t xml:space="preserve">often seen through the windows of public baths, houses, and </w:t>
      </w:r>
      <w:r w:rsidR="00743EF9">
        <w:rPr>
          <w:rFonts w:ascii="Georgia" w:hAnsi="Georgia"/>
          <w:sz w:val="24"/>
          <w:szCs w:val="24"/>
        </w:rPr>
        <w:t>courtyards</w:t>
      </w:r>
      <w:bookmarkStart w:id="4" w:name="_GoBack"/>
      <w:bookmarkEnd w:id="4"/>
      <w:r w:rsidR="001645DA">
        <w:rPr>
          <w:rFonts w:ascii="Georgia" w:hAnsi="Georgia"/>
          <w:sz w:val="24"/>
          <w:szCs w:val="24"/>
        </w:rPr>
        <w:t xml:space="preserve">, is as much representative of the city as a male one that looks from the public sphere outwards. In </w:t>
      </w:r>
      <w:r w:rsidR="00E779FE">
        <w:rPr>
          <w:rFonts w:ascii="Georgia" w:hAnsi="Georgia"/>
          <w:sz w:val="24"/>
          <w:szCs w:val="24"/>
        </w:rPr>
        <w:t>‘</w:t>
      </w:r>
      <w:r w:rsidR="001645DA">
        <w:rPr>
          <w:rFonts w:ascii="Georgia" w:hAnsi="Georgia"/>
          <w:sz w:val="24"/>
          <w:szCs w:val="24"/>
        </w:rPr>
        <w:t>Women of Algiers</w:t>
      </w:r>
      <w:r w:rsidR="00E779FE">
        <w:rPr>
          <w:rFonts w:ascii="Georgia" w:hAnsi="Georgia"/>
          <w:sz w:val="24"/>
          <w:szCs w:val="24"/>
        </w:rPr>
        <w:t xml:space="preserve"> in Their Apartment’</w:t>
      </w:r>
      <w:r w:rsidR="001645DA">
        <w:rPr>
          <w:rFonts w:ascii="Georgia" w:hAnsi="Georgia"/>
          <w:sz w:val="24"/>
          <w:szCs w:val="24"/>
        </w:rPr>
        <w:t xml:space="preserve">, Djebar shows a less frequently shown, yet </w:t>
      </w:r>
      <w:r w:rsidR="00AB76DF">
        <w:rPr>
          <w:rFonts w:ascii="Georgia" w:hAnsi="Georgia"/>
          <w:sz w:val="24"/>
          <w:szCs w:val="24"/>
        </w:rPr>
        <w:t>no less</w:t>
      </w:r>
      <w:r w:rsidR="001645DA">
        <w:rPr>
          <w:rFonts w:ascii="Georgia" w:hAnsi="Georgia"/>
          <w:sz w:val="24"/>
          <w:szCs w:val="24"/>
        </w:rPr>
        <w:t xml:space="preserve"> resonant, vision of Algiers.</w:t>
      </w:r>
    </w:p>
    <w:p w14:paraId="5D569587" w14:textId="5DB34E28" w:rsidR="00832576" w:rsidRDefault="00832576" w:rsidP="00E84848">
      <w:pPr>
        <w:shd w:val="clear" w:color="auto" w:fill="FFFFFF"/>
        <w:tabs>
          <w:tab w:val="left" w:pos="1080"/>
        </w:tabs>
        <w:spacing w:after="0" w:line="480" w:lineRule="auto"/>
        <w:jc w:val="both"/>
        <w:rPr>
          <w:rFonts w:ascii="Georgia" w:hAnsi="Georgia"/>
          <w:sz w:val="24"/>
          <w:szCs w:val="24"/>
        </w:rPr>
      </w:pPr>
    </w:p>
    <w:p w14:paraId="42CA46DF" w14:textId="650DB9E4" w:rsidR="00832576" w:rsidRDefault="00832576" w:rsidP="00E84848">
      <w:pPr>
        <w:shd w:val="clear" w:color="auto" w:fill="FFFFFF"/>
        <w:tabs>
          <w:tab w:val="left" w:pos="1080"/>
        </w:tabs>
        <w:spacing w:after="0" w:line="480" w:lineRule="auto"/>
        <w:jc w:val="both"/>
        <w:rPr>
          <w:rFonts w:ascii="Georgia" w:hAnsi="Georgia"/>
          <w:sz w:val="24"/>
          <w:szCs w:val="24"/>
        </w:rPr>
      </w:pPr>
    </w:p>
    <w:p w14:paraId="5AA15AB6" w14:textId="77777777" w:rsidR="00832576" w:rsidRDefault="00832576" w:rsidP="00E84848">
      <w:pPr>
        <w:shd w:val="clear" w:color="auto" w:fill="FFFFFF"/>
        <w:tabs>
          <w:tab w:val="left" w:pos="1080"/>
        </w:tabs>
        <w:spacing w:after="0" w:line="480" w:lineRule="auto"/>
        <w:jc w:val="both"/>
        <w:rPr>
          <w:rFonts w:ascii="Georgia" w:hAnsi="Georgia"/>
          <w:sz w:val="24"/>
          <w:szCs w:val="24"/>
        </w:rPr>
      </w:pPr>
    </w:p>
    <w:p w14:paraId="4D2C8837" w14:textId="717E8F9F" w:rsidR="004B76CA" w:rsidRDefault="004B76CA" w:rsidP="00E84848">
      <w:pPr>
        <w:shd w:val="clear" w:color="auto" w:fill="FFFFFF"/>
        <w:tabs>
          <w:tab w:val="left" w:pos="1080"/>
        </w:tabs>
        <w:spacing w:after="0" w:line="480" w:lineRule="auto"/>
        <w:jc w:val="both"/>
        <w:rPr>
          <w:rFonts w:ascii="Georgia" w:hAnsi="Georgia"/>
          <w:sz w:val="24"/>
          <w:szCs w:val="24"/>
        </w:rPr>
      </w:pPr>
    </w:p>
    <w:p w14:paraId="1F58B608" w14:textId="294C20B5" w:rsidR="00E779FE" w:rsidRDefault="00E779FE" w:rsidP="00E84848">
      <w:pPr>
        <w:shd w:val="clear" w:color="auto" w:fill="FFFFFF"/>
        <w:tabs>
          <w:tab w:val="left" w:pos="1080"/>
        </w:tabs>
        <w:spacing w:after="0" w:line="480" w:lineRule="auto"/>
        <w:jc w:val="both"/>
        <w:rPr>
          <w:rFonts w:ascii="Georgia" w:hAnsi="Georgia"/>
          <w:sz w:val="24"/>
          <w:szCs w:val="24"/>
        </w:rPr>
      </w:pPr>
    </w:p>
    <w:p w14:paraId="688F8463" w14:textId="77777777" w:rsidR="00E779FE" w:rsidRDefault="00E779FE" w:rsidP="00E84848">
      <w:pPr>
        <w:shd w:val="clear" w:color="auto" w:fill="FFFFFF"/>
        <w:tabs>
          <w:tab w:val="left" w:pos="1080"/>
        </w:tabs>
        <w:spacing w:after="0" w:line="480" w:lineRule="auto"/>
        <w:jc w:val="both"/>
        <w:rPr>
          <w:rFonts w:ascii="Georgia" w:hAnsi="Georgia"/>
          <w:sz w:val="24"/>
          <w:szCs w:val="24"/>
        </w:rPr>
      </w:pPr>
    </w:p>
    <w:p w14:paraId="029318FE" w14:textId="77777777" w:rsidR="004B76CA" w:rsidRDefault="004B76CA" w:rsidP="00E84848">
      <w:pPr>
        <w:shd w:val="clear" w:color="auto" w:fill="FFFFFF"/>
        <w:tabs>
          <w:tab w:val="left" w:pos="1080"/>
        </w:tabs>
        <w:spacing w:after="0" w:line="480" w:lineRule="auto"/>
        <w:jc w:val="both"/>
        <w:rPr>
          <w:rFonts w:ascii="Georgia" w:hAnsi="Georgia"/>
          <w:sz w:val="24"/>
          <w:szCs w:val="24"/>
        </w:rPr>
      </w:pPr>
    </w:p>
    <w:p w14:paraId="18F7964D" w14:textId="77777777" w:rsidR="00835087" w:rsidRDefault="00835087" w:rsidP="00835087">
      <w:pPr>
        <w:shd w:val="clear" w:color="auto" w:fill="FFFFFF"/>
        <w:tabs>
          <w:tab w:val="left" w:pos="1080"/>
        </w:tabs>
        <w:spacing w:after="0" w:line="480" w:lineRule="auto"/>
        <w:jc w:val="both"/>
        <w:rPr>
          <w:rFonts w:ascii="Georgia" w:hAnsi="Georgia"/>
          <w:sz w:val="28"/>
          <w:szCs w:val="28"/>
        </w:rPr>
      </w:pPr>
    </w:p>
    <w:p w14:paraId="09E8B3F2" w14:textId="6645A5D4" w:rsidR="001259E8" w:rsidRPr="00674647" w:rsidRDefault="0014185B" w:rsidP="00835087">
      <w:pPr>
        <w:shd w:val="clear" w:color="auto" w:fill="FFFFFF"/>
        <w:tabs>
          <w:tab w:val="left" w:pos="1080"/>
        </w:tabs>
        <w:spacing w:after="0" w:line="480" w:lineRule="auto"/>
        <w:jc w:val="center"/>
        <w:rPr>
          <w:rFonts w:ascii="Georgia" w:hAnsi="Georgia"/>
          <w:sz w:val="24"/>
          <w:szCs w:val="24"/>
        </w:rPr>
      </w:pPr>
      <w:r w:rsidRPr="00863CDE">
        <w:rPr>
          <w:rFonts w:ascii="Georgia" w:hAnsi="Georgia"/>
          <w:sz w:val="28"/>
          <w:szCs w:val="28"/>
        </w:rPr>
        <w:lastRenderedPageBreak/>
        <w:t>Bibliography</w:t>
      </w:r>
    </w:p>
    <w:p w14:paraId="73B23DB9" w14:textId="77777777" w:rsidR="00632C77" w:rsidRPr="002220FC" w:rsidRDefault="00632C77" w:rsidP="002220FC">
      <w:pPr>
        <w:spacing w:after="0" w:line="480" w:lineRule="auto"/>
        <w:ind w:left="360" w:hanging="360"/>
        <w:rPr>
          <w:rFonts w:ascii="Georgia" w:hAnsi="Georgia"/>
        </w:rPr>
      </w:pPr>
      <w:proofErr w:type="spellStart"/>
      <w:r w:rsidRPr="002220FC">
        <w:rPr>
          <w:rFonts w:ascii="Georgia" w:hAnsi="Georgia"/>
        </w:rPr>
        <w:t>Aksit</w:t>
      </w:r>
      <w:proofErr w:type="spellEnd"/>
      <w:r>
        <w:rPr>
          <w:rFonts w:ascii="Georgia" w:hAnsi="Georgia"/>
        </w:rPr>
        <w:t xml:space="preserve">, </w:t>
      </w:r>
      <w:proofErr w:type="spellStart"/>
      <w:r w:rsidRPr="002220FC">
        <w:rPr>
          <w:rFonts w:ascii="Georgia" w:hAnsi="Georgia"/>
        </w:rPr>
        <w:t>Elif</w:t>
      </w:r>
      <w:proofErr w:type="spellEnd"/>
      <w:r w:rsidRPr="002220FC">
        <w:rPr>
          <w:rFonts w:ascii="Georgia" w:hAnsi="Georgia"/>
        </w:rPr>
        <w:t xml:space="preserve"> </w:t>
      </w:r>
      <w:proofErr w:type="spellStart"/>
      <w:r w:rsidRPr="002220FC">
        <w:rPr>
          <w:rFonts w:ascii="Georgia" w:hAnsi="Georgia"/>
        </w:rPr>
        <w:t>Ekin</w:t>
      </w:r>
      <w:proofErr w:type="spellEnd"/>
      <w:r w:rsidRPr="002220FC">
        <w:rPr>
          <w:rFonts w:ascii="Georgia" w:hAnsi="Georgia"/>
        </w:rPr>
        <w:t xml:space="preserve">, ‘Harem education and heterotopic imagination’, </w:t>
      </w:r>
      <w:r w:rsidRPr="00632C77">
        <w:rPr>
          <w:rFonts w:ascii="Georgia" w:hAnsi="Georgia"/>
          <w:i/>
        </w:rPr>
        <w:t>Gender &amp; Education</w:t>
      </w:r>
      <w:r w:rsidRPr="002220FC">
        <w:rPr>
          <w:rFonts w:ascii="Georgia" w:hAnsi="Georgia"/>
        </w:rPr>
        <w:t>, 23(3) 2011, 299-312</w:t>
      </w:r>
    </w:p>
    <w:p w14:paraId="17F6E76F" w14:textId="77777777" w:rsidR="00632C77" w:rsidRDefault="00632C77" w:rsidP="002220FC">
      <w:pPr>
        <w:spacing w:after="0" w:line="480" w:lineRule="auto"/>
        <w:ind w:left="360" w:hanging="360"/>
        <w:rPr>
          <w:rFonts w:ascii="Georgia" w:hAnsi="Georgia"/>
        </w:rPr>
      </w:pPr>
      <w:r w:rsidRPr="002220FC">
        <w:rPr>
          <w:rFonts w:ascii="Georgia" w:hAnsi="Georgia"/>
        </w:rPr>
        <w:t xml:space="preserve"> Best,</w:t>
      </w:r>
      <w:r>
        <w:rPr>
          <w:rFonts w:ascii="Georgia" w:hAnsi="Georgia"/>
        </w:rPr>
        <w:t xml:space="preserve"> Victoria,</w:t>
      </w:r>
      <w:r w:rsidRPr="002220FC">
        <w:rPr>
          <w:rFonts w:ascii="Georgia" w:hAnsi="Georgia"/>
        </w:rPr>
        <w:t xml:space="preserve"> ‘Between the Harem and the Battlefield: Domestic Space in the Work of </w:t>
      </w:r>
      <w:proofErr w:type="spellStart"/>
      <w:r w:rsidRPr="002220FC">
        <w:rPr>
          <w:rFonts w:ascii="Georgia" w:hAnsi="Georgia"/>
        </w:rPr>
        <w:t>Assia</w:t>
      </w:r>
      <w:proofErr w:type="spellEnd"/>
      <w:r w:rsidRPr="002220FC">
        <w:rPr>
          <w:rFonts w:ascii="Georgia" w:hAnsi="Georgia"/>
        </w:rPr>
        <w:t xml:space="preserve"> Djebar’, </w:t>
      </w:r>
      <w:r w:rsidRPr="00632C77">
        <w:rPr>
          <w:rFonts w:ascii="Georgia" w:hAnsi="Georgia"/>
          <w:i/>
        </w:rPr>
        <w:t>Signs: Journal of Women in Culture &amp; Society</w:t>
      </w:r>
      <w:r w:rsidRPr="002220FC">
        <w:rPr>
          <w:rFonts w:ascii="Georgia" w:hAnsi="Georgia"/>
        </w:rPr>
        <w:t>, 27(3) 2002, 873-880</w:t>
      </w:r>
    </w:p>
    <w:p w14:paraId="76193F4C" w14:textId="77777777" w:rsidR="00632C77" w:rsidRDefault="00632C77" w:rsidP="00A12FA9">
      <w:pPr>
        <w:spacing w:after="0" w:line="480" w:lineRule="auto"/>
        <w:ind w:left="360" w:hanging="360"/>
        <w:rPr>
          <w:rFonts w:ascii="Georgia" w:hAnsi="Georgia"/>
        </w:rPr>
      </w:pPr>
      <w:r w:rsidRPr="002220FC">
        <w:rPr>
          <w:rFonts w:ascii="Georgia" w:hAnsi="Georgia"/>
        </w:rPr>
        <w:t>Djebar</w:t>
      </w:r>
      <w:r>
        <w:rPr>
          <w:rFonts w:ascii="Georgia" w:hAnsi="Georgia"/>
        </w:rPr>
        <w:t>,</w:t>
      </w:r>
      <w:r w:rsidRPr="002220FC">
        <w:rPr>
          <w:rFonts w:ascii="Georgia" w:hAnsi="Georgia"/>
        </w:rPr>
        <w:t xml:space="preserve"> </w:t>
      </w:r>
      <w:proofErr w:type="spellStart"/>
      <w:r w:rsidRPr="002220FC">
        <w:rPr>
          <w:rFonts w:ascii="Georgia" w:hAnsi="Georgia"/>
        </w:rPr>
        <w:t>Assia</w:t>
      </w:r>
      <w:proofErr w:type="spellEnd"/>
      <w:r w:rsidRPr="002220FC">
        <w:rPr>
          <w:rFonts w:ascii="Georgia" w:hAnsi="Georgia"/>
        </w:rPr>
        <w:t xml:space="preserve">, </w:t>
      </w:r>
      <w:r w:rsidRPr="00632C77">
        <w:rPr>
          <w:rFonts w:ascii="Georgia" w:hAnsi="Georgia"/>
          <w:i/>
        </w:rPr>
        <w:t>Women of Algiers in Their Apartment</w:t>
      </w:r>
      <w:r w:rsidRPr="002220FC">
        <w:rPr>
          <w:rFonts w:ascii="Georgia" w:hAnsi="Georgia"/>
        </w:rPr>
        <w:t xml:space="preserve"> (Charlottesville: University Press of Virginia, 1999)</w:t>
      </w:r>
    </w:p>
    <w:p w14:paraId="419E4CBB" w14:textId="77777777" w:rsidR="00632C77" w:rsidRPr="004E48FB" w:rsidRDefault="00632C77" w:rsidP="00A12FA9">
      <w:pPr>
        <w:spacing w:after="0" w:line="480" w:lineRule="auto"/>
        <w:ind w:left="360" w:hanging="360"/>
        <w:rPr>
          <w:rFonts w:ascii="Georgia" w:hAnsi="Georgia"/>
        </w:rPr>
      </w:pPr>
      <w:r w:rsidRPr="00632C77">
        <w:rPr>
          <w:rFonts w:ascii="Georgia" w:hAnsi="Georgia"/>
        </w:rPr>
        <w:t>Fanon,</w:t>
      </w:r>
      <w:r>
        <w:rPr>
          <w:rFonts w:ascii="Georgia" w:hAnsi="Georgia"/>
        </w:rPr>
        <w:t xml:space="preserve"> </w:t>
      </w:r>
      <w:r w:rsidRPr="00632C77">
        <w:rPr>
          <w:rFonts w:ascii="Georgia" w:hAnsi="Georgia"/>
        </w:rPr>
        <w:t>Frantz</w:t>
      </w:r>
      <w:r>
        <w:rPr>
          <w:rFonts w:ascii="Georgia" w:hAnsi="Georgia"/>
        </w:rPr>
        <w:t>,</w:t>
      </w:r>
      <w:r w:rsidRPr="00632C77">
        <w:rPr>
          <w:rFonts w:ascii="Georgia" w:hAnsi="Georgia"/>
        </w:rPr>
        <w:t xml:space="preserve"> ‘Algeria Unveiled’</w:t>
      </w:r>
      <w:r>
        <w:rPr>
          <w:rFonts w:ascii="Georgia" w:hAnsi="Georgia"/>
        </w:rPr>
        <w:t>,</w:t>
      </w:r>
      <w:r w:rsidRPr="00632C77">
        <w:rPr>
          <w:rFonts w:ascii="Georgia" w:hAnsi="Georgia"/>
        </w:rPr>
        <w:t xml:space="preserve"> in </w:t>
      </w:r>
      <w:r w:rsidRPr="00632C77">
        <w:rPr>
          <w:rFonts w:ascii="Georgia" w:hAnsi="Georgia"/>
          <w:i/>
          <w:iCs/>
        </w:rPr>
        <w:t>A Dying Colonialism</w:t>
      </w:r>
      <w:r w:rsidRPr="00632C77">
        <w:rPr>
          <w:rFonts w:ascii="Georgia" w:hAnsi="Georgia"/>
        </w:rPr>
        <w:t> (Harmondsworth: Penguin, 1970)</w:t>
      </w:r>
    </w:p>
    <w:p w14:paraId="70F2812A" w14:textId="77777777" w:rsidR="00632C77" w:rsidRPr="002220FC" w:rsidRDefault="00632C77" w:rsidP="002220FC">
      <w:pPr>
        <w:spacing w:after="0" w:line="480" w:lineRule="auto"/>
        <w:ind w:left="360" w:hanging="360"/>
        <w:rPr>
          <w:rFonts w:ascii="Georgia" w:hAnsi="Georgia"/>
        </w:rPr>
      </w:pPr>
      <w:r w:rsidRPr="002220FC">
        <w:rPr>
          <w:rFonts w:ascii="Georgia" w:hAnsi="Georgia"/>
        </w:rPr>
        <w:t>Foucault</w:t>
      </w:r>
      <w:r>
        <w:rPr>
          <w:rFonts w:ascii="Georgia" w:hAnsi="Georgia"/>
        </w:rPr>
        <w:t>,</w:t>
      </w:r>
      <w:r w:rsidRPr="002220FC">
        <w:rPr>
          <w:rFonts w:ascii="Georgia" w:hAnsi="Georgia"/>
        </w:rPr>
        <w:t xml:space="preserve"> Michel and </w:t>
      </w:r>
      <w:proofErr w:type="spellStart"/>
      <w:r w:rsidRPr="002220FC">
        <w:rPr>
          <w:rFonts w:ascii="Georgia" w:hAnsi="Georgia"/>
        </w:rPr>
        <w:t>Miskowiec</w:t>
      </w:r>
      <w:proofErr w:type="spellEnd"/>
      <w:r>
        <w:rPr>
          <w:rFonts w:ascii="Georgia" w:hAnsi="Georgia"/>
        </w:rPr>
        <w:t>,</w:t>
      </w:r>
      <w:r w:rsidRPr="002220FC">
        <w:rPr>
          <w:rFonts w:ascii="Georgia" w:hAnsi="Georgia"/>
        </w:rPr>
        <w:t xml:space="preserve"> </w:t>
      </w:r>
      <w:r w:rsidRPr="002220FC">
        <w:rPr>
          <w:rFonts w:ascii="Georgia" w:hAnsi="Georgia"/>
        </w:rPr>
        <w:t xml:space="preserve">Jay, </w:t>
      </w:r>
      <w:r>
        <w:rPr>
          <w:rFonts w:ascii="Georgia" w:hAnsi="Georgia"/>
        </w:rPr>
        <w:t>‘</w:t>
      </w:r>
      <w:r w:rsidRPr="002220FC">
        <w:rPr>
          <w:rFonts w:ascii="Georgia" w:hAnsi="Georgia"/>
        </w:rPr>
        <w:t>Of Other Spaces</w:t>
      </w:r>
      <w:r>
        <w:rPr>
          <w:rFonts w:ascii="Georgia" w:hAnsi="Georgia"/>
        </w:rPr>
        <w:t>’</w:t>
      </w:r>
      <w:r w:rsidRPr="002220FC">
        <w:rPr>
          <w:rFonts w:ascii="Georgia" w:hAnsi="Georgia"/>
        </w:rPr>
        <w:t xml:space="preserve">, </w:t>
      </w:r>
      <w:r w:rsidRPr="00632C77">
        <w:rPr>
          <w:rFonts w:ascii="Georgia" w:hAnsi="Georgia"/>
          <w:i/>
        </w:rPr>
        <w:t>Diacritics</w:t>
      </w:r>
      <w:r w:rsidRPr="002220FC">
        <w:rPr>
          <w:rFonts w:ascii="Georgia" w:hAnsi="Georgia"/>
        </w:rPr>
        <w:t>, 16(1) 1986, 22-27</w:t>
      </w:r>
    </w:p>
    <w:p w14:paraId="2252234B" w14:textId="77777777" w:rsidR="00632C77" w:rsidRDefault="00632C77" w:rsidP="00A12FA9">
      <w:pPr>
        <w:spacing w:after="0" w:line="480" w:lineRule="auto"/>
        <w:ind w:left="360" w:hanging="360"/>
        <w:rPr>
          <w:rFonts w:ascii="Georgia" w:hAnsi="Georgia"/>
        </w:rPr>
      </w:pPr>
      <w:proofErr w:type="spellStart"/>
      <w:r>
        <w:rPr>
          <w:rFonts w:ascii="Georgia" w:hAnsi="Georgia"/>
        </w:rPr>
        <w:t>Voela</w:t>
      </w:r>
      <w:proofErr w:type="spellEnd"/>
      <w:r>
        <w:rPr>
          <w:rFonts w:ascii="Georgia" w:hAnsi="Georgia"/>
        </w:rPr>
        <w:t>, Angie, ‘</w:t>
      </w:r>
      <w:r w:rsidRPr="00A12FA9">
        <w:rPr>
          <w:rFonts w:ascii="Georgia" w:hAnsi="Georgia"/>
        </w:rPr>
        <w:t>Heterotopia revisited: Foucault and Lacan on feminine subjectivity</w:t>
      </w:r>
      <w:r>
        <w:rPr>
          <w:rFonts w:ascii="Georgia" w:hAnsi="Georgia"/>
        </w:rPr>
        <w:t xml:space="preserve">’, </w:t>
      </w:r>
      <w:r w:rsidRPr="00632C77">
        <w:rPr>
          <w:rFonts w:ascii="Georgia" w:hAnsi="Georgia"/>
          <w:i/>
        </w:rPr>
        <w:t>Subjectivity</w:t>
      </w:r>
      <w:r>
        <w:rPr>
          <w:rFonts w:ascii="Georgia" w:hAnsi="Georgia"/>
        </w:rPr>
        <w:t>, 4(2) 2011,</w:t>
      </w:r>
      <w:r w:rsidRPr="00A12FA9">
        <w:rPr>
          <w:rFonts w:ascii="Georgia" w:hAnsi="Georgia"/>
        </w:rPr>
        <w:t xml:space="preserve"> 168-182</w:t>
      </w:r>
    </w:p>
    <w:sectPr w:rsidR="00632C77" w:rsidSect="00563515">
      <w:headerReference w:type="default" r:id="rId8"/>
      <w:pgSz w:w="12240" w:h="15840"/>
      <w:pgMar w:top="1389" w:right="1389" w:bottom="1389" w:left="138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092B5D" w14:textId="77777777" w:rsidR="001C5308" w:rsidRDefault="001C5308" w:rsidP="007A6B7C">
      <w:pPr>
        <w:spacing w:after="0" w:line="240" w:lineRule="auto"/>
      </w:pPr>
      <w:r>
        <w:separator/>
      </w:r>
    </w:p>
  </w:endnote>
  <w:endnote w:type="continuationSeparator" w:id="0">
    <w:p w14:paraId="4AEA5EDD" w14:textId="77777777" w:rsidR="001C5308" w:rsidRDefault="001C5308" w:rsidP="007A6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31112" w14:textId="77777777" w:rsidR="001C5308" w:rsidRDefault="001C5308" w:rsidP="007A6B7C">
      <w:pPr>
        <w:spacing w:after="0" w:line="240" w:lineRule="auto"/>
      </w:pPr>
      <w:r>
        <w:separator/>
      </w:r>
    </w:p>
  </w:footnote>
  <w:footnote w:type="continuationSeparator" w:id="0">
    <w:p w14:paraId="4373C8DF" w14:textId="77777777" w:rsidR="001C5308" w:rsidRDefault="001C5308" w:rsidP="007A6B7C">
      <w:pPr>
        <w:spacing w:after="0" w:line="240" w:lineRule="auto"/>
      </w:pPr>
      <w:r>
        <w:continuationSeparator/>
      </w:r>
    </w:p>
  </w:footnote>
  <w:footnote w:id="1">
    <w:p w14:paraId="5D82C0D0" w14:textId="00E3E82D" w:rsidR="0024228F" w:rsidRDefault="00D06238">
      <w:pPr>
        <w:pStyle w:val="FootnoteText"/>
      </w:pPr>
      <w:r>
        <w:rPr>
          <w:rStyle w:val="FootnoteReference"/>
        </w:rPr>
        <w:footnoteRef/>
      </w:r>
      <w:r w:rsidR="0024228F">
        <w:t xml:space="preserve"> </w:t>
      </w:r>
      <w:bookmarkStart w:id="0" w:name="_Hlk532741541"/>
      <w:proofErr w:type="spellStart"/>
      <w:r w:rsidR="0024228F">
        <w:t>Assia</w:t>
      </w:r>
      <w:proofErr w:type="spellEnd"/>
      <w:r w:rsidR="0024228F">
        <w:t xml:space="preserve"> Djebar, ‘Forbidden Gaze, Severed Sound’, in </w:t>
      </w:r>
      <w:r w:rsidR="0024228F" w:rsidRPr="0024228F">
        <w:rPr>
          <w:i/>
        </w:rPr>
        <w:t>Women of Algiers in Their Apartment</w:t>
      </w:r>
      <w:r w:rsidR="0024228F">
        <w:t xml:space="preserve"> (Charlottesville: University Press of Virginia, 1999), p. 139.</w:t>
      </w:r>
      <w:bookmarkEnd w:id="0"/>
    </w:p>
  </w:footnote>
  <w:footnote w:id="2">
    <w:p w14:paraId="4E3F26EB" w14:textId="11D85FA1" w:rsidR="001A6179" w:rsidRDefault="001A6179">
      <w:pPr>
        <w:pStyle w:val="FootnoteText"/>
      </w:pPr>
      <w:r>
        <w:rPr>
          <w:rStyle w:val="FootnoteReference"/>
        </w:rPr>
        <w:footnoteRef/>
      </w:r>
      <w:r>
        <w:t xml:space="preserve"> </w:t>
      </w:r>
      <w:bookmarkStart w:id="1" w:name="_Hlk532741559"/>
      <w:proofErr w:type="spellStart"/>
      <w:r w:rsidR="0024228F">
        <w:t>Assia</w:t>
      </w:r>
      <w:proofErr w:type="spellEnd"/>
      <w:r w:rsidR="0024228F">
        <w:t xml:space="preserve"> Djebar, ‘Women of Algiers in Their Apartment’, in </w:t>
      </w:r>
      <w:r w:rsidRPr="0024228F">
        <w:rPr>
          <w:i/>
        </w:rPr>
        <w:t>Women of Algiers</w:t>
      </w:r>
      <w:r w:rsidR="0024228F" w:rsidRPr="0024228F">
        <w:rPr>
          <w:i/>
        </w:rPr>
        <w:t xml:space="preserve"> in Their Apartment</w:t>
      </w:r>
      <w:r w:rsidR="0024228F">
        <w:t xml:space="preserve"> (Charlottesville: University of Virginia Press, 1999)</w:t>
      </w:r>
      <w:r>
        <w:t>, pp. 47-8.</w:t>
      </w:r>
      <w:bookmarkEnd w:id="1"/>
    </w:p>
  </w:footnote>
  <w:footnote w:id="3">
    <w:p w14:paraId="7C0A2F81" w14:textId="5D1037E3" w:rsidR="00A37558" w:rsidRDefault="00A37558" w:rsidP="00A37558">
      <w:pPr>
        <w:pStyle w:val="FootnoteText"/>
      </w:pPr>
      <w:r>
        <w:rPr>
          <w:rStyle w:val="FootnoteReference"/>
        </w:rPr>
        <w:footnoteRef/>
      </w:r>
      <w:r>
        <w:t xml:space="preserve"> Djebar</w:t>
      </w:r>
      <w:r w:rsidR="0024228F">
        <w:t>, ‘Forbidden Gaze, Severed Sound’</w:t>
      </w:r>
      <w:r>
        <w:t>, p. 148.</w:t>
      </w:r>
    </w:p>
  </w:footnote>
  <w:footnote w:id="4">
    <w:p w14:paraId="24519B17" w14:textId="35FAF02C" w:rsidR="00D71EDD" w:rsidRDefault="00D71EDD">
      <w:pPr>
        <w:pStyle w:val="FootnoteText"/>
      </w:pPr>
      <w:r>
        <w:rPr>
          <w:rStyle w:val="FootnoteReference"/>
        </w:rPr>
        <w:footnoteRef/>
      </w:r>
      <w:r>
        <w:t xml:space="preserve"> </w:t>
      </w:r>
      <w:bookmarkStart w:id="2" w:name="_Hlk532741577"/>
      <w:r w:rsidR="0072343F">
        <w:t xml:space="preserve">Michel Foucault and Jay </w:t>
      </w:r>
      <w:proofErr w:type="spellStart"/>
      <w:r w:rsidR="0072343F">
        <w:t>Miskowiec</w:t>
      </w:r>
      <w:proofErr w:type="spellEnd"/>
      <w:r w:rsidR="0072343F">
        <w:t xml:space="preserve">, </w:t>
      </w:r>
      <w:r w:rsidR="00632C77">
        <w:t>‘</w:t>
      </w:r>
      <w:r w:rsidR="00237278" w:rsidRPr="00237278">
        <w:t>Of Other Spaces</w:t>
      </w:r>
      <w:r w:rsidR="00632C77">
        <w:t>’</w:t>
      </w:r>
      <w:r w:rsidR="0072343F">
        <w:t xml:space="preserve">, </w:t>
      </w:r>
      <w:r w:rsidR="00237278" w:rsidRPr="0072343F">
        <w:rPr>
          <w:i/>
        </w:rPr>
        <w:t>Diacritics</w:t>
      </w:r>
      <w:r w:rsidR="00237278" w:rsidRPr="00237278">
        <w:t xml:space="preserve">, </w:t>
      </w:r>
      <w:r w:rsidR="0072343F">
        <w:t>16(1)</w:t>
      </w:r>
      <w:r w:rsidR="00237278" w:rsidRPr="00237278">
        <w:t xml:space="preserve"> 1986</w:t>
      </w:r>
      <w:r w:rsidR="0072343F">
        <w:t>,</w:t>
      </w:r>
      <w:r w:rsidR="00237278" w:rsidRPr="00237278">
        <w:t xml:space="preserve"> 22-27</w:t>
      </w:r>
      <w:r w:rsidR="0072343F">
        <w:t>.</w:t>
      </w:r>
    </w:p>
  </w:footnote>
  <w:footnote w:id="5">
    <w:p w14:paraId="3BB2E832" w14:textId="0449B395" w:rsidR="00D71EDD" w:rsidRDefault="00D71EDD" w:rsidP="00237278">
      <w:pPr>
        <w:pStyle w:val="FootnoteText"/>
      </w:pPr>
      <w:r>
        <w:rPr>
          <w:rStyle w:val="FootnoteReference"/>
        </w:rPr>
        <w:footnoteRef/>
      </w:r>
      <w:r>
        <w:t xml:space="preserve"> </w:t>
      </w:r>
      <w:proofErr w:type="spellStart"/>
      <w:r w:rsidR="00237278">
        <w:t>Elif</w:t>
      </w:r>
      <w:proofErr w:type="spellEnd"/>
      <w:r w:rsidR="00237278">
        <w:t xml:space="preserve"> </w:t>
      </w:r>
      <w:proofErr w:type="spellStart"/>
      <w:r w:rsidR="00237278">
        <w:t>Ekin</w:t>
      </w:r>
      <w:proofErr w:type="spellEnd"/>
      <w:r w:rsidR="00237278">
        <w:t xml:space="preserve"> </w:t>
      </w:r>
      <w:proofErr w:type="spellStart"/>
      <w:r w:rsidR="00237278">
        <w:t>Aksit</w:t>
      </w:r>
      <w:proofErr w:type="spellEnd"/>
      <w:r w:rsidR="00237278">
        <w:t>, ‘</w:t>
      </w:r>
      <w:r w:rsidR="00237278">
        <w:t>Harem education and heterotopic imagination</w:t>
      </w:r>
      <w:r w:rsidR="00237278">
        <w:t xml:space="preserve">’, </w:t>
      </w:r>
      <w:r w:rsidR="00237278" w:rsidRPr="00237278">
        <w:rPr>
          <w:i/>
        </w:rPr>
        <w:t>Gender &amp; Education</w:t>
      </w:r>
      <w:r w:rsidR="00237278">
        <w:t xml:space="preserve">, </w:t>
      </w:r>
      <w:r w:rsidR="00237278">
        <w:t xml:space="preserve">23(3) </w:t>
      </w:r>
      <w:r w:rsidR="00237278">
        <w:t>2011</w:t>
      </w:r>
      <w:r w:rsidR="00237278">
        <w:t xml:space="preserve">, </w:t>
      </w:r>
      <w:r w:rsidR="00237278">
        <w:t>299-312</w:t>
      </w:r>
      <w:r w:rsidR="00237278">
        <w:t>.</w:t>
      </w:r>
    </w:p>
  </w:footnote>
  <w:footnote w:id="6">
    <w:p w14:paraId="760E27FD" w14:textId="77777777" w:rsidR="00237278" w:rsidRDefault="00237278" w:rsidP="00237278">
      <w:pPr>
        <w:pStyle w:val="FootnoteText"/>
      </w:pPr>
      <w:r>
        <w:rPr>
          <w:rStyle w:val="FootnoteReference"/>
        </w:rPr>
        <w:footnoteRef/>
      </w:r>
      <w:r>
        <w:t xml:space="preserve"> </w:t>
      </w:r>
      <w:r>
        <w:t>Victoria</w:t>
      </w:r>
      <w:r>
        <w:t xml:space="preserve"> Best, ‘</w:t>
      </w:r>
      <w:bookmarkStart w:id="3" w:name="citation"/>
      <w:r w:rsidRPr="00237278">
        <w:t xml:space="preserve">Between the Harem and the Battlefield: Domestic Space in the Work of </w:t>
      </w:r>
      <w:proofErr w:type="spellStart"/>
      <w:r w:rsidRPr="00237278">
        <w:t>Assia</w:t>
      </w:r>
      <w:proofErr w:type="spellEnd"/>
      <w:r w:rsidRPr="00237278">
        <w:t xml:space="preserve"> Djebar</w:t>
      </w:r>
      <w:bookmarkEnd w:id="3"/>
      <w:r>
        <w:t xml:space="preserve">’, </w:t>
      </w:r>
      <w:r w:rsidRPr="00237278">
        <w:rPr>
          <w:i/>
        </w:rPr>
        <w:t>Signs: Journal of Women in Culture &amp; Society</w:t>
      </w:r>
      <w:r>
        <w:t>, 27(3) 2002</w:t>
      </w:r>
      <w:r>
        <w:t>, 873-880</w:t>
      </w:r>
      <w:r>
        <w:t xml:space="preserve"> (p. 875).</w:t>
      </w:r>
    </w:p>
  </w:footnote>
  <w:footnote w:id="7">
    <w:p w14:paraId="64B14239" w14:textId="2BA2CEF1" w:rsidR="00CE17D2" w:rsidRDefault="00CE17D2">
      <w:pPr>
        <w:pStyle w:val="FootnoteText"/>
      </w:pPr>
      <w:r>
        <w:rPr>
          <w:rStyle w:val="FootnoteReference"/>
        </w:rPr>
        <w:footnoteRef/>
      </w:r>
      <w:r>
        <w:t xml:space="preserve"> </w:t>
      </w:r>
      <w:r w:rsidR="0024228F">
        <w:t>Djebar, ‘</w:t>
      </w:r>
      <w:r>
        <w:t>Women of Algiers</w:t>
      </w:r>
      <w:r w:rsidR="0024228F">
        <w:t xml:space="preserve"> in Their Apartment’</w:t>
      </w:r>
      <w:r>
        <w:t>, p.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6DD48" w14:textId="4BBC18FD" w:rsidR="008E5C37" w:rsidRPr="007A6B7C" w:rsidRDefault="008E5C37">
    <w:pPr>
      <w:pStyle w:val="Header"/>
      <w:jc w:val="right"/>
      <w:rPr>
        <w:rFonts w:ascii="Georgia" w:hAnsi="Georgia"/>
        <w:sz w:val="24"/>
        <w:szCs w:val="24"/>
      </w:rPr>
    </w:pPr>
    <w:r>
      <w:rPr>
        <w:rFonts w:ascii="Georgia" w:hAnsi="Georgia"/>
        <w:sz w:val="24"/>
        <w:szCs w:val="24"/>
      </w:rPr>
      <w:t>1601141</w:t>
    </w:r>
    <w:r w:rsidRPr="007A6B7C">
      <w:rPr>
        <w:rFonts w:ascii="Georgia" w:hAnsi="Georgia"/>
        <w:sz w:val="24"/>
        <w:szCs w:val="24"/>
      </w:rPr>
      <w:t xml:space="preserve"> </w:t>
    </w:r>
    <w:sdt>
      <w:sdtPr>
        <w:rPr>
          <w:rFonts w:ascii="Georgia" w:hAnsi="Georgia"/>
          <w:sz w:val="24"/>
          <w:szCs w:val="24"/>
        </w:rPr>
        <w:id w:val="487141716"/>
        <w:docPartObj>
          <w:docPartGallery w:val="Page Numbers (Top of Page)"/>
          <w:docPartUnique/>
        </w:docPartObj>
      </w:sdtPr>
      <w:sdtEndPr>
        <w:rPr>
          <w:noProof/>
        </w:rPr>
      </w:sdtEndPr>
      <w:sdtContent>
        <w:r w:rsidRPr="007A6B7C">
          <w:rPr>
            <w:rFonts w:ascii="Georgia" w:hAnsi="Georgia"/>
            <w:sz w:val="24"/>
            <w:szCs w:val="24"/>
          </w:rPr>
          <w:fldChar w:fldCharType="begin"/>
        </w:r>
        <w:r w:rsidRPr="007A6B7C">
          <w:rPr>
            <w:rFonts w:ascii="Georgia" w:hAnsi="Georgia"/>
            <w:sz w:val="24"/>
            <w:szCs w:val="24"/>
          </w:rPr>
          <w:instrText xml:space="preserve"> PAGE   \* MERGEFORMAT </w:instrText>
        </w:r>
        <w:r w:rsidRPr="007A6B7C">
          <w:rPr>
            <w:rFonts w:ascii="Georgia" w:hAnsi="Georgia"/>
            <w:sz w:val="24"/>
            <w:szCs w:val="24"/>
          </w:rPr>
          <w:fldChar w:fldCharType="separate"/>
        </w:r>
        <w:r>
          <w:rPr>
            <w:rFonts w:ascii="Georgia" w:hAnsi="Georgia"/>
            <w:noProof/>
            <w:sz w:val="24"/>
            <w:szCs w:val="24"/>
          </w:rPr>
          <w:t>6</w:t>
        </w:r>
        <w:r w:rsidRPr="007A6B7C">
          <w:rPr>
            <w:rFonts w:ascii="Georgia" w:hAnsi="Georgia"/>
            <w:noProof/>
            <w:sz w:val="24"/>
            <w:szCs w:val="24"/>
          </w:rPr>
          <w:fldChar w:fldCharType="end"/>
        </w:r>
      </w:sdtContent>
    </w:sdt>
  </w:p>
  <w:p w14:paraId="466411DC" w14:textId="77777777" w:rsidR="008E5C37" w:rsidRDefault="008E5C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E1660"/>
    <w:multiLevelType w:val="hybridMultilevel"/>
    <w:tmpl w:val="DEBA1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7A5DEC"/>
    <w:multiLevelType w:val="hybridMultilevel"/>
    <w:tmpl w:val="FE3CE2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B7684D"/>
    <w:multiLevelType w:val="hybridMultilevel"/>
    <w:tmpl w:val="C0B22030"/>
    <w:lvl w:ilvl="0" w:tplc="B91E56A8">
      <w:numFmt w:val="bullet"/>
      <w:lvlText w:val="•"/>
      <w:lvlJc w:val="left"/>
      <w:pPr>
        <w:ind w:left="715" w:hanging="375"/>
      </w:pPr>
      <w:rPr>
        <w:rFonts w:ascii="Arial" w:eastAsia="Times New Roman" w:hAnsi="Arial" w:cs="Arial" w:hint="default"/>
      </w:rPr>
    </w:lvl>
    <w:lvl w:ilvl="1" w:tplc="08090003">
      <w:start w:val="1"/>
      <w:numFmt w:val="bullet"/>
      <w:lvlText w:val="o"/>
      <w:lvlJc w:val="left"/>
      <w:pPr>
        <w:ind w:left="1420" w:hanging="360"/>
      </w:pPr>
      <w:rPr>
        <w:rFonts w:ascii="Courier New" w:hAnsi="Courier New" w:cs="Courier New" w:hint="default"/>
      </w:rPr>
    </w:lvl>
    <w:lvl w:ilvl="2" w:tplc="08090005">
      <w:start w:val="1"/>
      <w:numFmt w:val="bullet"/>
      <w:lvlText w:val=""/>
      <w:lvlJc w:val="left"/>
      <w:pPr>
        <w:ind w:left="2140" w:hanging="360"/>
      </w:pPr>
      <w:rPr>
        <w:rFonts w:ascii="Wingdings" w:hAnsi="Wingdings" w:hint="default"/>
      </w:rPr>
    </w:lvl>
    <w:lvl w:ilvl="3" w:tplc="08090001">
      <w:start w:val="1"/>
      <w:numFmt w:val="bullet"/>
      <w:lvlText w:val=""/>
      <w:lvlJc w:val="left"/>
      <w:pPr>
        <w:ind w:left="2860" w:hanging="360"/>
      </w:pPr>
      <w:rPr>
        <w:rFonts w:ascii="Symbol" w:hAnsi="Symbol" w:hint="default"/>
      </w:rPr>
    </w:lvl>
    <w:lvl w:ilvl="4" w:tplc="08090003">
      <w:start w:val="1"/>
      <w:numFmt w:val="bullet"/>
      <w:lvlText w:val="o"/>
      <w:lvlJc w:val="left"/>
      <w:pPr>
        <w:ind w:left="3580" w:hanging="360"/>
      </w:pPr>
      <w:rPr>
        <w:rFonts w:ascii="Courier New" w:hAnsi="Courier New" w:cs="Courier New" w:hint="default"/>
      </w:rPr>
    </w:lvl>
    <w:lvl w:ilvl="5" w:tplc="08090005">
      <w:start w:val="1"/>
      <w:numFmt w:val="bullet"/>
      <w:lvlText w:val=""/>
      <w:lvlJc w:val="left"/>
      <w:pPr>
        <w:ind w:left="4300" w:hanging="360"/>
      </w:pPr>
      <w:rPr>
        <w:rFonts w:ascii="Wingdings" w:hAnsi="Wingdings" w:hint="default"/>
      </w:rPr>
    </w:lvl>
    <w:lvl w:ilvl="6" w:tplc="08090001">
      <w:start w:val="1"/>
      <w:numFmt w:val="bullet"/>
      <w:lvlText w:val=""/>
      <w:lvlJc w:val="left"/>
      <w:pPr>
        <w:ind w:left="5020" w:hanging="360"/>
      </w:pPr>
      <w:rPr>
        <w:rFonts w:ascii="Symbol" w:hAnsi="Symbol" w:hint="default"/>
      </w:rPr>
    </w:lvl>
    <w:lvl w:ilvl="7" w:tplc="08090003">
      <w:start w:val="1"/>
      <w:numFmt w:val="bullet"/>
      <w:lvlText w:val="o"/>
      <w:lvlJc w:val="left"/>
      <w:pPr>
        <w:ind w:left="5740" w:hanging="360"/>
      </w:pPr>
      <w:rPr>
        <w:rFonts w:ascii="Courier New" w:hAnsi="Courier New" w:cs="Courier New" w:hint="default"/>
      </w:rPr>
    </w:lvl>
    <w:lvl w:ilvl="8" w:tplc="08090005">
      <w:start w:val="1"/>
      <w:numFmt w:val="bullet"/>
      <w:lvlText w:val=""/>
      <w:lvlJc w:val="left"/>
      <w:pPr>
        <w:ind w:left="6460" w:hanging="360"/>
      </w:pPr>
      <w:rPr>
        <w:rFonts w:ascii="Wingdings" w:hAnsi="Wingdings" w:hint="default"/>
      </w:rPr>
    </w:lvl>
  </w:abstractNum>
  <w:abstractNum w:abstractNumId="3" w15:restartNumberingAfterBreak="0">
    <w:nsid w:val="2E3E3271"/>
    <w:multiLevelType w:val="hybridMultilevel"/>
    <w:tmpl w:val="C08C3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DB0E96"/>
    <w:multiLevelType w:val="hybridMultilevel"/>
    <w:tmpl w:val="95B49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240C06"/>
    <w:multiLevelType w:val="hybridMultilevel"/>
    <w:tmpl w:val="CB1EECF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01182A"/>
    <w:multiLevelType w:val="hybridMultilevel"/>
    <w:tmpl w:val="B750E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7945B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3CA0379"/>
    <w:multiLevelType w:val="hybridMultilevel"/>
    <w:tmpl w:val="E8EA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621B67"/>
    <w:multiLevelType w:val="hybridMultilevel"/>
    <w:tmpl w:val="066479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5C17CC"/>
    <w:multiLevelType w:val="hybridMultilevel"/>
    <w:tmpl w:val="3A40162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CA0B16"/>
    <w:multiLevelType w:val="hybridMultilevel"/>
    <w:tmpl w:val="ED9C16C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DC2474"/>
    <w:multiLevelType w:val="hybridMultilevel"/>
    <w:tmpl w:val="70107B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E2C3E56"/>
    <w:multiLevelType w:val="hybridMultilevel"/>
    <w:tmpl w:val="443E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13"/>
  </w:num>
  <w:num w:numId="4">
    <w:abstractNumId w:val="5"/>
  </w:num>
  <w:num w:numId="5">
    <w:abstractNumId w:val="0"/>
  </w:num>
  <w:num w:numId="6">
    <w:abstractNumId w:val="10"/>
  </w:num>
  <w:num w:numId="7">
    <w:abstractNumId w:val="4"/>
  </w:num>
  <w:num w:numId="8">
    <w:abstractNumId w:val="12"/>
  </w:num>
  <w:num w:numId="9">
    <w:abstractNumId w:val="8"/>
  </w:num>
  <w:num w:numId="10">
    <w:abstractNumId w:val="1"/>
  </w:num>
  <w:num w:numId="11">
    <w:abstractNumId w:val="9"/>
  </w:num>
  <w:num w:numId="12">
    <w:abstractNumId w:val="2"/>
  </w:num>
  <w:num w:numId="13">
    <w:abstractNumId w:val="2"/>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5B"/>
    <w:rsid w:val="00004998"/>
    <w:rsid w:val="00005AA6"/>
    <w:rsid w:val="00010665"/>
    <w:rsid w:val="00010B57"/>
    <w:rsid w:val="00015364"/>
    <w:rsid w:val="000166E1"/>
    <w:rsid w:val="000173AA"/>
    <w:rsid w:val="00017B3D"/>
    <w:rsid w:val="00020BA9"/>
    <w:rsid w:val="00022A00"/>
    <w:rsid w:val="00022C54"/>
    <w:rsid w:val="0002312F"/>
    <w:rsid w:val="00024247"/>
    <w:rsid w:val="00026059"/>
    <w:rsid w:val="00026E40"/>
    <w:rsid w:val="00027675"/>
    <w:rsid w:val="00027F0D"/>
    <w:rsid w:val="000361C3"/>
    <w:rsid w:val="00041908"/>
    <w:rsid w:val="00041D88"/>
    <w:rsid w:val="00041DCF"/>
    <w:rsid w:val="00043156"/>
    <w:rsid w:val="0005410E"/>
    <w:rsid w:val="00057115"/>
    <w:rsid w:val="0005737E"/>
    <w:rsid w:val="000619D6"/>
    <w:rsid w:val="00062234"/>
    <w:rsid w:val="00066679"/>
    <w:rsid w:val="000670B3"/>
    <w:rsid w:val="00073CF4"/>
    <w:rsid w:val="000742C5"/>
    <w:rsid w:val="00077681"/>
    <w:rsid w:val="00077F7F"/>
    <w:rsid w:val="00083261"/>
    <w:rsid w:val="0008342E"/>
    <w:rsid w:val="0008436D"/>
    <w:rsid w:val="00086D8D"/>
    <w:rsid w:val="00087339"/>
    <w:rsid w:val="0009018E"/>
    <w:rsid w:val="00092A3C"/>
    <w:rsid w:val="00093F71"/>
    <w:rsid w:val="00094273"/>
    <w:rsid w:val="00094E34"/>
    <w:rsid w:val="000A0B85"/>
    <w:rsid w:val="000A17E5"/>
    <w:rsid w:val="000A23F5"/>
    <w:rsid w:val="000A4199"/>
    <w:rsid w:val="000A6373"/>
    <w:rsid w:val="000A668F"/>
    <w:rsid w:val="000A78BD"/>
    <w:rsid w:val="000B221F"/>
    <w:rsid w:val="000B24F7"/>
    <w:rsid w:val="000B420C"/>
    <w:rsid w:val="000B5DE0"/>
    <w:rsid w:val="000B69F1"/>
    <w:rsid w:val="000B7195"/>
    <w:rsid w:val="000B7FF8"/>
    <w:rsid w:val="000C011C"/>
    <w:rsid w:val="000C0E1A"/>
    <w:rsid w:val="000C1240"/>
    <w:rsid w:val="000C2997"/>
    <w:rsid w:val="000C685A"/>
    <w:rsid w:val="000C6953"/>
    <w:rsid w:val="000C7A5B"/>
    <w:rsid w:val="000D19C8"/>
    <w:rsid w:val="000D259F"/>
    <w:rsid w:val="000D29EF"/>
    <w:rsid w:val="000D3839"/>
    <w:rsid w:val="000D3D37"/>
    <w:rsid w:val="000D4407"/>
    <w:rsid w:val="000D454C"/>
    <w:rsid w:val="000D52D7"/>
    <w:rsid w:val="000D7155"/>
    <w:rsid w:val="000D718F"/>
    <w:rsid w:val="000D7AAB"/>
    <w:rsid w:val="000D7BA3"/>
    <w:rsid w:val="000E0987"/>
    <w:rsid w:val="000E12C4"/>
    <w:rsid w:val="000E12FF"/>
    <w:rsid w:val="000E24B9"/>
    <w:rsid w:val="000E3D06"/>
    <w:rsid w:val="000F0158"/>
    <w:rsid w:val="000F1705"/>
    <w:rsid w:val="000F2D7D"/>
    <w:rsid w:val="000F2E7A"/>
    <w:rsid w:val="000F44D1"/>
    <w:rsid w:val="000F68E9"/>
    <w:rsid w:val="00100BB0"/>
    <w:rsid w:val="0010631A"/>
    <w:rsid w:val="0011062B"/>
    <w:rsid w:val="001108D6"/>
    <w:rsid w:val="001108EE"/>
    <w:rsid w:val="0011439D"/>
    <w:rsid w:val="00120986"/>
    <w:rsid w:val="001259E8"/>
    <w:rsid w:val="00134FA5"/>
    <w:rsid w:val="0014185B"/>
    <w:rsid w:val="001420A5"/>
    <w:rsid w:val="00142220"/>
    <w:rsid w:val="00143019"/>
    <w:rsid w:val="001439EB"/>
    <w:rsid w:val="00150688"/>
    <w:rsid w:val="00150EA3"/>
    <w:rsid w:val="00153FA3"/>
    <w:rsid w:val="001573F3"/>
    <w:rsid w:val="0016004F"/>
    <w:rsid w:val="0016354B"/>
    <w:rsid w:val="001645DA"/>
    <w:rsid w:val="00166B5B"/>
    <w:rsid w:val="00172110"/>
    <w:rsid w:val="00172CA2"/>
    <w:rsid w:val="00173735"/>
    <w:rsid w:val="00173CD1"/>
    <w:rsid w:val="001761B8"/>
    <w:rsid w:val="00177A25"/>
    <w:rsid w:val="00180D43"/>
    <w:rsid w:val="0018137B"/>
    <w:rsid w:val="00181A5E"/>
    <w:rsid w:val="00183C98"/>
    <w:rsid w:val="00184321"/>
    <w:rsid w:val="00184469"/>
    <w:rsid w:val="001853D7"/>
    <w:rsid w:val="00185ACA"/>
    <w:rsid w:val="001861DB"/>
    <w:rsid w:val="001901A3"/>
    <w:rsid w:val="00190C63"/>
    <w:rsid w:val="0019125D"/>
    <w:rsid w:val="001913EB"/>
    <w:rsid w:val="00195AD8"/>
    <w:rsid w:val="0019660A"/>
    <w:rsid w:val="00196A57"/>
    <w:rsid w:val="00196B1C"/>
    <w:rsid w:val="00196BD3"/>
    <w:rsid w:val="0019757A"/>
    <w:rsid w:val="001A0D97"/>
    <w:rsid w:val="001A2BA3"/>
    <w:rsid w:val="001A35C4"/>
    <w:rsid w:val="001A39C4"/>
    <w:rsid w:val="001A6179"/>
    <w:rsid w:val="001A7436"/>
    <w:rsid w:val="001B0B8E"/>
    <w:rsid w:val="001B3FE7"/>
    <w:rsid w:val="001B7AE4"/>
    <w:rsid w:val="001C157D"/>
    <w:rsid w:val="001C2C2C"/>
    <w:rsid w:val="001C2F6A"/>
    <w:rsid w:val="001C38F0"/>
    <w:rsid w:val="001C491D"/>
    <w:rsid w:val="001C5308"/>
    <w:rsid w:val="001D1F7A"/>
    <w:rsid w:val="001D3700"/>
    <w:rsid w:val="001D42D1"/>
    <w:rsid w:val="001D568C"/>
    <w:rsid w:val="001D5B79"/>
    <w:rsid w:val="001D790F"/>
    <w:rsid w:val="001E12A2"/>
    <w:rsid w:val="001E44D0"/>
    <w:rsid w:val="001E4510"/>
    <w:rsid w:val="001E4AFD"/>
    <w:rsid w:val="001E5E09"/>
    <w:rsid w:val="001E6F4D"/>
    <w:rsid w:val="001E73A9"/>
    <w:rsid w:val="001E789C"/>
    <w:rsid w:val="001F1BB3"/>
    <w:rsid w:val="001F1C69"/>
    <w:rsid w:val="001F301B"/>
    <w:rsid w:val="001F40B2"/>
    <w:rsid w:val="001F6B67"/>
    <w:rsid w:val="001F7B16"/>
    <w:rsid w:val="001F7C51"/>
    <w:rsid w:val="002075E1"/>
    <w:rsid w:val="00214081"/>
    <w:rsid w:val="00215464"/>
    <w:rsid w:val="00215609"/>
    <w:rsid w:val="00216982"/>
    <w:rsid w:val="00217C97"/>
    <w:rsid w:val="002213A9"/>
    <w:rsid w:val="002220FC"/>
    <w:rsid w:val="00226ED8"/>
    <w:rsid w:val="002315DB"/>
    <w:rsid w:val="00236CA9"/>
    <w:rsid w:val="00236F62"/>
    <w:rsid w:val="00237278"/>
    <w:rsid w:val="00237C31"/>
    <w:rsid w:val="00240AEE"/>
    <w:rsid w:val="0024228F"/>
    <w:rsid w:val="002427CB"/>
    <w:rsid w:val="00243F4D"/>
    <w:rsid w:val="002462D2"/>
    <w:rsid w:val="002512CE"/>
    <w:rsid w:val="002517BF"/>
    <w:rsid w:val="00251BB8"/>
    <w:rsid w:val="00252ABB"/>
    <w:rsid w:val="00254488"/>
    <w:rsid w:val="0026056C"/>
    <w:rsid w:val="002629C9"/>
    <w:rsid w:val="00262BF1"/>
    <w:rsid w:val="002633AE"/>
    <w:rsid w:val="00263842"/>
    <w:rsid w:val="00265000"/>
    <w:rsid w:val="0027077D"/>
    <w:rsid w:val="002709CA"/>
    <w:rsid w:val="00280EC9"/>
    <w:rsid w:val="00282A12"/>
    <w:rsid w:val="00284ED7"/>
    <w:rsid w:val="00285ADB"/>
    <w:rsid w:val="00291146"/>
    <w:rsid w:val="00293F83"/>
    <w:rsid w:val="002958E8"/>
    <w:rsid w:val="002A2756"/>
    <w:rsid w:val="002B1035"/>
    <w:rsid w:val="002B20EA"/>
    <w:rsid w:val="002B2203"/>
    <w:rsid w:val="002B52D3"/>
    <w:rsid w:val="002C0D76"/>
    <w:rsid w:val="002C189F"/>
    <w:rsid w:val="002C3E31"/>
    <w:rsid w:val="002C44D7"/>
    <w:rsid w:val="002C4657"/>
    <w:rsid w:val="002C4B22"/>
    <w:rsid w:val="002C55C2"/>
    <w:rsid w:val="002C5611"/>
    <w:rsid w:val="002C6549"/>
    <w:rsid w:val="002C7C8F"/>
    <w:rsid w:val="002D2DBD"/>
    <w:rsid w:val="002D4EA2"/>
    <w:rsid w:val="002D4F8E"/>
    <w:rsid w:val="002D5459"/>
    <w:rsid w:val="002D5DE7"/>
    <w:rsid w:val="002D64AB"/>
    <w:rsid w:val="002E1563"/>
    <w:rsid w:val="002E1E24"/>
    <w:rsid w:val="002E45FE"/>
    <w:rsid w:val="002E46E4"/>
    <w:rsid w:val="002E498D"/>
    <w:rsid w:val="002F0837"/>
    <w:rsid w:val="002F2A49"/>
    <w:rsid w:val="002F2F41"/>
    <w:rsid w:val="002F781F"/>
    <w:rsid w:val="002F7A0D"/>
    <w:rsid w:val="00307C5D"/>
    <w:rsid w:val="00313CE8"/>
    <w:rsid w:val="003163F6"/>
    <w:rsid w:val="003209D9"/>
    <w:rsid w:val="003211EA"/>
    <w:rsid w:val="00321D8A"/>
    <w:rsid w:val="003230BF"/>
    <w:rsid w:val="00323F5F"/>
    <w:rsid w:val="00324230"/>
    <w:rsid w:val="0032591B"/>
    <w:rsid w:val="00330275"/>
    <w:rsid w:val="0033190E"/>
    <w:rsid w:val="00332C8D"/>
    <w:rsid w:val="003344B6"/>
    <w:rsid w:val="00336436"/>
    <w:rsid w:val="003377D1"/>
    <w:rsid w:val="00341A98"/>
    <w:rsid w:val="003436F7"/>
    <w:rsid w:val="00344049"/>
    <w:rsid w:val="00347CEE"/>
    <w:rsid w:val="003527FE"/>
    <w:rsid w:val="00357880"/>
    <w:rsid w:val="003660AA"/>
    <w:rsid w:val="003679F1"/>
    <w:rsid w:val="00367DBA"/>
    <w:rsid w:val="00370B37"/>
    <w:rsid w:val="00370E55"/>
    <w:rsid w:val="00375A31"/>
    <w:rsid w:val="00375EB9"/>
    <w:rsid w:val="00377CFF"/>
    <w:rsid w:val="00383D14"/>
    <w:rsid w:val="00385327"/>
    <w:rsid w:val="00386BF9"/>
    <w:rsid w:val="00387C98"/>
    <w:rsid w:val="00390413"/>
    <w:rsid w:val="00392064"/>
    <w:rsid w:val="003928AA"/>
    <w:rsid w:val="0039310C"/>
    <w:rsid w:val="003951EE"/>
    <w:rsid w:val="003A100D"/>
    <w:rsid w:val="003A3CD7"/>
    <w:rsid w:val="003A4F26"/>
    <w:rsid w:val="003A520E"/>
    <w:rsid w:val="003A5366"/>
    <w:rsid w:val="003A65DD"/>
    <w:rsid w:val="003A7F4C"/>
    <w:rsid w:val="003B5AE4"/>
    <w:rsid w:val="003B61A1"/>
    <w:rsid w:val="003B6CB8"/>
    <w:rsid w:val="003C17A6"/>
    <w:rsid w:val="003C25B6"/>
    <w:rsid w:val="003C3F0D"/>
    <w:rsid w:val="003C5219"/>
    <w:rsid w:val="003C7C1D"/>
    <w:rsid w:val="003D08EA"/>
    <w:rsid w:val="003D1B2E"/>
    <w:rsid w:val="003D1C3F"/>
    <w:rsid w:val="003D270F"/>
    <w:rsid w:val="003D685D"/>
    <w:rsid w:val="003F1307"/>
    <w:rsid w:val="003F16A6"/>
    <w:rsid w:val="003F3497"/>
    <w:rsid w:val="003F3705"/>
    <w:rsid w:val="004022EC"/>
    <w:rsid w:val="004032DC"/>
    <w:rsid w:val="00404AA5"/>
    <w:rsid w:val="00405849"/>
    <w:rsid w:val="00405918"/>
    <w:rsid w:val="00406DAB"/>
    <w:rsid w:val="00407FA6"/>
    <w:rsid w:val="004103DD"/>
    <w:rsid w:val="00411036"/>
    <w:rsid w:val="0041109F"/>
    <w:rsid w:val="00412CD9"/>
    <w:rsid w:val="00413398"/>
    <w:rsid w:val="004141CE"/>
    <w:rsid w:val="00415D54"/>
    <w:rsid w:val="0042210E"/>
    <w:rsid w:val="004224BE"/>
    <w:rsid w:val="00422EBD"/>
    <w:rsid w:val="00423D26"/>
    <w:rsid w:val="00427231"/>
    <w:rsid w:val="00431099"/>
    <w:rsid w:val="00431B99"/>
    <w:rsid w:val="004326C2"/>
    <w:rsid w:val="0043325F"/>
    <w:rsid w:val="00434C2D"/>
    <w:rsid w:val="00435079"/>
    <w:rsid w:val="00436090"/>
    <w:rsid w:val="004402B5"/>
    <w:rsid w:val="00443004"/>
    <w:rsid w:val="00443028"/>
    <w:rsid w:val="00443689"/>
    <w:rsid w:val="004436BA"/>
    <w:rsid w:val="00443B64"/>
    <w:rsid w:val="0044484F"/>
    <w:rsid w:val="00447EF7"/>
    <w:rsid w:val="00447F7A"/>
    <w:rsid w:val="0045040E"/>
    <w:rsid w:val="00452D95"/>
    <w:rsid w:val="004535C3"/>
    <w:rsid w:val="00453877"/>
    <w:rsid w:val="00454BA5"/>
    <w:rsid w:val="00456578"/>
    <w:rsid w:val="004600E2"/>
    <w:rsid w:val="004622C0"/>
    <w:rsid w:val="0046332F"/>
    <w:rsid w:val="00472D07"/>
    <w:rsid w:val="004735DB"/>
    <w:rsid w:val="00474270"/>
    <w:rsid w:val="004752C2"/>
    <w:rsid w:val="004758EE"/>
    <w:rsid w:val="004779FC"/>
    <w:rsid w:val="00481A44"/>
    <w:rsid w:val="00482CCE"/>
    <w:rsid w:val="00482FAD"/>
    <w:rsid w:val="00484B51"/>
    <w:rsid w:val="00485C81"/>
    <w:rsid w:val="0048635C"/>
    <w:rsid w:val="004907EA"/>
    <w:rsid w:val="00491DFB"/>
    <w:rsid w:val="00491E44"/>
    <w:rsid w:val="00495541"/>
    <w:rsid w:val="004A1033"/>
    <w:rsid w:val="004A25AC"/>
    <w:rsid w:val="004A34FE"/>
    <w:rsid w:val="004A4FAA"/>
    <w:rsid w:val="004A5501"/>
    <w:rsid w:val="004A56D1"/>
    <w:rsid w:val="004A69E5"/>
    <w:rsid w:val="004A77A3"/>
    <w:rsid w:val="004B12D4"/>
    <w:rsid w:val="004B1985"/>
    <w:rsid w:val="004B2216"/>
    <w:rsid w:val="004B680F"/>
    <w:rsid w:val="004B6AD3"/>
    <w:rsid w:val="004B76CA"/>
    <w:rsid w:val="004C0EED"/>
    <w:rsid w:val="004C110D"/>
    <w:rsid w:val="004C1950"/>
    <w:rsid w:val="004C1A2A"/>
    <w:rsid w:val="004C30B9"/>
    <w:rsid w:val="004C5954"/>
    <w:rsid w:val="004C6242"/>
    <w:rsid w:val="004D4A14"/>
    <w:rsid w:val="004D6747"/>
    <w:rsid w:val="004D798E"/>
    <w:rsid w:val="004E23C4"/>
    <w:rsid w:val="004E3556"/>
    <w:rsid w:val="004E3978"/>
    <w:rsid w:val="004E4272"/>
    <w:rsid w:val="004E48FB"/>
    <w:rsid w:val="004E7C90"/>
    <w:rsid w:val="004E7E58"/>
    <w:rsid w:val="004F0954"/>
    <w:rsid w:val="004F17E1"/>
    <w:rsid w:val="004F2E09"/>
    <w:rsid w:val="004F307D"/>
    <w:rsid w:val="00501AE3"/>
    <w:rsid w:val="005032B1"/>
    <w:rsid w:val="00503A55"/>
    <w:rsid w:val="00506EEE"/>
    <w:rsid w:val="00507108"/>
    <w:rsid w:val="0051406B"/>
    <w:rsid w:val="00514C5B"/>
    <w:rsid w:val="005209F2"/>
    <w:rsid w:val="0052336F"/>
    <w:rsid w:val="00524133"/>
    <w:rsid w:val="0052514B"/>
    <w:rsid w:val="005254CC"/>
    <w:rsid w:val="00525FA2"/>
    <w:rsid w:val="005300F6"/>
    <w:rsid w:val="00530302"/>
    <w:rsid w:val="00530D5C"/>
    <w:rsid w:val="00531061"/>
    <w:rsid w:val="00533D2E"/>
    <w:rsid w:val="00536B7E"/>
    <w:rsid w:val="005429FF"/>
    <w:rsid w:val="00543470"/>
    <w:rsid w:val="00543E2A"/>
    <w:rsid w:val="0054415C"/>
    <w:rsid w:val="00545836"/>
    <w:rsid w:val="005500AE"/>
    <w:rsid w:val="00550D70"/>
    <w:rsid w:val="005528FA"/>
    <w:rsid w:val="005531FA"/>
    <w:rsid w:val="00563496"/>
    <w:rsid w:val="00563515"/>
    <w:rsid w:val="0056442C"/>
    <w:rsid w:val="005653C8"/>
    <w:rsid w:val="00565623"/>
    <w:rsid w:val="00570705"/>
    <w:rsid w:val="00573548"/>
    <w:rsid w:val="00574D94"/>
    <w:rsid w:val="005755C7"/>
    <w:rsid w:val="00575AC1"/>
    <w:rsid w:val="00583BA3"/>
    <w:rsid w:val="00583D9B"/>
    <w:rsid w:val="00583E9A"/>
    <w:rsid w:val="0058415E"/>
    <w:rsid w:val="0058544C"/>
    <w:rsid w:val="005859DC"/>
    <w:rsid w:val="00592EB8"/>
    <w:rsid w:val="00596C3C"/>
    <w:rsid w:val="00597806"/>
    <w:rsid w:val="005A3A37"/>
    <w:rsid w:val="005A5006"/>
    <w:rsid w:val="005A7C41"/>
    <w:rsid w:val="005B11C5"/>
    <w:rsid w:val="005B1F04"/>
    <w:rsid w:val="005B1F3B"/>
    <w:rsid w:val="005B298C"/>
    <w:rsid w:val="005B2CC0"/>
    <w:rsid w:val="005B4370"/>
    <w:rsid w:val="005B5FF1"/>
    <w:rsid w:val="005B6618"/>
    <w:rsid w:val="005B6DBF"/>
    <w:rsid w:val="005C1A56"/>
    <w:rsid w:val="005C1FBF"/>
    <w:rsid w:val="005C24B1"/>
    <w:rsid w:val="005C289E"/>
    <w:rsid w:val="005C30BA"/>
    <w:rsid w:val="005C4398"/>
    <w:rsid w:val="005C4747"/>
    <w:rsid w:val="005D2F10"/>
    <w:rsid w:val="005D477F"/>
    <w:rsid w:val="005D6502"/>
    <w:rsid w:val="005E5B24"/>
    <w:rsid w:val="005E601E"/>
    <w:rsid w:val="005F0A51"/>
    <w:rsid w:val="005F158D"/>
    <w:rsid w:val="005F3E5D"/>
    <w:rsid w:val="005F4982"/>
    <w:rsid w:val="005F5205"/>
    <w:rsid w:val="005F53D8"/>
    <w:rsid w:val="005F58FB"/>
    <w:rsid w:val="006009BF"/>
    <w:rsid w:val="00601B6B"/>
    <w:rsid w:val="00602105"/>
    <w:rsid w:val="006055FC"/>
    <w:rsid w:val="00605AE6"/>
    <w:rsid w:val="0060678E"/>
    <w:rsid w:val="0061126A"/>
    <w:rsid w:val="00612EAB"/>
    <w:rsid w:val="00613A6D"/>
    <w:rsid w:val="006168ED"/>
    <w:rsid w:val="00620174"/>
    <w:rsid w:val="00622942"/>
    <w:rsid w:val="0062318C"/>
    <w:rsid w:val="0062346B"/>
    <w:rsid w:val="006255B0"/>
    <w:rsid w:val="00625774"/>
    <w:rsid w:val="00626E9E"/>
    <w:rsid w:val="00631134"/>
    <w:rsid w:val="006315D5"/>
    <w:rsid w:val="006318AD"/>
    <w:rsid w:val="00631C11"/>
    <w:rsid w:val="00632C77"/>
    <w:rsid w:val="00634705"/>
    <w:rsid w:val="00636EA7"/>
    <w:rsid w:val="00637E9A"/>
    <w:rsid w:val="00644DE8"/>
    <w:rsid w:val="00645531"/>
    <w:rsid w:val="00647986"/>
    <w:rsid w:val="00650E16"/>
    <w:rsid w:val="00651E18"/>
    <w:rsid w:val="0065385E"/>
    <w:rsid w:val="00653DA6"/>
    <w:rsid w:val="006552E4"/>
    <w:rsid w:val="006567AC"/>
    <w:rsid w:val="00657B57"/>
    <w:rsid w:val="00657C53"/>
    <w:rsid w:val="00657F9C"/>
    <w:rsid w:val="00660E61"/>
    <w:rsid w:val="00661B59"/>
    <w:rsid w:val="00661C6F"/>
    <w:rsid w:val="00661E0A"/>
    <w:rsid w:val="00663CCE"/>
    <w:rsid w:val="00665AC9"/>
    <w:rsid w:val="00666FDD"/>
    <w:rsid w:val="00670BDD"/>
    <w:rsid w:val="00670F25"/>
    <w:rsid w:val="00671F34"/>
    <w:rsid w:val="00672BC8"/>
    <w:rsid w:val="006733A6"/>
    <w:rsid w:val="00673D20"/>
    <w:rsid w:val="00674647"/>
    <w:rsid w:val="00676213"/>
    <w:rsid w:val="00677460"/>
    <w:rsid w:val="00677CCE"/>
    <w:rsid w:val="00677E04"/>
    <w:rsid w:val="006804F5"/>
    <w:rsid w:val="00681169"/>
    <w:rsid w:val="006820C4"/>
    <w:rsid w:val="0068297D"/>
    <w:rsid w:val="00684DAC"/>
    <w:rsid w:val="0068535D"/>
    <w:rsid w:val="00685B5D"/>
    <w:rsid w:val="0068659E"/>
    <w:rsid w:val="00686B4E"/>
    <w:rsid w:val="00686DCD"/>
    <w:rsid w:val="006878FF"/>
    <w:rsid w:val="0069094C"/>
    <w:rsid w:val="00691792"/>
    <w:rsid w:val="0069274B"/>
    <w:rsid w:val="00692D5D"/>
    <w:rsid w:val="00692DEA"/>
    <w:rsid w:val="00695F92"/>
    <w:rsid w:val="00696102"/>
    <w:rsid w:val="006A0FEB"/>
    <w:rsid w:val="006A16DF"/>
    <w:rsid w:val="006A1A77"/>
    <w:rsid w:val="006A3E40"/>
    <w:rsid w:val="006A41DA"/>
    <w:rsid w:val="006A43ED"/>
    <w:rsid w:val="006A4565"/>
    <w:rsid w:val="006A499C"/>
    <w:rsid w:val="006A4B44"/>
    <w:rsid w:val="006A5629"/>
    <w:rsid w:val="006A633E"/>
    <w:rsid w:val="006A6AAD"/>
    <w:rsid w:val="006B31CF"/>
    <w:rsid w:val="006B462F"/>
    <w:rsid w:val="006B630A"/>
    <w:rsid w:val="006B6BBB"/>
    <w:rsid w:val="006B71DC"/>
    <w:rsid w:val="006B75AA"/>
    <w:rsid w:val="006B7633"/>
    <w:rsid w:val="006C25FB"/>
    <w:rsid w:val="006C2A03"/>
    <w:rsid w:val="006C4C6E"/>
    <w:rsid w:val="006C6B9F"/>
    <w:rsid w:val="006C724C"/>
    <w:rsid w:val="006D127B"/>
    <w:rsid w:val="006D17D7"/>
    <w:rsid w:val="006E0243"/>
    <w:rsid w:val="006F0B38"/>
    <w:rsid w:val="006F21C1"/>
    <w:rsid w:val="006F2796"/>
    <w:rsid w:val="006F29AF"/>
    <w:rsid w:val="006F2A72"/>
    <w:rsid w:val="006F34BA"/>
    <w:rsid w:val="006F5F6D"/>
    <w:rsid w:val="006F64F6"/>
    <w:rsid w:val="006F7496"/>
    <w:rsid w:val="00702EB5"/>
    <w:rsid w:val="00703402"/>
    <w:rsid w:val="0070340A"/>
    <w:rsid w:val="007052C1"/>
    <w:rsid w:val="007053F5"/>
    <w:rsid w:val="007057F9"/>
    <w:rsid w:val="007070D6"/>
    <w:rsid w:val="00711442"/>
    <w:rsid w:val="0072343F"/>
    <w:rsid w:val="00723830"/>
    <w:rsid w:val="007241DF"/>
    <w:rsid w:val="0072604B"/>
    <w:rsid w:val="007342DA"/>
    <w:rsid w:val="007404CE"/>
    <w:rsid w:val="00740702"/>
    <w:rsid w:val="00740B23"/>
    <w:rsid w:val="007418A2"/>
    <w:rsid w:val="007424CB"/>
    <w:rsid w:val="00743010"/>
    <w:rsid w:val="00743EF9"/>
    <w:rsid w:val="00745E4D"/>
    <w:rsid w:val="00747542"/>
    <w:rsid w:val="007547CE"/>
    <w:rsid w:val="0075495C"/>
    <w:rsid w:val="00754F25"/>
    <w:rsid w:val="007564B3"/>
    <w:rsid w:val="00764F9F"/>
    <w:rsid w:val="007650B6"/>
    <w:rsid w:val="00771B6C"/>
    <w:rsid w:val="007746FA"/>
    <w:rsid w:val="0077471E"/>
    <w:rsid w:val="00775930"/>
    <w:rsid w:val="00776C2B"/>
    <w:rsid w:val="00776FC3"/>
    <w:rsid w:val="00780953"/>
    <w:rsid w:val="00780CBE"/>
    <w:rsid w:val="007824CD"/>
    <w:rsid w:val="007840A4"/>
    <w:rsid w:val="00787FC4"/>
    <w:rsid w:val="007924B0"/>
    <w:rsid w:val="00792C7A"/>
    <w:rsid w:val="007962D2"/>
    <w:rsid w:val="007A045D"/>
    <w:rsid w:val="007A08D1"/>
    <w:rsid w:val="007A1FEF"/>
    <w:rsid w:val="007A27D1"/>
    <w:rsid w:val="007A28AD"/>
    <w:rsid w:val="007A37EC"/>
    <w:rsid w:val="007A6B7C"/>
    <w:rsid w:val="007A76F9"/>
    <w:rsid w:val="007B13AE"/>
    <w:rsid w:val="007B40E7"/>
    <w:rsid w:val="007B5067"/>
    <w:rsid w:val="007B585B"/>
    <w:rsid w:val="007B6090"/>
    <w:rsid w:val="007B7142"/>
    <w:rsid w:val="007C3253"/>
    <w:rsid w:val="007C5354"/>
    <w:rsid w:val="007C5BA8"/>
    <w:rsid w:val="007D364E"/>
    <w:rsid w:val="007D56F2"/>
    <w:rsid w:val="007D716C"/>
    <w:rsid w:val="007E0422"/>
    <w:rsid w:val="007E0B8F"/>
    <w:rsid w:val="007E3BEE"/>
    <w:rsid w:val="007E5B74"/>
    <w:rsid w:val="007F0CC5"/>
    <w:rsid w:val="007F324F"/>
    <w:rsid w:val="007F35BC"/>
    <w:rsid w:val="008042E0"/>
    <w:rsid w:val="008079B7"/>
    <w:rsid w:val="00807A6F"/>
    <w:rsid w:val="00811858"/>
    <w:rsid w:val="00814811"/>
    <w:rsid w:val="00814D5D"/>
    <w:rsid w:val="00815110"/>
    <w:rsid w:val="008155CE"/>
    <w:rsid w:val="00815DD3"/>
    <w:rsid w:val="008164F1"/>
    <w:rsid w:val="0081719A"/>
    <w:rsid w:val="00817A44"/>
    <w:rsid w:val="008200C3"/>
    <w:rsid w:val="00820360"/>
    <w:rsid w:val="0082136D"/>
    <w:rsid w:val="008220CB"/>
    <w:rsid w:val="00822D69"/>
    <w:rsid w:val="0082596F"/>
    <w:rsid w:val="00826419"/>
    <w:rsid w:val="00830D7C"/>
    <w:rsid w:val="008318B7"/>
    <w:rsid w:val="00831970"/>
    <w:rsid w:val="00831AE8"/>
    <w:rsid w:val="00832576"/>
    <w:rsid w:val="00832C74"/>
    <w:rsid w:val="00832EF0"/>
    <w:rsid w:val="00834511"/>
    <w:rsid w:val="008346F8"/>
    <w:rsid w:val="00835087"/>
    <w:rsid w:val="0083555C"/>
    <w:rsid w:val="00836034"/>
    <w:rsid w:val="0083608F"/>
    <w:rsid w:val="0083691D"/>
    <w:rsid w:val="00841334"/>
    <w:rsid w:val="00842CB9"/>
    <w:rsid w:val="0085075A"/>
    <w:rsid w:val="00850885"/>
    <w:rsid w:val="00852D25"/>
    <w:rsid w:val="00853719"/>
    <w:rsid w:val="00855295"/>
    <w:rsid w:val="00855D62"/>
    <w:rsid w:val="00856DCE"/>
    <w:rsid w:val="00863CDE"/>
    <w:rsid w:val="00864A79"/>
    <w:rsid w:val="008662BE"/>
    <w:rsid w:val="00871960"/>
    <w:rsid w:val="0087361B"/>
    <w:rsid w:val="00873C28"/>
    <w:rsid w:val="00874BB8"/>
    <w:rsid w:val="0088155F"/>
    <w:rsid w:val="008841D9"/>
    <w:rsid w:val="00885BD7"/>
    <w:rsid w:val="00890603"/>
    <w:rsid w:val="00891A17"/>
    <w:rsid w:val="00895B07"/>
    <w:rsid w:val="00896194"/>
    <w:rsid w:val="008963BD"/>
    <w:rsid w:val="008A14F1"/>
    <w:rsid w:val="008A173C"/>
    <w:rsid w:val="008A3B6B"/>
    <w:rsid w:val="008A4206"/>
    <w:rsid w:val="008A501D"/>
    <w:rsid w:val="008A57C4"/>
    <w:rsid w:val="008A5E2D"/>
    <w:rsid w:val="008A6299"/>
    <w:rsid w:val="008B25FA"/>
    <w:rsid w:val="008B5A72"/>
    <w:rsid w:val="008B5CB6"/>
    <w:rsid w:val="008B640A"/>
    <w:rsid w:val="008B6995"/>
    <w:rsid w:val="008C1246"/>
    <w:rsid w:val="008C2410"/>
    <w:rsid w:val="008C2F32"/>
    <w:rsid w:val="008D2797"/>
    <w:rsid w:val="008D3AAC"/>
    <w:rsid w:val="008D3E83"/>
    <w:rsid w:val="008D42AA"/>
    <w:rsid w:val="008D70B6"/>
    <w:rsid w:val="008E05DF"/>
    <w:rsid w:val="008E121B"/>
    <w:rsid w:val="008E1750"/>
    <w:rsid w:val="008E290F"/>
    <w:rsid w:val="008E2BF6"/>
    <w:rsid w:val="008E3607"/>
    <w:rsid w:val="008E436D"/>
    <w:rsid w:val="008E5C37"/>
    <w:rsid w:val="008E7772"/>
    <w:rsid w:val="008F07A7"/>
    <w:rsid w:val="008F15F8"/>
    <w:rsid w:val="008F252A"/>
    <w:rsid w:val="008F4862"/>
    <w:rsid w:val="008F628E"/>
    <w:rsid w:val="009023B6"/>
    <w:rsid w:val="009031DB"/>
    <w:rsid w:val="00904266"/>
    <w:rsid w:val="00904D37"/>
    <w:rsid w:val="009059AF"/>
    <w:rsid w:val="00912119"/>
    <w:rsid w:val="009132F0"/>
    <w:rsid w:val="009133D6"/>
    <w:rsid w:val="0091443C"/>
    <w:rsid w:val="00917DA5"/>
    <w:rsid w:val="0092003E"/>
    <w:rsid w:val="0092043F"/>
    <w:rsid w:val="00920A77"/>
    <w:rsid w:val="00921634"/>
    <w:rsid w:val="00921A0C"/>
    <w:rsid w:val="00922842"/>
    <w:rsid w:val="00923416"/>
    <w:rsid w:val="00924F3E"/>
    <w:rsid w:val="009306E4"/>
    <w:rsid w:val="00930F49"/>
    <w:rsid w:val="0093154A"/>
    <w:rsid w:val="00932659"/>
    <w:rsid w:val="009349A8"/>
    <w:rsid w:val="00937BA3"/>
    <w:rsid w:val="0094410F"/>
    <w:rsid w:val="009444B7"/>
    <w:rsid w:val="009451FB"/>
    <w:rsid w:val="00947612"/>
    <w:rsid w:val="00951F06"/>
    <w:rsid w:val="009520D6"/>
    <w:rsid w:val="00956DCC"/>
    <w:rsid w:val="009570AB"/>
    <w:rsid w:val="00961932"/>
    <w:rsid w:val="00962A5D"/>
    <w:rsid w:val="00964AB9"/>
    <w:rsid w:val="00972282"/>
    <w:rsid w:val="009752B7"/>
    <w:rsid w:val="00975E85"/>
    <w:rsid w:val="00976E49"/>
    <w:rsid w:val="00977A32"/>
    <w:rsid w:val="009806E8"/>
    <w:rsid w:val="009819AA"/>
    <w:rsid w:val="00982A6C"/>
    <w:rsid w:val="00983C6C"/>
    <w:rsid w:val="0098489C"/>
    <w:rsid w:val="00986441"/>
    <w:rsid w:val="00986466"/>
    <w:rsid w:val="00986975"/>
    <w:rsid w:val="0099465D"/>
    <w:rsid w:val="0099753F"/>
    <w:rsid w:val="009A0AA6"/>
    <w:rsid w:val="009A0B4B"/>
    <w:rsid w:val="009A1339"/>
    <w:rsid w:val="009A3610"/>
    <w:rsid w:val="009A4BE2"/>
    <w:rsid w:val="009B007F"/>
    <w:rsid w:val="009B0889"/>
    <w:rsid w:val="009B0CF4"/>
    <w:rsid w:val="009B116D"/>
    <w:rsid w:val="009B1800"/>
    <w:rsid w:val="009B1A68"/>
    <w:rsid w:val="009B59FF"/>
    <w:rsid w:val="009C1A77"/>
    <w:rsid w:val="009C34A4"/>
    <w:rsid w:val="009C4AEA"/>
    <w:rsid w:val="009C4E14"/>
    <w:rsid w:val="009C642F"/>
    <w:rsid w:val="009C68BE"/>
    <w:rsid w:val="009D0011"/>
    <w:rsid w:val="009D149B"/>
    <w:rsid w:val="009D1AFA"/>
    <w:rsid w:val="009D239D"/>
    <w:rsid w:val="009D6B5D"/>
    <w:rsid w:val="009D7837"/>
    <w:rsid w:val="009E17E0"/>
    <w:rsid w:val="009E56CD"/>
    <w:rsid w:val="009E6608"/>
    <w:rsid w:val="009F0F12"/>
    <w:rsid w:val="009F4983"/>
    <w:rsid w:val="009F6900"/>
    <w:rsid w:val="009F711C"/>
    <w:rsid w:val="00A02B36"/>
    <w:rsid w:val="00A030B8"/>
    <w:rsid w:val="00A079DA"/>
    <w:rsid w:val="00A1032A"/>
    <w:rsid w:val="00A10FE5"/>
    <w:rsid w:val="00A12FA9"/>
    <w:rsid w:val="00A139D3"/>
    <w:rsid w:val="00A139E0"/>
    <w:rsid w:val="00A13A1F"/>
    <w:rsid w:val="00A13A32"/>
    <w:rsid w:val="00A15C75"/>
    <w:rsid w:val="00A229D9"/>
    <w:rsid w:val="00A22DD9"/>
    <w:rsid w:val="00A247D1"/>
    <w:rsid w:val="00A266CF"/>
    <w:rsid w:val="00A30C06"/>
    <w:rsid w:val="00A3166B"/>
    <w:rsid w:val="00A3554E"/>
    <w:rsid w:val="00A365E3"/>
    <w:rsid w:val="00A3692A"/>
    <w:rsid w:val="00A37558"/>
    <w:rsid w:val="00A37E9D"/>
    <w:rsid w:val="00A43047"/>
    <w:rsid w:val="00A43E4B"/>
    <w:rsid w:val="00A43FB3"/>
    <w:rsid w:val="00A46152"/>
    <w:rsid w:val="00A51960"/>
    <w:rsid w:val="00A522AF"/>
    <w:rsid w:val="00A54FB6"/>
    <w:rsid w:val="00A5567B"/>
    <w:rsid w:val="00A557EF"/>
    <w:rsid w:val="00A608B8"/>
    <w:rsid w:val="00A60F50"/>
    <w:rsid w:val="00A63EC1"/>
    <w:rsid w:val="00A64DB7"/>
    <w:rsid w:val="00A65A37"/>
    <w:rsid w:val="00A65F96"/>
    <w:rsid w:val="00A6600C"/>
    <w:rsid w:val="00A670C5"/>
    <w:rsid w:val="00A714D6"/>
    <w:rsid w:val="00A73EFF"/>
    <w:rsid w:val="00A77CDB"/>
    <w:rsid w:val="00A803AA"/>
    <w:rsid w:val="00A840DB"/>
    <w:rsid w:val="00A8539B"/>
    <w:rsid w:val="00A86BD5"/>
    <w:rsid w:val="00A90111"/>
    <w:rsid w:val="00A92745"/>
    <w:rsid w:val="00A92FBF"/>
    <w:rsid w:val="00A93232"/>
    <w:rsid w:val="00A93B33"/>
    <w:rsid w:val="00A94478"/>
    <w:rsid w:val="00A953CF"/>
    <w:rsid w:val="00A96360"/>
    <w:rsid w:val="00A97F36"/>
    <w:rsid w:val="00AA25F8"/>
    <w:rsid w:val="00AA3C33"/>
    <w:rsid w:val="00AA3C4B"/>
    <w:rsid w:val="00AA5792"/>
    <w:rsid w:val="00AA5D12"/>
    <w:rsid w:val="00AA7EC7"/>
    <w:rsid w:val="00AB0A43"/>
    <w:rsid w:val="00AB6FBE"/>
    <w:rsid w:val="00AB76DF"/>
    <w:rsid w:val="00AC2AB1"/>
    <w:rsid w:val="00AC36A8"/>
    <w:rsid w:val="00AC4F2E"/>
    <w:rsid w:val="00AC6EF9"/>
    <w:rsid w:val="00AD376A"/>
    <w:rsid w:val="00AD60A1"/>
    <w:rsid w:val="00AD6D00"/>
    <w:rsid w:val="00AE00FB"/>
    <w:rsid w:val="00AE2D3A"/>
    <w:rsid w:val="00AE5059"/>
    <w:rsid w:val="00AE59FE"/>
    <w:rsid w:val="00AF23A3"/>
    <w:rsid w:val="00AF3C6A"/>
    <w:rsid w:val="00AF4194"/>
    <w:rsid w:val="00AF50D2"/>
    <w:rsid w:val="00AF51CF"/>
    <w:rsid w:val="00AF6AE5"/>
    <w:rsid w:val="00B0116A"/>
    <w:rsid w:val="00B015BB"/>
    <w:rsid w:val="00B04A4D"/>
    <w:rsid w:val="00B06BA3"/>
    <w:rsid w:val="00B07443"/>
    <w:rsid w:val="00B215D6"/>
    <w:rsid w:val="00B228C6"/>
    <w:rsid w:val="00B241BB"/>
    <w:rsid w:val="00B258BC"/>
    <w:rsid w:val="00B31B8C"/>
    <w:rsid w:val="00B36FF7"/>
    <w:rsid w:val="00B371D8"/>
    <w:rsid w:val="00B372DE"/>
    <w:rsid w:val="00B37561"/>
    <w:rsid w:val="00B40DA6"/>
    <w:rsid w:val="00B45E7A"/>
    <w:rsid w:val="00B512A5"/>
    <w:rsid w:val="00B52C89"/>
    <w:rsid w:val="00B53A34"/>
    <w:rsid w:val="00B56651"/>
    <w:rsid w:val="00B5707E"/>
    <w:rsid w:val="00B618A8"/>
    <w:rsid w:val="00B61F25"/>
    <w:rsid w:val="00B63E90"/>
    <w:rsid w:val="00B71251"/>
    <w:rsid w:val="00B748B3"/>
    <w:rsid w:val="00B77681"/>
    <w:rsid w:val="00B80287"/>
    <w:rsid w:val="00B84886"/>
    <w:rsid w:val="00B86A11"/>
    <w:rsid w:val="00B91A10"/>
    <w:rsid w:val="00B937AC"/>
    <w:rsid w:val="00B971E6"/>
    <w:rsid w:val="00BA08F3"/>
    <w:rsid w:val="00BA4C8A"/>
    <w:rsid w:val="00BA63F7"/>
    <w:rsid w:val="00BA7458"/>
    <w:rsid w:val="00BA7FAC"/>
    <w:rsid w:val="00BB1067"/>
    <w:rsid w:val="00BB29CD"/>
    <w:rsid w:val="00BC09AD"/>
    <w:rsid w:val="00BC0C75"/>
    <w:rsid w:val="00BC13C1"/>
    <w:rsid w:val="00BC2599"/>
    <w:rsid w:val="00BC3420"/>
    <w:rsid w:val="00BC5C58"/>
    <w:rsid w:val="00BC7D3E"/>
    <w:rsid w:val="00BD0630"/>
    <w:rsid w:val="00BD07BF"/>
    <w:rsid w:val="00BD134D"/>
    <w:rsid w:val="00BD544E"/>
    <w:rsid w:val="00BD753F"/>
    <w:rsid w:val="00BD7C68"/>
    <w:rsid w:val="00BE12A3"/>
    <w:rsid w:val="00BE1AF1"/>
    <w:rsid w:val="00BE3841"/>
    <w:rsid w:val="00BE4D94"/>
    <w:rsid w:val="00BE7870"/>
    <w:rsid w:val="00BE7FCE"/>
    <w:rsid w:val="00BF0145"/>
    <w:rsid w:val="00BF2508"/>
    <w:rsid w:val="00BF2577"/>
    <w:rsid w:val="00BF5D55"/>
    <w:rsid w:val="00BF7072"/>
    <w:rsid w:val="00C01BA1"/>
    <w:rsid w:val="00C05720"/>
    <w:rsid w:val="00C06392"/>
    <w:rsid w:val="00C07D14"/>
    <w:rsid w:val="00C10F5F"/>
    <w:rsid w:val="00C11514"/>
    <w:rsid w:val="00C11FE9"/>
    <w:rsid w:val="00C128D7"/>
    <w:rsid w:val="00C1462B"/>
    <w:rsid w:val="00C14B98"/>
    <w:rsid w:val="00C15A90"/>
    <w:rsid w:val="00C15E02"/>
    <w:rsid w:val="00C1603F"/>
    <w:rsid w:val="00C16657"/>
    <w:rsid w:val="00C209DA"/>
    <w:rsid w:val="00C239CB"/>
    <w:rsid w:val="00C23E22"/>
    <w:rsid w:val="00C263F5"/>
    <w:rsid w:val="00C265B6"/>
    <w:rsid w:val="00C26C95"/>
    <w:rsid w:val="00C301E2"/>
    <w:rsid w:val="00C3248B"/>
    <w:rsid w:val="00C32BF3"/>
    <w:rsid w:val="00C35A67"/>
    <w:rsid w:val="00C3607C"/>
    <w:rsid w:val="00C408D1"/>
    <w:rsid w:val="00C4194B"/>
    <w:rsid w:val="00C423FB"/>
    <w:rsid w:val="00C50880"/>
    <w:rsid w:val="00C571A8"/>
    <w:rsid w:val="00C63ED0"/>
    <w:rsid w:val="00C64B6D"/>
    <w:rsid w:val="00C64DA0"/>
    <w:rsid w:val="00C6689F"/>
    <w:rsid w:val="00C67F5A"/>
    <w:rsid w:val="00C70A0A"/>
    <w:rsid w:val="00C71B00"/>
    <w:rsid w:val="00C71C9D"/>
    <w:rsid w:val="00C734F8"/>
    <w:rsid w:val="00C74961"/>
    <w:rsid w:val="00C76C04"/>
    <w:rsid w:val="00C80FB1"/>
    <w:rsid w:val="00C82160"/>
    <w:rsid w:val="00C82852"/>
    <w:rsid w:val="00C82B26"/>
    <w:rsid w:val="00C83A10"/>
    <w:rsid w:val="00C84B53"/>
    <w:rsid w:val="00C84CB2"/>
    <w:rsid w:val="00C864D3"/>
    <w:rsid w:val="00C90AAF"/>
    <w:rsid w:val="00C9249A"/>
    <w:rsid w:val="00C949FA"/>
    <w:rsid w:val="00C96854"/>
    <w:rsid w:val="00CA2665"/>
    <w:rsid w:val="00CA470F"/>
    <w:rsid w:val="00CA527E"/>
    <w:rsid w:val="00CA5767"/>
    <w:rsid w:val="00CB0EB2"/>
    <w:rsid w:val="00CB52BA"/>
    <w:rsid w:val="00CB7FBD"/>
    <w:rsid w:val="00CC0E6C"/>
    <w:rsid w:val="00CC186E"/>
    <w:rsid w:val="00CC2A4E"/>
    <w:rsid w:val="00CC453F"/>
    <w:rsid w:val="00CC5890"/>
    <w:rsid w:val="00CC6386"/>
    <w:rsid w:val="00CC7D5A"/>
    <w:rsid w:val="00CD0EA7"/>
    <w:rsid w:val="00CD4437"/>
    <w:rsid w:val="00CD532F"/>
    <w:rsid w:val="00CD60E1"/>
    <w:rsid w:val="00CD62FD"/>
    <w:rsid w:val="00CE0699"/>
    <w:rsid w:val="00CE0B9F"/>
    <w:rsid w:val="00CE17D2"/>
    <w:rsid w:val="00CE1816"/>
    <w:rsid w:val="00CE2813"/>
    <w:rsid w:val="00CE2DAB"/>
    <w:rsid w:val="00CE2E56"/>
    <w:rsid w:val="00CE2EF5"/>
    <w:rsid w:val="00CE3BAC"/>
    <w:rsid w:val="00CE6838"/>
    <w:rsid w:val="00CE7AF4"/>
    <w:rsid w:val="00CE7C29"/>
    <w:rsid w:val="00CF4EE0"/>
    <w:rsid w:val="00CF6234"/>
    <w:rsid w:val="00CF625A"/>
    <w:rsid w:val="00D03083"/>
    <w:rsid w:val="00D03F5A"/>
    <w:rsid w:val="00D059E9"/>
    <w:rsid w:val="00D06238"/>
    <w:rsid w:val="00D07C1B"/>
    <w:rsid w:val="00D10532"/>
    <w:rsid w:val="00D10899"/>
    <w:rsid w:val="00D108C5"/>
    <w:rsid w:val="00D15056"/>
    <w:rsid w:val="00D17100"/>
    <w:rsid w:val="00D22413"/>
    <w:rsid w:val="00D22D0A"/>
    <w:rsid w:val="00D238F4"/>
    <w:rsid w:val="00D25466"/>
    <w:rsid w:val="00D26C6F"/>
    <w:rsid w:val="00D2782D"/>
    <w:rsid w:val="00D30816"/>
    <w:rsid w:val="00D3099B"/>
    <w:rsid w:val="00D338AD"/>
    <w:rsid w:val="00D33DE5"/>
    <w:rsid w:val="00D35F99"/>
    <w:rsid w:val="00D42979"/>
    <w:rsid w:val="00D507E6"/>
    <w:rsid w:val="00D50AC6"/>
    <w:rsid w:val="00D5194D"/>
    <w:rsid w:val="00D51ABE"/>
    <w:rsid w:val="00D55B08"/>
    <w:rsid w:val="00D5615B"/>
    <w:rsid w:val="00D5707E"/>
    <w:rsid w:val="00D608E8"/>
    <w:rsid w:val="00D64037"/>
    <w:rsid w:val="00D64660"/>
    <w:rsid w:val="00D650E5"/>
    <w:rsid w:val="00D66507"/>
    <w:rsid w:val="00D6787C"/>
    <w:rsid w:val="00D67BFB"/>
    <w:rsid w:val="00D71EDD"/>
    <w:rsid w:val="00D723F2"/>
    <w:rsid w:val="00D771DA"/>
    <w:rsid w:val="00D82D4E"/>
    <w:rsid w:val="00D8387C"/>
    <w:rsid w:val="00D83BA6"/>
    <w:rsid w:val="00D845D4"/>
    <w:rsid w:val="00D968A5"/>
    <w:rsid w:val="00DA1B82"/>
    <w:rsid w:val="00DA33D9"/>
    <w:rsid w:val="00DA47FB"/>
    <w:rsid w:val="00DA6DEC"/>
    <w:rsid w:val="00DB2971"/>
    <w:rsid w:val="00DB2CBA"/>
    <w:rsid w:val="00DB3669"/>
    <w:rsid w:val="00DB4440"/>
    <w:rsid w:val="00DB5F54"/>
    <w:rsid w:val="00DB61FF"/>
    <w:rsid w:val="00DB633F"/>
    <w:rsid w:val="00DB778B"/>
    <w:rsid w:val="00DB792A"/>
    <w:rsid w:val="00DC4A24"/>
    <w:rsid w:val="00DC5A03"/>
    <w:rsid w:val="00DC6D46"/>
    <w:rsid w:val="00DC7327"/>
    <w:rsid w:val="00DD5706"/>
    <w:rsid w:val="00DE5BF8"/>
    <w:rsid w:val="00DE740D"/>
    <w:rsid w:val="00DE7BC7"/>
    <w:rsid w:val="00DF5BEC"/>
    <w:rsid w:val="00DF6FC3"/>
    <w:rsid w:val="00E003DF"/>
    <w:rsid w:val="00E007B5"/>
    <w:rsid w:val="00E01768"/>
    <w:rsid w:val="00E037C3"/>
    <w:rsid w:val="00E107DD"/>
    <w:rsid w:val="00E10A97"/>
    <w:rsid w:val="00E10B59"/>
    <w:rsid w:val="00E11AE6"/>
    <w:rsid w:val="00E11F02"/>
    <w:rsid w:val="00E13C7F"/>
    <w:rsid w:val="00E140A1"/>
    <w:rsid w:val="00E143BD"/>
    <w:rsid w:val="00E168BE"/>
    <w:rsid w:val="00E16944"/>
    <w:rsid w:val="00E16D71"/>
    <w:rsid w:val="00E22B2D"/>
    <w:rsid w:val="00E24018"/>
    <w:rsid w:val="00E267F5"/>
    <w:rsid w:val="00E332BC"/>
    <w:rsid w:val="00E3363D"/>
    <w:rsid w:val="00E33AB0"/>
    <w:rsid w:val="00E3446C"/>
    <w:rsid w:val="00E40331"/>
    <w:rsid w:val="00E405A9"/>
    <w:rsid w:val="00E41299"/>
    <w:rsid w:val="00E44347"/>
    <w:rsid w:val="00E4478B"/>
    <w:rsid w:val="00E4703A"/>
    <w:rsid w:val="00E54146"/>
    <w:rsid w:val="00E60C6F"/>
    <w:rsid w:val="00E612C9"/>
    <w:rsid w:val="00E61BB6"/>
    <w:rsid w:val="00E633F9"/>
    <w:rsid w:val="00E637C4"/>
    <w:rsid w:val="00E63EF8"/>
    <w:rsid w:val="00E64F6A"/>
    <w:rsid w:val="00E66717"/>
    <w:rsid w:val="00E66797"/>
    <w:rsid w:val="00E67650"/>
    <w:rsid w:val="00E72419"/>
    <w:rsid w:val="00E72EBD"/>
    <w:rsid w:val="00E7393B"/>
    <w:rsid w:val="00E74B9A"/>
    <w:rsid w:val="00E753F2"/>
    <w:rsid w:val="00E7589F"/>
    <w:rsid w:val="00E76ED1"/>
    <w:rsid w:val="00E7762F"/>
    <w:rsid w:val="00E779FE"/>
    <w:rsid w:val="00E80ABB"/>
    <w:rsid w:val="00E8110B"/>
    <w:rsid w:val="00E8170D"/>
    <w:rsid w:val="00E8217C"/>
    <w:rsid w:val="00E82D75"/>
    <w:rsid w:val="00E8338B"/>
    <w:rsid w:val="00E8396B"/>
    <w:rsid w:val="00E84588"/>
    <w:rsid w:val="00E84848"/>
    <w:rsid w:val="00E85935"/>
    <w:rsid w:val="00E93C0D"/>
    <w:rsid w:val="00E94660"/>
    <w:rsid w:val="00EA0FDE"/>
    <w:rsid w:val="00EA111E"/>
    <w:rsid w:val="00EA4A09"/>
    <w:rsid w:val="00EA60EE"/>
    <w:rsid w:val="00EA7E99"/>
    <w:rsid w:val="00EB0AE8"/>
    <w:rsid w:val="00EB14DD"/>
    <w:rsid w:val="00EB307D"/>
    <w:rsid w:val="00EB34DA"/>
    <w:rsid w:val="00EB471F"/>
    <w:rsid w:val="00EC06BB"/>
    <w:rsid w:val="00EC6ED7"/>
    <w:rsid w:val="00EC7115"/>
    <w:rsid w:val="00ED0CAD"/>
    <w:rsid w:val="00ED0E41"/>
    <w:rsid w:val="00ED150D"/>
    <w:rsid w:val="00ED1CE8"/>
    <w:rsid w:val="00ED5052"/>
    <w:rsid w:val="00ED575B"/>
    <w:rsid w:val="00ED5921"/>
    <w:rsid w:val="00ED7448"/>
    <w:rsid w:val="00ED7918"/>
    <w:rsid w:val="00ED7B33"/>
    <w:rsid w:val="00EE0436"/>
    <w:rsid w:val="00EE1856"/>
    <w:rsid w:val="00EE476D"/>
    <w:rsid w:val="00EE64D2"/>
    <w:rsid w:val="00EE74A1"/>
    <w:rsid w:val="00EF0BD8"/>
    <w:rsid w:val="00EF1E37"/>
    <w:rsid w:val="00EF38E8"/>
    <w:rsid w:val="00EF3B1A"/>
    <w:rsid w:val="00EF73C0"/>
    <w:rsid w:val="00F0044B"/>
    <w:rsid w:val="00F00FD3"/>
    <w:rsid w:val="00F017FB"/>
    <w:rsid w:val="00F0241C"/>
    <w:rsid w:val="00F02CCA"/>
    <w:rsid w:val="00F0486C"/>
    <w:rsid w:val="00F06991"/>
    <w:rsid w:val="00F07159"/>
    <w:rsid w:val="00F07615"/>
    <w:rsid w:val="00F07D5A"/>
    <w:rsid w:val="00F116E0"/>
    <w:rsid w:val="00F14D86"/>
    <w:rsid w:val="00F16667"/>
    <w:rsid w:val="00F21D11"/>
    <w:rsid w:val="00F21E85"/>
    <w:rsid w:val="00F232A6"/>
    <w:rsid w:val="00F255CA"/>
    <w:rsid w:val="00F3003B"/>
    <w:rsid w:val="00F34C6E"/>
    <w:rsid w:val="00F419C8"/>
    <w:rsid w:val="00F41A5A"/>
    <w:rsid w:val="00F41AFA"/>
    <w:rsid w:val="00F4349B"/>
    <w:rsid w:val="00F460CD"/>
    <w:rsid w:val="00F463B5"/>
    <w:rsid w:val="00F47335"/>
    <w:rsid w:val="00F50579"/>
    <w:rsid w:val="00F537F9"/>
    <w:rsid w:val="00F548D0"/>
    <w:rsid w:val="00F55EC2"/>
    <w:rsid w:val="00F5665B"/>
    <w:rsid w:val="00F61E3B"/>
    <w:rsid w:val="00F62B5A"/>
    <w:rsid w:val="00F64999"/>
    <w:rsid w:val="00F6702C"/>
    <w:rsid w:val="00F70E89"/>
    <w:rsid w:val="00F80917"/>
    <w:rsid w:val="00F80D15"/>
    <w:rsid w:val="00F82D04"/>
    <w:rsid w:val="00F836DA"/>
    <w:rsid w:val="00F86224"/>
    <w:rsid w:val="00F86F74"/>
    <w:rsid w:val="00F9183F"/>
    <w:rsid w:val="00F922C2"/>
    <w:rsid w:val="00F949B6"/>
    <w:rsid w:val="00F979E1"/>
    <w:rsid w:val="00FA0111"/>
    <w:rsid w:val="00FA0802"/>
    <w:rsid w:val="00FA2B64"/>
    <w:rsid w:val="00FA383F"/>
    <w:rsid w:val="00FA47D6"/>
    <w:rsid w:val="00FA47E0"/>
    <w:rsid w:val="00FB0041"/>
    <w:rsid w:val="00FB1C22"/>
    <w:rsid w:val="00FB1F14"/>
    <w:rsid w:val="00FB2632"/>
    <w:rsid w:val="00FB2B49"/>
    <w:rsid w:val="00FB3B4C"/>
    <w:rsid w:val="00FB3BD6"/>
    <w:rsid w:val="00FB4DEF"/>
    <w:rsid w:val="00FB56B6"/>
    <w:rsid w:val="00FB5C67"/>
    <w:rsid w:val="00FB63AA"/>
    <w:rsid w:val="00FC0309"/>
    <w:rsid w:val="00FC3D86"/>
    <w:rsid w:val="00FC4AFA"/>
    <w:rsid w:val="00FC4D9D"/>
    <w:rsid w:val="00FC57A9"/>
    <w:rsid w:val="00FC79B7"/>
    <w:rsid w:val="00FD146D"/>
    <w:rsid w:val="00FD2717"/>
    <w:rsid w:val="00FD3D41"/>
    <w:rsid w:val="00FD4CA9"/>
    <w:rsid w:val="00FD4CCE"/>
    <w:rsid w:val="00FD67E4"/>
    <w:rsid w:val="00FE01C4"/>
    <w:rsid w:val="00FE3D5B"/>
    <w:rsid w:val="00FE4EB0"/>
    <w:rsid w:val="00FE5A3D"/>
    <w:rsid w:val="00FE5B48"/>
    <w:rsid w:val="00FE6477"/>
    <w:rsid w:val="00FE71D0"/>
    <w:rsid w:val="00FF0F39"/>
    <w:rsid w:val="00FF224C"/>
    <w:rsid w:val="00FF6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024C5D"/>
  <w15:docId w15:val="{251FE788-CBA1-4A73-86B2-6B538DAAD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185B"/>
    <w:rPr>
      <w:lang w:val="en-GB"/>
    </w:rPr>
  </w:style>
  <w:style w:type="paragraph" w:styleId="Heading1">
    <w:name w:val="heading 1"/>
    <w:basedOn w:val="Normal"/>
    <w:next w:val="Normal"/>
    <w:link w:val="Heading1Char"/>
    <w:uiPriority w:val="9"/>
    <w:qFormat/>
    <w:rsid w:val="00E4478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semiHidden/>
    <w:unhideWhenUsed/>
    <w:qFormat/>
    <w:rsid w:val="000A668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23727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841"/>
    <w:pPr>
      <w:ind w:left="720"/>
      <w:contextualSpacing/>
    </w:pPr>
    <w:rPr>
      <w:rFonts w:eastAsiaTheme="minorEastAsia"/>
      <w:lang w:val="en-US"/>
    </w:rPr>
  </w:style>
  <w:style w:type="character" w:styleId="Hyperlink">
    <w:name w:val="Hyperlink"/>
    <w:basedOn w:val="DefaultParagraphFont"/>
    <w:uiPriority w:val="99"/>
    <w:unhideWhenUsed/>
    <w:rsid w:val="00832C74"/>
    <w:rPr>
      <w:color w:val="0000FF" w:themeColor="hyperlink"/>
      <w:u w:val="single"/>
    </w:rPr>
  </w:style>
  <w:style w:type="paragraph" w:styleId="Header">
    <w:name w:val="header"/>
    <w:basedOn w:val="Normal"/>
    <w:link w:val="HeaderChar"/>
    <w:uiPriority w:val="99"/>
    <w:unhideWhenUsed/>
    <w:rsid w:val="007A6B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B7C"/>
    <w:rPr>
      <w:lang w:val="en-GB"/>
    </w:rPr>
  </w:style>
  <w:style w:type="paragraph" w:styleId="Footer">
    <w:name w:val="footer"/>
    <w:basedOn w:val="Normal"/>
    <w:link w:val="FooterChar"/>
    <w:uiPriority w:val="99"/>
    <w:unhideWhenUsed/>
    <w:rsid w:val="007A6B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B7C"/>
    <w:rPr>
      <w:lang w:val="en-GB"/>
    </w:rPr>
  </w:style>
  <w:style w:type="paragraph" w:styleId="BalloonText">
    <w:name w:val="Balloon Text"/>
    <w:basedOn w:val="Normal"/>
    <w:link w:val="BalloonTextChar"/>
    <w:uiPriority w:val="99"/>
    <w:semiHidden/>
    <w:unhideWhenUsed/>
    <w:rsid w:val="007A6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6B7C"/>
    <w:rPr>
      <w:rFonts w:ascii="Tahoma" w:hAnsi="Tahoma" w:cs="Tahoma"/>
      <w:sz w:val="16"/>
      <w:szCs w:val="16"/>
      <w:lang w:val="en-GB"/>
    </w:rPr>
  </w:style>
  <w:style w:type="paragraph" w:styleId="FootnoteText">
    <w:name w:val="footnote text"/>
    <w:basedOn w:val="Normal"/>
    <w:link w:val="FootnoteTextChar"/>
    <w:uiPriority w:val="99"/>
    <w:unhideWhenUsed/>
    <w:rsid w:val="00B77681"/>
    <w:pPr>
      <w:spacing w:after="0" w:line="240" w:lineRule="auto"/>
    </w:pPr>
    <w:rPr>
      <w:sz w:val="20"/>
      <w:szCs w:val="20"/>
    </w:rPr>
  </w:style>
  <w:style w:type="character" w:customStyle="1" w:styleId="FootnoteTextChar">
    <w:name w:val="Footnote Text Char"/>
    <w:basedOn w:val="DefaultParagraphFont"/>
    <w:link w:val="FootnoteText"/>
    <w:uiPriority w:val="99"/>
    <w:rsid w:val="00B77681"/>
    <w:rPr>
      <w:sz w:val="20"/>
      <w:szCs w:val="20"/>
      <w:lang w:val="en-GB"/>
    </w:rPr>
  </w:style>
  <w:style w:type="character" w:styleId="FootnoteReference">
    <w:name w:val="footnote reference"/>
    <w:basedOn w:val="DefaultParagraphFont"/>
    <w:uiPriority w:val="99"/>
    <w:semiHidden/>
    <w:unhideWhenUsed/>
    <w:rsid w:val="00B77681"/>
    <w:rPr>
      <w:vertAlign w:val="superscript"/>
    </w:rPr>
  </w:style>
  <w:style w:type="character" w:styleId="UnresolvedMention">
    <w:name w:val="Unresolved Mention"/>
    <w:basedOn w:val="DefaultParagraphFont"/>
    <w:uiPriority w:val="99"/>
    <w:semiHidden/>
    <w:unhideWhenUsed/>
    <w:rsid w:val="00B06BA3"/>
    <w:rPr>
      <w:color w:val="808080"/>
      <w:shd w:val="clear" w:color="auto" w:fill="E6E6E6"/>
    </w:rPr>
  </w:style>
  <w:style w:type="paragraph" w:styleId="EndnoteText">
    <w:name w:val="endnote text"/>
    <w:basedOn w:val="Normal"/>
    <w:link w:val="EndnoteTextChar"/>
    <w:uiPriority w:val="99"/>
    <w:semiHidden/>
    <w:unhideWhenUsed/>
    <w:rsid w:val="004A25A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A25AC"/>
    <w:rPr>
      <w:sz w:val="20"/>
      <w:szCs w:val="20"/>
      <w:lang w:val="en-GB"/>
    </w:rPr>
  </w:style>
  <w:style w:type="character" w:styleId="EndnoteReference">
    <w:name w:val="endnote reference"/>
    <w:basedOn w:val="DefaultParagraphFont"/>
    <w:uiPriority w:val="99"/>
    <w:semiHidden/>
    <w:unhideWhenUsed/>
    <w:rsid w:val="004A25AC"/>
    <w:rPr>
      <w:vertAlign w:val="superscript"/>
    </w:rPr>
  </w:style>
  <w:style w:type="character" w:customStyle="1" w:styleId="Heading1Char">
    <w:name w:val="Heading 1 Char"/>
    <w:basedOn w:val="DefaultParagraphFont"/>
    <w:link w:val="Heading1"/>
    <w:uiPriority w:val="9"/>
    <w:rsid w:val="00E4478B"/>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0A668F"/>
    <w:rPr>
      <w:rFonts w:asciiTheme="majorHAnsi" w:eastAsiaTheme="majorEastAsia" w:hAnsiTheme="majorHAnsi" w:cstheme="majorBidi"/>
      <w:color w:val="365F91" w:themeColor="accent1" w:themeShade="BF"/>
      <w:sz w:val="26"/>
      <w:szCs w:val="26"/>
      <w:lang w:val="en-GB"/>
    </w:rPr>
  </w:style>
  <w:style w:type="character" w:customStyle="1" w:styleId="Heading3Char">
    <w:name w:val="Heading 3 Char"/>
    <w:basedOn w:val="DefaultParagraphFont"/>
    <w:link w:val="Heading3"/>
    <w:uiPriority w:val="9"/>
    <w:semiHidden/>
    <w:rsid w:val="00237278"/>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40259">
      <w:bodyDiv w:val="1"/>
      <w:marLeft w:val="0"/>
      <w:marRight w:val="0"/>
      <w:marTop w:val="0"/>
      <w:marBottom w:val="0"/>
      <w:divBdr>
        <w:top w:val="none" w:sz="0" w:space="0" w:color="auto"/>
        <w:left w:val="none" w:sz="0" w:space="0" w:color="auto"/>
        <w:bottom w:val="none" w:sz="0" w:space="0" w:color="auto"/>
        <w:right w:val="none" w:sz="0" w:space="0" w:color="auto"/>
      </w:divBdr>
    </w:div>
    <w:div w:id="38558362">
      <w:bodyDiv w:val="1"/>
      <w:marLeft w:val="0"/>
      <w:marRight w:val="0"/>
      <w:marTop w:val="0"/>
      <w:marBottom w:val="0"/>
      <w:divBdr>
        <w:top w:val="none" w:sz="0" w:space="0" w:color="auto"/>
        <w:left w:val="none" w:sz="0" w:space="0" w:color="auto"/>
        <w:bottom w:val="none" w:sz="0" w:space="0" w:color="auto"/>
        <w:right w:val="none" w:sz="0" w:space="0" w:color="auto"/>
      </w:divBdr>
      <w:divsChild>
        <w:div w:id="1480031837">
          <w:marLeft w:val="0"/>
          <w:marRight w:val="0"/>
          <w:marTop w:val="0"/>
          <w:marBottom w:val="0"/>
          <w:divBdr>
            <w:top w:val="none" w:sz="0" w:space="0" w:color="auto"/>
            <w:left w:val="none" w:sz="0" w:space="0" w:color="auto"/>
            <w:bottom w:val="none" w:sz="0" w:space="0" w:color="auto"/>
            <w:right w:val="none" w:sz="0" w:space="0" w:color="auto"/>
          </w:divBdr>
        </w:div>
        <w:div w:id="1480417680">
          <w:marLeft w:val="0"/>
          <w:marRight w:val="0"/>
          <w:marTop w:val="0"/>
          <w:marBottom w:val="0"/>
          <w:divBdr>
            <w:top w:val="none" w:sz="0" w:space="0" w:color="auto"/>
            <w:left w:val="none" w:sz="0" w:space="0" w:color="auto"/>
            <w:bottom w:val="none" w:sz="0" w:space="0" w:color="auto"/>
            <w:right w:val="none" w:sz="0" w:space="0" w:color="auto"/>
          </w:divBdr>
        </w:div>
      </w:divsChild>
    </w:div>
    <w:div w:id="200016760">
      <w:bodyDiv w:val="1"/>
      <w:marLeft w:val="0"/>
      <w:marRight w:val="0"/>
      <w:marTop w:val="0"/>
      <w:marBottom w:val="0"/>
      <w:divBdr>
        <w:top w:val="none" w:sz="0" w:space="0" w:color="auto"/>
        <w:left w:val="none" w:sz="0" w:space="0" w:color="auto"/>
        <w:bottom w:val="none" w:sz="0" w:space="0" w:color="auto"/>
        <w:right w:val="none" w:sz="0" w:space="0" w:color="auto"/>
      </w:divBdr>
    </w:div>
    <w:div w:id="256212862">
      <w:bodyDiv w:val="1"/>
      <w:marLeft w:val="0"/>
      <w:marRight w:val="0"/>
      <w:marTop w:val="0"/>
      <w:marBottom w:val="0"/>
      <w:divBdr>
        <w:top w:val="none" w:sz="0" w:space="0" w:color="auto"/>
        <w:left w:val="none" w:sz="0" w:space="0" w:color="auto"/>
        <w:bottom w:val="none" w:sz="0" w:space="0" w:color="auto"/>
        <w:right w:val="none" w:sz="0" w:space="0" w:color="auto"/>
      </w:divBdr>
    </w:div>
    <w:div w:id="404304755">
      <w:bodyDiv w:val="1"/>
      <w:marLeft w:val="0"/>
      <w:marRight w:val="0"/>
      <w:marTop w:val="0"/>
      <w:marBottom w:val="0"/>
      <w:divBdr>
        <w:top w:val="none" w:sz="0" w:space="0" w:color="auto"/>
        <w:left w:val="none" w:sz="0" w:space="0" w:color="auto"/>
        <w:bottom w:val="none" w:sz="0" w:space="0" w:color="auto"/>
        <w:right w:val="none" w:sz="0" w:space="0" w:color="auto"/>
      </w:divBdr>
      <w:divsChild>
        <w:div w:id="895507983">
          <w:marLeft w:val="0"/>
          <w:marRight w:val="0"/>
          <w:marTop w:val="0"/>
          <w:marBottom w:val="0"/>
          <w:divBdr>
            <w:top w:val="none" w:sz="0" w:space="0" w:color="auto"/>
            <w:left w:val="none" w:sz="0" w:space="0" w:color="auto"/>
            <w:bottom w:val="none" w:sz="0" w:space="0" w:color="auto"/>
            <w:right w:val="none" w:sz="0" w:space="0" w:color="auto"/>
          </w:divBdr>
        </w:div>
      </w:divsChild>
    </w:div>
    <w:div w:id="447747621">
      <w:bodyDiv w:val="1"/>
      <w:marLeft w:val="0"/>
      <w:marRight w:val="0"/>
      <w:marTop w:val="0"/>
      <w:marBottom w:val="0"/>
      <w:divBdr>
        <w:top w:val="none" w:sz="0" w:space="0" w:color="auto"/>
        <w:left w:val="none" w:sz="0" w:space="0" w:color="auto"/>
        <w:bottom w:val="none" w:sz="0" w:space="0" w:color="auto"/>
        <w:right w:val="none" w:sz="0" w:space="0" w:color="auto"/>
      </w:divBdr>
    </w:div>
    <w:div w:id="461195014">
      <w:bodyDiv w:val="1"/>
      <w:marLeft w:val="0"/>
      <w:marRight w:val="0"/>
      <w:marTop w:val="0"/>
      <w:marBottom w:val="0"/>
      <w:divBdr>
        <w:top w:val="none" w:sz="0" w:space="0" w:color="auto"/>
        <w:left w:val="none" w:sz="0" w:space="0" w:color="auto"/>
        <w:bottom w:val="none" w:sz="0" w:space="0" w:color="auto"/>
        <w:right w:val="none" w:sz="0" w:space="0" w:color="auto"/>
      </w:divBdr>
      <w:divsChild>
        <w:div w:id="1895699478">
          <w:marLeft w:val="0"/>
          <w:marRight w:val="0"/>
          <w:marTop w:val="0"/>
          <w:marBottom w:val="0"/>
          <w:divBdr>
            <w:top w:val="none" w:sz="0" w:space="0" w:color="auto"/>
            <w:left w:val="none" w:sz="0" w:space="0" w:color="auto"/>
            <w:bottom w:val="none" w:sz="0" w:space="0" w:color="auto"/>
            <w:right w:val="none" w:sz="0" w:space="0" w:color="auto"/>
          </w:divBdr>
        </w:div>
      </w:divsChild>
    </w:div>
    <w:div w:id="566651045">
      <w:bodyDiv w:val="1"/>
      <w:marLeft w:val="0"/>
      <w:marRight w:val="0"/>
      <w:marTop w:val="0"/>
      <w:marBottom w:val="0"/>
      <w:divBdr>
        <w:top w:val="none" w:sz="0" w:space="0" w:color="auto"/>
        <w:left w:val="none" w:sz="0" w:space="0" w:color="auto"/>
        <w:bottom w:val="none" w:sz="0" w:space="0" w:color="auto"/>
        <w:right w:val="none" w:sz="0" w:space="0" w:color="auto"/>
      </w:divBdr>
    </w:div>
    <w:div w:id="862591349">
      <w:bodyDiv w:val="1"/>
      <w:marLeft w:val="0"/>
      <w:marRight w:val="0"/>
      <w:marTop w:val="0"/>
      <w:marBottom w:val="0"/>
      <w:divBdr>
        <w:top w:val="none" w:sz="0" w:space="0" w:color="auto"/>
        <w:left w:val="none" w:sz="0" w:space="0" w:color="auto"/>
        <w:bottom w:val="none" w:sz="0" w:space="0" w:color="auto"/>
        <w:right w:val="none" w:sz="0" w:space="0" w:color="auto"/>
      </w:divBdr>
    </w:div>
    <w:div w:id="898132844">
      <w:bodyDiv w:val="1"/>
      <w:marLeft w:val="0"/>
      <w:marRight w:val="0"/>
      <w:marTop w:val="0"/>
      <w:marBottom w:val="0"/>
      <w:divBdr>
        <w:top w:val="none" w:sz="0" w:space="0" w:color="auto"/>
        <w:left w:val="none" w:sz="0" w:space="0" w:color="auto"/>
        <w:bottom w:val="none" w:sz="0" w:space="0" w:color="auto"/>
        <w:right w:val="none" w:sz="0" w:space="0" w:color="auto"/>
      </w:divBdr>
    </w:div>
    <w:div w:id="940605002">
      <w:bodyDiv w:val="1"/>
      <w:marLeft w:val="0"/>
      <w:marRight w:val="0"/>
      <w:marTop w:val="0"/>
      <w:marBottom w:val="0"/>
      <w:divBdr>
        <w:top w:val="none" w:sz="0" w:space="0" w:color="auto"/>
        <w:left w:val="none" w:sz="0" w:space="0" w:color="auto"/>
        <w:bottom w:val="none" w:sz="0" w:space="0" w:color="auto"/>
        <w:right w:val="none" w:sz="0" w:space="0" w:color="auto"/>
      </w:divBdr>
      <w:divsChild>
        <w:div w:id="1716537437">
          <w:marLeft w:val="0"/>
          <w:marRight w:val="0"/>
          <w:marTop w:val="0"/>
          <w:marBottom w:val="0"/>
          <w:divBdr>
            <w:top w:val="none" w:sz="0" w:space="0" w:color="auto"/>
            <w:left w:val="none" w:sz="0" w:space="0" w:color="auto"/>
            <w:bottom w:val="none" w:sz="0" w:space="0" w:color="auto"/>
            <w:right w:val="none" w:sz="0" w:space="0" w:color="auto"/>
          </w:divBdr>
        </w:div>
      </w:divsChild>
    </w:div>
    <w:div w:id="949707144">
      <w:bodyDiv w:val="1"/>
      <w:marLeft w:val="0"/>
      <w:marRight w:val="0"/>
      <w:marTop w:val="0"/>
      <w:marBottom w:val="0"/>
      <w:divBdr>
        <w:top w:val="none" w:sz="0" w:space="0" w:color="auto"/>
        <w:left w:val="none" w:sz="0" w:space="0" w:color="auto"/>
        <w:bottom w:val="none" w:sz="0" w:space="0" w:color="auto"/>
        <w:right w:val="none" w:sz="0" w:space="0" w:color="auto"/>
      </w:divBdr>
      <w:divsChild>
        <w:div w:id="2077824075">
          <w:marLeft w:val="0"/>
          <w:marRight w:val="0"/>
          <w:marTop w:val="0"/>
          <w:marBottom w:val="0"/>
          <w:divBdr>
            <w:top w:val="none" w:sz="0" w:space="0" w:color="auto"/>
            <w:left w:val="none" w:sz="0" w:space="0" w:color="auto"/>
            <w:bottom w:val="none" w:sz="0" w:space="0" w:color="auto"/>
            <w:right w:val="none" w:sz="0" w:space="0" w:color="auto"/>
          </w:divBdr>
        </w:div>
        <w:div w:id="528832062">
          <w:marLeft w:val="0"/>
          <w:marRight w:val="0"/>
          <w:marTop w:val="0"/>
          <w:marBottom w:val="0"/>
          <w:divBdr>
            <w:top w:val="none" w:sz="0" w:space="0" w:color="auto"/>
            <w:left w:val="none" w:sz="0" w:space="0" w:color="auto"/>
            <w:bottom w:val="none" w:sz="0" w:space="0" w:color="auto"/>
            <w:right w:val="none" w:sz="0" w:space="0" w:color="auto"/>
          </w:divBdr>
        </w:div>
        <w:div w:id="418216371">
          <w:marLeft w:val="0"/>
          <w:marRight w:val="0"/>
          <w:marTop w:val="0"/>
          <w:marBottom w:val="0"/>
          <w:divBdr>
            <w:top w:val="none" w:sz="0" w:space="0" w:color="auto"/>
            <w:left w:val="none" w:sz="0" w:space="0" w:color="auto"/>
            <w:bottom w:val="none" w:sz="0" w:space="0" w:color="auto"/>
            <w:right w:val="none" w:sz="0" w:space="0" w:color="auto"/>
          </w:divBdr>
        </w:div>
        <w:div w:id="1901360374">
          <w:marLeft w:val="0"/>
          <w:marRight w:val="0"/>
          <w:marTop w:val="0"/>
          <w:marBottom w:val="0"/>
          <w:divBdr>
            <w:top w:val="none" w:sz="0" w:space="0" w:color="auto"/>
            <w:left w:val="none" w:sz="0" w:space="0" w:color="auto"/>
            <w:bottom w:val="none" w:sz="0" w:space="0" w:color="auto"/>
            <w:right w:val="none" w:sz="0" w:space="0" w:color="auto"/>
          </w:divBdr>
        </w:div>
      </w:divsChild>
    </w:div>
    <w:div w:id="978417973">
      <w:bodyDiv w:val="1"/>
      <w:marLeft w:val="0"/>
      <w:marRight w:val="0"/>
      <w:marTop w:val="0"/>
      <w:marBottom w:val="0"/>
      <w:divBdr>
        <w:top w:val="none" w:sz="0" w:space="0" w:color="auto"/>
        <w:left w:val="none" w:sz="0" w:space="0" w:color="auto"/>
        <w:bottom w:val="none" w:sz="0" w:space="0" w:color="auto"/>
        <w:right w:val="none" w:sz="0" w:space="0" w:color="auto"/>
      </w:divBdr>
    </w:div>
    <w:div w:id="1027605367">
      <w:bodyDiv w:val="1"/>
      <w:marLeft w:val="0"/>
      <w:marRight w:val="0"/>
      <w:marTop w:val="0"/>
      <w:marBottom w:val="0"/>
      <w:divBdr>
        <w:top w:val="none" w:sz="0" w:space="0" w:color="auto"/>
        <w:left w:val="none" w:sz="0" w:space="0" w:color="auto"/>
        <w:bottom w:val="none" w:sz="0" w:space="0" w:color="auto"/>
        <w:right w:val="none" w:sz="0" w:space="0" w:color="auto"/>
      </w:divBdr>
    </w:div>
    <w:div w:id="1041369206">
      <w:bodyDiv w:val="1"/>
      <w:marLeft w:val="0"/>
      <w:marRight w:val="0"/>
      <w:marTop w:val="0"/>
      <w:marBottom w:val="0"/>
      <w:divBdr>
        <w:top w:val="none" w:sz="0" w:space="0" w:color="auto"/>
        <w:left w:val="none" w:sz="0" w:space="0" w:color="auto"/>
        <w:bottom w:val="none" w:sz="0" w:space="0" w:color="auto"/>
        <w:right w:val="none" w:sz="0" w:space="0" w:color="auto"/>
      </w:divBdr>
      <w:divsChild>
        <w:div w:id="81340124">
          <w:marLeft w:val="0"/>
          <w:marRight w:val="0"/>
          <w:marTop w:val="0"/>
          <w:marBottom w:val="0"/>
          <w:divBdr>
            <w:top w:val="none" w:sz="0" w:space="0" w:color="auto"/>
            <w:left w:val="none" w:sz="0" w:space="0" w:color="auto"/>
            <w:bottom w:val="none" w:sz="0" w:space="0" w:color="auto"/>
            <w:right w:val="none" w:sz="0" w:space="0" w:color="auto"/>
          </w:divBdr>
        </w:div>
        <w:div w:id="1722752981">
          <w:marLeft w:val="0"/>
          <w:marRight w:val="0"/>
          <w:marTop w:val="0"/>
          <w:marBottom w:val="0"/>
          <w:divBdr>
            <w:top w:val="none" w:sz="0" w:space="0" w:color="auto"/>
            <w:left w:val="none" w:sz="0" w:space="0" w:color="auto"/>
            <w:bottom w:val="none" w:sz="0" w:space="0" w:color="auto"/>
            <w:right w:val="none" w:sz="0" w:space="0" w:color="auto"/>
          </w:divBdr>
        </w:div>
      </w:divsChild>
    </w:div>
    <w:div w:id="1065295465">
      <w:bodyDiv w:val="1"/>
      <w:marLeft w:val="0"/>
      <w:marRight w:val="0"/>
      <w:marTop w:val="0"/>
      <w:marBottom w:val="0"/>
      <w:divBdr>
        <w:top w:val="none" w:sz="0" w:space="0" w:color="auto"/>
        <w:left w:val="none" w:sz="0" w:space="0" w:color="auto"/>
        <w:bottom w:val="none" w:sz="0" w:space="0" w:color="auto"/>
        <w:right w:val="none" w:sz="0" w:space="0" w:color="auto"/>
      </w:divBdr>
    </w:div>
    <w:div w:id="1199245887">
      <w:bodyDiv w:val="1"/>
      <w:marLeft w:val="0"/>
      <w:marRight w:val="0"/>
      <w:marTop w:val="0"/>
      <w:marBottom w:val="0"/>
      <w:divBdr>
        <w:top w:val="none" w:sz="0" w:space="0" w:color="auto"/>
        <w:left w:val="none" w:sz="0" w:space="0" w:color="auto"/>
        <w:bottom w:val="none" w:sz="0" w:space="0" w:color="auto"/>
        <w:right w:val="none" w:sz="0" w:space="0" w:color="auto"/>
      </w:divBdr>
    </w:div>
    <w:div w:id="1356924005">
      <w:bodyDiv w:val="1"/>
      <w:marLeft w:val="0"/>
      <w:marRight w:val="0"/>
      <w:marTop w:val="0"/>
      <w:marBottom w:val="0"/>
      <w:divBdr>
        <w:top w:val="none" w:sz="0" w:space="0" w:color="auto"/>
        <w:left w:val="none" w:sz="0" w:space="0" w:color="auto"/>
        <w:bottom w:val="none" w:sz="0" w:space="0" w:color="auto"/>
        <w:right w:val="none" w:sz="0" w:space="0" w:color="auto"/>
      </w:divBdr>
    </w:div>
    <w:div w:id="1367173036">
      <w:bodyDiv w:val="1"/>
      <w:marLeft w:val="0"/>
      <w:marRight w:val="0"/>
      <w:marTop w:val="0"/>
      <w:marBottom w:val="0"/>
      <w:divBdr>
        <w:top w:val="none" w:sz="0" w:space="0" w:color="auto"/>
        <w:left w:val="none" w:sz="0" w:space="0" w:color="auto"/>
        <w:bottom w:val="none" w:sz="0" w:space="0" w:color="auto"/>
        <w:right w:val="none" w:sz="0" w:space="0" w:color="auto"/>
      </w:divBdr>
    </w:div>
    <w:div w:id="1397440073">
      <w:bodyDiv w:val="1"/>
      <w:marLeft w:val="0"/>
      <w:marRight w:val="0"/>
      <w:marTop w:val="0"/>
      <w:marBottom w:val="0"/>
      <w:divBdr>
        <w:top w:val="none" w:sz="0" w:space="0" w:color="auto"/>
        <w:left w:val="none" w:sz="0" w:space="0" w:color="auto"/>
        <w:bottom w:val="none" w:sz="0" w:space="0" w:color="auto"/>
        <w:right w:val="none" w:sz="0" w:space="0" w:color="auto"/>
      </w:divBdr>
      <w:divsChild>
        <w:div w:id="1899584224">
          <w:marLeft w:val="0"/>
          <w:marRight w:val="0"/>
          <w:marTop w:val="0"/>
          <w:marBottom w:val="0"/>
          <w:divBdr>
            <w:top w:val="none" w:sz="0" w:space="0" w:color="auto"/>
            <w:left w:val="none" w:sz="0" w:space="0" w:color="auto"/>
            <w:bottom w:val="none" w:sz="0" w:space="0" w:color="auto"/>
            <w:right w:val="none" w:sz="0" w:space="0" w:color="auto"/>
          </w:divBdr>
        </w:div>
      </w:divsChild>
    </w:div>
    <w:div w:id="1634825948">
      <w:bodyDiv w:val="1"/>
      <w:marLeft w:val="0"/>
      <w:marRight w:val="0"/>
      <w:marTop w:val="0"/>
      <w:marBottom w:val="0"/>
      <w:divBdr>
        <w:top w:val="none" w:sz="0" w:space="0" w:color="auto"/>
        <w:left w:val="none" w:sz="0" w:space="0" w:color="auto"/>
        <w:bottom w:val="none" w:sz="0" w:space="0" w:color="auto"/>
        <w:right w:val="none" w:sz="0" w:space="0" w:color="auto"/>
      </w:divBdr>
    </w:div>
    <w:div w:id="1639645693">
      <w:bodyDiv w:val="1"/>
      <w:marLeft w:val="0"/>
      <w:marRight w:val="0"/>
      <w:marTop w:val="0"/>
      <w:marBottom w:val="0"/>
      <w:divBdr>
        <w:top w:val="none" w:sz="0" w:space="0" w:color="auto"/>
        <w:left w:val="none" w:sz="0" w:space="0" w:color="auto"/>
        <w:bottom w:val="none" w:sz="0" w:space="0" w:color="auto"/>
        <w:right w:val="none" w:sz="0" w:space="0" w:color="auto"/>
      </w:divBdr>
    </w:div>
    <w:div w:id="1640261304">
      <w:bodyDiv w:val="1"/>
      <w:marLeft w:val="0"/>
      <w:marRight w:val="0"/>
      <w:marTop w:val="0"/>
      <w:marBottom w:val="0"/>
      <w:divBdr>
        <w:top w:val="none" w:sz="0" w:space="0" w:color="auto"/>
        <w:left w:val="none" w:sz="0" w:space="0" w:color="auto"/>
        <w:bottom w:val="none" w:sz="0" w:space="0" w:color="auto"/>
        <w:right w:val="none" w:sz="0" w:space="0" w:color="auto"/>
      </w:divBdr>
    </w:div>
    <w:div w:id="1821920155">
      <w:bodyDiv w:val="1"/>
      <w:marLeft w:val="0"/>
      <w:marRight w:val="0"/>
      <w:marTop w:val="0"/>
      <w:marBottom w:val="0"/>
      <w:divBdr>
        <w:top w:val="none" w:sz="0" w:space="0" w:color="auto"/>
        <w:left w:val="none" w:sz="0" w:space="0" w:color="auto"/>
        <w:bottom w:val="none" w:sz="0" w:space="0" w:color="auto"/>
        <w:right w:val="none" w:sz="0" w:space="0" w:color="auto"/>
      </w:divBdr>
    </w:div>
    <w:div w:id="1835105472">
      <w:bodyDiv w:val="1"/>
      <w:marLeft w:val="0"/>
      <w:marRight w:val="0"/>
      <w:marTop w:val="0"/>
      <w:marBottom w:val="0"/>
      <w:divBdr>
        <w:top w:val="none" w:sz="0" w:space="0" w:color="auto"/>
        <w:left w:val="none" w:sz="0" w:space="0" w:color="auto"/>
        <w:bottom w:val="none" w:sz="0" w:space="0" w:color="auto"/>
        <w:right w:val="none" w:sz="0" w:space="0" w:color="auto"/>
      </w:divBdr>
    </w:div>
    <w:div w:id="1890266457">
      <w:bodyDiv w:val="1"/>
      <w:marLeft w:val="0"/>
      <w:marRight w:val="0"/>
      <w:marTop w:val="0"/>
      <w:marBottom w:val="0"/>
      <w:divBdr>
        <w:top w:val="none" w:sz="0" w:space="0" w:color="auto"/>
        <w:left w:val="none" w:sz="0" w:space="0" w:color="auto"/>
        <w:bottom w:val="none" w:sz="0" w:space="0" w:color="auto"/>
        <w:right w:val="none" w:sz="0" w:space="0" w:color="auto"/>
      </w:divBdr>
      <w:divsChild>
        <w:div w:id="1961256713">
          <w:marLeft w:val="0"/>
          <w:marRight w:val="0"/>
          <w:marTop w:val="0"/>
          <w:marBottom w:val="0"/>
          <w:divBdr>
            <w:top w:val="none" w:sz="0" w:space="0" w:color="auto"/>
            <w:left w:val="none" w:sz="0" w:space="0" w:color="auto"/>
            <w:bottom w:val="none" w:sz="0" w:space="0" w:color="auto"/>
            <w:right w:val="none" w:sz="0" w:space="0" w:color="auto"/>
          </w:divBdr>
        </w:div>
        <w:div w:id="1989938078">
          <w:marLeft w:val="0"/>
          <w:marRight w:val="0"/>
          <w:marTop w:val="0"/>
          <w:marBottom w:val="0"/>
          <w:divBdr>
            <w:top w:val="none" w:sz="0" w:space="0" w:color="auto"/>
            <w:left w:val="none" w:sz="0" w:space="0" w:color="auto"/>
            <w:bottom w:val="none" w:sz="0" w:space="0" w:color="auto"/>
            <w:right w:val="none" w:sz="0" w:space="0" w:color="auto"/>
          </w:divBdr>
        </w:div>
        <w:div w:id="866673128">
          <w:marLeft w:val="0"/>
          <w:marRight w:val="0"/>
          <w:marTop w:val="0"/>
          <w:marBottom w:val="0"/>
          <w:divBdr>
            <w:top w:val="none" w:sz="0" w:space="0" w:color="auto"/>
            <w:left w:val="none" w:sz="0" w:space="0" w:color="auto"/>
            <w:bottom w:val="none" w:sz="0" w:space="0" w:color="auto"/>
            <w:right w:val="none" w:sz="0" w:space="0" w:color="auto"/>
          </w:divBdr>
        </w:div>
        <w:div w:id="722562232">
          <w:marLeft w:val="0"/>
          <w:marRight w:val="0"/>
          <w:marTop w:val="0"/>
          <w:marBottom w:val="0"/>
          <w:divBdr>
            <w:top w:val="none" w:sz="0" w:space="0" w:color="auto"/>
            <w:left w:val="none" w:sz="0" w:space="0" w:color="auto"/>
            <w:bottom w:val="none" w:sz="0" w:space="0" w:color="auto"/>
            <w:right w:val="none" w:sz="0" w:space="0" w:color="auto"/>
          </w:divBdr>
        </w:div>
      </w:divsChild>
    </w:div>
    <w:div w:id="1950314907">
      <w:bodyDiv w:val="1"/>
      <w:marLeft w:val="0"/>
      <w:marRight w:val="0"/>
      <w:marTop w:val="0"/>
      <w:marBottom w:val="0"/>
      <w:divBdr>
        <w:top w:val="none" w:sz="0" w:space="0" w:color="auto"/>
        <w:left w:val="none" w:sz="0" w:space="0" w:color="auto"/>
        <w:bottom w:val="none" w:sz="0" w:space="0" w:color="auto"/>
        <w:right w:val="none" w:sz="0" w:space="0" w:color="auto"/>
      </w:divBdr>
    </w:div>
    <w:div w:id="2014139207">
      <w:bodyDiv w:val="1"/>
      <w:marLeft w:val="0"/>
      <w:marRight w:val="0"/>
      <w:marTop w:val="0"/>
      <w:marBottom w:val="0"/>
      <w:divBdr>
        <w:top w:val="none" w:sz="0" w:space="0" w:color="auto"/>
        <w:left w:val="none" w:sz="0" w:space="0" w:color="auto"/>
        <w:bottom w:val="none" w:sz="0" w:space="0" w:color="auto"/>
        <w:right w:val="none" w:sz="0" w:space="0" w:color="auto"/>
      </w:divBdr>
      <w:divsChild>
        <w:div w:id="1818765678">
          <w:marLeft w:val="0"/>
          <w:marRight w:val="0"/>
          <w:marTop w:val="0"/>
          <w:marBottom w:val="0"/>
          <w:divBdr>
            <w:top w:val="none" w:sz="0" w:space="0" w:color="auto"/>
            <w:left w:val="none" w:sz="0" w:space="0" w:color="auto"/>
            <w:bottom w:val="none" w:sz="0" w:space="0" w:color="auto"/>
            <w:right w:val="none" w:sz="0" w:space="0" w:color="auto"/>
          </w:divBdr>
        </w:div>
        <w:div w:id="1976792382">
          <w:marLeft w:val="0"/>
          <w:marRight w:val="0"/>
          <w:marTop w:val="0"/>
          <w:marBottom w:val="0"/>
          <w:divBdr>
            <w:top w:val="none" w:sz="0" w:space="0" w:color="auto"/>
            <w:left w:val="none" w:sz="0" w:space="0" w:color="auto"/>
            <w:bottom w:val="none" w:sz="0" w:space="0" w:color="auto"/>
            <w:right w:val="none" w:sz="0" w:space="0" w:color="auto"/>
          </w:divBdr>
        </w:div>
      </w:divsChild>
    </w:div>
    <w:div w:id="2092388977">
      <w:bodyDiv w:val="1"/>
      <w:marLeft w:val="0"/>
      <w:marRight w:val="0"/>
      <w:marTop w:val="0"/>
      <w:marBottom w:val="0"/>
      <w:divBdr>
        <w:top w:val="none" w:sz="0" w:space="0" w:color="auto"/>
        <w:left w:val="none" w:sz="0" w:space="0" w:color="auto"/>
        <w:bottom w:val="none" w:sz="0" w:space="0" w:color="auto"/>
        <w:right w:val="none" w:sz="0" w:space="0" w:color="auto"/>
      </w:divBdr>
    </w:div>
    <w:div w:id="211898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BA15B-0E7C-42D7-B089-39F730A30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TotalTime>
  <Pages>6</Pages>
  <Words>1441</Words>
  <Characters>8216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Mary Bowen-Perkins</cp:lastModifiedBy>
  <cp:revision>456</cp:revision>
  <dcterms:created xsi:type="dcterms:W3CDTF">2018-12-14T21:53:00Z</dcterms:created>
  <dcterms:modified xsi:type="dcterms:W3CDTF">2018-12-16T19:07:00Z</dcterms:modified>
</cp:coreProperties>
</file>