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FA3B66" w:rsidRDefault="00B03ACA">
      <w:pPr>
        <w:shd w:val="clear" w:color="auto" w:fill="FFFFFF"/>
        <w:spacing w:after="36" w:line="432" w:lineRule="auto"/>
        <w:ind w:firstLine="720"/>
        <w:rPr>
          <w:rFonts w:ascii="Times New Roman" w:eastAsia="Times New Roman" w:hAnsi="Times New Roman" w:cs="Times New Roman"/>
          <w:i/>
          <w:color w:val="373A3C"/>
        </w:rPr>
      </w:pPr>
      <w:bookmarkStart w:id="0" w:name="_heading=h.gjdgxs" w:colFirst="0" w:colLast="0"/>
      <w:bookmarkEnd w:id="0"/>
      <w:r>
        <w:rPr>
          <w:rFonts w:ascii="Times New Roman" w:eastAsia="Times New Roman" w:hAnsi="Times New Roman" w:cs="Times New Roman"/>
          <w:b/>
          <w:color w:val="373A3C"/>
        </w:rPr>
        <w:t xml:space="preserve">Assessment Task One – Commentary on </w:t>
      </w:r>
      <w:proofErr w:type="spellStart"/>
      <w:r>
        <w:rPr>
          <w:rFonts w:ascii="Times New Roman" w:eastAsia="Times New Roman" w:hAnsi="Times New Roman" w:cs="Times New Roman"/>
          <w:b/>
          <w:i/>
          <w:color w:val="373A3C"/>
        </w:rPr>
        <w:t>Immram</w:t>
      </w:r>
      <w:proofErr w:type="spellEnd"/>
      <w:r>
        <w:rPr>
          <w:rFonts w:ascii="Times New Roman" w:eastAsia="Times New Roman" w:hAnsi="Times New Roman" w:cs="Times New Roman"/>
          <w:b/>
          <w:i/>
          <w:color w:val="373A3C"/>
        </w:rPr>
        <w:t xml:space="preserve"> Brain </w:t>
      </w:r>
      <w:proofErr w:type="spellStart"/>
      <w:r>
        <w:rPr>
          <w:rFonts w:ascii="Times New Roman" w:eastAsia="Times New Roman" w:hAnsi="Times New Roman" w:cs="Times New Roman"/>
          <w:b/>
          <w:i/>
          <w:color w:val="373A3C"/>
        </w:rPr>
        <w:t>maic</w:t>
      </w:r>
      <w:proofErr w:type="spellEnd"/>
      <w:r>
        <w:rPr>
          <w:rFonts w:ascii="Times New Roman" w:eastAsia="Times New Roman" w:hAnsi="Times New Roman" w:cs="Times New Roman"/>
          <w:b/>
          <w:i/>
          <w:color w:val="373A3C"/>
        </w:rPr>
        <w:t xml:space="preserve"> </w:t>
      </w:r>
      <w:proofErr w:type="spellStart"/>
      <w:r>
        <w:rPr>
          <w:rFonts w:ascii="Times New Roman" w:eastAsia="Times New Roman" w:hAnsi="Times New Roman" w:cs="Times New Roman"/>
          <w:b/>
          <w:i/>
          <w:color w:val="373A3C"/>
        </w:rPr>
        <w:t>Febail</w:t>
      </w:r>
      <w:proofErr w:type="spellEnd"/>
      <w:r>
        <w:rPr>
          <w:rFonts w:ascii="Times New Roman" w:eastAsia="Times New Roman" w:hAnsi="Times New Roman" w:cs="Times New Roman"/>
          <w:b/>
          <w:color w:val="373A3C"/>
        </w:rPr>
        <w:t xml:space="preserve"> </w:t>
      </w:r>
    </w:p>
    <w:p w14:paraId="00000002" w14:textId="77777777" w:rsidR="00FA3B66" w:rsidRDefault="00B03ACA">
      <w:pPr>
        <w:shd w:val="clear" w:color="auto" w:fill="FFFFFF"/>
        <w:spacing w:after="36" w:line="432" w:lineRule="auto"/>
        <w:ind w:firstLine="720"/>
        <w:rPr>
          <w:rFonts w:ascii="Times New Roman" w:eastAsia="Times New Roman" w:hAnsi="Times New Roman" w:cs="Times New Roman"/>
          <w:color w:val="373A3C"/>
        </w:rPr>
      </w:pPr>
      <w:bookmarkStart w:id="1" w:name="_heading=h.k42znp3amtxb" w:colFirst="0" w:colLast="0"/>
      <w:bookmarkEnd w:id="1"/>
      <w:r>
        <w:rPr>
          <w:rFonts w:ascii="Times New Roman" w:eastAsia="Times New Roman" w:hAnsi="Times New Roman" w:cs="Times New Roman"/>
          <w:color w:val="373A3C"/>
        </w:rPr>
        <w:t>Colin Fisher, Student no. 1804457</w:t>
      </w:r>
    </w:p>
    <w:p w14:paraId="00000003" w14:textId="77777777" w:rsidR="00FA3B66" w:rsidRDefault="00FA3B66">
      <w:pPr>
        <w:shd w:val="clear" w:color="auto" w:fill="FFFFFF"/>
        <w:spacing w:after="36" w:line="432" w:lineRule="auto"/>
        <w:ind w:firstLine="720"/>
        <w:rPr>
          <w:rFonts w:ascii="Times New Roman" w:eastAsia="Times New Roman" w:hAnsi="Times New Roman" w:cs="Times New Roman"/>
          <w:color w:val="373A3C"/>
        </w:rPr>
      </w:pPr>
    </w:p>
    <w:p w14:paraId="00000004" w14:textId="77777777" w:rsidR="00FA3B66" w:rsidRDefault="00B03ACA">
      <w:pPr>
        <w:shd w:val="clear" w:color="auto" w:fill="FFFFFF"/>
        <w:spacing w:after="36" w:line="432" w:lineRule="auto"/>
        <w:ind w:firstLine="720"/>
        <w:rPr>
          <w:rFonts w:ascii="Times New Roman" w:eastAsia="Times New Roman" w:hAnsi="Times New Roman" w:cs="Times New Roman"/>
          <w:color w:val="373A3C"/>
        </w:rPr>
      </w:pPr>
      <w:r>
        <w:rPr>
          <w:rFonts w:ascii="Times New Roman" w:eastAsia="Times New Roman" w:hAnsi="Times New Roman" w:cs="Times New Roman"/>
          <w:color w:val="373A3C"/>
        </w:rPr>
        <w:t>Surviving in various manuscripts from the 11th century onwards but dated on stylistic grounds to the Eighth</w:t>
      </w:r>
      <w:r>
        <w:rPr>
          <w:rFonts w:ascii="Times New Roman" w:eastAsia="Times New Roman" w:hAnsi="Times New Roman" w:cs="Times New Roman"/>
          <w:color w:val="373A3C"/>
          <w:vertAlign w:val="superscript"/>
        </w:rPr>
        <w:footnoteReference w:id="1"/>
      </w:r>
      <w:r>
        <w:rPr>
          <w:rFonts w:ascii="Times New Roman" w:eastAsia="Times New Roman" w:hAnsi="Times New Roman" w:cs="Times New Roman"/>
          <w:color w:val="373A3C"/>
        </w:rPr>
        <w:t xml:space="preserve">, </w:t>
      </w:r>
      <w:proofErr w:type="spellStart"/>
      <w:r>
        <w:rPr>
          <w:rFonts w:ascii="Times New Roman" w:eastAsia="Times New Roman" w:hAnsi="Times New Roman" w:cs="Times New Roman"/>
          <w:i/>
          <w:color w:val="373A3C"/>
        </w:rPr>
        <w:t>Immram</w:t>
      </w:r>
      <w:proofErr w:type="spellEnd"/>
      <w:r>
        <w:rPr>
          <w:rFonts w:ascii="Times New Roman" w:eastAsia="Times New Roman" w:hAnsi="Times New Roman" w:cs="Times New Roman"/>
          <w:i/>
          <w:color w:val="373A3C"/>
        </w:rPr>
        <w:t xml:space="preserve"> Brain </w:t>
      </w:r>
      <w:proofErr w:type="spellStart"/>
      <w:r>
        <w:rPr>
          <w:rFonts w:ascii="Times New Roman" w:eastAsia="Times New Roman" w:hAnsi="Times New Roman" w:cs="Times New Roman"/>
          <w:i/>
          <w:color w:val="373A3C"/>
        </w:rPr>
        <w:t>maic</w:t>
      </w:r>
      <w:proofErr w:type="spellEnd"/>
      <w:r>
        <w:rPr>
          <w:rFonts w:ascii="Times New Roman" w:eastAsia="Times New Roman" w:hAnsi="Times New Roman" w:cs="Times New Roman"/>
          <w:i/>
          <w:color w:val="373A3C"/>
        </w:rPr>
        <w:t xml:space="preserve"> </w:t>
      </w:r>
      <w:proofErr w:type="spellStart"/>
      <w:r>
        <w:rPr>
          <w:rFonts w:ascii="Times New Roman" w:eastAsia="Times New Roman" w:hAnsi="Times New Roman" w:cs="Times New Roman"/>
          <w:i/>
          <w:color w:val="373A3C"/>
        </w:rPr>
        <w:t>Febail</w:t>
      </w:r>
      <w:proofErr w:type="spellEnd"/>
      <w:r>
        <w:rPr>
          <w:rFonts w:ascii="Times New Roman" w:eastAsia="Times New Roman" w:hAnsi="Times New Roman" w:cs="Times New Roman"/>
          <w:color w:val="373A3C"/>
        </w:rPr>
        <w:t xml:space="preserve"> was a product of the monastic communities that birthed the literary culture of medieval Ireland. It falls broadly into th</w:t>
      </w:r>
      <w:r>
        <w:rPr>
          <w:rFonts w:ascii="Times New Roman" w:eastAsia="Times New Roman" w:hAnsi="Times New Roman" w:cs="Times New Roman"/>
          <w:color w:val="373A3C"/>
        </w:rPr>
        <w:t xml:space="preserve">e category of the </w:t>
      </w:r>
      <w:proofErr w:type="spellStart"/>
      <w:r>
        <w:rPr>
          <w:rFonts w:ascii="Times New Roman" w:eastAsia="Times New Roman" w:hAnsi="Times New Roman" w:cs="Times New Roman"/>
          <w:i/>
          <w:color w:val="373A3C"/>
        </w:rPr>
        <w:t>immrama</w:t>
      </w:r>
      <w:proofErr w:type="spellEnd"/>
      <w:r>
        <w:rPr>
          <w:rFonts w:ascii="Times New Roman" w:eastAsia="Times New Roman" w:hAnsi="Times New Roman" w:cs="Times New Roman"/>
          <w:color w:val="373A3C"/>
        </w:rPr>
        <w:t xml:space="preserve">, more by name than particularly shared characteristics since Bran and his countrymen undertake a far briefer sojourn upon the ocean than in similar tales, and indeed there is somewhat of a distinction between its portrayal of the </w:t>
      </w:r>
      <w:r>
        <w:rPr>
          <w:rFonts w:ascii="Times New Roman" w:eastAsia="Times New Roman" w:hAnsi="Times New Roman" w:cs="Times New Roman"/>
          <w:color w:val="373A3C"/>
        </w:rPr>
        <w:t xml:space="preserve">Otherworld than others such as </w:t>
      </w:r>
      <w:proofErr w:type="spellStart"/>
      <w:r>
        <w:rPr>
          <w:rFonts w:ascii="Times New Roman" w:eastAsia="Times New Roman" w:hAnsi="Times New Roman" w:cs="Times New Roman"/>
          <w:i/>
          <w:color w:val="373A3C"/>
        </w:rPr>
        <w:t>Navigatio</w:t>
      </w:r>
      <w:proofErr w:type="spellEnd"/>
      <w:r>
        <w:rPr>
          <w:rFonts w:ascii="Times New Roman" w:eastAsia="Times New Roman" w:hAnsi="Times New Roman" w:cs="Times New Roman"/>
          <w:i/>
          <w:color w:val="373A3C"/>
        </w:rPr>
        <w:t xml:space="preserve"> Sancti </w:t>
      </w:r>
      <w:proofErr w:type="spellStart"/>
      <w:r>
        <w:rPr>
          <w:rFonts w:ascii="Times New Roman" w:eastAsia="Times New Roman" w:hAnsi="Times New Roman" w:cs="Times New Roman"/>
          <w:i/>
          <w:color w:val="373A3C"/>
        </w:rPr>
        <w:t>Brendani</w:t>
      </w:r>
      <w:proofErr w:type="spellEnd"/>
      <w:r>
        <w:rPr>
          <w:rFonts w:ascii="Times New Roman" w:eastAsia="Times New Roman" w:hAnsi="Times New Roman" w:cs="Times New Roman"/>
          <w:i/>
          <w:color w:val="373A3C"/>
        </w:rPr>
        <w:t xml:space="preserve"> </w:t>
      </w:r>
      <w:proofErr w:type="spellStart"/>
      <w:r>
        <w:rPr>
          <w:rFonts w:ascii="Times New Roman" w:eastAsia="Times New Roman" w:hAnsi="Times New Roman" w:cs="Times New Roman"/>
          <w:i/>
          <w:color w:val="373A3C"/>
        </w:rPr>
        <w:t>Abbatis</w:t>
      </w:r>
      <w:proofErr w:type="spellEnd"/>
      <w:r>
        <w:rPr>
          <w:i/>
          <w:color w:val="222222"/>
          <w:sz w:val="21"/>
          <w:szCs w:val="21"/>
          <w:highlight w:val="white"/>
        </w:rPr>
        <w:t xml:space="preserve"> </w:t>
      </w:r>
      <w:r>
        <w:rPr>
          <w:rFonts w:ascii="Times New Roman" w:eastAsia="Times New Roman" w:hAnsi="Times New Roman" w:cs="Times New Roman"/>
          <w:color w:val="373A3C"/>
        </w:rPr>
        <w:t xml:space="preserve">or </w:t>
      </w:r>
      <w:proofErr w:type="spellStart"/>
      <w:r>
        <w:rPr>
          <w:rFonts w:ascii="Times New Roman" w:eastAsia="Times New Roman" w:hAnsi="Times New Roman" w:cs="Times New Roman"/>
          <w:i/>
          <w:color w:val="373A3C"/>
        </w:rPr>
        <w:t>Immram</w:t>
      </w:r>
      <w:proofErr w:type="spellEnd"/>
      <w:r>
        <w:rPr>
          <w:rFonts w:ascii="Times New Roman" w:eastAsia="Times New Roman" w:hAnsi="Times New Roman" w:cs="Times New Roman"/>
          <w:i/>
          <w:color w:val="373A3C"/>
        </w:rPr>
        <w:t xml:space="preserve"> </w:t>
      </w:r>
      <w:proofErr w:type="spellStart"/>
      <w:r>
        <w:rPr>
          <w:rFonts w:ascii="Times New Roman" w:eastAsia="Times New Roman" w:hAnsi="Times New Roman" w:cs="Times New Roman"/>
          <w:i/>
          <w:color w:val="373A3C"/>
        </w:rPr>
        <w:t>Maele</w:t>
      </w:r>
      <w:proofErr w:type="spellEnd"/>
      <w:r>
        <w:rPr>
          <w:rFonts w:ascii="Times New Roman" w:eastAsia="Times New Roman" w:hAnsi="Times New Roman" w:cs="Times New Roman"/>
          <w:i/>
          <w:color w:val="373A3C"/>
        </w:rPr>
        <w:t xml:space="preserve"> </w:t>
      </w:r>
      <w:proofErr w:type="spellStart"/>
      <w:r>
        <w:rPr>
          <w:rFonts w:ascii="Times New Roman" w:eastAsia="Times New Roman" w:hAnsi="Times New Roman" w:cs="Times New Roman"/>
          <w:i/>
          <w:color w:val="373A3C"/>
        </w:rPr>
        <w:t>Dúin</w:t>
      </w:r>
      <w:proofErr w:type="spellEnd"/>
      <w:r>
        <w:rPr>
          <w:rFonts w:ascii="Times New Roman" w:eastAsia="Times New Roman" w:hAnsi="Times New Roman" w:cs="Times New Roman"/>
          <w:color w:val="373A3C"/>
        </w:rPr>
        <w:t xml:space="preserve">. In the latter examples the Otherworld is, essentially, comprised of the islands encountered, with over two dozen examples in </w:t>
      </w:r>
      <w:proofErr w:type="spellStart"/>
      <w:r>
        <w:rPr>
          <w:rFonts w:ascii="Times New Roman" w:eastAsia="Times New Roman" w:hAnsi="Times New Roman" w:cs="Times New Roman"/>
          <w:color w:val="373A3C"/>
        </w:rPr>
        <w:t>Maele</w:t>
      </w:r>
      <w:proofErr w:type="spellEnd"/>
      <w:r>
        <w:rPr>
          <w:rFonts w:ascii="Times New Roman" w:eastAsia="Times New Roman" w:hAnsi="Times New Roman" w:cs="Times New Roman"/>
          <w:color w:val="373A3C"/>
        </w:rPr>
        <w:t xml:space="preserve"> </w:t>
      </w:r>
      <w:proofErr w:type="spellStart"/>
      <w:r>
        <w:rPr>
          <w:rFonts w:ascii="Times New Roman" w:eastAsia="Times New Roman" w:hAnsi="Times New Roman" w:cs="Times New Roman"/>
          <w:color w:val="373A3C"/>
        </w:rPr>
        <w:t>Duin</w:t>
      </w:r>
      <w:proofErr w:type="spellEnd"/>
      <w:r>
        <w:rPr>
          <w:rFonts w:ascii="Times New Roman" w:eastAsia="Times New Roman" w:hAnsi="Times New Roman" w:cs="Times New Roman"/>
          <w:color w:val="373A3C"/>
        </w:rPr>
        <w:t>. By contrast, Bran and his countr</w:t>
      </w:r>
      <w:r>
        <w:rPr>
          <w:rFonts w:ascii="Times New Roman" w:eastAsia="Times New Roman" w:hAnsi="Times New Roman" w:cs="Times New Roman"/>
          <w:color w:val="373A3C"/>
        </w:rPr>
        <w:t>ymen visit only two islands, but the Otherworld itself is not limited to these, instead encompassing (and sharing the same space as) the entire ocean, a point made clear as we progress into the narrative, and it therefore falls as much, if not more so, wit</w:t>
      </w:r>
      <w:r>
        <w:rPr>
          <w:rFonts w:ascii="Times New Roman" w:eastAsia="Times New Roman" w:hAnsi="Times New Roman" w:cs="Times New Roman"/>
          <w:color w:val="373A3C"/>
        </w:rPr>
        <w:t xml:space="preserve">hin the closely related genre of </w:t>
      </w:r>
      <w:proofErr w:type="spellStart"/>
      <w:r>
        <w:rPr>
          <w:rFonts w:ascii="Times New Roman" w:eastAsia="Times New Roman" w:hAnsi="Times New Roman" w:cs="Times New Roman"/>
          <w:i/>
          <w:color w:val="373A3C"/>
        </w:rPr>
        <w:t>echtrae</w:t>
      </w:r>
      <w:proofErr w:type="spellEnd"/>
      <w:r>
        <w:rPr>
          <w:rFonts w:ascii="Times New Roman" w:eastAsia="Times New Roman" w:hAnsi="Times New Roman" w:cs="Times New Roman"/>
          <w:color w:val="373A3C"/>
        </w:rPr>
        <w:t xml:space="preserve"> since there is Christian motivation at the outset, rather an urge to adventure.</w:t>
      </w:r>
    </w:p>
    <w:p w14:paraId="00000005" w14:textId="77777777" w:rsidR="00FA3B66" w:rsidRDefault="00B03ACA">
      <w:pPr>
        <w:shd w:val="clear" w:color="auto" w:fill="FFFFFF"/>
        <w:spacing w:after="36" w:line="432" w:lineRule="auto"/>
        <w:ind w:firstLine="720"/>
        <w:rPr>
          <w:rFonts w:ascii="Times New Roman" w:eastAsia="Times New Roman" w:hAnsi="Times New Roman" w:cs="Times New Roman"/>
        </w:rPr>
      </w:pPr>
      <w:r>
        <w:rPr>
          <w:rFonts w:ascii="Times New Roman" w:eastAsia="Times New Roman" w:hAnsi="Times New Roman" w:cs="Times New Roman"/>
          <w:color w:val="373A3C"/>
        </w:rPr>
        <w:t xml:space="preserve">The tale itself is a mixture of poetry and </w:t>
      </w:r>
      <w:proofErr w:type="gramStart"/>
      <w:r>
        <w:rPr>
          <w:rFonts w:ascii="Times New Roman" w:eastAsia="Times New Roman" w:hAnsi="Times New Roman" w:cs="Times New Roman"/>
          <w:color w:val="373A3C"/>
        </w:rPr>
        <w:t>prose, and</w:t>
      </w:r>
      <w:proofErr w:type="gramEnd"/>
      <w:r>
        <w:rPr>
          <w:rFonts w:ascii="Times New Roman" w:eastAsia="Times New Roman" w:hAnsi="Times New Roman" w:cs="Times New Roman"/>
          <w:color w:val="373A3C"/>
        </w:rPr>
        <w:t xml:space="preserve"> contains parallels not only to both Brendan and </w:t>
      </w:r>
      <w:proofErr w:type="spellStart"/>
      <w:r>
        <w:rPr>
          <w:rFonts w:ascii="Times New Roman" w:eastAsia="Times New Roman" w:hAnsi="Times New Roman" w:cs="Times New Roman"/>
          <w:color w:val="373A3C"/>
        </w:rPr>
        <w:t>Mael</w:t>
      </w:r>
      <w:proofErr w:type="spellEnd"/>
      <w:r>
        <w:rPr>
          <w:rFonts w:ascii="Times New Roman" w:eastAsia="Times New Roman" w:hAnsi="Times New Roman" w:cs="Times New Roman"/>
          <w:color w:val="373A3C"/>
        </w:rPr>
        <w:t xml:space="preserve"> </w:t>
      </w:r>
      <w:proofErr w:type="spellStart"/>
      <w:r>
        <w:rPr>
          <w:rFonts w:ascii="Times New Roman" w:eastAsia="Times New Roman" w:hAnsi="Times New Roman" w:cs="Times New Roman"/>
          <w:color w:val="373A3C"/>
        </w:rPr>
        <w:t>Duin</w:t>
      </w:r>
      <w:proofErr w:type="spellEnd"/>
      <w:r>
        <w:rPr>
          <w:rFonts w:ascii="Times New Roman" w:eastAsia="Times New Roman" w:hAnsi="Times New Roman" w:cs="Times New Roman"/>
          <w:color w:val="373A3C"/>
        </w:rPr>
        <w:t>, but also the Second Br</w:t>
      </w:r>
      <w:r>
        <w:rPr>
          <w:rFonts w:ascii="Times New Roman" w:eastAsia="Times New Roman" w:hAnsi="Times New Roman" w:cs="Times New Roman"/>
          <w:color w:val="373A3C"/>
        </w:rPr>
        <w:t xml:space="preserve">anch of the </w:t>
      </w:r>
      <w:proofErr w:type="spellStart"/>
      <w:r>
        <w:rPr>
          <w:rFonts w:ascii="Times New Roman" w:eastAsia="Times New Roman" w:hAnsi="Times New Roman" w:cs="Times New Roman"/>
          <w:color w:val="373A3C"/>
        </w:rPr>
        <w:t>Mabinogion</w:t>
      </w:r>
      <w:proofErr w:type="spellEnd"/>
      <w:r>
        <w:rPr>
          <w:rFonts w:ascii="Times New Roman" w:eastAsia="Times New Roman" w:hAnsi="Times New Roman" w:cs="Times New Roman"/>
          <w:color w:val="373A3C"/>
          <w:vertAlign w:val="superscript"/>
        </w:rPr>
        <w:footnoteReference w:id="2"/>
      </w:r>
      <w:r>
        <w:rPr>
          <w:rFonts w:ascii="Times New Roman" w:eastAsia="Times New Roman" w:hAnsi="Times New Roman" w:cs="Times New Roman"/>
          <w:color w:val="373A3C"/>
        </w:rPr>
        <w:t xml:space="preserve">. The structure and narrative </w:t>
      </w:r>
      <w:proofErr w:type="gramStart"/>
      <w:r>
        <w:rPr>
          <w:rFonts w:ascii="Times New Roman" w:eastAsia="Times New Roman" w:hAnsi="Times New Roman" w:cs="Times New Roman"/>
          <w:color w:val="373A3C"/>
        </w:rPr>
        <w:t>has</w:t>
      </w:r>
      <w:proofErr w:type="gramEnd"/>
      <w:r>
        <w:rPr>
          <w:rFonts w:ascii="Times New Roman" w:eastAsia="Times New Roman" w:hAnsi="Times New Roman" w:cs="Times New Roman"/>
          <w:color w:val="373A3C"/>
        </w:rPr>
        <w:t xml:space="preserve"> lent itself to suggestions that it was “</w:t>
      </w:r>
      <w:r>
        <w:rPr>
          <w:rFonts w:ascii="Times New Roman" w:eastAsia="Times New Roman" w:hAnsi="Times New Roman" w:cs="Times New Roman"/>
        </w:rPr>
        <w:t>probably shaped in part by performance”</w:t>
      </w:r>
      <w:r>
        <w:rPr>
          <w:rFonts w:ascii="Times New Roman" w:eastAsia="Times New Roman" w:hAnsi="Times New Roman" w:cs="Times New Roman"/>
          <w:vertAlign w:val="superscript"/>
        </w:rPr>
        <w:footnoteReference w:id="3"/>
      </w:r>
      <w:r>
        <w:rPr>
          <w:rFonts w:ascii="Times New Roman" w:eastAsia="Times New Roman" w:hAnsi="Times New Roman" w:cs="Times New Roman"/>
        </w:rPr>
        <w:t xml:space="preserve">. The prose elements form not only a framing </w:t>
      </w:r>
      <w:proofErr w:type="gramStart"/>
      <w:r>
        <w:rPr>
          <w:rFonts w:ascii="Times New Roman" w:eastAsia="Times New Roman" w:hAnsi="Times New Roman" w:cs="Times New Roman"/>
        </w:rPr>
        <w:t>device, but</w:t>
      </w:r>
      <w:proofErr w:type="gramEnd"/>
      <w:r>
        <w:rPr>
          <w:rFonts w:ascii="Times New Roman" w:eastAsia="Times New Roman" w:hAnsi="Times New Roman" w:cs="Times New Roman"/>
        </w:rPr>
        <w:t xml:space="preserve"> punctuate the poetry and at each point of </w:t>
      </w:r>
      <w:proofErr w:type="spellStart"/>
      <w:r>
        <w:rPr>
          <w:rFonts w:ascii="Times New Roman" w:eastAsia="Times New Roman" w:hAnsi="Times New Roman" w:cs="Times New Roman"/>
        </w:rPr>
        <w:t>occurence</w:t>
      </w:r>
      <w:proofErr w:type="spellEnd"/>
      <w:r>
        <w:rPr>
          <w:rFonts w:ascii="Times New Roman" w:eastAsia="Times New Roman" w:hAnsi="Times New Roman" w:cs="Times New Roman"/>
        </w:rPr>
        <w:t xml:space="preserve"> serve the </w:t>
      </w:r>
      <w:r>
        <w:rPr>
          <w:rFonts w:ascii="Times New Roman" w:eastAsia="Times New Roman" w:hAnsi="Times New Roman" w:cs="Times New Roman"/>
        </w:rPr>
        <w:t xml:space="preserve">function of moving on the narrative between the main dialogue that comprises the poetry. At only two points in </w:t>
      </w:r>
      <w:proofErr w:type="spellStart"/>
      <w:r>
        <w:rPr>
          <w:rFonts w:ascii="Times New Roman" w:eastAsia="Times New Roman" w:hAnsi="Times New Roman" w:cs="Times New Roman"/>
        </w:rPr>
        <w:t>Immram</w:t>
      </w:r>
      <w:proofErr w:type="spellEnd"/>
      <w:r>
        <w:rPr>
          <w:rFonts w:ascii="Times New Roman" w:eastAsia="Times New Roman" w:hAnsi="Times New Roman" w:cs="Times New Roman"/>
        </w:rPr>
        <w:t xml:space="preserve"> Bran do we find direct speech in prose - once, on being tempted by the Chief of the Isle of Women to alight from their boat</w:t>
      </w:r>
      <w:r>
        <w:rPr>
          <w:rFonts w:ascii="Times New Roman" w:eastAsia="Times New Roman" w:hAnsi="Times New Roman" w:cs="Times New Roman"/>
          <w:vertAlign w:val="superscript"/>
        </w:rPr>
        <w:footnoteReference w:id="4"/>
      </w:r>
      <w:r>
        <w:rPr>
          <w:rFonts w:ascii="Times New Roman" w:eastAsia="Times New Roman" w:hAnsi="Times New Roman" w:cs="Times New Roman"/>
        </w:rPr>
        <w:t>, and again on</w:t>
      </w:r>
      <w:r>
        <w:rPr>
          <w:rFonts w:ascii="Times New Roman" w:eastAsia="Times New Roman" w:hAnsi="Times New Roman" w:cs="Times New Roman"/>
        </w:rPr>
        <w:t xml:space="preserve"> returning to Ireland, at the point Bran introduces himself, only to find no-one has </w:t>
      </w:r>
      <w:r>
        <w:rPr>
          <w:rFonts w:ascii="Times New Roman" w:eastAsia="Times New Roman" w:hAnsi="Times New Roman" w:cs="Times New Roman"/>
        </w:rPr>
        <w:lastRenderedPageBreak/>
        <w:t>heard of him.</w:t>
      </w:r>
      <w:r>
        <w:rPr>
          <w:rFonts w:ascii="Times New Roman" w:eastAsia="Times New Roman" w:hAnsi="Times New Roman" w:cs="Times New Roman"/>
          <w:vertAlign w:val="superscript"/>
        </w:rPr>
        <w:footnoteReference w:id="5"/>
      </w:r>
      <w:r>
        <w:rPr>
          <w:rFonts w:ascii="Times New Roman" w:eastAsia="Times New Roman" w:hAnsi="Times New Roman" w:cs="Times New Roman"/>
        </w:rPr>
        <w:t xml:space="preserve"> In all other instances, the prose contains reported speech, and the poetry direct speech, a stylistic choice which heightens the dramatic effect and lends w</w:t>
      </w:r>
      <w:r>
        <w:rPr>
          <w:rFonts w:ascii="Times New Roman" w:eastAsia="Times New Roman" w:hAnsi="Times New Roman" w:cs="Times New Roman"/>
        </w:rPr>
        <w:t xml:space="preserve">eight to the supposition the </w:t>
      </w:r>
      <w:proofErr w:type="spellStart"/>
      <w:r>
        <w:rPr>
          <w:rFonts w:ascii="Times New Roman" w:eastAsia="Times New Roman" w:hAnsi="Times New Roman" w:cs="Times New Roman"/>
        </w:rPr>
        <w:t>Immram</w:t>
      </w:r>
      <w:proofErr w:type="spellEnd"/>
      <w:r>
        <w:rPr>
          <w:rFonts w:ascii="Times New Roman" w:eastAsia="Times New Roman" w:hAnsi="Times New Roman" w:cs="Times New Roman"/>
        </w:rPr>
        <w:t xml:space="preserve"> was a performed piece. </w:t>
      </w:r>
    </w:p>
    <w:p w14:paraId="00000006" w14:textId="77777777" w:rsidR="00FA3B66" w:rsidRDefault="00B03ACA">
      <w:pPr>
        <w:shd w:val="clear" w:color="auto" w:fill="FFFFFF"/>
        <w:spacing w:after="36" w:line="432" w:lineRule="auto"/>
        <w:ind w:firstLine="720"/>
        <w:rPr>
          <w:rFonts w:ascii="Times New Roman" w:eastAsia="Times New Roman" w:hAnsi="Times New Roman" w:cs="Times New Roman"/>
        </w:rPr>
      </w:pPr>
      <w:r>
        <w:rPr>
          <w:rFonts w:ascii="Times New Roman" w:eastAsia="Times New Roman" w:hAnsi="Times New Roman" w:cs="Times New Roman"/>
        </w:rPr>
        <w:t xml:space="preserve">One of the key elements of the tale is the way it plays with </w:t>
      </w:r>
      <w:proofErr w:type="gramStart"/>
      <w:r>
        <w:rPr>
          <w:rFonts w:ascii="Times New Roman" w:eastAsia="Times New Roman" w:hAnsi="Times New Roman" w:cs="Times New Roman"/>
        </w:rPr>
        <w:t>time, and</w:t>
      </w:r>
      <w:proofErr w:type="gramEnd"/>
      <w:r>
        <w:rPr>
          <w:rFonts w:ascii="Times New Roman" w:eastAsia="Times New Roman" w:hAnsi="Times New Roman" w:cs="Times New Roman"/>
        </w:rPr>
        <w:t xml:space="preserve"> confounds our expectations of time. There is a foreshadowing of this at the outset since we begin not with the start of the t</w:t>
      </w:r>
      <w:r>
        <w:rPr>
          <w:rFonts w:ascii="Times New Roman" w:eastAsia="Times New Roman" w:hAnsi="Times New Roman" w:cs="Times New Roman"/>
        </w:rPr>
        <w:t>ale, but a preface offering us a ‘flash forward’ that serves both to whet the listeners’ appetites and increase anticipation, telling us that it was ‘fifty quatrains the woman from unknown lands sang’ to Bran and his assembled company (although there are o</w:t>
      </w:r>
      <w:r>
        <w:rPr>
          <w:rFonts w:ascii="Times New Roman" w:eastAsia="Times New Roman" w:hAnsi="Times New Roman" w:cs="Times New Roman"/>
        </w:rPr>
        <w:t>nly twenty-seven surviving). We are then taken back to reveal the events that led up to this, a stylistic choice that provides a narrative focus on the Otherworldly intrusion into Bran’s sojourn. While alone he hears music with no discernable origin, an in</w:t>
      </w:r>
      <w:r>
        <w:rPr>
          <w:rFonts w:ascii="Times New Roman" w:eastAsia="Times New Roman" w:hAnsi="Times New Roman" w:cs="Times New Roman"/>
        </w:rPr>
        <w:t>timation of the approach of the numinous</w:t>
      </w:r>
      <w:r>
        <w:rPr>
          <w:rFonts w:ascii="Times New Roman" w:eastAsia="Times New Roman" w:hAnsi="Times New Roman" w:cs="Times New Roman"/>
          <w:vertAlign w:val="superscript"/>
        </w:rPr>
        <w:footnoteReference w:id="6"/>
      </w:r>
      <w:r>
        <w:rPr>
          <w:rFonts w:ascii="Times New Roman" w:eastAsia="Times New Roman" w:hAnsi="Times New Roman" w:cs="Times New Roman"/>
        </w:rPr>
        <w:t xml:space="preserve">, further </w:t>
      </w:r>
      <w:proofErr w:type="spellStart"/>
      <w:r>
        <w:rPr>
          <w:rFonts w:ascii="Times New Roman" w:eastAsia="Times New Roman" w:hAnsi="Times New Roman" w:cs="Times New Roman"/>
        </w:rPr>
        <w:t>emphasised</w:t>
      </w:r>
      <w:proofErr w:type="spellEnd"/>
      <w:r>
        <w:rPr>
          <w:rFonts w:ascii="Times New Roman" w:eastAsia="Times New Roman" w:hAnsi="Times New Roman" w:cs="Times New Roman"/>
        </w:rPr>
        <w:t xml:space="preserve"> by the subsequent discovery of a silver branch, which, on being taken back to his hall, has the effect of summoning the woman referred to at the beginning, dressed ‘in strange raiment’ (although</w:t>
      </w:r>
      <w:r>
        <w:rPr>
          <w:rFonts w:ascii="Times New Roman" w:eastAsia="Times New Roman" w:hAnsi="Times New Roman" w:cs="Times New Roman"/>
        </w:rPr>
        <w:t xml:space="preserve"> we are offered no further details, this is another indicator of the Otherworld, </w:t>
      </w:r>
      <w:proofErr w:type="spellStart"/>
      <w:r>
        <w:rPr>
          <w:rFonts w:ascii="Times New Roman" w:eastAsia="Times New Roman" w:hAnsi="Times New Roman" w:cs="Times New Roman"/>
        </w:rPr>
        <w:t>cf</w:t>
      </w:r>
      <w:proofErr w:type="spellEnd"/>
      <w:r>
        <w:rPr>
          <w:rFonts w:ascii="Times New Roman" w:eastAsia="Times New Roman" w:hAnsi="Times New Roman" w:cs="Times New Roman"/>
        </w:rPr>
        <w:t xml:space="preserve"> Rhiannon’s ‘shining golden garment’ at her advent at </w:t>
      </w:r>
      <w:proofErr w:type="spellStart"/>
      <w:r>
        <w:rPr>
          <w:rFonts w:ascii="Times New Roman" w:eastAsia="Times New Roman" w:hAnsi="Times New Roman" w:cs="Times New Roman"/>
        </w:rPr>
        <w:t>Arberth</w:t>
      </w:r>
      <w:proofErr w:type="spellEnd"/>
      <w:r>
        <w:rPr>
          <w:rFonts w:ascii="Times New Roman" w:eastAsia="Times New Roman" w:hAnsi="Times New Roman" w:cs="Times New Roman"/>
        </w:rPr>
        <w:t xml:space="preserve"> in the First Branch of the </w:t>
      </w:r>
      <w:proofErr w:type="spellStart"/>
      <w:r>
        <w:rPr>
          <w:rFonts w:ascii="Times New Roman" w:eastAsia="Times New Roman" w:hAnsi="Times New Roman" w:cs="Times New Roman"/>
        </w:rPr>
        <w:t>Mabinogi</w:t>
      </w:r>
      <w:proofErr w:type="spellEnd"/>
      <w:r>
        <w:rPr>
          <w:rFonts w:ascii="Times New Roman" w:eastAsia="Times New Roman" w:hAnsi="Times New Roman" w:cs="Times New Roman"/>
        </w:rPr>
        <w:t>).</w:t>
      </w:r>
      <w:r>
        <w:rPr>
          <w:sz w:val="20"/>
          <w:szCs w:val="20"/>
        </w:rPr>
        <w:t xml:space="preserve"> </w:t>
      </w:r>
      <w:r>
        <w:rPr>
          <w:color w:val="373A3C"/>
          <w:sz w:val="20"/>
          <w:szCs w:val="20"/>
        </w:rPr>
        <w:t>p8</w:t>
      </w:r>
    </w:p>
    <w:p w14:paraId="00000007" w14:textId="77777777" w:rsidR="00FA3B66" w:rsidRDefault="00B03ACA">
      <w:pPr>
        <w:shd w:val="clear" w:color="auto" w:fill="FFFFFF"/>
        <w:spacing w:after="36" w:line="432" w:lineRule="auto"/>
        <w:ind w:firstLine="720"/>
        <w:rPr>
          <w:rFonts w:ascii="Times New Roman" w:eastAsia="Times New Roman" w:hAnsi="Times New Roman" w:cs="Times New Roman"/>
        </w:rPr>
      </w:pPr>
      <w:r>
        <w:rPr>
          <w:rFonts w:ascii="Times New Roman" w:eastAsia="Times New Roman" w:hAnsi="Times New Roman" w:cs="Times New Roman"/>
        </w:rPr>
        <w:t xml:space="preserve">From here we switch both to poetry and direct speech for the woman’s tale, as she attempts to entice Bran to undertake the quest. The language used becomes highly musical, recalling the </w:t>
      </w:r>
      <w:proofErr w:type="spellStart"/>
      <w:r>
        <w:rPr>
          <w:rFonts w:ascii="Times New Roman" w:eastAsia="Times New Roman" w:hAnsi="Times New Roman" w:cs="Times New Roman"/>
        </w:rPr>
        <w:t>Otherwordly</w:t>
      </w:r>
      <w:proofErr w:type="spellEnd"/>
      <w:r>
        <w:rPr>
          <w:rFonts w:ascii="Times New Roman" w:eastAsia="Times New Roman" w:hAnsi="Times New Roman" w:cs="Times New Roman"/>
        </w:rPr>
        <w:t xml:space="preserve"> air that portended her arrival, and repetition of phrasing</w:t>
      </w:r>
      <w:r>
        <w:rPr>
          <w:rFonts w:ascii="Times New Roman" w:eastAsia="Times New Roman" w:hAnsi="Times New Roman" w:cs="Times New Roman"/>
        </w:rPr>
        <w:t xml:space="preserve"> provides a choral aspect (‘white silver’, ‘white-swelling’, ‘white bronze’ and similar repetition of ‘crystal’), and this is </w:t>
      </w:r>
      <w:proofErr w:type="spellStart"/>
      <w:r>
        <w:rPr>
          <w:rFonts w:ascii="Times New Roman" w:eastAsia="Times New Roman" w:hAnsi="Times New Roman" w:cs="Times New Roman"/>
        </w:rPr>
        <w:t>emphasised</w:t>
      </w:r>
      <w:proofErr w:type="spellEnd"/>
      <w:r>
        <w:rPr>
          <w:rFonts w:ascii="Times New Roman" w:eastAsia="Times New Roman" w:hAnsi="Times New Roman" w:cs="Times New Roman"/>
        </w:rPr>
        <w:t xml:space="preserve"> by direct reference to music once more (‘ranked around music,’ ‘there is nothing… but sweet music’). Magical birds are </w:t>
      </w:r>
      <w:r>
        <w:rPr>
          <w:rFonts w:ascii="Times New Roman" w:eastAsia="Times New Roman" w:hAnsi="Times New Roman" w:cs="Times New Roman"/>
        </w:rPr>
        <w:t>also an Otherworld theme, and here their music is played upon, calling the hours. This would be very familiar to a monastic community, but also recalls the birds of Rhiannon</w:t>
      </w:r>
      <w:r>
        <w:rPr>
          <w:rFonts w:ascii="Times New Roman" w:eastAsia="Times New Roman" w:hAnsi="Times New Roman" w:cs="Times New Roman"/>
          <w:vertAlign w:val="superscript"/>
        </w:rPr>
        <w:footnoteReference w:id="7"/>
      </w:r>
      <w:r>
        <w:rPr>
          <w:rFonts w:ascii="Times New Roman" w:eastAsia="Times New Roman" w:hAnsi="Times New Roman" w:cs="Times New Roman"/>
        </w:rPr>
        <w:t xml:space="preserve">. </w:t>
      </w:r>
    </w:p>
    <w:p w14:paraId="00000008" w14:textId="77777777" w:rsidR="00FA3B66" w:rsidRDefault="00B03ACA">
      <w:pPr>
        <w:shd w:val="clear" w:color="auto" w:fill="FFFFFF"/>
        <w:spacing w:after="36" w:line="432" w:lineRule="auto"/>
        <w:ind w:firstLine="720"/>
        <w:rPr>
          <w:rFonts w:ascii="Times New Roman" w:eastAsia="Times New Roman" w:hAnsi="Times New Roman" w:cs="Times New Roman"/>
        </w:rPr>
      </w:pPr>
      <w:r>
        <w:rPr>
          <w:rFonts w:ascii="Times New Roman" w:eastAsia="Times New Roman" w:hAnsi="Times New Roman" w:cs="Times New Roman"/>
        </w:rPr>
        <w:lastRenderedPageBreak/>
        <w:t xml:space="preserve">Overall, the beautiful, dreamlike aspects of her country are again </w:t>
      </w:r>
      <w:proofErr w:type="spellStart"/>
      <w:r>
        <w:rPr>
          <w:rFonts w:ascii="Times New Roman" w:eastAsia="Times New Roman" w:hAnsi="Times New Roman" w:cs="Times New Roman"/>
        </w:rPr>
        <w:t>emphasised</w:t>
      </w:r>
      <w:proofErr w:type="spellEnd"/>
      <w:r>
        <w:rPr>
          <w:rFonts w:ascii="Times New Roman" w:eastAsia="Times New Roman" w:hAnsi="Times New Roman" w:cs="Times New Roman"/>
        </w:rPr>
        <w:t xml:space="preserve"> a</w:t>
      </w:r>
      <w:r>
        <w:rPr>
          <w:rFonts w:ascii="Times New Roman" w:eastAsia="Times New Roman" w:hAnsi="Times New Roman" w:cs="Times New Roman"/>
        </w:rPr>
        <w:t xml:space="preserve">nd equated with peace, joy, harmony. The temptations she offers also include ‘treasures of every hue’, and this author seeds this through repeated mention of precious metals - ‘golden chariots’, ‘chariots of silver’ ‘golden </w:t>
      </w:r>
      <w:proofErr w:type="gramStart"/>
      <w:r>
        <w:rPr>
          <w:rFonts w:ascii="Times New Roman" w:eastAsia="Times New Roman" w:hAnsi="Times New Roman" w:cs="Times New Roman"/>
        </w:rPr>
        <w:t>steeds’</w:t>
      </w:r>
      <w:proofErr w:type="gramEnd"/>
      <w:r>
        <w:rPr>
          <w:rFonts w:ascii="Times New Roman" w:eastAsia="Times New Roman" w:hAnsi="Times New Roman" w:cs="Times New Roman"/>
        </w:rPr>
        <w:t xml:space="preserve">. </w:t>
      </w:r>
    </w:p>
    <w:p w14:paraId="00000009" w14:textId="77777777" w:rsidR="00FA3B66" w:rsidRDefault="00B03ACA">
      <w:pPr>
        <w:shd w:val="clear" w:color="auto" w:fill="FFFFFF"/>
        <w:spacing w:after="36" w:line="432" w:lineRule="auto"/>
        <w:ind w:firstLine="720"/>
        <w:rPr>
          <w:rFonts w:ascii="Times New Roman" w:eastAsia="Times New Roman" w:hAnsi="Times New Roman" w:cs="Times New Roman"/>
        </w:rPr>
      </w:pPr>
      <w:r>
        <w:rPr>
          <w:rFonts w:ascii="Times New Roman" w:eastAsia="Times New Roman" w:hAnsi="Times New Roman" w:cs="Times New Roman"/>
        </w:rPr>
        <w:t>We also see the use of</w:t>
      </w:r>
      <w:r>
        <w:rPr>
          <w:rFonts w:ascii="Times New Roman" w:eastAsia="Times New Roman" w:hAnsi="Times New Roman" w:cs="Times New Roman"/>
        </w:rPr>
        <w:t xml:space="preserve"> foreshadowing again in her mention of ‘a great birth’, which points the audience ahead to </w:t>
      </w:r>
      <w:proofErr w:type="spellStart"/>
      <w:r>
        <w:rPr>
          <w:rFonts w:ascii="Times New Roman" w:eastAsia="Times New Roman" w:hAnsi="Times New Roman" w:cs="Times New Roman"/>
        </w:rPr>
        <w:t>Manannan’s</w:t>
      </w:r>
      <w:proofErr w:type="spellEnd"/>
      <w:r>
        <w:rPr>
          <w:rFonts w:ascii="Times New Roman" w:eastAsia="Times New Roman" w:hAnsi="Times New Roman" w:cs="Times New Roman"/>
        </w:rPr>
        <w:t xml:space="preserve"> revelations. As at the beginning, this serves only to increase mystery and anticipation, with no further details given. This done, with her final urging t</w:t>
      </w:r>
      <w:r>
        <w:rPr>
          <w:rFonts w:ascii="Times New Roman" w:eastAsia="Times New Roman" w:hAnsi="Times New Roman" w:cs="Times New Roman"/>
        </w:rPr>
        <w:t>o Bran, she departs, and the tale returns to the prosaic and humdrum of the prose to move Bran and his company to his next Otherworldly encounter.</w:t>
      </w:r>
    </w:p>
    <w:p w14:paraId="0000000A" w14:textId="77777777" w:rsidR="00FA3B66" w:rsidRDefault="00B03ACA">
      <w:pPr>
        <w:shd w:val="clear" w:color="auto" w:fill="FFFFFF"/>
        <w:spacing w:after="36" w:line="432" w:lineRule="auto"/>
        <w:ind w:firstLine="720"/>
        <w:rPr>
          <w:rFonts w:ascii="Times New Roman" w:eastAsia="Times New Roman" w:hAnsi="Times New Roman" w:cs="Times New Roman"/>
        </w:rPr>
      </w:pPr>
      <w:proofErr w:type="spellStart"/>
      <w:r>
        <w:rPr>
          <w:rFonts w:ascii="Times New Roman" w:eastAsia="Times New Roman" w:hAnsi="Times New Roman" w:cs="Times New Roman"/>
        </w:rPr>
        <w:t>Manannan’s</w:t>
      </w:r>
      <w:proofErr w:type="spellEnd"/>
      <w:r>
        <w:rPr>
          <w:rFonts w:ascii="Times New Roman" w:eastAsia="Times New Roman" w:hAnsi="Times New Roman" w:cs="Times New Roman"/>
        </w:rPr>
        <w:t xml:space="preserve"> arrival is not only miraculous but far more authoritative. He has come not to persuade Bran of any</w:t>
      </w:r>
      <w:r>
        <w:rPr>
          <w:rFonts w:ascii="Times New Roman" w:eastAsia="Times New Roman" w:hAnsi="Times New Roman" w:cs="Times New Roman"/>
        </w:rPr>
        <w:t xml:space="preserve">thing, but firstly, to point out, almost mockingly, that what Bran believes boundless empty sea is in fact a rich, magical realm. Once more, through the medium of the verse, everything bursts into </w:t>
      </w:r>
      <w:proofErr w:type="spellStart"/>
      <w:r>
        <w:rPr>
          <w:rFonts w:ascii="Times New Roman" w:eastAsia="Times New Roman" w:hAnsi="Times New Roman" w:cs="Times New Roman"/>
        </w:rPr>
        <w:t>colour</w:t>
      </w:r>
      <w:proofErr w:type="spellEnd"/>
      <w:r>
        <w:rPr>
          <w:rFonts w:ascii="Times New Roman" w:eastAsia="Times New Roman" w:hAnsi="Times New Roman" w:cs="Times New Roman"/>
        </w:rPr>
        <w:t xml:space="preserve"> and life, ‘a profusion of flowers’ ‘a stream of hone</w:t>
      </w:r>
      <w:r>
        <w:rPr>
          <w:rFonts w:ascii="Times New Roman" w:eastAsia="Times New Roman" w:hAnsi="Times New Roman" w:cs="Times New Roman"/>
        </w:rPr>
        <w:t>y’ ‘yellow and azure’ (again, ‘cloths of gold’ are an Otherworld motif</w:t>
      </w:r>
      <w:proofErr w:type="gramStart"/>
      <w:r>
        <w:rPr>
          <w:rFonts w:ascii="Times New Roman" w:eastAsia="Times New Roman" w:hAnsi="Times New Roman" w:cs="Times New Roman"/>
        </w:rPr>
        <w:t>) .</w:t>
      </w:r>
      <w:proofErr w:type="gramEnd"/>
      <w:r>
        <w:rPr>
          <w:rFonts w:ascii="Times New Roman" w:eastAsia="Times New Roman" w:hAnsi="Times New Roman" w:cs="Times New Roman"/>
        </w:rPr>
        <w:t xml:space="preserve"> Here is one of our clearest indications that the Otherworld is parallel to, and coterminous with, the boundaries of the normal world and sea, within and without the geography that Br</w:t>
      </w:r>
      <w:r>
        <w:rPr>
          <w:rFonts w:ascii="Times New Roman" w:eastAsia="Times New Roman" w:hAnsi="Times New Roman" w:cs="Times New Roman"/>
        </w:rPr>
        <w:t xml:space="preserve">an is traversing. Then we get to the meat of </w:t>
      </w:r>
      <w:proofErr w:type="spellStart"/>
      <w:r>
        <w:rPr>
          <w:rFonts w:ascii="Times New Roman" w:eastAsia="Times New Roman" w:hAnsi="Times New Roman" w:cs="Times New Roman"/>
        </w:rPr>
        <w:t>Manannan’s</w:t>
      </w:r>
      <w:proofErr w:type="spellEnd"/>
      <w:r>
        <w:rPr>
          <w:rFonts w:ascii="Times New Roman" w:eastAsia="Times New Roman" w:hAnsi="Times New Roman" w:cs="Times New Roman"/>
        </w:rPr>
        <w:t xml:space="preserve"> message as he foretells the coming of the same miraculous birth and hero the woman alluded to, his own son </w:t>
      </w:r>
      <w:proofErr w:type="spellStart"/>
      <w:r>
        <w:rPr>
          <w:rFonts w:ascii="Times New Roman" w:eastAsia="Times New Roman" w:hAnsi="Times New Roman" w:cs="Times New Roman"/>
        </w:rPr>
        <w:t>Mongán</w:t>
      </w:r>
      <w:proofErr w:type="spellEnd"/>
      <w:r>
        <w:rPr>
          <w:rFonts w:ascii="Times New Roman" w:eastAsia="Times New Roman" w:hAnsi="Times New Roman" w:cs="Times New Roman"/>
        </w:rPr>
        <w:t xml:space="preserve"> mac </w:t>
      </w:r>
      <w:proofErr w:type="spellStart"/>
      <w:r>
        <w:rPr>
          <w:rFonts w:ascii="Times New Roman" w:eastAsia="Times New Roman" w:hAnsi="Times New Roman" w:cs="Times New Roman"/>
        </w:rPr>
        <w:t>Fiachnai</w:t>
      </w:r>
      <w:proofErr w:type="spellEnd"/>
      <w:r>
        <w:rPr>
          <w:rFonts w:ascii="Times New Roman" w:eastAsia="Times New Roman" w:hAnsi="Times New Roman" w:cs="Times New Roman"/>
        </w:rPr>
        <w:t xml:space="preserve">, a historical prince of the </w:t>
      </w:r>
      <w:proofErr w:type="spellStart"/>
      <w:r>
        <w:rPr>
          <w:rFonts w:ascii="Times New Roman" w:eastAsia="Times New Roman" w:hAnsi="Times New Roman" w:cs="Times New Roman"/>
        </w:rPr>
        <w:t>Cruthin</w:t>
      </w:r>
      <w:proofErr w:type="spellEnd"/>
      <w:r>
        <w:rPr>
          <w:rFonts w:ascii="Times New Roman" w:eastAsia="Times New Roman" w:hAnsi="Times New Roman" w:cs="Times New Roman"/>
        </w:rPr>
        <w:t xml:space="preserve"> near Ulster although the Christian pa</w:t>
      </w:r>
      <w:r>
        <w:rPr>
          <w:rFonts w:ascii="Times New Roman" w:eastAsia="Times New Roman" w:hAnsi="Times New Roman" w:cs="Times New Roman"/>
        </w:rPr>
        <w:t xml:space="preserve">rallels and Christ-like nature of the figure (and indeed the almost Revelations-like wars that will ensue). </w:t>
      </w:r>
    </w:p>
    <w:p w14:paraId="0000000B" w14:textId="77777777" w:rsidR="00FA3B66" w:rsidRDefault="00B03ACA">
      <w:pPr>
        <w:shd w:val="clear" w:color="auto" w:fill="FFFFFF"/>
        <w:spacing w:after="36" w:line="432" w:lineRule="auto"/>
        <w:ind w:firstLine="720"/>
        <w:rPr>
          <w:rFonts w:ascii="Times New Roman" w:eastAsia="Times New Roman" w:hAnsi="Times New Roman" w:cs="Times New Roman"/>
        </w:rPr>
      </w:pPr>
      <w:r>
        <w:rPr>
          <w:rFonts w:ascii="Times New Roman" w:eastAsia="Times New Roman" w:hAnsi="Times New Roman" w:cs="Times New Roman"/>
        </w:rPr>
        <w:t xml:space="preserve">After his speech, we return to prose in which we swiftly wrap up the tale - Bran and his followers are caught out of time, with disastrous results </w:t>
      </w:r>
      <w:r>
        <w:rPr>
          <w:rFonts w:ascii="Times New Roman" w:eastAsia="Times New Roman" w:hAnsi="Times New Roman" w:cs="Times New Roman"/>
        </w:rPr>
        <w:t xml:space="preserve">and, after losing </w:t>
      </w:r>
      <w:proofErr w:type="spellStart"/>
      <w:r>
        <w:rPr>
          <w:rFonts w:ascii="Times New Roman" w:eastAsia="Times New Roman" w:hAnsi="Times New Roman" w:cs="Times New Roman"/>
        </w:rPr>
        <w:t>Nechtan</w:t>
      </w:r>
      <w:proofErr w:type="spellEnd"/>
      <w:r>
        <w:rPr>
          <w:rFonts w:ascii="Times New Roman" w:eastAsia="Times New Roman" w:hAnsi="Times New Roman" w:cs="Times New Roman"/>
        </w:rPr>
        <w:t xml:space="preserve"> horrifically, depart to their unknown fate. The swiftness with which this is dealt with (and the fact that the </w:t>
      </w:r>
      <w:proofErr w:type="spellStart"/>
      <w:r>
        <w:rPr>
          <w:rFonts w:ascii="Times New Roman" w:eastAsia="Times New Roman" w:hAnsi="Times New Roman" w:cs="Times New Roman"/>
        </w:rPr>
        <w:t>immram</w:t>
      </w:r>
      <w:proofErr w:type="spellEnd"/>
      <w:r>
        <w:rPr>
          <w:rFonts w:ascii="Times New Roman" w:eastAsia="Times New Roman" w:hAnsi="Times New Roman" w:cs="Times New Roman"/>
        </w:rPr>
        <w:t xml:space="preserve"> consists of only two islands, in contrast not only to other examples of the genre, but the woman’s boast of ‘thr</w:t>
      </w:r>
      <w:r>
        <w:rPr>
          <w:rFonts w:ascii="Times New Roman" w:eastAsia="Times New Roman" w:hAnsi="Times New Roman" w:cs="Times New Roman"/>
        </w:rPr>
        <w:t xml:space="preserve">ice fifty isles’ westward) suggests that neither Bran nor his voyage are the focus of the tale. Essentially, we have two halves - the first, is the woman’s rapturous and musical description of the earthly paradise she comes from, and the second is </w:t>
      </w:r>
      <w:proofErr w:type="spellStart"/>
      <w:r>
        <w:rPr>
          <w:rFonts w:ascii="Times New Roman" w:eastAsia="Times New Roman" w:hAnsi="Times New Roman" w:cs="Times New Roman"/>
        </w:rPr>
        <w:t>Manannan</w:t>
      </w:r>
      <w:r>
        <w:rPr>
          <w:rFonts w:ascii="Times New Roman" w:eastAsia="Times New Roman" w:hAnsi="Times New Roman" w:cs="Times New Roman"/>
        </w:rPr>
        <w:t>’s</w:t>
      </w:r>
      <w:proofErr w:type="spellEnd"/>
      <w:r>
        <w:rPr>
          <w:rFonts w:ascii="Times New Roman" w:eastAsia="Times New Roman" w:hAnsi="Times New Roman" w:cs="Times New Roman"/>
        </w:rPr>
        <w:t xml:space="preserve"> prophecy of the Christ-like </w:t>
      </w:r>
      <w:proofErr w:type="spellStart"/>
      <w:r>
        <w:rPr>
          <w:rFonts w:ascii="Times New Roman" w:eastAsia="Times New Roman" w:hAnsi="Times New Roman" w:cs="Times New Roman"/>
        </w:rPr>
        <w:t>Mongán</w:t>
      </w:r>
      <w:proofErr w:type="spellEnd"/>
      <w:r>
        <w:rPr>
          <w:rFonts w:ascii="Times New Roman" w:eastAsia="Times New Roman" w:hAnsi="Times New Roman" w:cs="Times New Roman"/>
        </w:rPr>
        <w:t>. Bran’s voyage is merely the mechanism through which these are put before the audience. It is difficult to know, from the surviving elements, to what extent the impetus of the original work or the stories it has derive</w:t>
      </w:r>
      <w:r>
        <w:rPr>
          <w:rFonts w:ascii="Times New Roman" w:eastAsia="Times New Roman" w:hAnsi="Times New Roman" w:cs="Times New Roman"/>
        </w:rPr>
        <w:t xml:space="preserve">d from are pagan, and </w:t>
      </w:r>
      <w:r>
        <w:rPr>
          <w:rFonts w:ascii="Times New Roman" w:eastAsia="Times New Roman" w:hAnsi="Times New Roman" w:cs="Times New Roman"/>
        </w:rPr>
        <w:lastRenderedPageBreak/>
        <w:t>which are Christian. Much of the ‘window dressing’ is unmistakably pagan, but the description of the Otherworld leans away from a Christian paradise to something more pagan in conception</w:t>
      </w:r>
      <w:r>
        <w:rPr>
          <w:rFonts w:ascii="Times New Roman" w:eastAsia="Times New Roman" w:hAnsi="Times New Roman" w:cs="Times New Roman"/>
          <w:vertAlign w:val="superscript"/>
        </w:rPr>
        <w:footnoteReference w:id="8"/>
      </w:r>
      <w:r>
        <w:rPr>
          <w:rFonts w:ascii="Times New Roman" w:eastAsia="Times New Roman" w:hAnsi="Times New Roman" w:cs="Times New Roman"/>
        </w:rPr>
        <w:t>, and it is contrasted strongly with the very B</w:t>
      </w:r>
      <w:r>
        <w:rPr>
          <w:rFonts w:ascii="Times New Roman" w:eastAsia="Times New Roman" w:hAnsi="Times New Roman" w:cs="Times New Roman"/>
        </w:rPr>
        <w:t xml:space="preserve">iblical elements of the forthcoming ‘stream of blood’ - references to ‘the Serpent’, ‘greed and lust’, ‘pride’ and ‘destruction of the soul’ are among the </w:t>
      </w:r>
      <w:proofErr w:type="spellStart"/>
      <w:r>
        <w:rPr>
          <w:rFonts w:ascii="Times New Roman" w:eastAsia="Times New Roman" w:hAnsi="Times New Roman" w:cs="Times New Roman"/>
        </w:rPr>
        <w:t>spectres</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Manannan</w:t>
      </w:r>
      <w:proofErr w:type="spellEnd"/>
      <w:r>
        <w:rPr>
          <w:rFonts w:ascii="Times New Roman" w:eastAsia="Times New Roman" w:hAnsi="Times New Roman" w:cs="Times New Roman"/>
        </w:rPr>
        <w:t xml:space="preserve"> conjures. Whether or not this is the result of editing, of different hands at work,</w:t>
      </w:r>
      <w:r>
        <w:rPr>
          <w:rFonts w:ascii="Times New Roman" w:eastAsia="Times New Roman" w:hAnsi="Times New Roman" w:cs="Times New Roman"/>
        </w:rPr>
        <w:t xml:space="preserve"> fragments of the tale disassembled and put back together again over centuries, is difficult to tell at this remove, but it succeeds in creating a strange and perplexing tale.</w:t>
      </w:r>
    </w:p>
    <w:p w14:paraId="0000000C" w14:textId="77777777" w:rsidR="00FA3B66" w:rsidRDefault="00FA3B66">
      <w:pPr>
        <w:shd w:val="clear" w:color="auto" w:fill="FFFFFF"/>
        <w:spacing w:after="36" w:line="432" w:lineRule="auto"/>
        <w:ind w:firstLine="720"/>
        <w:rPr>
          <w:rFonts w:ascii="Times New Roman" w:eastAsia="Times New Roman" w:hAnsi="Times New Roman" w:cs="Times New Roman"/>
        </w:rPr>
      </w:pPr>
    </w:p>
    <w:p w14:paraId="0000000D" w14:textId="77777777" w:rsidR="00FA3B66" w:rsidRDefault="00FA3B66">
      <w:pPr>
        <w:shd w:val="clear" w:color="auto" w:fill="FFFFFF"/>
        <w:spacing w:after="36" w:line="432" w:lineRule="auto"/>
        <w:ind w:firstLine="720"/>
        <w:rPr>
          <w:rFonts w:ascii="Times New Roman" w:eastAsia="Times New Roman" w:hAnsi="Times New Roman" w:cs="Times New Roman"/>
        </w:rPr>
      </w:pPr>
    </w:p>
    <w:p w14:paraId="0000000E" w14:textId="77777777" w:rsidR="00FA3B66" w:rsidRDefault="00FA3B66">
      <w:pPr>
        <w:shd w:val="clear" w:color="auto" w:fill="FFFFFF"/>
        <w:spacing w:after="36" w:line="432" w:lineRule="auto"/>
        <w:ind w:firstLine="720"/>
        <w:rPr>
          <w:rFonts w:ascii="Times New Roman" w:eastAsia="Times New Roman" w:hAnsi="Times New Roman" w:cs="Times New Roman"/>
        </w:rPr>
      </w:pPr>
    </w:p>
    <w:p w14:paraId="0000000F" w14:textId="77777777" w:rsidR="00FA3B66" w:rsidRDefault="00FA3B66">
      <w:pPr>
        <w:shd w:val="clear" w:color="auto" w:fill="FFFFFF"/>
        <w:spacing w:after="36" w:line="432" w:lineRule="auto"/>
        <w:ind w:firstLine="720"/>
        <w:rPr>
          <w:rFonts w:ascii="Times New Roman" w:eastAsia="Times New Roman" w:hAnsi="Times New Roman" w:cs="Times New Roman"/>
        </w:rPr>
      </w:pPr>
    </w:p>
    <w:p w14:paraId="00000010" w14:textId="77777777" w:rsidR="00FA3B66" w:rsidRDefault="00FA3B66">
      <w:pPr>
        <w:shd w:val="clear" w:color="auto" w:fill="FFFFFF"/>
        <w:spacing w:after="36" w:line="432" w:lineRule="auto"/>
        <w:ind w:firstLine="720"/>
        <w:rPr>
          <w:rFonts w:ascii="Times New Roman" w:eastAsia="Times New Roman" w:hAnsi="Times New Roman" w:cs="Times New Roman"/>
        </w:rPr>
      </w:pPr>
    </w:p>
    <w:p w14:paraId="00000011" w14:textId="77777777" w:rsidR="00FA3B66" w:rsidRDefault="00FA3B66">
      <w:pPr>
        <w:shd w:val="clear" w:color="auto" w:fill="FFFFFF"/>
        <w:spacing w:after="36" w:line="432" w:lineRule="auto"/>
        <w:ind w:firstLine="720"/>
        <w:rPr>
          <w:rFonts w:ascii="Times New Roman" w:eastAsia="Times New Roman" w:hAnsi="Times New Roman" w:cs="Times New Roman"/>
        </w:rPr>
      </w:pPr>
    </w:p>
    <w:p w14:paraId="00000012" w14:textId="77777777" w:rsidR="00FA3B66" w:rsidRDefault="00FA3B66">
      <w:pPr>
        <w:shd w:val="clear" w:color="auto" w:fill="FFFFFF"/>
        <w:spacing w:after="36" w:line="432" w:lineRule="auto"/>
        <w:ind w:firstLine="720"/>
        <w:rPr>
          <w:rFonts w:ascii="Times New Roman" w:eastAsia="Times New Roman" w:hAnsi="Times New Roman" w:cs="Times New Roman"/>
        </w:rPr>
      </w:pPr>
    </w:p>
    <w:p w14:paraId="00000013" w14:textId="77777777" w:rsidR="00FA3B66" w:rsidRDefault="00FA3B66">
      <w:pPr>
        <w:shd w:val="clear" w:color="auto" w:fill="FFFFFF"/>
        <w:spacing w:after="36" w:line="432" w:lineRule="auto"/>
        <w:ind w:firstLine="720"/>
        <w:rPr>
          <w:rFonts w:ascii="Times New Roman" w:eastAsia="Times New Roman" w:hAnsi="Times New Roman" w:cs="Times New Roman"/>
        </w:rPr>
      </w:pPr>
    </w:p>
    <w:p w14:paraId="00000014" w14:textId="77777777" w:rsidR="00FA3B66" w:rsidRDefault="00FA3B66">
      <w:pPr>
        <w:shd w:val="clear" w:color="auto" w:fill="FFFFFF"/>
        <w:spacing w:after="36" w:line="432" w:lineRule="auto"/>
        <w:ind w:firstLine="720"/>
        <w:rPr>
          <w:rFonts w:ascii="Times New Roman" w:eastAsia="Times New Roman" w:hAnsi="Times New Roman" w:cs="Times New Roman"/>
        </w:rPr>
      </w:pPr>
    </w:p>
    <w:p w14:paraId="00000015" w14:textId="77777777" w:rsidR="00FA3B66" w:rsidRDefault="00FA3B66">
      <w:pPr>
        <w:shd w:val="clear" w:color="auto" w:fill="FFFFFF"/>
        <w:spacing w:after="36" w:line="432" w:lineRule="auto"/>
        <w:ind w:firstLine="720"/>
        <w:rPr>
          <w:rFonts w:ascii="Times New Roman" w:eastAsia="Times New Roman" w:hAnsi="Times New Roman" w:cs="Times New Roman"/>
        </w:rPr>
      </w:pPr>
    </w:p>
    <w:p w14:paraId="00000016" w14:textId="77777777" w:rsidR="00FA3B66" w:rsidRDefault="00FA3B66">
      <w:pPr>
        <w:shd w:val="clear" w:color="auto" w:fill="FFFFFF"/>
        <w:spacing w:after="36" w:line="432" w:lineRule="auto"/>
        <w:ind w:firstLine="720"/>
        <w:rPr>
          <w:rFonts w:ascii="Times New Roman" w:eastAsia="Times New Roman" w:hAnsi="Times New Roman" w:cs="Times New Roman"/>
        </w:rPr>
      </w:pPr>
    </w:p>
    <w:p w14:paraId="00000017" w14:textId="77777777" w:rsidR="00FA3B66" w:rsidRDefault="00FA3B66">
      <w:pPr>
        <w:shd w:val="clear" w:color="auto" w:fill="FFFFFF"/>
        <w:spacing w:after="36" w:line="432" w:lineRule="auto"/>
        <w:ind w:firstLine="720"/>
        <w:rPr>
          <w:rFonts w:ascii="Times New Roman" w:eastAsia="Times New Roman" w:hAnsi="Times New Roman" w:cs="Times New Roman"/>
        </w:rPr>
      </w:pPr>
    </w:p>
    <w:p w14:paraId="00000018" w14:textId="6074CCD4" w:rsidR="00FA3B66" w:rsidRDefault="00FA3B66">
      <w:pPr>
        <w:shd w:val="clear" w:color="auto" w:fill="FFFFFF"/>
        <w:spacing w:after="36" w:line="432" w:lineRule="auto"/>
        <w:ind w:firstLine="720"/>
        <w:rPr>
          <w:rFonts w:ascii="Times New Roman" w:eastAsia="Times New Roman" w:hAnsi="Times New Roman" w:cs="Times New Roman"/>
        </w:rPr>
      </w:pPr>
    </w:p>
    <w:p w14:paraId="7BE2D9DF" w14:textId="48CD3FB0" w:rsidR="005673D2" w:rsidRDefault="005673D2">
      <w:pPr>
        <w:shd w:val="clear" w:color="auto" w:fill="FFFFFF"/>
        <w:spacing w:after="36" w:line="432" w:lineRule="auto"/>
        <w:ind w:firstLine="720"/>
        <w:rPr>
          <w:rFonts w:ascii="Times New Roman" w:eastAsia="Times New Roman" w:hAnsi="Times New Roman" w:cs="Times New Roman"/>
        </w:rPr>
      </w:pPr>
    </w:p>
    <w:p w14:paraId="05113090" w14:textId="77777777" w:rsidR="005673D2" w:rsidRDefault="005673D2">
      <w:pPr>
        <w:shd w:val="clear" w:color="auto" w:fill="FFFFFF"/>
        <w:spacing w:after="36" w:line="432" w:lineRule="auto"/>
        <w:ind w:firstLine="720"/>
        <w:rPr>
          <w:rFonts w:ascii="Times New Roman" w:eastAsia="Times New Roman" w:hAnsi="Times New Roman" w:cs="Times New Roman"/>
        </w:rPr>
      </w:pPr>
    </w:p>
    <w:p w14:paraId="00000019" w14:textId="77777777" w:rsidR="00FA3B66" w:rsidRDefault="00FA3B66">
      <w:pPr>
        <w:shd w:val="clear" w:color="auto" w:fill="FFFFFF"/>
        <w:spacing w:after="36" w:line="432" w:lineRule="auto"/>
        <w:ind w:firstLine="720"/>
        <w:rPr>
          <w:rFonts w:ascii="Times New Roman" w:eastAsia="Times New Roman" w:hAnsi="Times New Roman" w:cs="Times New Roman"/>
        </w:rPr>
      </w:pPr>
    </w:p>
    <w:p w14:paraId="0000001A" w14:textId="77777777" w:rsidR="00FA3B66" w:rsidRDefault="00FA3B66">
      <w:pPr>
        <w:shd w:val="clear" w:color="auto" w:fill="FFFFFF"/>
        <w:spacing w:after="36" w:line="432" w:lineRule="auto"/>
        <w:ind w:firstLine="720"/>
        <w:rPr>
          <w:rFonts w:ascii="Times New Roman" w:eastAsia="Times New Roman" w:hAnsi="Times New Roman" w:cs="Times New Roman"/>
        </w:rPr>
      </w:pPr>
    </w:p>
    <w:p w14:paraId="0000001B" w14:textId="77777777" w:rsidR="00FA3B66" w:rsidRDefault="00B03ACA">
      <w:pPr>
        <w:shd w:val="clear" w:color="auto" w:fill="FFFFFF"/>
        <w:spacing w:after="36" w:line="432" w:lineRule="auto"/>
        <w:rPr>
          <w:rFonts w:ascii="Times New Roman" w:eastAsia="Times New Roman" w:hAnsi="Times New Roman" w:cs="Times New Roman"/>
          <w:b/>
          <w:u w:val="single"/>
        </w:rPr>
      </w:pPr>
      <w:r>
        <w:rPr>
          <w:rFonts w:ascii="Times New Roman" w:eastAsia="Times New Roman" w:hAnsi="Times New Roman" w:cs="Times New Roman"/>
          <w:b/>
          <w:u w:val="single"/>
        </w:rPr>
        <w:lastRenderedPageBreak/>
        <w:t>Bibliography</w:t>
      </w:r>
    </w:p>
    <w:p w14:paraId="06994342" w14:textId="40B5F918" w:rsidR="005673D2" w:rsidRDefault="005673D2" w:rsidP="005673D2">
      <w:pPr>
        <w:spacing w:line="240" w:lineRule="auto"/>
        <w:ind w:left="720" w:hanging="720"/>
        <w:rPr>
          <w:rFonts w:ascii="Times New Roman" w:eastAsia="Times New Roman" w:hAnsi="Times New Roman" w:cs="Times New Roman"/>
        </w:rPr>
      </w:pPr>
      <w:r>
        <w:rPr>
          <w:sz w:val="20"/>
          <w:szCs w:val="20"/>
        </w:rPr>
        <w:t xml:space="preserve">Adamson, Ian </w:t>
      </w:r>
      <w:r>
        <w:rPr>
          <w:i/>
          <w:sz w:val="20"/>
          <w:szCs w:val="20"/>
        </w:rPr>
        <w:t xml:space="preserve">A Journey to the Immortal Isles: The Voyage of Bran, son of </w:t>
      </w:r>
      <w:proofErr w:type="spellStart"/>
      <w:r>
        <w:rPr>
          <w:i/>
          <w:sz w:val="20"/>
          <w:szCs w:val="20"/>
        </w:rPr>
        <w:t>Febal</w:t>
      </w:r>
      <w:proofErr w:type="spellEnd"/>
      <w:r>
        <w:rPr>
          <w:i/>
          <w:sz w:val="20"/>
          <w:szCs w:val="20"/>
        </w:rPr>
        <w:t xml:space="preserve">, with translations from the Gaelic by </w:t>
      </w:r>
      <w:proofErr w:type="spellStart"/>
      <w:r>
        <w:rPr>
          <w:i/>
          <w:sz w:val="20"/>
          <w:szCs w:val="20"/>
        </w:rPr>
        <w:t>Kuno</w:t>
      </w:r>
      <w:proofErr w:type="spellEnd"/>
      <w:r>
        <w:rPr>
          <w:i/>
          <w:sz w:val="20"/>
          <w:szCs w:val="20"/>
        </w:rPr>
        <w:t xml:space="preserve"> Meyer </w:t>
      </w:r>
      <w:r>
        <w:rPr>
          <w:sz w:val="20"/>
          <w:szCs w:val="20"/>
        </w:rPr>
        <w:t xml:space="preserve">(Newtownards, </w:t>
      </w:r>
      <w:proofErr w:type="spellStart"/>
      <w:r>
        <w:rPr>
          <w:sz w:val="20"/>
          <w:szCs w:val="20"/>
        </w:rPr>
        <w:t>Pretani</w:t>
      </w:r>
      <w:proofErr w:type="spellEnd"/>
      <w:r>
        <w:rPr>
          <w:sz w:val="20"/>
          <w:szCs w:val="20"/>
        </w:rPr>
        <w:t xml:space="preserve"> Press) 2018</w:t>
      </w:r>
    </w:p>
    <w:p w14:paraId="0000001C" w14:textId="7F80ADD2" w:rsidR="00FA3B66" w:rsidRDefault="00B03ACA" w:rsidP="005673D2">
      <w:pPr>
        <w:spacing w:line="240" w:lineRule="auto"/>
        <w:ind w:left="720" w:hanging="720"/>
        <w:rPr>
          <w:rFonts w:ascii="Times New Roman" w:eastAsia="Times New Roman" w:hAnsi="Times New Roman" w:cs="Times New Roman"/>
        </w:rPr>
      </w:pPr>
      <w:proofErr w:type="spellStart"/>
      <w:r>
        <w:rPr>
          <w:rFonts w:ascii="Times New Roman" w:eastAsia="Times New Roman" w:hAnsi="Times New Roman" w:cs="Times New Roman"/>
        </w:rPr>
        <w:t>Bhrolchain</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Muireann</w:t>
      </w:r>
      <w:proofErr w:type="spellEnd"/>
      <w:r>
        <w:rPr>
          <w:rFonts w:ascii="Times New Roman" w:eastAsia="Times New Roman" w:hAnsi="Times New Roman" w:cs="Times New Roman"/>
        </w:rPr>
        <w:t xml:space="preserve"> </w:t>
      </w:r>
      <w:r>
        <w:rPr>
          <w:rFonts w:ascii="Times New Roman" w:eastAsia="Times New Roman" w:hAnsi="Times New Roman" w:cs="Times New Roman"/>
          <w:i/>
        </w:rPr>
        <w:t xml:space="preserve">An Introduction to Early Irish Literature </w:t>
      </w:r>
      <w:r>
        <w:rPr>
          <w:rFonts w:ascii="Times New Roman" w:eastAsia="Times New Roman" w:hAnsi="Times New Roman" w:cs="Times New Roman"/>
        </w:rPr>
        <w:t>(Dublin, Four Courts Press) 2009</w:t>
      </w:r>
    </w:p>
    <w:p w14:paraId="0000001D" w14:textId="77777777" w:rsidR="00FA3B66" w:rsidRDefault="00B03ACA" w:rsidP="005673D2">
      <w:pPr>
        <w:spacing w:line="240" w:lineRule="auto"/>
        <w:ind w:left="720" w:hanging="720"/>
        <w:rPr>
          <w:rFonts w:ascii="Times New Roman" w:eastAsia="Times New Roman" w:hAnsi="Times New Roman" w:cs="Times New Roman"/>
        </w:rPr>
      </w:pPr>
      <w:r>
        <w:rPr>
          <w:rFonts w:ascii="Times New Roman" w:eastAsia="Times New Roman" w:hAnsi="Times New Roman" w:cs="Times New Roman"/>
        </w:rPr>
        <w:t xml:space="preserve">Byrne, Aisling </w:t>
      </w:r>
      <w:proofErr w:type="spellStart"/>
      <w:r>
        <w:rPr>
          <w:rFonts w:ascii="Times New Roman" w:eastAsia="Times New Roman" w:hAnsi="Times New Roman" w:cs="Times New Roman"/>
          <w:i/>
        </w:rPr>
        <w:t>Otherworlds</w:t>
      </w:r>
      <w:proofErr w:type="spellEnd"/>
      <w:r>
        <w:rPr>
          <w:rFonts w:ascii="Times New Roman" w:eastAsia="Times New Roman" w:hAnsi="Times New Roman" w:cs="Times New Roman"/>
          <w:i/>
        </w:rPr>
        <w:t>: Fantasy and History in Medieval Literature</w:t>
      </w:r>
      <w:r>
        <w:rPr>
          <w:rFonts w:ascii="Times New Roman" w:eastAsia="Times New Roman" w:hAnsi="Times New Roman" w:cs="Times New Roman"/>
        </w:rPr>
        <w:t xml:space="preserve"> (Oxford, Oxford University Press) 2015</w:t>
      </w:r>
    </w:p>
    <w:p w14:paraId="0000001E" w14:textId="77777777" w:rsidR="00FA3B66" w:rsidRDefault="00B03ACA" w:rsidP="005673D2">
      <w:pPr>
        <w:spacing w:line="240" w:lineRule="auto"/>
        <w:ind w:left="720" w:hanging="720"/>
        <w:rPr>
          <w:rFonts w:ascii="Times New Roman" w:eastAsia="Times New Roman" w:hAnsi="Times New Roman" w:cs="Times New Roman"/>
        </w:rPr>
      </w:pPr>
      <w:r>
        <w:rPr>
          <w:rFonts w:ascii="Times New Roman" w:eastAsia="Times New Roman" w:hAnsi="Times New Roman" w:cs="Times New Roman"/>
        </w:rPr>
        <w:t xml:space="preserve">Cana, </w:t>
      </w:r>
      <w:proofErr w:type="spellStart"/>
      <w:r>
        <w:rPr>
          <w:rFonts w:ascii="Times New Roman" w:eastAsia="Times New Roman" w:hAnsi="Times New Roman" w:cs="Times New Roman"/>
        </w:rPr>
        <w:t>Proinsias</w:t>
      </w:r>
      <w:proofErr w:type="spellEnd"/>
      <w:r>
        <w:rPr>
          <w:rFonts w:ascii="Times New Roman" w:eastAsia="Times New Roman" w:hAnsi="Times New Roman" w:cs="Times New Roman"/>
        </w:rPr>
        <w:t xml:space="preserve"> Mac ‘The Sinless Otherworld of </w:t>
      </w:r>
      <w:proofErr w:type="spellStart"/>
      <w:r>
        <w:rPr>
          <w:rFonts w:ascii="Times New Roman" w:eastAsia="Times New Roman" w:hAnsi="Times New Roman" w:cs="Times New Roman"/>
        </w:rPr>
        <w:t>Immram</w:t>
      </w:r>
      <w:proofErr w:type="spellEnd"/>
      <w:r>
        <w:rPr>
          <w:rFonts w:ascii="Times New Roman" w:eastAsia="Times New Roman" w:hAnsi="Times New Roman" w:cs="Times New Roman"/>
        </w:rPr>
        <w:t xml:space="preserve"> Brain’ in Wooding</w:t>
      </w:r>
      <w:r>
        <w:rPr>
          <w:rFonts w:ascii="Times New Roman" w:eastAsia="Times New Roman" w:hAnsi="Times New Roman" w:cs="Times New Roman"/>
        </w:rPr>
        <w:t xml:space="preserve">, Jonathan M (ed) </w:t>
      </w:r>
      <w:r>
        <w:rPr>
          <w:rFonts w:ascii="Times New Roman" w:eastAsia="Times New Roman" w:hAnsi="Times New Roman" w:cs="Times New Roman"/>
          <w:i/>
        </w:rPr>
        <w:t xml:space="preserve">The Otherworld Voyage in Early Irish Literature: An Anthology of Criticism </w:t>
      </w:r>
      <w:r>
        <w:rPr>
          <w:rFonts w:ascii="Times New Roman" w:eastAsia="Times New Roman" w:hAnsi="Times New Roman" w:cs="Times New Roman"/>
        </w:rPr>
        <w:t>(Dublin, Four Courts Press) 2014, pp 52-72</w:t>
      </w:r>
    </w:p>
    <w:p w14:paraId="0000001F" w14:textId="77777777" w:rsidR="00FA3B66" w:rsidRDefault="00B03ACA" w:rsidP="005673D2">
      <w:pPr>
        <w:spacing w:line="240" w:lineRule="auto"/>
        <w:ind w:left="720" w:hanging="720"/>
        <w:rPr>
          <w:rFonts w:ascii="Times New Roman" w:eastAsia="Times New Roman" w:hAnsi="Times New Roman" w:cs="Times New Roman"/>
        </w:rPr>
      </w:pPr>
      <w:r>
        <w:rPr>
          <w:rFonts w:ascii="Times New Roman" w:eastAsia="Times New Roman" w:hAnsi="Times New Roman" w:cs="Times New Roman"/>
        </w:rPr>
        <w:t xml:space="preserve">Carney, James ‘The Earliest Bran Material’ in Wooding, Jonathan M (ed) </w:t>
      </w:r>
      <w:r>
        <w:rPr>
          <w:rFonts w:ascii="Times New Roman" w:eastAsia="Times New Roman" w:hAnsi="Times New Roman" w:cs="Times New Roman"/>
          <w:i/>
        </w:rPr>
        <w:t xml:space="preserve">The Otherworld Voyage in Early Irish Literature: </w:t>
      </w:r>
      <w:r>
        <w:rPr>
          <w:rFonts w:ascii="Times New Roman" w:eastAsia="Times New Roman" w:hAnsi="Times New Roman" w:cs="Times New Roman"/>
          <w:i/>
        </w:rPr>
        <w:t xml:space="preserve">An Anthology of Criticism </w:t>
      </w:r>
      <w:r>
        <w:rPr>
          <w:rFonts w:ascii="Times New Roman" w:eastAsia="Times New Roman" w:hAnsi="Times New Roman" w:cs="Times New Roman"/>
        </w:rPr>
        <w:t>(Dublin, Four Courts Press) 2014, pp 73-90</w:t>
      </w:r>
    </w:p>
    <w:p w14:paraId="3D841DCC" w14:textId="77777777" w:rsidR="005673D2" w:rsidRDefault="00B03ACA" w:rsidP="005673D2">
      <w:pPr>
        <w:spacing w:line="240" w:lineRule="auto"/>
        <w:ind w:left="720" w:hanging="720"/>
        <w:rPr>
          <w:rFonts w:ascii="Times New Roman" w:eastAsia="Times New Roman" w:hAnsi="Times New Roman" w:cs="Times New Roman"/>
        </w:rPr>
      </w:pPr>
      <w:r>
        <w:rPr>
          <w:rFonts w:ascii="Times New Roman" w:eastAsia="Times New Roman" w:hAnsi="Times New Roman" w:cs="Times New Roman"/>
        </w:rPr>
        <w:t xml:space="preserve">Selling, Kim ‘The Locus of the Sacred in the Celtic Otherworld’ in Michael Griffith &amp; James Tulip (eds) </w:t>
      </w:r>
      <w:r>
        <w:rPr>
          <w:rFonts w:ascii="Times New Roman" w:eastAsia="Times New Roman" w:hAnsi="Times New Roman" w:cs="Times New Roman"/>
          <w:i/>
        </w:rPr>
        <w:t>Spirit of Place: Source of the Sacred? 1998 Australian International Religion, Lite</w:t>
      </w:r>
      <w:r>
        <w:rPr>
          <w:rFonts w:ascii="Times New Roman" w:eastAsia="Times New Roman" w:hAnsi="Times New Roman" w:cs="Times New Roman"/>
          <w:i/>
        </w:rPr>
        <w:t xml:space="preserve">rature and the Arts Conference Proceedings </w:t>
      </w:r>
      <w:r>
        <w:rPr>
          <w:rFonts w:ascii="Times New Roman" w:eastAsia="Times New Roman" w:hAnsi="Times New Roman" w:cs="Times New Roman"/>
        </w:rPr>
        <w:t xml:space="preserve">(Sydney, Sydney Studies in </w:t>
      </w:r>
      <w:proofErr w:type="gramStart"/>
      <w:r>
        <w:rPr>
          <w:rFonts w:ascii="Times New Roman" w:eastAsia="Times New Roman" w:hAnsi="Times New Roman" w:cs="Times New Roman"/>
        </w:rPr>
        <w:t>Religion)  pp</w:t>
      </w:r>
      <w:proofErr w:type="gramEnd"/>
      <w:r>
        <w:rPr>
          <w:rFonts w:ascii="Times New Roman" w:eastAsia="Times New Roman" w:hAnsi="Times New Roman" w:cs="Times New Roman"/>
        </w:rPr>
        <w:t xml:space="preserve"> 293-301</w:t>
      </w:r>
    </w:p>
    <w:p w14:paraId="00000020" w14:textId="1078031D" w:rsidR="00FA3B66" w:rsidRDefault="005673D2" w:rsidP="005673D2">
      <w:pPr>
        <w:spacing w:line="240" w:lineRule="auto"/>
        <w:ind w:left="720" w:hanging="720"/>
        <w:rPr>
          <w:rFonts w:ascii="Times New Roman" w:eastAsia="Times New Roman" w:hAnsi="Times New Roman" w:cs="Times New Roman"/>
        </w:rPr>
      </w:pPr>
      <w:r>
        <w:rPr>
          <w:color w:val="373A3C"/>
          <w:sz w:val="20"/>
          <w:szCs w:val="20"/>
        </w:rPr>
        <w:t xml:space="preserve">Davies, </w:t>
      </w:r>
      <w:proofErr w:type="spellStart"/>
      <w:r>
        <w:rPr>
          <w:color w:val="373A3C"/>
          <w:sz w:val="20"/>
          <w:szCs w:val="20"/>
        </w:rPr>
        <w:t>Sioned</w:t>
      </w:r>
      <w:proofErr w:type="spellEnd"/>
      <w:r>
        <w:rPr>
          <w:color w:val="373A3C"/>
          <w:sz w:val="20"/>
          <w:szCs w:val="20"/>
        </w:rPr>
        <w:t xml:space="preserve"> </w:t>
      </w:r>
      <w:r>
        <w:rPr>
          <w:i/>
          <w:color w:val="373A3C"/>
          <w:sz w:val="20"/>
          <w:szCs w:val="20"/>
        </w:rPr>
        <w:t xml:space="preserve">The </w:t>
      </w:r>
      <w:proofErr w:type="spellStart"/>
      <w:r>
        <w:rPr>
          <w:i/>
          <w:color w:val="373A3C"/>
          <w:sz w:val="20"/>
          <w:szCs w:val="20"/>
        </w:rPr>
        <w:t>Mabinogion</w:t>
      </w:r>
      <w:proofErr w:type="spellEnd"/>
      <w:r>
        <w:rPr>
          <w:color w:val="373A3C"/>
          <w:sz w:val="20"/>
          <w:szCs w:val="20"/>
        </w:rPr>
        <w:t xml:space="preserve"> (Oxford, Oxford University Press)</w:t>
      </w:r>
      <w:r w:rsidR="00B03ACA">
        <w:rPr>
          <w:rFonts w:ascii="Times New Roman" w:eastAsia="Times New Roman" w:hAnsi="Times New Roman" w:cs="Times New Roman"/>
        </w:rPr>
        <w:tab/>
        <w:t xml:space="preserve"> </w:t>
      </w:r>
      <w:r w:rsidR="00B03ACA">
        <w:rPr>
          <w:rFonts w:ascii="Times New Roman" w:eastAsia="Times New Roman" w:hAnsi="Times New Roman" w:cs="Times New Roman"/>
        </w:rPr>
        <w:tab/>
      </w:r>
    </w:p>
    <w:p w14:paraId="00000021" w14:textId="77777777" w:rsidR="00FA3B66" w:rsidRDefault="00B03ACA" w:rsidP="005673D2">
      <w:pPr>
        <w:spacing w:line="240" w:lineRule="auto"/>
        <w:ind w:left="720" w:hanging="720"/>
        <w:rPr>
          <w:rFonts w:ascii="Times New Roman" w:eastAsia="Times New Roman" w:hAnsi="Times New Roman" w:cs="Times New Roman"/>
        </w:rPr>
      </w:pPr>
      <w:proofErr w:type="spellStart"/>
      <w:r>
        <w:rPr>
          <w:rFonts w:ascii="Times New Roman" w:eastAsia="Times New Roman" w:hAnsi="Times New Roman" w:cs="Times New Roman"/>
        </w:rPr>
        <w:t>Siewers</w:t>
      </w:r>
      <w:proofErr w:type="spellEnd"/>
      <w:r>
        <w:rPr>
          <w:rFonts w:ascii="Times New Roman" w:eastAsia="Times New Roman" w:hAnsi="Times New Roman" w:cs="Times New Roman"/>
        </w:rPr>
        <w:t xml:space="preserve">, Alfred K. </w:t>
      </w:r>
      <w:r>
        <w:rPr>
          <w:rFonts w:ascii="Times New Roman" w:eastAsia="Times New Roman" w:hAnsi="Times New Roman" w:cs="Times New Roman"/>
          <w:i/>
        </w:rPr>
        <w:t>Strange Beauty: Ecocritical Approaches to Early Medieval Landscape</w:t>
      </w:r>
      <w:r>
        <w:rPr>
          <w:rFonts w:ascii="Times New Roman" w:eastAsia="Times New Roman" w:hAnsi="Times New Roman" w:cs="Times New Roman"/>
        </w:rPr>
        <w:t xml:space="preserve"> (New York, Palgrave Macmillan) 2009</w:t>
      </w:r>
    </w:p>
    <w:p w14:paraId="00000022" w14:textId="7E0FA52A" w:rsidR="00FA3B66" w:rsidRDefault="00B03ACA" w:rsidP="005673D2">
      <w:pPr>
        <w:spacing w:line="240" w:lineRule="auto"/>
        <w:ind w:left="720" w:hanging="720"/>
        <w:rPr>
          <w:rFonts w:ascii="Times New Roman" w:eastAsia="Times New Roman" w:hAnsi="Times New Roman" w:cs="Times New Roman"/>
        </w:rPr>
      </w:pPr>
      <w:r>
        <w:rPr>
          <w:rFonts w:ascii="Times New Roman" w:eastAsia="Times New Roman" w:hAnsi="Times New Roman" w:cs="Times New Roman"/>
        </w:rPr>
        <w:t xml:space="preserve">Wooding, Jonathan M. (ed) </w:t>
      </w:r>
      <w:r>
        <w:rPr>
          <w:rFonts w:ascii="Times New Roman" w:eastAsia="Times New Roman" w:hAnsi="Times New Roman" w:cs="Times New Roman"/>
          <w:i/>
        </w:rPr>
        <w:t>The Otherworl</w:t>
      </w:r>
      <w:r>
        <w:rPr>
          <w:rFonts w:ascii="Times New Roman" w:eastAsia="Times New Roman" w:hAnsi="Times New Roman" w:cs="Times New Roman"/>
          <w:i/>
        </w:rPr>
        <w:t>d Voyage in Early Irish Literature: An Anthology of Criticism</w:t>
      </w:r>
      <w:r>
        <w:rPr>
          <w:rFonts w:ascii="Times New Roman" w:eastAsia="Times New Roman" w:hAnsi="Times New Roman" w:cs="Times New Roman"/>
        </w:rPr>
        <w:t xml:space="preserve"> </w:t>
      </w:r>
      <w:r>
        <w:rPr>
          <w:rFonts w:ascii="Times New Roman" w:eastAsia="Times New Roman" w:hAnsi="Times New Roman" w:cs="Times New Roman"/>
        </w:rPr>
        <w:t>Dublin, Four Courts Press) 2014</w:t>
      </w:r>
    </w:p>
    <w:p w14:paraId="00000023" w14:textId="77777777" w:rsidR="00FA3B66" w:rsidRDefault="00FA3B66">
      <w:pPr>
        <w:shd w:val="clear" w:color="auto" w:fill="FFFFFF"/>
        <w:spacing w:after="36" w:line="432" w:lineRule="auto"/>
        <w:ind w:firstLine="720"/>
        <w:rPr>
          <w:rFonts w:ascii="Times New Roman" w:eastAsia="Times New Roman" w:hAnsi="Times New Roman" w:cs="Times New Roman"/>
        </w:rPr>
      </w:pPr>
      <w:bookmarkStart w:id="2" w:name="_GoBack"/>
      <w:bookmarkEnd w:id="2"/>
    </w:p>
    <w:p w14:paraId="00000024" w14:textId="77777777" w:rsidR="00FA3B66" w:rsidRDefault="00FA3B66">
      <w:pPr>
        <w:spacing w:after="240"/>
        <w:ind w:left="720" w:hanging="720"/>
      </w:pPr>
    </w:p>
    <w:sectPr w:rsidR="00FA3B6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59EDA1" w14:textId="77777777" w:rsidR="00B03ACA" w:rsidRDefault="00B03ACA">
      <w:pPr>
        <w:spacing w:line="240" w:lineRule="auto"/>
      </w:pPr>
      <w:r>
        <w:separator/>
      </w:r>
    </w:p>
  </w:endnote>
  <w:endnote w:type="continuationSeparator" w:id="0">
    <w:p w14:paraId="41884930" w14:textId="77777777" w:rsidR="00B03ACA" w:rsidRDefault="00B03AC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de">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19D5AD" w14:textId="77777777" w:rsidR="00B03ACA" w:rsidRDefault="00B03ACA">
      <w:pPr>
        <w:spacing w:line="240" w:lineRule="auto"/>
      </w:pPr>
      <w:r>
        <w:separator/>
      </w:r>
    </w:p>
  </w:footnote>
  <w:footnote w:type="continuationSeparator" w:id="0">
    <w:p w14:paraId="53D5510F" w14:textId="77777777" w:rsidR="00B03ACA" w:rsidRDefault="00B03ACA">
      <w:pPr>
        <w:spacing w:line="240" w:lineRule="auto"/>
      </w:pPr>
      <w:r>
        <w:continuationSeparator/>
      </w:r>
    </w:p>
  </w:footnote>
  <w:footnote w:id="1">
    <w:p w14:paraId="00000025" w14:textId="77777777" w:rsidR="00FA3B66" w:rsidRDefault="00B03ACA">
      <w:pPr>
        <w:spacing w:line="240" w:lineRule="auto"/>
        <w:rPr>
          <w:sz w:val="20"/>
          <w:szCs w:val="20"/>
        </w:rPr>
      </w:pPr>
      <w:r>
        <w:rPr>
          <w:rStyle w:val="FootnoteReference"/>
        </w:rPr>
        <w:footnoteRef/>
      </w:r>
      <w:r>
        <w:rPr>
          <w:sz w:val="20"/>
          <w:szCs w:val="20"/>
        </w:rPr>
        <w:t xml:space="preserve"> Possibly deriving from the lost </w:t>
      </w:r>
      <w:proofErr w:type="spellStart"/>
      <w:r>
        <w:rPr>
          <w:i/>
          <w:sz w:val="20"/>
          <w:szCs w:val="20"/>
        </w:rPr>
        <w:t>Cín</w:t>
      </w:r>
      <w:proofErr w:type="spellEnd"/>
      <w:r>
        <w:rPr>
          <w:i/>
          <w:sz w:val="20"/>
          <w:szCs w:val="20"/>
        </w:rPr>
        <w:t xml:space="preserve"> </w:t>
      </w:r>
      <w:proofErr w:type="spellStart"/>
      <w:r>
        <w:rPr>
          <w:i/>
          <w:sz w:val="20"/>
          <w:szCs w:val="20"/>
        </w:rPr>
        <w:t>Dromma</w:t>
      </w:r>
      <w:proofErr w:type="spellEnd"/>
      <w:r>
        <w:rPr>
          <w:i/>
          <w:sz w:val="20"/>
          <w:szCs w:val="20"/>
        </w:rPr>
        <w:t xml:space="preserve"> </w:t>
      </w:r>
      <w:proofErr w:type="spellStart"/>
      <w:r>
        <w:rPr>
          <w:i/>
          <w:sz w:val="20"/>
          <w:szCs w:val="20"/>
        </w:rPr>
        <w:t>Snechtai</w:t>
      </w:r>
      <w:proofErr w:type="spellEnd"/>
      <w:r>
        <w:rPr>
          <w:i/>
          <w:sz w:val="20"/>
          <w:szCs w:val="20"/>
        </w:rPr>
        <w:t xml:space="preserve">, </w:t>
      </w:r>
      <w:r>
        <w:rPr>
          <w:rFonts w:ascii="Times New Roman" w:eastAsia="Times New Roman" w:hAnsi="Times New Roman" w:cs="Times New Roman"/>
        </w:rPr>
        <w:t xml:space="preserve">Book of </w:t>
      </w:r>
      <w:proofErr w:type="spellStart"/>
      <w:r>
        <w:rPr>
          <w:rFonts w:ascii="Times New Roman" w:eastAsia="Times New Roman" w:hAnsi="Times New Roman" w:cs="Times New Roman"/>
        </w:rPr>
        <w:t>Druimm</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Snechtai</w:t>
      </w:r>
      <w:proofErr w:type="spellEnd"/>
      <w:r>
        <w:rPr>
          <w:rFonts w:ascii="Times New Roman" w:eastAsia="Times New Roman" w:hAnsi="Times New Roman" w:cs="Times New Roman"/>
        </w:rPr>
        <w:t>.</w:t>
      </w:r>
    </w:p>
  </w:footnote>
  <w:footnote w:id="2">
    <w:p w14:paraId="00000027" w14:textId="77777777" w:rsidR="00FA3B66" w:rsidRDefault="00B03ACA">
      <w:pPr>
        <w:spacing w:line="240" w:lineRule="auto"/>
        <w:rPr>
          <w:sz w:val="20"/>
          <w:szCs w:val="20"/>
        </w:rPr>
      </w:pPr>
      <w:r>
        <w:rPr>
          <w:rStyle w:val="FootnoteReference"/>
        </w:rPr>
        <w:footnoteRef/>
      </w:r>
      <w:r>
        <w:rPr>
          <w:sz w:val="20"/>
          <w:szCs w:val="20"/>
        </w:rPr>
        <w:t xml:space="preserve"> Being united not only in the </w:t>
      </w:r>
      <w:r>
        <w:rPr>
          <w:i/>
          <w:sz w:val="20"/>
          <w:szCs w:val="20"/>
        </w:rPr>
        <w:t xml:space="preserve">Bran </w:t>
      </w:r>
      <w:r>
        <w:rPr>
          <w:sz w:val="20"/>
          <w:szCs w:val="20"/>
        </w:rPr>
        <w:t xml:space="preserve">element present in the Second Branch’s Bran and </w:t>
      </w:r>
      <w:proofErr w:type="spellStart"/>
      <w:r>
        <w:rPr>
          <w:sz w:val="20"/>
          <w:szCs w:val="20"/>
        </w:rPr>
        <w:t>Branwen</w:t>
      </w:r>
      <w:proofErr w:type="spellEnd"/>
      <w:r>
        <w:rPr>
          <w:sz w:val="20"/>
          <w:szCs w:val="20"/>
        </w:rPr>
        <w:t xml:space="preserve">, but also the appearance of </w:t>
      </w:r>
      <w:proofErr w:type="spellStart"/>
      <w:r>
        <w:rPr>
          <w:sz w:val="20"/>
          <w:szCs w:val="20"/>
        </w:rPr>
        <w:t>Manannán</w:t>
      </w:r>
      <w:proofErr w:type="spellEnd"/>
      <w:r>
        <w:rPr>
          <w:sz w:val="20"/>
          <w:szCs w:val="20"/>
        </w:rPr>
        <w:t xml:space="preserve"> mac </w:t>
      </w:r>
      <w:proofErr w:type="spellStart"/>
      <w:r>
        <w:rPr>
          <w:sz w:val="20"/>
          <w:szCs w:val="20"/>
        </w:rPr>
        <w:t>Lir</w:t>
      </w:r>
      <w:proofErr w:type="spellEnd"/>
      <w:r>
        <w:rPr>
          <w:sz w:val="20"/>
          <w:szCs w:val="20"/>
        </w:rPr>
        <w:t>, paralleled i</w:t>
      </w:r>
      <w:r>
        <w:rPr>
          <w:sz w:val="20"/>
          <w:szCs w:val="20"/>
        </w:rPr>
        <w:t xml:space="preserve">n the </w:t>
      </w:r>
      <w:proofErr w:type="spellStart"/>
      <w:r>
        <w:rPr>
          <w:i/>
          <w:sz w:val="20"/>
          <w:szCs w:val="20"/>
        </w:rPr>
        <w:t>Mabinogi</w:t>
      </w:r>
      <w:proofErr w:type="spellEnd"/>
      <w:r>
        <w:rPr>
          <w:sz w:val="20"/>
          <w:szCs w:val="20"/>
        </w:rPr>
        <w:t xml:space="preserve"> by the third sibling Manawydan fab </w:t>
      </w:r>
      <w:proofErr w:type="spellStart"/>
      <w:r>
        <w:rPr>
          <w:sz w:val="20"/>
          <w:szCs w:val="20"/>
        </w:rPr>
        <w:t>Llŷr</w:t>
      </w:r>
      <w:proofErr w:type="spellEnd"/>
      <w:r>
        <w:rPr>
          <w:sz w:val="20"/>
          <w:szCs w:val="20"/>
        </w:rPr>
        <w:t>, although the characters have no narrative similarity.</w:t>
      </w:r>
    </w:p>
  </w:footnote>
  <w:footnote w:id="3">
    <w:p w14:paraId="00000026" w14:textId="77777777" w:rsidR="00FA3B66" w:rsidRDefault="00B03ACA">
      <w:pPr>
        <w:spacing w:line="240" w:lineRule="auto"/>
        <w:rPr>
          <w:sz w:val="20"/>
          <w:szCs w:val="20"/>
        </w:rPr>
      </w:pPr>
      <w:r>
        <w:rPr>
          <w:rStyle w:val="FootnoteReference"/>
        </w:rPr>
        <w:footnoteRef/>
      </w:r>
      <w:r>
        <w:rPr>
          <w:sz w:val="20"/>
          <w:szCs w:val="20"/>
        </w:rPr>
        <w:t xml:space="preserve"> </w:t>
      </w:r>
      <w:proofErr w:type="spellStart"/>
      <w:r>
        <w:rPr>
          <w:sz w:val="20"/>
          <w:szCs w:val="20"/>
        </w:rPr>
        <w:t>Siewers</w:t>
      </w:r>
      <w:proofErr w:type="spellEnd"/>
      <w:r>
        <w:rPr>
          <w:sz w:val="20"/>
          <w:szCs w:val="20"/>
        </w:rPr>
        <w:t xml:space="preserve">, Alfred K. </w:t>
      </w:r>
      <w:r>
        <w:rPr>
          <w:i/>
          <w:sz w:val="20"/>
          <w:szCs w:val="20"/>
        </w:rPr>
        <w:t>Strange Beauty: Ecocritical Approaches to Early Medieval Landscape</w:t>
      </w:r>
      <w:r>
        <w:rPr>
          <w:sz w:val="20"/>
          <w:szCs w:val="20"/>
        </w:rPr>
        <w:t xml:space="preserve"> (New York, Palgrave Macmillan) 2009 p4</w:t>
      </w:r>
    </w:p>
  </w:footnote>
  <w:footnote w:id="4">
    <w:p w14:paraId="00000028" w14:textId="77777777" w:rsidR="00FA3B66" w:rsidRDefault="00B03ACA">
      <w:pPr>
        <w:spacing w:line="240" w:lineRule="auto"/>
        <w:rPr>
          <w:sz w:val="20"/>
          <w:szCs w:val="20"/>
        </w:rPr>
      </w:pPr>
      <w:r>
        <w:rPr>
          <w:rStyle w:val="FootnoteReference"/>
        </w:rPr>
        <w:footnoteRef/>
      </w:r>
      <w:r>
        <w:rPr>
          <w:sz w:val="20"/>
          <w:szCs w:val="20"/>
        </w:rPr>
        <w:t xml:space="preserve"> Stanza 62, Adamson, Ian </w:t>
      </w:r>
      <w:r>
        <w:rPr>
          <w:i/>
          <w:sz w:val="20"/>
          <w:szCs w:val="20"/>
        </w:rPr>
        <w:t xml:space="preserve">A Journey to the Immortal Isles: The Voyage of Bran, son of </w:t>
      </w:r>
      <w:proofErr w:type="spellStart"/>
      <w:r>
        <w:rPr>
          <w:i/>
          <w:sz w:val="20"/>
          <w:szCs w:val="20"/>
        </w:rPr>
        <w:t>Febal</w:t>
      </w:r>
      <w:proofErr w:type="spellEnd"/>
      <w:r>
        <w:rPr>
          <w:i/>
          <w:sz w:val="20"/>
          <w:szCs w:val="20"/>
        </w:rPr>
        <w:t xml:space="preserve">, with translations from the Gaelic by </w:t>
      </w:r>
      <w:proofErr w:type="spellStart"/>
      <w:r>
        <w:rPr>
          <w:i/>
          <w:sz w:val="20"/>
          <w:szCs w:val="20"/>
        </w:rPr>
        <w:t>Kuno</w:t>
      </w:r>
      <w:proofErr w:type="spellEnd"/>
      <w:r>
        <w:rPr>
          <w:i/>
          <w:sz w:val="20"/>
          <w:szCs w:val="20"/>
        </w:rPr>
        <w:t xml:space="preserve"> Meyer </w:t>
      </w:r>
      <w:r>
        <w:rPr>
          <w:sz w:val="20"/>
          <w:szCs w:val="20"/>
        </w:rPr>
        <w:t>(Newt</w:t>
      </w:r>
      <w:r>
        <w:rPr>
          <w:sz w:val="20"/>
          <w:szCs w:val="20"/>
        </w:rPr>
        <w:t xml:space="preserve">ownards, </w:t>
      </w:r>
      <w:proofErr w:type="spellStart"/>
      <w:r>
        <w:rPr>
          <w:sz w:val="20"/>
          <w:szCs w:val="20"/>
        </w:rPr>
        <w:t>Pretani</w:t>
      </w:r>
      <w:proofErr w:type="spellEnd"/>
      <w:r>
        <w:rPr>
          <w:sz w:val="20"/>
          <w:szCs w:val="20"/>
        </w:rPr>
        <w:t xml:space="preserve"> Press) 2018 p66</w:t>
      </w:r>
    </w:p>
  </w:footnote>
  <w:footnote w:id="5">
    <w:p w14:paraId="00000029" w14:textId="77777777" w:rsidR="00FA3B66" w:rsidRDefault="00B03ACA">
      <w:pPr>
        <w:spacing w:line="240" w:lineRule="auto"/>
        <w:rPr>
          <w:sz w:val="20"/>
          <w:szCs w:val="20"/>
        </w:rPr>
      </w:pPr>
      <w:r>
        <w:rPr>
          <w:rStyle w:val="FootnoteReference"/>
        </w:rPr>
        <w:footnoteRef/>
      </w:r>
      <w:r>
        <w:rPr>
          <w:sz w:val="20"/>
          <w:szCs w:val="20"/>
        </w:rPr>
        <w:t xml:space="preserve"> Stanza 64, </w:t>
      </w:r>
      <w:r>
        <w:rPr>
          <w:i/>
          <w:sz w:val="20"/>
          <w:szCs w:val="20"/>
        </w:rPr>
        <w:t>ibid</w:t>
      </w:r>
      <w:r>
        <w:rPr>
          <w:sz w:val="20"/>
          <w:szCs w:val="20"/>
        </w:rPr>
        <w:t xml:space="preserve"> p66</w:t>
      </w:r>
    </w:p>
  </w:footnote>
  <w:footnote w:id="6">
    <w:p w14:paraId="0000002A" w14:textId="77777777" w:rsidR="00FA3B66" w:rsidRDefault="00B03ACA">
      <w:pPr>
        <w:spacing w:line="240" w:lineRule="auto"/>
        <w:rPr>
          <w:sz w:val="20"/>
          <w:szCs w:val="20"/>
        </w:rPr>
      </w:pPr>
      <w:r>
        <w:rPr>
          <w:rStyle w:val="FootnoteReference"/>
        </w:rPr>
        <w:footnoteRef/>
      </w:r>
      <w:r>
        <w:rPr>
          <w:sz w:val="20"/>
          <w:szCs w:val="20"/>
        </w:rPr>
        <w:t xml:space="preserve"> Throughout the tale the juxtaposition of pagan and Christian elements </w:t>
      </w:r>
      <w:proofErr w:type="gramStart"/>
      <w:r>
        <w:rPr>
          <w:sz w:val="20"/>
          <w:szCs w:val="20"/>
        </w:rPr>
        <w:t>are</w:t>
      </w:r>
      <w:proofErr w:type="gramEnd"/>
      <w:r>
        <w:rPr>
          <w:sz w:val="20"/>
          <w:szCs w:val="20"/>
        </w:rPr>
        <w:t xml:space="preserve"> suggestive, rather than definitive, as to the origin and inspiration for the tale. Such unearthly music would be familiar bot</w:t>
      </w:r>
      <w:r>
        <w:rPr>
          <w:sz w:val="20"/>
          <w:szCs w:val="20"/>
        </w:rPr>
        <w:t xml:space="preserve">h to a Christian and pagan audience; angels played trumpets and sang (ie Job 38:7, Luke 2:13-14, Revelation 5:8-11) and there are many examples from Celtic myth (ie, see Macleod, Karen Ralls </w:t>
      </w:r>
      <w:r>
        <w:rPr>
          <w:i/>
          <w:sz w:val="20"/>
          <w:szCs w:val="20"/>
        </w:rPr>
        <w:t>Music and the Celtic Otherworld: From Ireland to Iona</w:t>
      </w:r>
      <w:r>
        <w:rPr>
          <w:sz w:val="20"/>
          <w:szCs w:val="20"/>
        </w:rPr>
        <w:t xml:space="preserve"> (Edinburgh,</w:t>
      </w:r>
      <w:r>
        <w:rPr>
          <w:sz w:val="20"/>
          <w:szCs w:val="20"/>
        </w:rPr>
        <w:t xml:space="preserve"> Edinburgh University Press) 2000</w:t>
      </w:r>
    </w:p>
  </w:footnote>
  <w:footnote w:id="7">
    <w:p w14:paraId="0000002B" w14:textId="77777777" w:rsidR="00FA3B66" w:rsidRDefault="00B03ACA">
      <w:pPr>
        <w:spacing w:line="240" w:lineRule="auto"/>
        <w:rPr>
          <w:sz w:val="20"/>
          <w:szCs w:val="20"/>
        </w:rPr>
      </w:pPr>
      <w:r>
        <w:rPr>
          <w:rStyle w:val="FootnoteReference"/>
        </w:rPr>
        <w:footnoteRef/>
      </w:r>
      <w:r>
        <w:rPr>
          <w:sz w:val="20"/>
          <w:szCs w:val="20"/>
        </w:rPr>
        <w:t xml:space="preserve"> In </w:t>
      </w:r>
      <w:r>
        <w:rPr>
          <w:i/>
          <w:sz w:val="20"/>
          <w:szCs w:val="20"/>
        </w:rPr>
        <w:t xml:space="preserve">How </w:t>
      </w:r>
      <w:proofErr w:type="spellStart"/>
      <w:r>
        <w:rPr>
          <w:i/>
          <w:sz w:val="20"/>
          <w:szCs w:val="20"/>
        </w:rPr>
        <w:t>Culwch</w:t>
      </w:r>
      <w:proofErr w:type="spellEnd"/>
      <w:r>
        <w:rPr>
          <w:i/>
          <w:sz w:val="20"/>
          <w:szCs w:val="20"/>
        </w:rPr>
        <w:t xml:space="preserve"> won Olwen </w:t>
      </w:r>
      <w:r>
        <w:rPr>
          <w:sz w:val="20"/>
          <w:szCs w:val="20"/>
        </w:rPr>
        <w:t xml:space="preserve">we are told </w:t>
      </w:r>
      <w:r>
        <w:rPr>
          <w:i/>
          <w:sz w:val="20"/>
          <w:szCs w:val="20"/>
        </w:rPr>
        <w:t xml:space="preserve">“the birds of Rhiannon… wake the dead and lull the living to sleep” </w:t>
      </w:r>
      <w:r>
        <w:rPr>
          <w:color w:val="373A3C"/>
          <w:sz w:val="20"/>
          <w:szCs w:val="20"/>
        </w:rPr>
        <w:t xml:space="preserve">Davies, </w:t>
      </w:r>
      <w:proofErr w:type="spellStart"/>
      <w:r>
        <w:rPr>
          <w:color w:val="373A3C"/>
          <w:sz w:val="20"/>
          <w:szCs w:val="20"/>
        </w:rPr>
        <w:t>Sioned</w:t>
      </w:r>
      <w:proofErr w:type="spellEnd"/>
      <w:r>
        <w:rPr>
          <w:color w:val="373A3C"/>
          <w:sz w:val="20"/>
          <w:szCs w:val="20"/>
        </w:rPr>
        <w:t xml:space="preserve"> </w:t>
      </w:r>
      <w:r>
        <w:rPr>
          <w:i/>
          <w:color w:val="373A3C"/>
          <w:sz w:val="20"/>
          <w:szCs w:val="20"/>
        </w:rPr>
        <w:t xml:space="preserve">The </w:t>
      </w:r>
      <w:proofErr w:type="spellStart"/>
      <w:r>
        <w:rPr>
          <w:i/>
          <w:color w:val="373A3C"/>
          <w:sz w:val="20"/>
          <w:szCs w:val="20"/>
        </w:rPr>
        <w:t>Mabinogion</w:t>
      </w:r>
      <w:proofErr w:type="spellEnd"/>
      <w:r>
        <w:rPr>
          <w:color w:val="373A3C"/>
          <w:sz w:val="20"/>
          <w:szCs w:val="20"/>
        </w:rPr>
        <w:t xml:space="preserve"> (Oxford, Oxford University Press) p196</w:t>
      </w:r>
    </w:p>
  </w:footnote>
  <w:footnote w:id="8">
    <w:p w14:paraId="0000002C" w14:textId="77777777" w:rsidR="00FA3B66" w:rsidRDefault="00B03ACA">
      <w:pPr>
        <w:spacing w:line="240" w:lineRule="auto"/>
        <w:rPr>
          <w:sz w:val="20"/>
          <w:szCs w:val="20"/>
        </w:rPr>
      </w:pPr>
      <w:r>
        <w:rPr>
          <w:rStyle w:val="FootnoteReference"/>
        </w:rPr>
        <w:footnoteRef/>
      </w:r>
      <w:r>
        <w:rPr>
          <w:sz w:val="20"/>
          <w:szCs w:val="20"/>
        </w:rPr>
        <w:t xml:space="preserve"> It is interesting to note the repeated refere</w:t>
      </w:r>
      <w:r>
        <w:rPr>
          <w:sz w:val="20"/>
          <w:szCs w:val="20"/>
        </w:rPr>
        <w:t xml:space="preserve">nces to chariot riding, long after they had been abandoned either as transport or instruments of war, their last recorded use by Celtic tribes being the battle of Mons </w:t>
      </w:r>
      <w:proofErr w:type="spellStart"/>
      <w:r>
        <w:rPr>
          <w:sz w:val="20"/>
          <w:szCs w:val="20"/>
        </w:rPr>
        <w:t>Graupius</w:t>
      </w:r>
      <w:proofErr w:type="spellEnd"/>
      <w:r>
        <w:rPr>
          <w:sz w:val="20"/>
          <w:szCs w:val="20"/>
        </w:rPr>
        <w:t xml:space="preserve"> in AD 84.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3B66"/>
    <w:rsid w:val="005673D2"/>
    <w:rsid w:val="00B03ACA"/>
    <w:rsid w:val="00FA3B6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307D6"/>
  <w15:docId w15:val="{DE3F52ED-4F1B-4C06-885C-3AE2FF583A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customStyle="1" w:styleId="ff2">
    <w:name w:val="ff2"/>
    <w:basedOn w:val="DefaultParagraphFont"/>
    <w:rsid w:val="00CB5D0F"/>
  </w:style>
  <w:style w:type="paragraph" w:customStyle="1" w:styleId="Default">
    <w:name w:val="Default"/>
    <w:rsid w:val="00CB5D0F"/>
    <w:pPr>
      <w:autoSpaceDE w:val="0"/>
      <w:autoSpaceDN w:val="0"/>
      <w:adjustRightInd w:val="0"/>
      <w:spacing w:line="240" w:lineRule="auto"/>
    </w:pPr>
    <w:rPr>
      <w:rFonts w:ascii="Code" w:hAnsi="Code" w:cs="Code"/>
      <w:color w:val="000000"/>
      <w:sz w:val="24"/>
      <w:szCs w:val="24"/>
      <w:lang w:val="en-GB"/>
    </w:rPr>
  </w:style>
  <w:style w:type="paragraph" w:styleId="FootnoteText">
    <w:name w:val="footnote text"/>
    <w:basedOn w:val="Normal"/>
    <w:link w:val="FootnoteTextChar"/>
    <w:uiPriority w:val="99"/>
    <w:semiHidden/>
    <w:unhideWhenUsed/>
    <w:rsid w:val="004D461B"/>
    <w:pPr>
      <w:spacing w:line="240" w:lineRule="auto"/>
    </w:pPr>
    <w:rPr>
      <w:sz w:val="20"/>
      <w:szCs w:val="20"/>
    </w:rPr>
  </w:style>
  <w:style w:type="character" w:customStyle="1" w:styleId="FootnoteTextChar">
    <w:name w:val="Footnote Text Char"/>
    <w:basedOn w:val="DefaultParagraphFont"/>
    <w:link w:val="FootnoteText"/>
    <w:uiPriority w:val="99"/>
    <w:semiHidden/>
    <w:rsid w:val="004D461B"/>
    <w:rPr>
      <w:sz w:val="20"/>
      <w:szCs w:val="20"/>
    </w:rPr>
  </w:style>
  <w:style w:type="character" w:styleId="FootnoteReference">
    <w:name w:val="footnote reference"/>
    <w:basedOn w:val="DefaultParagraphFont"/>
    <w:uiPriority w:val="99"/>
    <w:semiHidden/>
    <w:unhideWhenUsed/>
    <w:rsid w:val="004D461B"/>
    <w:rPr>
      <w:vertAlign w:val="superscript"/>
    </w:rPr>
  </w:style>
  <w:style w:type="paragraph" w:styleId="Header">
    <w:name w:val="header"/>
    <w:basedOn w:val="Normal"/>
    <w:link w:val="HeaderChar"/>
    <w:uiPriority w:val="99"/>
    <w:unhideWhenUsed/>
    <w:rsid w:val="005F347C"/>
    <w:pPr>
      <w:tabs>
        <w:tab w:val="center" w:pos="4513"/>
        <w:tab w:val="right" w:pos="9026"/>
      </w:tabs>
      <w:spacing w:line="240" w:lineRule="auto"/>
    </w:pPr>
  </w:style>
  <w:style w:type="character" w:customStyle="1" w:styleId="HeaderChar">
    <w:name w:val="Header Char"/>
    <w:basedOn w:val="DefaultParagraphFont"/>
    <w:link w:val="Header"/>
    <w:uiPriority w:val="99"/>
    <w:rsid w:val="005F347C"/>
  </w:style>
  <w:style w:type="paragraph" w:styleId="Footer">
    <w:name w:val="footer"/>
    <w:basedOn w:val="Normal"/>
    <w:link w:val="FooterChar"/>
    <w:uiPriority w:val="99"/>
    <w:unhideWhenUsed/>
    <w:rsid w:val="005F347C"/>
    <w:pPr>
      <w:tabs>
        <w:tab w:val="center" w:pos="4513"/>
        <w:tab w:val="right" w:pos="9026"/>
      </w:tabs>
      <w:spacing w:line="240" w:lineRule="auto"/>
    </w:pPr>
  </w:style>
  <w:style w:type="character" w:customStyle="1" w:styleId="FooterChar">
    <w:name w:val="Footer Char"/>
    <w:basedOn w:val="DefaultParagraphFont"/>
    <w:link w:val="Footer"/>
    <w:uiPriority w:val="99"/>
    <w:rsid w:val="005F34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dbRm0H+nnsmfSfhxNnhLSJt8nrA==">AMUW2mUiK3nPU8BJ34oJncCLqqAgWnoHcYwcnW3vT0Xkp7/1Cpq/75G5rC42EjiKHXajQ/chXngDp+pt+HWltkOj86PeBt8do+utRc9nF81ajgx6VHhJLNzceTjM8Tb1KtxOhblaSfEKGyqHXePvv+JRcyH2ZTRRpw==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1308</Words>
  <Characters>7460</Characters>
  <Application>Microsoft Office Word</Application>
  <DocSecurity>0</DocSecurity>
  <Lines>62</Lines>
  <Paragraphs>17</Paragraphs>
  <ScaleCrop>false</ScaleCrop>
  <Company/>
  <LinksUpToDate>false</LinksUpToDate>
  <CharactersWithSpaces>8751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Colin Fisher</dc:creator>
  <cp:lastModifiedBy>Colin Fisher</cp:lastModifiedBy>
  <cp:revision>2</cp:revision>
  <dcterms:created xsi:type="dcterms:W3CDTF">2020-01-06T11:35:00Z</dcterms:created>
  <dcterms:modified xsi:type="dcterms:W3CDTF">2020-03-13T18:53:00Z</dcterms:modified>
</cp:coreProperties>
</file>