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36D88" w14:textId="0ED64F89" w:rsidR="00F34464" w:rsidRDefault="00FC45CB" w:rsidP="00F34464">
      <w:pPr>
        <w:jc w:val="center"/>
        <w:rPr>
          <w:rFonts w:ascii="Arial" w:hAnsi="Arial" w:cs="Arial"/>
          <w:szCs w:val="24"/>
          <w:lang w:val="en-IN"/>
        </w:rPr>
      </w:pPr>
      <w:r>
        <w:rPr>
          <w:noProof/>
        </w:rPr>
        <w:drawing>
          <wp:inline distT="0" distB="0" distL="0" distR="0" wp14:anchorId="37D3CD15" wp14:editId="536F7612">
            <wp:extent cx="2995930" cy="1114425"/>
            <wp:effectExtent l="0" t="0" r="0" b="9525"/>
            <wp:docPr id="444784505" name="Picture 444784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84505" name="Picture 444784505"/>
                    <pic:cNvPicPr>
                      <a:picLocks noChangeAspect="1"/>
                    </pic:cNvPicPr>
                  </pic:nvPicPr>
                  <pic:blipFill rotWithShape="1">
                    <a:blip r:embed="rId7"/>
                    <a:srcRect l="5090" r="3463"/>
                    <a:stretch/>
                  </pic:blipFill>
                  <pic:spPr bwMode="auto">
                    <a:xfrm>
                      <a:off x="0" y="0"/>
                      <a:ext cx="2995930" cy="1114425"/>
                    </a:xfrm>
                    <a:prstGeom prst="rect">
                      <a:avLst/>
                    </a:prstGeom>
                    <a:ln>
                      <a:noFill/>
                    </a:ln>
                    <a:extLst>
                      <a:ext uri="{53640926-AAD7-44D8-BBD7-CCE9431645EC}">
                        <a14:shadowObscured xmlns:a14="http://schemas.microsoft.com/office/drawing/2010/main"/>
                      </a:ext>
                    </a:extLst>
                  </pic:spPr>
                </pic:pic>
              </a:graphicData>
            </a:graphic>
          </wp:inline>
        </w:drawing>
      </w:r>
    </w:p>
    <w:p w14:paraId="4EB5E4BB" w14:textId="77777777" w:rsidR="00FC45CB" w:rsidRPr="00AE2312" w:rsidRDefault="00FC45CB" w:rsidP="00F34464">
      <w:pPr>
        <w:jc w:val="center"/>
        <w:rPr>
          <w:rFonts w:ascii="Arial" w:hAnsi="Arial" w:cs="Arial"/>
          <w:szCs w:val="24"/>
          <w:lang w:val="en-IN"/>
        </w:rPr>
      </w:pPr>
    </w:p>
    <w:p w14:paraId="593DBD64"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Master of Business Administration (MBA)</w:t>
      </w:r>
    </w:p>
    <w:p w14:paraId="30978E01"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 xml:space="preserve">Module Title: </w:t>
      </w:r>
      <w:r w:rsidRPr="00AE2312">
        <w:rPr>
          <w:rFonts w:ascii="Arial" w:hAnsi="Arial" w:cs="Arial"/>
          <w:szCs w:val="24"/>
          <w:lang w:val="en-IN"/>
        </w:rPr>
        <w:t>Financial Management</w:t>
      </w:r>
    </w:p>
    <w:p w14:paraId="412F8CB0"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 xml:space="preserve">Module Code: </w:t>
      </w:r>
      <w:r w:rsidRPr="00AE2312">
        <w:rPr>
          <w:rFonts w:ascii="Arial" w:hAnsi="Arial" w:cs="Arial"/>
          <w:szCs w:val="24"/>
          <w:lang w:val="en-IN"/>
        </w:rPr>
        <w:t>LCMB7002</w:t>
      </w:r>
    </w:p>
    <w:p w14:paraId="58350AFC" w14:textId="70C61818" w:rsidR="00F34464" w:rsidRPr="00AE2312" w:rsidRDefault="00F34464" w:rsidP="00F34464">
      <w:pPr>
        <w:jc w:val="center"/>
        <w:rPr>
          <w:rFonts w:ascii="Arial" w:hAnsi="Arial" w:cs="Arial"/>
          <w:szCs w:val="24"/>
          <w:lang w:val="en-IN"/>
        </w:rPr>
      </w:pPr>
    </w:p>
    <w:p w14:paraId="05F35797"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Assessment Title:</w:t>
      </w:r>
    </w:p>
    <w:p w14:paraId="74520349" w14:textId="3DD5DF40" w:rsidR="00F34464" w:rsidRPr="00AE2312" w:rsidRDefault="00F34464" w:rsidP="00B61C20">
      <w:pPr>
        <w:jc w:val="center"/>
        <w:rPr>
          <w:rFonts w:ascii="Arial" w:hAnsi="Arial" w:cs="Arial"/>
          <w:szCs w:val="24"/>
          <w:lang w:val="en-IN"/>
        </w:rPr>
      </w:pPr>
      <w:r w:rsidRPr="00AE2312">
        <w:rPr>
          <w:rFonts w:ascii="Arial" w:hAnsi="Arial" w:cs="Arial"/>
          <w:szCs w:val="24"/>
          <w:lang w:val="en-IN"/>
        </w:rPr>
        <w:t>Strategic CFO Challenge: Financial Performance and Management Analysis</w:t>
      </w:r>
    </w:p>
    <w:p w14:paraId="09550208"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Company Selected:</w:t>
      </w:r>
    </w:p>
    <w:p w14:paraId="1D3B9FC9" w14:textId="77777777" w:rsidR="00F34464" w:rsidRPr="00AE2312" w:rsidRDefault="00F34464" w:rsidP="00F34464">
      <w:pPr>
        <w:jc w:val="center"/>
        <w:rPr>
          <w:rFonts w:ascii="Arial" w:hAnsi="Arial" w:cs="Arial"/>
          <w:szCs w:val="24"/>
          <w:lang w:val="en-IN"/>
        </w:rPr>
      </w:pPr>
      <w:r w:rsidRPr="00AE2312">
        <w:rPr>
          <w:rFonts w:ascii="Arial" w:hAnsi="Arial" w:cs="Arial"/>
          <w:szCs w:val="24"/>
          <w:lang w:val="en-IN"/>
        </w:rPr>
        <w:t>Volkswagen Group</w:t>
      </w:r>
    </w:p>
    <w:p w14:paraId="136DA250" w14:textId="19A963D4" w:rsidR="00F34464" w:rsidRPr="00AE2312" w:rsidRDefault="00F34464" w:rsidP="00F34464">
      <w:pPr>
        <w:jc w:val="center"/>
        <w:rPr>
          <w:rFonts w:ascii="Arial" w:hAnsi="Arial" w:cs="Arial"/>
          <w:szCs w:val="24"/>
          <w:lang w:val="en-IN"/>
        </w:rPr>
      </w:pPr>
    </w:p>
    <w:p w14:paraId="6FF884B1" w14:textId="02296B26"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Student Name:</w:t>
      </w:r>
      <w:r w:rsidR="00FC45CB">
        <w:rPr>
          <w:rFonts w:ascii="Arial" w:hAnsi="Arial" w:cs="Arial"/>
          <w:b/>
          <w:bCs/>
          <w:szCs w:val="24"/>
          <w:lang w:val="en-IN"/>
        </w:rPr>
        <w:t xml:space="preserve"> Harsh Suthar</w:t>
      </w:r>
      <w:r w:rsidRPr="00AE2312">
        <w:rPr>
          <w:rFonts w:ascii="Arial" w:hAnsi="Arial" w:cs="Arial"/>
          <w:b/>
          <w:bCs/>
          <w:szCs w:val="24"/>
          <w:lang w:val="en-IN"/>
        </w:rPr>
        <w:t xml:space="preserve"> </w:t>
      </w:r>
    </w:p>
    <w:p w14:paraId="2C076BE5" w14:textId="5BEF6C53"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 xml:space="preserve">Student ID: </w:t>
      </w:r>
      <w:r w:rsidR="00FC45CB">
        <w:rPr>
          <w:rFonts w:ascii="Arial" w:hAnsi="Arial" w:cs="Arial"/>
          <w:b/>
          <w:bCs/>
          <w:szCs w:val="24"/>
          <w:lang w:val="en-IN"/>
        </w:rPr>
        <w:t>2520299</w:t>
      </w:r>
    </w:p>
    <w:p w14:paraId="33C2F1C1" w14:textId="12676B99" w:rsidR="00F34464" w:rsidRPr="00AE2312" w:rsidRDefault="00F34464" w:rsidP="00F34464">
      <w:pPr>
        <w:jc w:val="center"/>
        <w:rPr>
          <w:rFonts w:ascii="Arial" w:hAnsi="Arial" w:cs="Arial"/>
          <w:szCs w:val="24"/>
          <w:lang w:val="en-IN"/>
        </w:rPr>
      </w:pPr>
    </w:p>
    <w:p w14:paraId="58C1507A"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Lecturer Name:</w:t>
      </w:r>
    </w:p>
    <w:p w14:paraId="30D52C10" w14:textId="30ED5115" w:rsidR="00F34464" w:rsidRDefault="00FC45CB" w:rsidP="00F34464">
      <w:pPr>
        <w:jc w:val="center"/>
        <w:rPr>
          <w:rFonts w:ascii="Arial" w:hAnsi="Arial" w:cs="Arial"/>
          <w:szCs w:val="24"/>
          <w:lang w:val="en-IN"/>
        </w:rPr>
      </w:pPr>
      <w:r>
        <w:rPr>
          <w:rFonts w:ascii="Arial" w:hAnsi="Arial" w:cs="Arial"/>
          <w:szCs w:val="24"/>
          <w:lang w:val="en-IN"/>
        </w:rPr>
        <w:t>Isaiah Oino</w:t>
      </w:r>
    </w:p>
    <w:p w14:paraId="1B4C5146" w14:textId="77777777" w:rsidR="00FC45CB" w:rsidRPr="00AE2312" w:rsidRDefault="00FC45CB" w:rsidP="00F34464">
      <w:pPr>
        <w:jc w:val="center"/>
        <w:rPr>
          <w:rFonts w:ascii="Arial" w:hAnsi="Arial" w:cs="Arial"/>
          <w:szCs w:val="24"/>
          <w:lang w:val="en-IN"/>
        </w:rPr>
      </w:pPr>
    </w:p>
    <w:p w14:paraId="15375CB9" w14:textId="77777777" w:rsidR="00F34464" w:rsidRPr="00AE2312" w:rsidRDefault="00F34464" w:rsidP="00F34464">
      <w:pPr>
        <w:jc w:val="center"/>
        <w:rPr>
          <w:rFonts w:ascii="Arial" w:hAnsi="Arial" w:cs="Arial"/>
          <w:b/>
          <w:bCs/>
          <w:szCs w:val="24"/>
          <w:lang w:val="en-IN"/>
        </w:rPr>
      </w:pPr>
      <w:r w:rsidRPr="00AE2312">
        <w:rPr>
          <w:rFonts w:ascii="Arial" w:hAnsi="Arial" w:cs="Arial"/>
          <w:b/>
          <w:bCs/>
          <w:szCs w:val="24"/>
          <w:lang w:val="en-IN"/>
        </w:rPr>
        <w:t>Word Count:</w:t>
      </w:r>
    </w:p>
    <w:p w14:paraId="7AF93539" w14:textId="7FA70863" w:rsidR="00576934" w:rsidRPr="00AE2312" w:rsidRDefault="00F34464" w:rsidP="00B61C20">
      <w:pPr>
        <w:jc w:val="center"/>
        <w:rPr>
          <w:rFonts w:ascii="Arial" w:hAnsi="Arial" w:cs="Arial"/>
          <w:szCs w:val="24"/>
          <w:lang w:val="en-IN"/>
        </w:rPr>
      </w:pPr>
      <w:r w:rsidRPr="00AE2312">
        <w:rPr>
          <w:rFonts w:ascii="Arial" w:hAnsi="Arial" w:cs="Arial"/>
          <w:szCs w:val="24"/>
          <w:lang w:val="en-IN"/>
        </w:rPr>
        <w:t>5</w:t>
      </w:r>
      <w:r w:rsidR="000B3EB7" w:rsidRPr="00AE2312">
        <w:rPr>
          <w:rFonts w:ascii="Arial" w:hAnsi="Arial" w:cs="Arial"/>
          <w:szCs w:val="24"/>
          <w:lang w:val="en-IN"/>
        </w:rPr>
        <w:t>4</w:t>
      </w:r>
      <w:r w:rsidR="001E5881">
        <w:rPr>
          <w:rFonts w:ascii="Arial" w:hAnsi="Arial" w:cs="Arial"/>
          <w:szCs w:val="24"/>
          <w:lang w:val="en-IN"/>
        </w:rPr>
        <w:t>92</w:t>
      </w:r>
      <w:r w:rsidRPr="00AE2312">
        <w:rPr>
          <w:rFonts w:ascii="Arial" w:hAnsi="Arial" w:cs="Arial"/>
          <w:szCs w:val="24"/>
          <w:lang w:val="en-IN"/>
        </w:rPr>
        <w:t xml:space="preserve"> Words</w:t>
      </w:r>
    </w:p>
    <w:sdt>
      <w:sdtPr>
        <w:rPr>
          <w:rFonts w:ascii="Arial" w:eastAsiaTheme="minorHAnsi" w:hAnsi="Arial" w:cs="Arial"/>
          <w:b/>
          <w:bCs/>
          <w:color w:val="auto"/>
          <w:sz w:val="24"/>
          <w:szCs w:val="24"/>
          <w:lang w:val="en-GB"/>
        </w:rPr>
        <w:id w:val="720943620"/>
        <w:docPartObj>
          <w:docPartGallery w:val="Table of Contents"/>
          <w:docPartUnique/>
        </w:docPartObj>
      </w:sdtPr>
      <w:sdtEndPr>
        <w:rPr>
          <w:noProof/>
        </w:rPr>
      </w:sdtEndPr>
      <w:sdtContent>
        <w:p w14:paraId="1790E15C" w14:textId="77777777" w:rsidR="00B61C20" w:rsidRPr="00AE2312" w:rsidRDefault="00B61C20" w:rsidP="00576934">
          <w:pPr>
            <w:pStyle w:val="TOCHeading"/>
            <w:jc w:val="center"/>
            <w:rPr>
              <w:rFonts w:ascii="Arial" w:hAnsi="Arial" w:cs="Arial"/>
              <w:b/>
              <w:bCs/>
              <w:color w:val="auto"/>
              <w:sz w:val="24"/>
              <w:szCs w:val="24"/>
            </w:rPr>
          </w:pPr>
        </w:p>
        <w:p w14:paraId="3B9A959E" w14:textId="77777777" w:rsidR="00B61C20" w:rsidRPr="00AE2312" w:rsidRDefault="00B61C20">
          <w:pPr>
            <w:spacing w:before="0" w:after="160" w:line="259" w:lineRule="auto"/>
            <w:jc w:val="left"/>
            <w:rPr>
              <w:rFonts w:ascii="Arial" w:eastAsiaTheme="majorEastAsia" w:hAnsi="Arial" w:cs="Arial"/>
              <w:b/>
              <w:bCs/>
              <w:szCs w:val="24"/>
              <w:lang w:val="en-US"/>
            </w:rPr>
          </w:pPr>
          <w:r w:rsidRPr="00AE2312">
            <w:rPr>
              <w:rFonts w:ascii="Arial" w:hAnsi="Arial" w:cs="Arial"/>
              <w:b/>
              <w:bCs/>
              <w:szCs w:val="24"/>
            </w:rPr>
            <w:br w:type="page"/>
          </w:r>
        </w:p>
        <w:p w14:paraId="79D9CE21" w14:textId="2C22516D" w:rsidR="00576934" w:rsidRPr="00AE2312" w:rsidRDefault="00576934" w:rsidP="00576934">
          <w:pPr>
            <w:pStyle w:val="TOCHeading"/>
            <w:jc w:val="center"/>
            <w:rPr>
              <w:rFonts w:ascii="Arial" w:hAnsi="Arial" w:cs="Arial"/>
              <w:b/>
              <w:bCs/>
              <w:color w:val="auto"/>
              <w:sz w:val="24"/>
              <w:szCs w:val="24"/>
            </w:rPr>
          </w:pPr>
          <w:r w:rsidRPr="00AE2312">
            <w:rPr>
              <w:rFonts w:ascii="Arial" w:hAnsi="Arial" w:cs="Arial"/>
              <w:b/>
              <w:bCs/>
              <w:color w:val="auto"/>
              <w:sz w:val="24"/>
              <w:szCs w:val="24"/>
            </w:rPr>
            <w:lastRenderedPageBreak/>
            <w:t>Table of Contents</w:t>
          </w:r>
        </w:p>
        <w:p w14:paraId="3F091B49" w14:textId="2C7A635E" w:rsidR="00581AA3" w:rsidRDefault="00576934">
          <w:pPr>
            <w:pStyle w:val="TOC1"/>
            <w:tabs>
              <w:tab w:val="right" w:leader="dot" w:pos="9016"/>
            </w:tabs>
            <w:rPr>
              <w:rFonts w:asciiTheme="minorHAnsi" w:eastAsiaTheme="minorEastAsia" w:hAnsiTheme="minorHAnsi"/>
              <w:noProof/>
              <w:kern w:val="2"/>
              <w:szCs w:val="24"/>
              <w:lang w:val="en-IN" w:eastAsia="en-IN"/>
              <w14:ligatures w14:val="standardContextual"/>
            </w:rPr>
          </w:pPr>
          <w:r w:rsidRPr="00AE2312">
            <w:rPr>
              <w:rFonts w:ascii="Arial" w:hAnsi="Arial" w:cs="Arial"/>
              <w:szCs w:val="24"/>
            </w:rPr>
            <w:fldChar w:fldCharType="begin"/>
          </w:r>
          <w:r w:rsidRPr="00AE2312">
            <w:rPr>
              <w:rFonts w:ascii="Arial" w:hAnsi="Arial" w:cs="Arial"/>
              <w:szCs w:val="24"/>
            </w:rPr>
            <w:instrText xml:space="preserve"> TOC \o "1-3" \h \z \u </w:instrText>
          </w:r>
          <w:r w:rsidRPr="00AE2312">
            <w:rPr>
              <w:rFonts w:ascii="Arial" w:hAnsi="Arial" w:cs="Arial"/>
              <w:szCs w:val="24"/>
            </w:rPr>
            <w:fldChar w:fldCharType="separate"/>
          </w:r>
          <w:hyperlink w:anchor="_Toc227920707" w:history="1">
            <w:r w:rsidR="00581AA3" w:rsidRPr="0027271E">
              <w:rPr>
                <w:rStyle w:val="Hyperlink"/>
                <w:rFonts w:ascii="Arial" w:hAnsi="Arial" w:cs="Arial"/>
                <w:noProof/>
                <w:lang w:val="en-IN"/>
              </w:rPr>
              <w:t>1. Introduction</w:t>
            </w:r>
            <w:r w:rsidR="00581AA3">
              <w:rPr>
                <w:noProof/>
                <w:webHidden/>
              </w:rPr>
              <w:tab/>
            </w:r>
            <w:r w:rsidR="00581AA3">
              <w:rPr>
                <w:noProof/>
                <w:webHidden/>
              </w:rPr>
              <w:fldChar w:fldCharType="begin"/>
            </w:r>
            <w:r w:rsidR="00581AA3">
              <w:rPr>
                <w:noProof/>
                <w:webHidden/>
              </w:rPr>
              <w:instrText xml:space="preserve"> PAGEREF _Toc227920707 \h </w:instrText>
            </w:r>
            <w:r w:rsidR="00581AA3">
              <w:rPr>
                <w:noProof/>
                <w:webHidden/>
              </w:rPr>
            </w:r>
            <w:r w:rsidR="00581AA3">
              <w:rPr>
                <w:noProof/>
                <w:webHidden/>
              </w:rPr>
              <w:fldChar w:fldCharType="separate"/>
            </w:r>
            <w:r w:rsidR="00581AA3">
              <w:rPr>
                <w:noProof/>
                <w:webHidden/>
              </w:rPr>
              <w:t>4</w:t>
            </w:r>
            <w:r w:rsidR="00581AA3">
              <w:rPr>
                <w:noProof/>
                <w:webHidden/>
              </w:rPr>
              <w:fldChar w:fldCharType="end"/>
            </w:r>
          </w:hyperlink>
        </w:p>
        <w:p w14:paraId="5B688ECB" w14:textId="13BBF697"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08" w:history="1">
            <w:r w:rsidR="00581AA3" w:rsidRPr="0027271E">
              <w:rPr>
                <w:rStyle w:val="Hyperlink"/>
                <w:rFonts w:ascii="Arial" w:hAnsi="Arial" w:cs="Arial"/>
                <w:noProof/>
              </w:rPr>
              <w:t>1.1 Company Overview</w:t>
            </w:r>
            <w:r w:rsidR="00581AA3">
              <w:rPr>
                <w:noProof/>
                <w:webHidden/>
              </w:rPr>
              <w:tab/>
            </w:r>
            <w:r w:rsidR="00581AA3">
              <w:rPr>
                <w:noProof/>
                <w:webHidden/>
              </w:rPr>
              <w:fldChar w:fldCharType="begin"/>
            </w:r>
            <w:r w:rsidR="00581AA3">
              <w:rPr>
                <w:noProof/>
                <w:webHidden/>
              </w:rPr>
              <w:instrText xml:space="preserve"> PAGEREF _Toc227920708 \h </w:instrText>
            </w:r>
            <w:r w:rsidR="00581AA3">
              <w:rPr>
                <w:noProof/>
                <w:webHidden/>
              </w:rPr>
            </w:r>
            <w:r w:rsidR="00581AA3">
              <w:rPr>
                <w:noProof/>
                <w:webHidden/>
              </w:rPr>
              <w:fldChar w:fldCharType="separate"/>
            </w:r>
            <w:r w:rsidR="00581AA3">
              <w:rPr>
                <w:noProof/>
                <w:webHidden/>
              </w:rPr>
              <w:t>4</w:t>
            </w:r>
            <w:r w:rsidR="00581AA3">
              <w:rPr>
                <w:noProof/>
                <w:webHidden/>
              </w:rPr>
              <w:fldChar w:fldCharType="end"/>
            </w:r>
          </w:hyperlink>
        </w:p>
        <w:p w14:paraId="553AE254" w14:textId="04C11FB9"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09" w:history="1">
            <w:r w:rsidR="00581AA3" w:rsidRPr="0027271E">
              <w:rPr>
                <w:rStyle w:val="Hyperlink"/>
                <w:rFonts w:ascii="Arial" w:hAnsi="Arial" w:cs="Arial"/>
                <w:noProof/>
              </w:rPr>
              <w:t>1.2 Purpose of the Report</w:t>
            </w:r>
            <w:r w:rsidR="00581AA3">
              <w:rPr>
                <w:noProof/>
                <w:webHidden/>
              </w:rPr>
              <w:tab/>
            </w:r>
            <w:r w:rsidR="00581AA3">
              <w:rPr>
                <w:noProof/>
                <w:webHidden/>
              </w:rPr>
              <w:fldChar w:fldCharType="begin"/>
            </w:r>
            <w:r w:rsidR="00581AA3">
              <w:rPr>
                <w:noProof/>
                <w:webHidden/>
              </w:rPr>
              <w:instrText xml:space="preserve"> PAGEREF _Toc227920709 \h </w:instrText>
            </w:r>
            <w:r w:rsidR="00581AA3">
              <w:rPr>
                <w:noProof/>
                <w:webHidden/>
              </w:rPr>
            </w:r>
            <w:r w:rsidR="00581AA3">
              <w:rPr>
                <w:noProof/>
                <w:webHidden/>
              </w:rPr>
              <w:fldChar w:fldCharType="separate"/>
            </w:r>
            <w:r w:rsidR="00581AA3">
              <w:rPr>
                <w:noProof/>
                <w:webHidden/>
              </w:rPr>
              <w:t>4</w:t>
            </w:r>
            <w:r w:rsidR="00581AA3">
              <w:rPr>
                <w:noProof/>
                <w:webHidden/>
              </w:rPr>
              <w:fldChar w:fldCharType="end"/>
            </w:r>
          </w:hyperlink>
        </w:p>
        <w:p w14:paraId="4F098F86" w14:textId="6B794630"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10" w:history="1">
            <w:r w:rsidR="00581AA3" w:rsidRPr="0027271E">
              <w:rPr>
                <w:rStyle w:val="Hyperlink"/>
                <w:rFonts w:ascii="Arial" w:hAnsi="Arial" w:cs="Arial"/>
                <w:noProof/>
              </w:rPr>
              <w:t>1.3 Structure of the Report</w:t>
            </w:r>
            <w:r w:rsidR="00581AA3">
              <w:rPr>
                <w:noProof/>
                <w:webHidden/>
              </w:rPr>
              <w:tab/>
            </w:r>
            <w:r w:rsidR="00581AA3">
              <w:rPr>
                <w:noProof/>
                <w:webHidden/>
              </w:rPr>
              <w:fldChar w:fldCharType="begin"/>
            </w:r>
            <w:r w:rsidR="00581AA3">
              <w:rPr>
                <w:noProof/>
                <w:webHidden/>
              </w:rPr>
              <w:instrText xml:space="preserve"> PAGEREF _Toc227920710 \h </w:instrText>
            </w:r>
            <w:r w:rsidR="00581AA3">
              <w:rPr>
                <w:noProof/>
                <w:webHidden/>
              </w:rPr>
            </w:r>
            <w:r w:rsidR="00581AA3">
              <w:rPr>
                <w:noProof/>
                <w:webHidden/>
              </w:rPr>
              <w:fldChar w:fldCharType="separate"/>
            </w:r>
            <w:r w:rsidR="00581AA3">
              <w:rPr>
                <w:noProof/>
                <w:webHidden/>
              </w:rPr>
              <w:t>4</w:t>
            </w:r>
            <w:r w:rsidR="00581AA3">
              <w:rPr>
                <w:noProof/>
                <w:webHidden/>
              </w:rPr>
              <w:fldChar w:fldCharType="end"/>
            </w:r>
          </w:hyperlink>
        </w:p>
        <w:p w14:paraId="3CD3EDCF" w14:textId="15B2A7CF"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11" w:history="1">
            <w:r w:rsidR="00581AA3" w:rsidRPr="0027271E">
              <w:rPr>
                <w:rStyle w:val="Hyperlink"/>
                <w:rFonts w:ascii="Arial" w:hAnsi="Arial" w:cs="Arial"/>
                <w:noProof/>
                <w:lang w:val="en-IN"/>
              </w:rPr>
              <w:t>2. Financial Health Check</w:t>
            </w:r>
            <w:r w:rsidR="00581AA3">
              <w:rPr>
                <w:noProof/>
                <w:webHidden/>
              </w:rPr>
              <w:tab/>
            </w:r>
            <w:r w:rsidR="00581AA3">
              <w:rPr>
                <w:noProof/>
                <w:webHidden/>
              </w:rPr>
              <w:fldChar w:fldCharType="begin"/>
            </w:r>
            <w:r w:rsidR="00581AA3">
              <w:rPr>
                <w:noProof/>
                <w:webHidden/>
              </w:rPr>
              <w:instrText xml:space="preserve"> PAGEREF _Toc227920711 \h </w:instrText>
            </w:r>
            <w:r w:rsidR="00581AA3">
              <w:rPr>
                <w:noProof/>
                <w:webHidden/>
              </w:rPr>
            </w:r>
            <w:r w:rsidR="00581AA3">
              <w:rPr>
                <w:noProof/>
                <w:webHidden/>
              </w:rPr>
              <w:fldChar w:fldCharType="separate"/>
            </w:r>
            <w:r w:rsidR="00581AA3">
              <w:rPr>
                <w:noProof/>
                <w:webHidden/>
              </w:rPr>
              <w:t>5</w:t>
            </w:r>
            <w:r w:rsidR="00581AA3">
              <w:rPr>
                <w:noProof/>
                <w:webHidden/>
              </w:rPr>
              <w:fldChar w:fldCharType="end"/>
            </w:r>
          </w:hyperlink>
        </w:p>
        <w:p w14:paraId="2956E7C8" w14:textId="032A2482"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12" w:history="1">
            <w:r w:rsidR="00581AA3" w:rsidRPr="0027271E">
              <w:rPr>
                <w:rStyle w:val="Hyperlink"/>
                <w:rFonts w:ascii="Arial" w:hAnsi="Arial" w:cs="Arial"/>
                <w:noProof/>
              </w:rPr>
              <w:t>2.1 Financial Performance Overview</w:t>
            </w:r>
            <w:r w:rsidR="00581AA3">
              <w:rPr>
                <w:noProof/>
                <w:webHidden/>
              </w:rPr>
              <w:tab/>
            </w:r>
            <w:r w:rsidR="00581AA3">
              <w:rPr>
                <w:noProof/>
                <w:webHidden/>
              </w:rPr>
              <w:fldChar w:fldCharType="begin"/>
            </w:r>
            <w:r w:rsidR="00581AA3">
              <w:rPr>
                <w:noProof/>
                <w:webHidden/>
              </w:rPr>
              <w:instrText xml:space="preserve"> PAGEREF _Toc227920712 \h </w:instrText>
            </w:r>
            <w:r w:rsidR="00581AA3">
              <w:rPr>
                <w:noProof/>
                <w:webHidden/>
              </w:rPr>
            </w:r>
            <w:r w:rsidR="00581AA3">
              <w:rPr>
                <w:noProof/>
                <w:webHidden/>
              </w:rPr>
              <w:fldChar w:fldCharType="separate"/>
            </w:r>
            <w:r w:rsidR="00581AA3">
              <w:rPr>
                <w:noProof/>
                <w:webHidden/>
              </w:rPr>
              <w:t>5</w:t>
            </w:r>
            <w:r w:rsidR="00581AA3">
              <w:rPr>
                <w:noProof/>
                <w:webHidden/>
              </w:rPr>
              <w:fldChar w:fldCharType="end"/>
            </w:r>
          </w:hyperlink>
        </w:p>
        <w:p w14:paraId="0606A55F" w14:textId="32EC29D4"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13" w:history="1">
            <w:r w:rsidR="00581AA3" w:rsidRPr="0027271E">
              <w:rPr>
                <w:rStyle w:val="Hyperlink"/>
                <w:rFonts w:ascii="Arial" w:hAnsi="Arial" w:cs="Arial"/>
                <w:noProof/>
              </w:rPr>
              <w:t>2.2 Ratio Analysis</w:t>
            </w:r>
            <w:r w:rsidR="00581AA3">
              <w:rPr>
                <w:noProof/>
                <w:webHidden/>
              </w:rPr>
              <w:tab/>
            </w:r>
            <w:r w:rsidR="00581AA3">
              <w:rPr>
                <w:noProof/>
                <w:webHidden/>
              </w:rPr>
              <w:fldChar w:fldCharType="begin"/>
            </w:r>
            <w:r w:rsidR="00581AA3">
              <w:rPr>
                <w:noProof/>
                <w:webHidden/>
              </w:rPr>
              <w:instrText xml:space="preserve"> PAGEREF _Toc227920713 \h </w:instrText>
            </w:r>
            <w:r w:rsidR="00581AA3">
              <w:rPr>
                <w:noProof/>
                <w:webHidden/>
              </w:rPr>
            </w:r>
            <w:r w:rsidR="00581AA3">
              <w:rPr>
                <w:noProof/>
                <w:webHidden/>
              </w:rPr>
              <w:fldChar w:fldCharType="separate"/>
            </w:r>
            <w:r w:rsidR="00581AA3">
              <w:rPr>
                <w:noProof/>
                <w:webHidden/>
              </w:rPr>
              <w:t>5</w:t>
            </w:r>
            <w:r w:rsidR="00581AA3">
              <w:rPr>
                <w:noProof/>
                <w:webHidden/>
              </w:rPr>
              <w:fldChar w:fldCharType="end"/>
            </w:r>
          </w:hyperlink>
        </w:p>
        <w:p w14:paraId="4802EC74" w14:textId="031F0288"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14" w:history="1">
            <w:r w:rsidR="00581AA3" w:rsidRPr="0027271E">
              <w:rPr>
                <w:rStyle w:val="Hyperlink"/>
                <w:rFonts w:ascii="Arial" w:hAnsi="Arial" w:cs="Arial"/>
                <w:noProof/>
                <w:lang w:val="en-IN"/>
              </w:rPr>
              <w:t>2.2.1 Profitability Ratios</w:t>
            </w:r>
            <w:r w:rsidR="00581AA3">
              <w:rPr>
                <w:noProof/>
                <w:webHidden/>
              </w:rPr>
              <w:tab/>
            </w:r>
            <w:r w:rsidR="00581AA3">
              <w:rPr>
                <w:noProof/>
                <w:webHidden/>
              </w:rPr>
              <w:fldChar w:fldCharType="begin"/>
            </w:r>
            <w:r w:rsidR="00581AA3">
              <w:rPr>
                <w:noProof/>
                <w:webHidden/>
              </w:rPr>
              <w:instrText xml:space="preserve"> PAGEREF _Toc227920714 \h </w:instrText>
            </w:r>
            <w:r w:rsidR="00581AA3">
              <w:rPr>
                <w:noProof/>
                <w:webHidden/>
              </w:rPr>
            </w:r>
            <w:r w:rsidR="00581AA3">
              <w:rPr>
                <w:noProof/>
                <w:webHidden/>
              </w:rPr>
              <w:fldChar w:fldCharType="separate"/>
            </w:r>
            <w:r w:rsidR="00581AA3">
              <w:rPr>
                <w:noProof/>
                <w:webHidden/>
              </w:rPr>
              <w:t>5</w:t>
            </w:r>
            <w:r w:rsidR="00581AA3">
              <w:rPr>
                <w:noProof/>
                <w:webHidden/>
              </w:rPr>
              <w:fldChar w:fldCharType="end"/>
            </w:r>
          </w:hyperlink>
        </w:p>
        <w:p w14:paraId="3335E7CC" w14:textId="37495B54"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15" w:history="1">
            <w:r w:rsidR="00581AA3" w:rsidRPr="0027271E">
              <w:rPr>
                <w:rStyle w:val="Hyperlink"/>
                <w:rFonts w:ascii="Arial" w:hAnsi="Arial" w:cs="Arial"/>
                <w:noProof/>
                <w:lang w:val="en-IN"/>
              </w:rPr>
              <w:t>2.2.2 Liquidity Ratios</w:t>
            </w:r>
            <w:r w:rsidR="00581AA3">
              <w:rPr>
                <w:noProof/>
                <w:webHidden/>
              </w:rPr>
              <w:tab/>
            </w:r>
            <w:r w:rsidR="00581AA3">
              <w:rPr>
                <w:noProof/>
                <w:webHidden/>
              </w:rPr>
              <w:fldChar w:fldCharType="begin"/>
            </w:r>
            <w:r w:rsidR="00581AA3">
              <w:rPr>
                <w:noProof/>
                <w:webHidden/>
              </w:rPr>
              <w:instrText xml:space="preserve"> PAGEREF _Toc227920715 \h </w:instrText>
            </w:r>
            <w:r w:rsidR="00581AA3">
              <w:rPr>
                <w:noProof/>
                <w:webHidden/>
              </w:rPr>
            </w:r>
            <w:r w:rsidR="00581AA3">
              <w:rPr>
                <w:noProof/>
                <w:webHidden/>
              </w:rPr>
              <w:fldChar w:fldCharType="separate"/>
            </w:r>
            <w:r w:rsidR="00581AA3">
              <w:rPr>
                <w:noProof/>
                <w:webHidden/>
              </w:rPr>
              <w:t>6</w:t>
            </w:r>
            <w:r w:rsidR="00581AA3">
              <w:rPr>
                <w:noProof/>
                <w:webHidden/>
              </w:rPr>
              <w:fldChar w:fldCharType="end"/>
            </w:r>
          </w:hyperlink>
        </w:p>
        <w:p w14:paraId="360A45CA" w14:textId="306EEFD8"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16" w:history="1">
            <w:r w:rsidR="00581AA3" w:rsidRPr="0027271E">
              <w:rPr>
                <w:rStyle w:val="Hyperlink"/>
                <w:rFonts w:ascii="Arial" w:hAnsi="Arial" w:cs="Arial"/>
                <w:noProof/>
                <w:lang w:val="en-IN"/>
              </w:rPr>
              <w:t>2.2.3 Efficiency Ratios</w:t>
            </w:r>
            <w:r w:rsidR="00581AA3">
              <w:rPr>
                <w:noProof/>
                <w:webHidden/>
              </w:rPr>
              <w:tab/>
            </w:r>
            <w:r w:rsidR="00581AA3">
              <w:rPr>
                <w:noProof/>
                <w:webHidden/>
              </w:rPr>
              <w:fldChar w:fldCharType="begin"/>
            </w:r>
            <w:r w:rsidR="00581AA3">
              <w:rPr>
                <w:noProof/>
                <w:webHidden/>
              </w:rPr>
              <w:instrText xml:space="preserve"> PAGEREF _Toc227920716 \h </w:instrText>
            </w:r>
            <w:r w:rsidR="00581AA3">
              <w:rPr>
                <w:noProof/>
                <w:webHidden/>
              </w:rPr>
            </w:r>
            <w:r w:rsidR="00581AA3">
              <w:rPr>
                <w:noProof/>
                <w:webHidden/>
              </w:rPr>
              <w:fldChar w:fldCharType="separate"/>
            </w:r>
            <w:r w:rsidR="00581AA3">
              <w:rPr>
                <w:noProof/>
                <w:webHidden/>
              </w:rPr>
              <w:t>6</w:t>
            </w:r>
            <w:r w:rsidR="00581AA3">
              <w:rPr>
                <w:noProof/>
                <w:webHidden/>
              </w:rPr>
              <w:fldChar w:fldCharType="end"/>
            </w:r>
          </w:hyperlink>
        </w:p>
        <w:p w14:paraId="43243791" w14:textId="6C23ECBE"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17" w:history="1">
            <w:r w:rsidR="00581AA3" w:rsidRPr="0027271E">
              <w:rPr>
                <w:rStyle w:val="Hyperlink"/>
                <w:rFonts w:ascii="Arial" w:hAnsi="Arial" w:cs="Arial"/>
                <w:noProof/>
                <w:lang w:val="en-IN"/>
              </w:rPr>
              <w:t>2.2.5 Cash Flow Ratios</w:t>
            </w:r>
            <w:r w:rsidR="00581AA3">
              <w:rPr>
                <w:noProof/>
                <w:webHidden/>
              </w:rPr>
              <w:tab/>
            </w:r>
            <w:r w:rsidR="00581AA3">
              <w:rPr>
                <w:noProof/>
                <w:webHidden/>
              </w:rPr>
              <w:fldChar w:fldCharType="begin"/>
            </w:r>
            <w:r w:rsidR="00581AA3">
              <w:rPr>
                <w:noProof/>
                <w:webHidden/>
              </w:rPr>
              <w:instrText xml:space="preserve"> PAGEREF _Toc227920717 \h </w:instrText>
            </w:r>
            <w:r w:rsidR="00581AA3">
              <w:rPr>
                <w:noProof/>
                <w:webHidden/>
              </w:rPr>
            </w:r>
            <w:r w:rsidR="00581AA3">
              <w:rPr>
                <w:noProof/>
                <w:webHidden/>
              </w:rPr>
              <w:fldChar w:fldCharType="separate"/>
            </w:r>
            <w:r w:rsidR="00581AA3">
              <w:rPr>
                <w:noProof/>
                <w:webHidden/>
              </w:rPr>
              <w:t>7</w:t>
            </w:r>
            <w:r w:rsidR="00581AA3">
              <w:rPr>
                <w:noProof/>
                <w:webHidden/>
              </w:rPr>
              <w:fldChar w:fldCharType="end"/>
            </w:r>
          </w:hyperlink>
        </w:p>
        <w:p w14:paraId="5F747FB4" w14:textId="22BDA18C"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18" w:history="1">
            <w:r w:rsidR="00581AA3" w:rsidRPr="0027271E">
              <w:rPr>
                <w:rStyle w:val="Hyperlink"/>
                <w:rFonts w:ascii="Arial" w:hAnsi="Arial" w:cs="Arial"/>
                <w:noProof/>
              </w:rPr>
              <w:t>2.3 Trend Analysis</w:t>
            </w:r>
            <w:r w:rsidR="00581AA3">
              <w:rPr>
                <w:noProof/>
                <w:webHidden/>
              </w:rPr>
              <w:tab/>
            </w:r>
            <w:r w:rsidR="00581AA3">
              <w:rPr>
                <w:noProof/>
                <w:webHidden/>
              </w:rPr>
              <w:fldChar w:fldCharType="begin"/>
            </w:r>
            <w:r w:rsidR="00581AA3">
              <w:rPr>
                <w:noProof/>
                <w:webHidden/>
              </w:rPr>
              <w:instrText xml:space="preserve"> PAGEREF _Toc227920718 \h </w:instrText>
            </w:r>
            <w:r w:rsidR="00581AA3">
              <w:rPr>
                <w:noProof/>
                <w:webHidden/>
              </w:rPr>
            </w:r>
            <w:r w:rsidR="00581AA3">
              <w:rPr>
                <w:noProof/>
                <w:webHidden/>
              </w:rPr>
              <w:fldChar w:fldCharType="separate"/>
            </w:r>
            <w:r w:rsidR="00581AA3">
              <w:rPr>
                <w:noProof/>
                <w:webHidden/>
              </w:rPr>
              <w:t>7</w:t>
            </w:r>
            <w:r w:rsidR="00581AA3">
              <w:rPr>
                <w:noProof/>
                <w:webHidden/>
              </w:rPr>
              <w:fldChar w:fldCharType="end"/>
            </w:r>
          </w:hyperlink>
        </w:p>
        <w:p w14:paraId="135407EA" w14:textId="5CD8E92E"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19" w:history="1">
            <w:r w:rsidR="00581AA3" w:rsidRPr="0027271E">
              <w:rPr>
                <w:rStyle w:val="Hyperlink"/>
                <w:rFonts w:ascii="Arial" w:hAnsi="Arial" w:cs="Arial"/>
                <w:noProof/>
              </w:rPr>
              <w:t>2.4 Strengths and Weaknesses</w:t>
            </w:r>
            <w:r w:rsidR="00581AA3">
              <w:rPr>
                <w:noProof/>
                <w:webHidden/>
              </w:rPr>
              <w:tab/>
            </w:r>
            <w:r w:rsidR="00581AA3">
              <w:rPr>
                <w:noProof/>
                <w:webHidden/>
              </w:rPr>
              <w:fldChar w:fldCharType="begin"/>
            </w:r>
            <w:r w:rsidR="00581AA3">
              <w:rPr>
                <w:noProof/>
                <w:webHidden/>
              </w:rPr>
              <w:instrText xml:space="preserve"> PAGEREF _Toc227920719 \h </w:instrText>
            </w:r>
            <w:r w:rsidR="00581AA3">
              <w:rPr>
                <w:noProof/>
                <w:webHidden/>
              </w:rPr>
            </w:r>
            <w:r w:rsidR="00581AA3">
              <w:rPr>
                <w:noProof/>
                <w:webHidden/>
              </w:rPr>
              <w:fldChar w:fldCharType="separate"/>
            </w:r>
            <w:r w:rsidR="00581AA3">
              <w:rPr>
                <w:noProof/>
                <w:webHidden/>
              </w:rPr>
              <w:t>7</w:t>
            </w:r>
            <w:r w:rsidR="00581AA3">
              <w:rPr>
                <w:noProof/>
                <w:webHidden/>
              </w:rPr>
              <w:fldChar w:fldCharType="end"/>
            </w:r>
          </w:hyperlink>
        </w:p>
        <w:p w14:paraId="19C06896" w14:textId="4140451C"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20" w:history="1">
            <w:r w:rsidR="00581AA3" w:rsidRPr="0027271E">
              <w:rPr>
                <w:rStyle w:val="Hyperlink"/>
                <w:rFonts w:ascii="Arial" w:hAnsi="Arial" w:cs="Arial"/>
                <w:noProof/>
                <w:lang w:val="en-IN"/>
              </w:rPr>
              <w:t>3. Working Capital Management Analysis</w:t>
            </w:r>
            <w:r w:rsidR="00581AA3">
              <w:rPr>
                <w:noProof/>
                <w:webHidden/>
              </w:rPr>
              <w:tab/>
            </w:r>
            <w:r w:rsidR="00581AA3">
              <w:rPr>
                <w:noProof/>
                <w:webHidden/>
              </w:rPr>
              <w:fldChar w:fldCharType="begin"/>
            </w:r>
            <w:r w:rsidR="00581AA3">
              <w:rPr>
                <w:noProof/>
                <w:webHidden/>
              </w:rPr>
              <w:instrText xml:space="preserve"> PAGEREF _Toc227920720 \h </w:instrText>
            </w:r>
            <w:r w:rsidR="00581AA3">
              <w:rPr>
                <w:noProof/>
                <w:webHidden/>
              </w:rPr>
            </w:r>
            <w:r w:rsidR="00581AA3">
              <w:rPr>
                <w:noProof/>
                <w:webHidden/>
              </w:rPr>
              <w:fldChar w:fldCharType="separate"/>
            </w:r>
            <w:r w:rsidR="00581AA3">
              <w:rPr>
                <w:noProof/>
                <w:webHidden/>
              </w:rPr>
              <w:t>8</w:t>
            </w:r>
            <w:r w:rsidR="00581AA3">
              <w:rPr>
                <w:noProof/>
                <w:webHidden/>
              </w:rPr>
              <w:fldChar w:fldCharType="end"/>
            </w:r>
          </w:hyperlink>
        </w:p>
        <w:p w14:paraId="05790E66" w14:textId="2181ECDC"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1" w:history="1">
            <w:r w:rsidR="00581AA3" w:rsidRPr="0027271E">
              <w:rPr>
                <w:rStyle w:val="Hyperlink"/>
                <w:rFonts w:ascii="Arial" w:hAnsi="Arial" w:cs="Arial"/>
                <w:noProof/>
              </w:rPr>
              <w:t>3.1 Cash Conversion Cycle</w:t>
            </w:r>
            <w:r w:rsidR="00581AA3">
              <w:rPr>
                <w:noProof/>
                <w:webHidden/>
              </w:rPr>
              <w:tab/>
            </w:r>
            <w:r w:rsidR="00581AA3">
              <w:rPr>
                <w:noProof/>
                <w:webHidden/>
              </w:rPr>
              <w:fldChar w:fldCharType="begin"/>
            </w:r>
            <w:r w:rsidR="00581AA3">
              <w:rPr>
                <w:noProof/>
                <w:webHidden/>
              </w:rPr>
              <w:instrText xml:space="preserve"> PAGEREF _Toc227920721 \h </w:instrText>
            </w:r>
            <w:r w:rsidR="00581AA3">
              <w:rPr>
                <w:noProof/>
                <w:webHidden/>
              </w:rPr>
            </w:r>
            <w:r w:rsidR="00581AA3">
              <w:rPr>
                <w:noProof/>
                <w:webHidden/>
              </w:rPr>
              <w:fldChar w:fldCharType="separate"/>
            </w:r>
            <w:r w:rsidR="00581AA3">
              <w:rPr>
                <w:noProof/>
                <w:webHidden/>
              </w:rPr>
              <w:t>8</w:t>
            </w:r>
            <w:r w:rsidR="00581AA3">
              <w:rPr>
                <w:noProof/>
                <w:webHidden/>
              </w:rPr>
              <w:fldChar w:fldCharType="end"/>
            </w:r>
          </w:hyperlink>
        </w:p>
        <w:p w14:paraId="102A129C" w14:textId="11AF5615"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2" w:history="1">
            <w:r w:rsidR="00581AA3" w:rsidRPr="0027271E">
              <w:rPr>
                <w:rStyle w:val="Hyperlink"/>
                <w:rFonts w:ascii="Arial" w:hAnsi="Arial" w:cs="Arial"/>
                <w:noProof/>
              </w:rPr>
              <w:t>3.2 Liquidity Analysis</w:t>
            </w:r>
            <w:r w:rsidR="00581AA3">
              <w:rPr>
                <w:noProof/>
                <w:webHidden/>
              </w:rPr>
              <w:tab/>
            </w:r>
            <w:r w:rsidR="00581AA3">
              <w:rPr>
                <w:noProof/>
                <w:webHidden/>
              </w:rPr>
              <w:fldChar w:fldCharType="begin"/>
            </w:r>
            <w:r w:rsidR="00581AA3">
              <w:rPr>
                <w:noProof/>
                <w:webHidden/>
              </w:rPr>
              <w:instrText xml:space="preserve"> PAGEREF _Toc227920722 \h </w:instrText>
            </w:r>
            <w:r w:rsidR="00581AA3">
              <w:rPr>
                <w:noProof/>
                <w:webHidden/>
              </w:rPr>
            </w:r>
            <w:r w:rsidR="00581AA3">
              <w:rPr>
                <w:noProof/>
                <w:webHidden/>
              </w:rPr>
              <w:fldChar w:fldCharType="separate"/>
            </w:r>
            <w:r w:rsidR="00581AA3">
              <w:rPr>
                <w:noProof/>
                <w:webHidden/>
              </w:rPr>
              <w:t>9</w:t>
            </w:r>
            <w:r w:rsidR="00581AA3">
              <w:rPr>
                <w:noProof/>
                <w:webHidden/>
              </w:rPr>
              <w:fldChar w:fldCharType="end"/>
            </w:r>
          </w:hyperlink>
        </w:p>
        <w:p w14:paraId="39189CF3" w14:textId="4922D920"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3" w:history="1">
            <w:r w:rsidR="00581AA3" w:rsidRPr="0027271E">
              <w:rPr>
                <w:rStyle w:val="Hyperlink"/>
                <w:rFonts w:ascii="Arial" w:hAnsi="Arial" w:cs="Arial"/>
                <w:noProof/>
              </w:rPr>
              <w:t>3.3 Recommendations</w:t>
            </w:r>
            <w:r w:rsidR="00581AA3">
              <w:rPr>
                <w:noProof/>
                <w:webHidden/>
              </w:rPr>
              <w:tab/>
            </w:r>
            <w:r w:rsidR="00581AA3">
              <w:rPr>
                <w:noProof/>
                <w:webHidden/>
              </w:rPr>
              <w:fldChar w:fldCharType="begin"/>
            </w:r>
            <w:r w:rsidR="00581AA3">
              <w:rPr>
                <w:noProof/>
                <w:webHidden/>
              </w:rPr>
              <w:instrText xml:space="preserve"> PAGEREF _Toc227920723 \h </w:instrText>
            </w:r>
            <w:r w:rsidR="00581AA3">
              <w:rPr>
                <w:noProof/>
                <w:webHidden/>
              </w:rPr>
            </w:r>
            <w:r w:rsidR="00581AA3">
              <w:rPr>
                <w:noProof/>
                <w:webHidden/>
              </w:rPr>
              <w:fldChar w:fldCharType="separate"/>
            </w:r>
            <w:r w:rsidR="00581AA3">
              <w:rPr>
                <w:noProof/>
                <w:webHidden/>
              </w:rPr>
              <w:t>10</w:t>
            </w:r>
            <w:r w:rsidR="00581AA3">
              <w:rPr>
                <w:noProof/>
                <w:webHidden/>
              </w:rPr>
              <w:fldChar w:fldCharType="end"/>
            </w:r>
          </w:hyperlink>
        </w:p>
        <w:p w14:paraId="0049EB8D" w14:textId="1F9C361E"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24" w:history="1">
            <w:r w:rsidR="00581AA3" w:rsidRPr="0027271E">
              <w:rPr>
                <w:rStyle w:val="Hyperlink"/>
                <w:rFonts w:ascii="Arial" w:hAnsi="Arial" w:cs="Arial"/>
                <w:noProof/>
                <w:lang w:val="en-IN"/>
              </w:rPr>
              <w:t>4. Strategic Financial Restructuring</w:t>
            </w:r>
            <w:r w:rsidR="00581AA3">
              <w:rPr>
                <w:noProof/>
                <w:webHidden/>
              </w:rPr>
              <w:tab/>
            </w:r>
            <w:r w:rsidR="00581AA3">
              <w:rPr>
                <w:noProof/>
                <w:webHidden/>
              </w:rPr>
              <w:fldChar w:fldCharType="begin"/>
            </w:r>
            <w:r w:rsidR="00581AA3">
              <w:rPr>
                <w:noProof/>
                <w:webHidden/>
              </w:rPr>
              <w:instrText xml:space="preserve"> PAGEREF _Toc227920724 \h </w:instrText>
            </w:r>
            <w:r w:rsidR="00581AA3">
              <w:rPr>
                <w:noProof/>
                <w:webHidden/>
              </w:rPr>
            </w:r>
            <w:r w:rsidR="00581AA3">
              <w:rPr>
                <w:noProof/>
                <w:webHidden/>
              </w:rPr>
              <w:fldChar w:fldCharType="separate"/>
            </w:r>
            <w:r w:rsidR="00581AA3">
              <w:rPr>
                <w:noProof/>
                <w:webHidden/>
              </w:rPr>
              <w:t>11</w:t>
            </w:r>
            <w:r w:rsidR="00581AA3">
              <w:rPr>
                <w:noProof/>
                <w:webHidden/>
              </w:rPr>
              <w:fldChar w:fldCharType="end"/>
            </w:r>
          </w:hyperlink>
        </w:p>
        <w:p w14:paraId="2EDE2876" w14:textId="6DD1DE77"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5" w:history="1">
            <w:r w:rsidR="00581AA3" w:rsidRPr="0027271E">
              <w:rPr>
                <w:rStyle w:val="Hyperlink"/>
                <w:rFonts w:ascii="Arial" w:hAnsi="Arial" w:cs="Arial"/>
                <w:noProof/>
              </w:rPr>
              <w:t>4.1 Problem Identification</w:t>
            </w:r>
            <w:r w:rsidR="00581AA3">
              <w:rPr>
                <w:noProof/>
                <w:webHidden/>
              </w:rPr>
              <w:tab/>
            </w:r>
            <w:r w:rsidR="00581AA3">
              <w:rPr>
                <w:noProof/>
                <w:webHidden/>
              </w:rPr>
              <w:fldChar w:fldCharType="begin"/>
            </w:r>
            <w:r w:rsidR="00581AA3">
              <w:rPr>
                <w:noProof/>
                <w:webHidden/>
              </w:rPr>
              <w:instrText xml:space="preserve"> PAGEREF _Toc227920725 \h </w:instrText>
            </w:r>
            <w:r w:rsidR="00581AA3">
              <w:rPr>
                <w:noProof/>
                <w:webHidden/>
              </w:rPr>
            </w:r>
            <w:r w:rsidR="00581AA3">
              <w:rPr>
                <w:noProof/>
                <w:webHidden/>
              </w:rPr>
              <w:fldChar w:fldCharType="separate"/>
            </w:r>
            <w:r w:rsidR="00581AA3">
              <w:rPr>
                <w:noProof/>
                <w:webHidden/>
              </w:rPr>
              <w:t>11</w:t>
            </w:r>
            <w:r w:rsidR="00581AA3">
              <w:rPr>
                <w:noProof/>
                <w:webHidden/>
              </w:rPr>
              <w:fldChar w:fldCharType="end"/>
            </w:r>
          </w:hyperlink>
        </w:p>
        <w:p w14:paraId="1BC2FF1A" w14:textId="55430701"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6" w:history="1">
            <w:r w:rsidR="00581AA3" w:rsidRPr="0027271E">
              <w:rPr>
                <w:rStyle w:val="Hyperlink"/>
                <w:rFonts w:ascii="Arial" w:hAnsi="Arial" w:cs="Arial"/>
                <w:noProof/>
              </w:rPr>
              <w:t>4.2 Restructuring Strategies</w:t>
            </w:r>
            <w:r w:rsidR="00581AA3">
              <w:rPr>
                <w:noProof/>
                <w:webHidden/>
              </w:rPr>
              <w:tab/>
            </w:r>
            <w:r w:rsidR="00581AA3">
              <w:rPr>
                <w:noProof/>
                <w:webHidden/>
              </w:rPr>
              <w:fldChar w:fldCharType="begin"/>
            </w:r>
            <w:r w:rsidR="00581AA3">
              <w:rPr>
                <w:noProof/>
                <w:webHidden/>
              </w:rPr>
              <w:instrText xml:space="preserve"> PAGEREF _Toc227920726 \h </w:instrText>
            </w:r>
            <w:r w:rsidR="00581AA3">
              <w:rPr>
                <w:noProof/>
                <w:webHidden/>
              </w:rPr>
            </w:r>
            <w:r w:rsidR="00581AA3">
              <w:rPr>
                <w:noProof/>
                <w:webHidden/>
              </w:rPr>
              <w:fldChar w:fldCharType="separate"/>
            </w:r>
            <w:r w:rsidR="00581AA3">
              <w:rPr>
                <w:noProof/>
                <w:webHidden/>
              </w:rPr>
              <w:t>12</w:t>
            </w:r>
            <w:r w:rsidR="00581AA3">
              <w:rPr>
                <w:noProof/>
                <w:webHidden/>
              </w:rPr>
              <w:fldChar w:fldCharType="end"/>
            </w:r>
          </w:hyperlink>
        </w:p>
        <w:p w14:paraId="22C14E35" w14:textId="056DA67C"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7" w:history="1">
            <w:r w:rsidR="00581AA3" w:rsidRPr="0027271E">
              <w:rPr>
                <w:rStyle w:val="Hyperlink"/>
                <w:rFonts w:ascii="Arial" w:hAnsi="Arial" w:cs="Arial"/>
                <w:noProof/>
              </w:rPr>
              <w:t>4.3 Impact Analysis</w:t>
            </w:r>
            <w:r w:rsidR="00581AA3">
              <w:rPr>
                <w:noProof/>
                <w:webHidden/>
              </w:rPr>
              <w:tab/>
            </w:r>
            <w:r w:rsidR="00581AA3">
              <w:rPr>
                <w:noProof/>
                <w:webHidden/>
              </w:rPr>
              <w:fldChar w:fldCharType="begin"/>
            </w:r>
            <w:r w:rsidR="00581AA3">
              <w:rPr>
                <w:noProof/>
                <w:webHidden/>
              </w:rPr>
              <w:instrText xml:space="preserve"> PAGEREF _Toc227920727 \h </w:instrText>
            </w:r>
            <w:r w:rsidR="00581AA3">
              <w:rPr>
                <w:noProof/>
                <w:webHidden/>
              </w:rPr>
            </w:r>
            <w:r w:rsidR="00581AA3">
              <w:rPr>
                <w:noProof/>
                <w:webHidden/>
              </w:rPr>
              <w:fldChar w:fldCharType="separate"/>
            </w:r>
            <w:r w:rsidR="00581AA3">
              <w:rPr>
                <w:noProof/>
                <w:webHidden/>
              </w:rPr>
              <w:t>13</w:t>
            </w:r>
            <w:r w:rsidR="00581AA3">
              <w:rPr>
                <w:noProof/>
                <w:webHidden/>
              </w:rPr>
              <w:fldChar w:fldCharType="end"/>
            </w:r>
          </w:hyperlink>
        </w:p>
        <w:p w14:paraId="6CE1FED9" w14:textId="2D93A4AB"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28" w:history="1">
            <w:r w:rsidR="00581AA3" w:rsidRPr="0027271E">
              <w:rPr>
                <w:rStyle w:val="Hyperlink"/>
                <w:rFonts w:ascii="Arial" w:hAnsi="Arial" w:cs="Arial"/>
                <w:noProof/>
                <w:lang w:val="en-IN"/>
              </w:rPr>
              <w:t>5. Investment Appraisal</w:t>
            </w:r>
            <w:r w:rsidR="00581AA3">
              <w:rPr>
                <w:noProof/>
                <w:webHidden/>
              </w:rPr>
              <w:tab/>
            </w:r>
            <w:r w:rsidR="00581AA3">
              <w:rPr>
                <w:noProof/>
                <w:webHidden/>
              </w:rPr>
              <w:fldChar w:fldCharType="begin"/>
            </w:r>
            <w:r w:rsidR="00581AA3">
              <w:rPr>
                <w:noProof/>
                <w:webHidden/>
              </w:rPr>
              <w:instrText xml:space="preserve"> PAGEREF _Toc227920728 \h </w:instrText>
            </w:r>
            <w:r w:rsidR="00581AA3">
              <w:rPr>
                <w:noProof/>
                <w:webHidden/>
              </w:rPr>
            </w:r>
            <w:r w:rsidR="00581AA3">
              <w:rPr>
                <w:noProof/>
                <w:webHidden/>
              </w:rPr>
              <w:fldChar w:fldCharType="separate"/>
            </w:r>
            <w:r w:rsidR="00581AA3">
              <w:rPr>
                <w:noProof/>
                <w:webHidden/>
              </w:rPr>
              <w:t>14</w:t>
            </w:r>
            <w:r w:rsidR="00581AA3">
              <w:rPr>
                <w:noProof/>
                <w:webHidden/>
              </w:rPr>
              <w:fldChar w:fldCharType="end"/>
            </w:r>
          </w:hyperlink>
        </w:p>
        <w:p w14:paraId="34FAC27E" w14:textId="513B9DE5"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29" w:history="1">
            <w:r w:rsidR="00581AA3" w:rsidRPr="0027271E">
              <w:rPr>
                <w:rStyle w:val="Hyperlink"/>
                <w:rFonts w:ascii="Arial" w:hAnsi="Arial" w:cs="Arial"/>
                <w:noProof/>
              </w:rPr>
              <w:t>5.1 Techniques Explanation</w:t>
            </w:r>
            <w:r w:rsidR="00581AA3">
              <w:rPr>
                <w:noProof/>
                <w:webHidden/>
              </w:rPr>
              <w:tab/>
            </w:r>
            <w:r w:rsidR="00581AA3">
              <w:rPr>
                <w:noProof/>
                <w:webHidden/>
              </w:rPr>
              <w:fldChar w:fldCharType="begin"/>
            </w:r>
            <w:r w:rsidR="00581AA3">
              <w:rPr>
                <w:noProof/>
                <w:webHidden/>
              </w:rPr>
              <w:instrText xml:space="preserve"> PAGEREF _Toc227920729 \h </w:instrText>
            </w:r>
            <w:r w:rsidR="00581AA3">
              <w:rPr>
                <w:noProof/>
                <w:webHidden/>
              </w:rPr>
            </w:r>
            <w:r w:rsidR="00581AA3">
              <w:rPr>
                <w:noProof/>
                <w:webHidden/>
              </w:rPr>
              <w:fldChar w:fldCharType="separate"/>
            </w:r>
            <w:r w:rsidR="00581AA3">
              <w:rPr>
                <w:noProof/>
                <w:webHidden/>
              </w:rPr>
              <w:t>14</w:t>
            </w:r>
            <w:r w:rsidR="00581AA3">
              <w:rPr>
                <w:noProof/>
                <w:webHidden/>
              </w:rPr>
              <w:fldChar w:fldCharType="end"/>
            </w:r>
          </w:hyperlink>
        </w:p>
        <w:p w14:paraId="130438C3" w14:textId="6A1BBF23"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30" w:history="1">
            <w:r w:rsidR="00581AA3" w:rsidRPr="0027271E">
              <w:rPr>
                <w:rStyle w:val="Hyperlink"/>
                <w:rFonts w:ascii="Arial" w:hAnsi="Arial" w:cs="Arial"/>
                <w:noProof/>
              </w:rPr>
              <w:t>5.2 Project Evaluation</w:t>
            </w:r>
            <w:r w:rsidR="00581AA3">
              <w:rPr>
                <w:noProof/>
                <w:webHidden/>
              </w:rPr>
              <w:tab/>
            </w:r>
            <w:r w:rsidR="00581AA3">
              <w:rPr>
                <w:noProof/>
                <w:webHidden/>
              </w:rPr>
              <w:fldChar w:fldCharType="begin"/>
            </w:r>
            <w:r w:rsidR="00581AA3">
              <w:rPr>
                <w:noProof/>
                <w:webHidden/>
              </w:rPr>
              <w:instrText xml:space="preserve"> PAGEREF _Toc227920730 \h </w:instrText>
            </w:r>
            <w:r w:rsidR="00581AA3">
              <w:rPr>
                <w:noProof/>
                <w:webHidden/>
              </w:rPr>
            </w:r>
            <w:r w:rsidR="00581AA3">
              <w:rPr>
                <w:noProof/>
                <w:webHidden/>
              </w:rPr>
              <w:fldChar w:fldCharType="separate"/>
            </w:r>
            <w:r w:rsidR="00581AA3">
              <w:rPr>
                <w:noProof/>
                <w:webHidden/>
              </w:rPr>
              <w:t>16</w:t>
            </w:r>
            <w:r w:rsidR="00581AA3">
              <w:rPr>
                <w:noProof/>
                <w:webHidden/>
              </w:rPr>
              <w:fldChar w:fldCharType="end"/>
            </w:r>
          </w:hyperlink>
        </w:p>
        <w:p w14:paraId="24025447" w14:textId="6DEB3E6D"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31" w:history="1">
            <w:r w:rsidR="00581AA3" w:rsidRPr="0027271E">
              <w:rPr>
                <w:rStyle w:val="Hyperlink"/>
                <w:rFonts w:ascii="Arial" w:hAnsi="Arial" w:cs="Arial"/>
                <w:noProof/>
                <w:lang w:val="en-IN"/>
              </w:rPr>
              <w:t>Project A</w:t>
            </w:r>
            <w:r w:rsidR="00581AA3">
              <w:rPr>
                <w:noProof/>
                <w:webHidden/>
              </w:rPr>
              <w:tab/>
            </w:r>
            <w:r w:rsidR="00581AA3">
              <w:rPr>
                <w:noProof/>
                <w:webHidden/>
              </w:rPr>
              <w:fldChar w:fldCharType="begin"/>
            </w:r>
            <w:r w:rsidR="00581AA3">
              <w:rPr>
                <w:noProof/>
                <w:webHidden/>
              </w:rPr>
              <w:instrText xml:space="preserve"> PAGEREF _Toc227920731 \h </w:instrText>
            </w:r>
            <w:r w:rsidR="00581AA3">
              <w:rPr>
                <w:noProof/>
                <w:webHidden/>
              </w:rPr>
            </w:r>
            <w:r w:rsidR="00581AA3">
              <w:rPr>
                <w:noProof/>
                <w:webHidden/>
              </w:rPr>
              <w:fldChar w:fldCharType="separate"/>
            </w:r>
            <w:r w:rsidR="00581AA3">
              <w:rPr>
                <w:noProof/>
                <w:webHidden/>
              </w:rPr>
              <w:t>16</w:t>
            </w:r>
            <w:r w:rsidR="00581AA3">
              <w:rPr>
                <w:noProof/>
                <w:webHidden/>
              </w:rPr>
              <w:fldChar w:fldCharType="end"/>
            </w:r>
          </w:hyperlink>
        </w:p>
        <w:p w14:paraId="0867ED8E" w14:textId="0AE864DD"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32" w:history="1">
            <w:r w:rsidR="00581AA3" w:rsidRPr="0027271E">
              <w:rPr>
                <w:rStyle w:val="Hyperlink"/>
                <w:rFonts w:ascii="Arial" w:hAnsi="Arial" w:cs="Arial"/>
                <w:noProof/>
                <w:lang w:val="en-IN"/>
              </w:rPr>
              <w:t>Project B</w:t>
            </w:r>
            <w:r w:rsidR="00581AA3">
              <w:rPr>
                <w:noProof/>
                <w:webHidden/>
              </w:rPr>
              <w:tab/>
            </w:r>
            <w:r w:rsidR="00581AA3">
              <w:rPr>
                <w:noProof/>
                <w:webHidden/>
              </w:rPr>
              <w:fldChar w:fldCharType="begin"/>
            </w:r>
            <w:r w:rsidR="00581AA3">
              <w:rPr>
                <w:noProof/>
                <w:webHidden/>
              </w:rPr>
              <w:instrText xml:space="preserve"> PAGEREF _Toc227920732 \h </w:instrText>
            </w:r>
            <w:r w:rsidR="00581AA3">
              <w:rPr>
                <w:noProof/>
                <w:webHidden/>
              </w:rPr>
            </w:r>
            <w:r w:rsidR="00581AA3">
              <w:rPr>
                <w:noProof/>
                <w:webHidden/>
              </w:rPr>
              <w:fldChar w:fldCharType="separate"/>
            </w:r>
            <w:r w:rsidR="00581AA3">
              <w:rPr>
                <w:noProof/>
                <w:webHidden/>
              </w:rPr>
              <w:t>16</w:t>
            </w:r>
            <w:r w:rsidR="00581AA3">
              <w:rPr>
                <w:noProof/>
                <w:webHidden/>
              </w:rPr>
              <w:fldChar w:fldCharType="end"/>
            </w:r>
          </w:hyperlink>
        </w:p>
        <w:p w14:paraId="16111830" w14:textId="0533C61F" w:rsidR="00581AA3" w:rsidRDefault="000E28E1">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7920733" w:history="1">
            <w:r w:rsidR="00581AA3" w:rsidRPr="0027271E">
              <w:rPr>
                <w:rStyle w:val="Hyperlink"/>
                <w:rFonts w:ascii="Arial" w:hAnsi="Arial" w:cs="Arial"/>
                <w:noProof/>
                <w:lang w:val="en-IN"/>
              </w:rPr>
              <w:t>Project C</w:t>
            </w:r>
            <w:r w:rsidR="00581AA3">
              <w:rPr>
                <w:noProof/>
                <w:webHidden/>
              </w:rPr>
              <w:tab/>
            </w:r>
            <w:r w:rsidR="00581AA3">
              <w:rPr>
                <w:noProof/>
                <w:webHidden/>
              </w:rPr>
              <w:fldChar w:fldCharType="begin"/>
            </w:r>
            <w:r w:rsidR="00581AA3">
              <w:rPr>
                <w:noProof/>
                <w:webHidden/>
              </w:rPr>
              <w:instrText xml:space="preserve"> PAGEREF _Toc227920733 \h </w:instrText>
            </w:r>
            <w:r w:rsidR="00581AA3">
              <w:rPr>
                <w:noProof/>
                <w:webHidden/>
              </w:rPr>
            </w:r>
            <w:r w:rsidR="00581AA3">
              <w:rPr>
                <w:noProof/>
                <w:webHidden/>
              </w:rPr>
              <w:fldChar w:fldCharType="separate"/>
            </w:r>
            <w:r w:rsidR="00581AA3">
              <w:rPr>
                <w:noProof/>
                <w:webHidden/>
              </w:rPr>
              <w:t>17</w:t>
            </w:r>
            <w:r w:rsidR="00581AA3">
              <w:rPr>
                <w:noProof/>
                <w:webHidden/>
              </w:rPr>
              <w:fldChar w:fldCharType="end"/>
            </w:r>
          </w:hyperlink>
        </w:p>
        <w:p w14:paraId="28D99460" w14:textId="0B2F9FC9"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34" w:history="1">
            <w:r w:rsidR="00581AA3" w:rsidRPr="0027271E">
              <w:rPr>
                <w:rStyle w:val="Hyperlink"/>
                <w:rFonts w:ascii="Arial" w:hAnsi="Arial" w:cs="Arial"/>
                <w:noProof/>
              </w:rPr>
              <w:t>5.3 Comparative Analysis</w:t>
            </w:r>
            <w:r w:rsidR="00581AA3">
              <w:rPr>
                <w:noProof/>
                <w:webHidden/>
              </w:rPr>
              <w:tab/>
            </w:r>
            <w:r w:rsidR="00581AA3">
              <w:rPr>
                <w:noProof/>
                <w:webHidden/>
              </w:rPr>
              <w:fldChar w:fldCharType="begin"/>
            </w:r>
            <w:r w:rsidR="00581AA3">
              <w:rPr>
                <w:noProof/>
                <w:webHidden/>
              </w:rPr>
              <w:instrText xml:space="preserve"> PAGEREF _Toc227920734 \h </w:instrText>
            </w:r>
            <w:r w:rsidR="00581AA3">
              <w:rPr>
                <w:noProof/>
                <w:webHidden/>
              </w:rPr>
            </w:r>
            <w:r w:rsidR="00581AA3">
              <w:rPr>
                <w:noProof/>
                <w:webHidden/>
              </w:rPr>
              <w:fldChar w:fldCharType="separate"/>
            </w:r>
            <w:r w:rsidR="00581AA3">
              <w:rPr>
                <w:noProof/>
                <w:webHidden/>
              </w:rPr>
              <w:t>17</w:t>
            </w:r>
            <w:r w:rsidR="00581AA3">
              <w:rPr>
                <w:noProof/>
                <w:webHidden/>
              </w:rPr>
              <w:fldChar w:fldCharType="end"/>
            </w:r>
          </w:hyperlink>
        </w:p>
        <w:p w14:paraId="3E1DDD6C" w14:textId="678CB034"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35" w:history="1">
            <w:r w:rsidR="00581AA3" w:rsidRPr="0027271E">
              <w:rPr>
                <w:rStyle w:val="Hyperlink"/>
                <w:rFonts w:ascii="Arial" w:hAnsi="Arial" w:cs="Arial"/>
                <w:noProof/>
              </w:rPr>
              <w:t>5.4 Recommendation</w:t>
            </w:r>
            <w:r w:rsidR="00581AA3">
              <w:rPr>
                <w:noProof/>
                <w:webHidden/>
              </w:rPr>
              <w:tab/>
            </w:r>
            <w:r w:rsidR="00581AA3">
              <w:rPr>
                <w:noProof/>
                <w:webHidden/>
              </w:rPr>
              <w:fldChar w:fldCharType="begin"/>
            </w:r>
            <w:r w:rsidR="00581AA3">
              <w:rPr>
                <w:noProof/>
                <w:webHidden/>
              </w:rPr>
              <w:instrText xml:space="preserve"> PAGEREF _Toc227920735 \h </w:instrText>
            </w:r>
            <w:r w:rsidR="00581AA3">
              <w:rPr>
                <w:noProof/>
                <w:webHidden/>
              </w:rPr>
            </w:r>
            <w:r w:rsidR="00581AA3">
              <w:rPr>
                <w:noProof/>
                <w:webHidden/>
              </w:rPr>
              <w:fldChar w:fldCharType="separate"/>
            </w:r>
            <w:r w:rsidR="00581AA3">
              <w:rPr>
                <w:noProof/>
                <w:webHidden/>
              </w:rPr>
              <w:t>18</w:t>
            </w:r>
            <w:r w:rsidR="00581AA3">
              <w:rPr>
                <w:noProof/>
                <w:webHidden/>
              </w:rPr>
              <w:fldChar w:fldCharType="end"/>
            </w:r>
          </w:hyperlink>
        </w:p>
        <w:p w14:paraId="1AC45B11" w14:textId="7E6F0FB4"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36" w:history="1">
            <w:r w:rsidR="00581AA3" w:rsidRPr="0027271E">
              <w:rPr>
                <w:rStyle w:val="Hyperlink"/>
                <w:rFonts w:ascii="Arial" w:hAnsi="Arial" w:cs="Arial"/>
                <w:noProof/>
              </w:rPr>
              <w:t>5.5 Capital Rationing</w:t>
            </w:r>
            <w:r w:rsidR="00581AA3">
              <w:rPr>
                <w:noProof/>
                <w:webHidden/>
              </w:rPr>
              <w:tab/>
            </w:r>
            <w:r w:rsidR="00581AA3">
              <w:rPr>
                <w:noProof/>
                <w:webHidden/>
              </w:rPr>
              <w:fldChar w:fldCharType="begin"/>
            </w:r>
            <w:r w:rsidR="00581AA3">
              <w:rPr>
                <w:noProof/>
                <w:webHidden/>
              </w:rPr>
              <w:instrText xml:space="preserve"> PAGEREF _Toc227920736 \h </w:instrText>
            </w:r>
            <w:r w:rsidR="00581AA3">
              <w:rPr>
                <w:noProof/>
                <w:webHidden/>
              </w:rPr>
            </w:r>
            <w:r w:rsidR="00581AA3">
              <w:rPr>
                <w:noProof/>
                <w:webHidden/>
              </w:rPr>
              <w:fldChar w:fldCharType="separate"/>
            </w:r>
            <w:r w:rsidR="00581AA3">
              <w:rPr>
                <w:noProof/>
                <w:webHidden/>
              </w:rPr>
              <w:t>18</w:t>
            </w:r>
            <w:r w:rsidR="00581AA3">
              <w:rPr>
                <w:noProof/>
                <w:webHidden/>
              </w:rPr>
              <w:fldChar w:fldCharType="end"/>
            </w:r>
          </w:hyperlink>
        </w:p>
        <w:p w14:paraId="79E6650D" w14:textId="5C800DFB"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37" w:history="1">
            <w:r w:rsidR="00581AA3" w:rsidRPr="0027271E">
              <w:rPr>
                <w:rStyle w:val="Hyperlink"/>
                <w:rFonts w:ascii="Arial" w:hAnsi="Arial" w:cs="Arial"/>
                <w:noProof/>
              </w:rPr>
              <w:t>5.6 Risk and Sensitivity Analysis</w:t>
            </w:r>
            <w:r w:rsidR="00581AA3">
              <w:rPr>
                <w:noProof/>
                <w:webHidden/>
              </w:rPr>
              <w:tab/>
            </w:r>
            <w:r w:rsidR="00581AA3">
              <w:rPr>
                <w:noProof/>
                <w:webHidden/>
              </w:rPr>
              <w:fldChar w:fldCharType="begin"/>
            </w:r>
            <w:r w:rsidR="00581AA3">
              <w:rPr>
                <w:noProof/>
                <w:webHidden/>
              </w:rPr>
              <w:instrText xml:space="preserve"> PAGEREF _Toc227920737 \h </w:instrText>
            </w:r>
            <w:r w:rsidR="00581AA3">
              <w:rPr>
                <w:noProof/>
                <w:webHidden/>
              </w:rPr>
            </w:r>
            <w:r w:rsidR="00581AA3">
              <w:rPr>
                <w:noProof/>
                <w:webHidden/>
              </w:rPr>
              <w:fldChar w:fldCharType="separate"/>
            </w:r>
            <w:r w:rsidR="00581AA3">
              <w:rPr>
                <w:noProof/>
                <w:webHidden/>
              </w:rPr>
              <w:t>19</w:t>
            </w:r>
            <w:r w:rsidR="00581AA3">
              <w:rPr>
                <w:noProof/>
                <w:webHidden/>
              </w:rPr>
              <w:fldChar w:fldCharType="end"/>
            </w:r>
          </w:hyperlink>
        </w:p>
        <w:p w14:paraId="16BFA7AD" w14:textId="594F6F68"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38" w:history="1">
            <w:r w:rsidR="00581AA3" w:rsidRPr="0027271E">
              <w:rPr>
                <w:rStyle w:val="Hyperlink"/>
                <w:rFonts w:ascii="Arial" w:hAnsi="Arial" w:cs="Arial"/>
                <w:noProof/>
                <w:lang w:val="en-IN"/>
              </w:rPr>
              <w:t>6. Conclusion</w:t>
            </w:r>
            <w:r w:rsidR="00581AA3">
              <w:rPr>
                <w:noProof/>
                <w:webHidden/>
              </w:rPr>
              <w:tab/>
            </w:r>
            <w:r w:rsidR="00581AA3">
              <w:rPr>
                <w:noProof/>
                <w:webHidden/>
              </w:rPr>
              <w:fldChar w:fldCharType="begin"/>
            </w:r>
            <w:r w:rsidR="00581AA3">
              <w:rPr>
                <w:noProof/>
                <w:webHidden/>
              </w:rPr>
              <w:instrText xml:space="preserve"> PAGEREF _Toc227920738 \h </w:instrText>
            </w:r>
            <w:r w:rsidR="00581AA3">
              <w:rPr>
                <w:noProof/>
                <w:webHidden/>
              </w:rPr>
            </w:r>
            <w:r w:rsidR="00581AA3">
              <w:rPr>
                <w:noProof/>
                <w:webHidden/>
              </w:rPr>
              <w:fldChar w:fldCharType="separate"/>
            </w:r>
            <w:r w:rsidR="00581AA3">
              <w:rPr>
                <w:noProof/>
                <w:webHidden/>
              </w:rPr>
              <w:t>19</w:t>
            </w:r>
            <w:r w:rsidR="00581AA3">
              <w:rPr>
                <w:noProof/>
                <w:webHidden/>
              </w:rPr>
              <w:fldChar w:fldCharType="end"/>
            </w:r>
          </w:hyperlink>
        </w:p>
        <w:p w14:paraId="51904661" w14:textId="4635120A"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39" w:history="1">
            <w:r w:rsidR="00581AA3" w:rsidRPr="0027271E">
              <w:rPr>
                <w:rStyle w:val="Hyperlink"/>
                <w:rFonts w:ascii="Arial" w:hAnsi="Arial" w:cs="Arial"/>
                <w:noProof/>
              </w:rPr>
              <w:t>7. References</w:t>
            </w:r>
            <w:r w:rsidR="00581AA3">
              <w:rPr>
                <w:noProof/>
                <w:webHidden/>
              </w:rPr>
              <w:tab/>
            </w:r>
            <w:r w:rsidR="00581AA3">
              <w:rPr>
                <w:noProof/>
                <w:webHidden/>
              </w:rPr>
              <w:fldChar w:fldCharType="begin"/>
            </w:r>
            <w:r w:rsidR="00581AA3">
              <w:rPr>
                <w:noProof/>
                <w:webHidden/>
              </w:rPr>
              <w:instrText xml:space="preserve"> PAGEREF _Toc227920739 \h </w:instrText>
            </w:r>
            <w:r w:rsidR="00581AA3">
              <w:rPr>
                <w:noProof/>
                <w:webHidden/>
              </w:rPr>
            </w:r>
            <w:r w:rsidR="00581AA3">
              <w:rPr>
                <w:noProof/>
                <w:webHidden/>
              </w:rPr>
              <w:fldChar w:fldCharType="separate"/>
            </w:r>
            <w:r w:rsidR="00581AA3">
              <w:rPr>
                <w:noProof/>
                <w:webHidden/>
              </w:rPr>
              <w:t>21</w:t>
            </w:r>
            <w:r w:rsidR="00581AA3">
              <w:rPr>
                <w:noProof/>
                <w:webHidden/>
              </w:rPr>
              <w:fldChar w:fldCharType="end"/>
            </w:r>
          </w:hyperlink>
        </w:p>
        <w:p w14:paraId="26E8C95D" w14:textId="4E2137E0" w:rsidR="00581AA3" w:rsidRDefault="000E28E1">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7920740" w:history="1">
            <w:r w:rsidR="00581AA3" w:rsidRPr="0027271E">
              <w:rPr>
                <w:rStyle w:val="Hyperlink"/>
                <w:rFonts w:ascii="Arial" w:hAnsi="Arial" w:cs="Arial"/>
                <w:noProof/>
              </w:rPr>
              <w:t>8. Appendix</w:t>
            </w:r>
            <w:r w:rsidR="00581AA3">
              <w:rPr>
                <w:noProof/>
                <w:webHidden/>
              </w:rPr>
              <w:tab/>
            </w:r>
            <w:r w:rsidR="00581AA3">
              <w:rPr>
                <w:noProof/>
                <w:webHidden/>
              </w:rPr>
              <w:fldChar w:fldCharType="begin"/>
            </w:r>
            <w:r w:rsidR="00581AA3">
              <w:rPr>
                <w:noProof/>
                <w:webHidden/>
              </w:rPr>
              <w:instrText xml:space="preserve"> PAGEREF _Toc227920740 \h </w:instrText>
            </w:r>
            <w:r w:rsidR="00581AA3">
              <w:rPr>
                <w:noProof/>
                <w:webHidden/>
              </w:rPr>
            </w:r>
            <w:r w:rsidR="00581AA3">
              <w:rPr>
                <w:noProof/>
                <w:webHidden/>
              </w:rPr>
              <w:fldChar w:fldCharType="separate"/>
            </w:r>
            <w:r w:rsidR="00581AA3">
              <w:rPr>
                <w:noProof/>
                <w:webHidden/>
              </w:rPr>
              <w:t>25</w:t>
            </w:r>
            <w:r w:rsidR="00581AA3">
              <w:rPr>
                <w:noProof/>
                <w:webHidden/>
              </w:rPr>
              <w:fldChar w:fldCharType="end"/>
            </w:r>
          </w:hyperlink>
        </w:p>
        <w:p w14:paraId="4B81AB42" w14:textId="47E4823C"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41" w:history="1">
            <w:r w:rsidR="00581AA3" w:rsidRPr="0027271E">
              <w:rPr>
                <w:rStyle w:val="Hyperlink"/>
                <w:rFonts w:ascii="Arial" w:hAnsi="Arial" w:cs="Arial"/>
                <w:noProof/>
              </w:rPr>
              <w:t>Financial Statements</w:t>
            </w:r>
            <w:r w:rsidR="00581AA3">
              <w:rPr>
                <w:noProof/>
                <w:webHidden/>
              </w:rPr>
              <w:tab/>
            </w:r>
            <w:r w:rsidR="00581AA3">
              <w:rPr>
                <w:noProof/>
                <w:webHidden/>
              </w:rPr>
              <w:fldChar w:fldCharType="begin"/>
            </w:r>
            <w:r w:rsidR="00581AA3">
              <w:rPr>
                <w:noProof/>
                <w:webHidden/>
              </w:rPr>
              <w:instrText xml:space="preserve"> PAGEREF _Toc227920741 \h </w:instrText>
            </w:r>
            <w:r w:rsidR="00581AA3">
              <w:rPr>
                <w:noProof/>
                <w:webHidden/>
              </w:rPr>
            </w:r>
            <w:r w:rsidR="00581AA3">
              <w:rPr>
                <w:noProof/>
                <w:webHidden/>
              </w:rPr>
              <w:fldChar w:fldCharType="separate"/>
            </w:r>
            <w:r w:rsidR="00581AA3">
              <w:rPr>
                <w:noProof/>
                <w:webHidden/>
              </w:rPr>
              <w:t>27</w:t>
            </w:r>
            <w:r w:rsidR="00581AA3">
              <w:rPr>
                <w:noProof/>
                <w:webHidden/>
              </w:rPr>
              <w:fldChar w:fldCharType="end"/>
            </w:r>
          </w:hyperlink>
        </w:p>
        <w:p w14:paraId="4893DED7" w14:textId="55A45D67"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42" w:history="1">
            <w:r w:rsidR="00581AA3" w:rsidRPr="0027271E">
              <w:rPr>
                <w:rStyle w:val="Hyperlink"/>
                <w:rFonts w:ascii="Arial" w:hAnsi="Arial" w:cs="Arial"/>
                <w:noProof/>
              </w:rPr>
              <w:t>RATIOS</w:t>
            </w:r>
            <w:r w:rsidR="00581AA3">
              <w:rPr>
                <w:noProof/>
                <w:webHidden/>
              </w:rPr>
              <w:tab/>
            </w:r>
            <w:r w:rsidR="00581AA3">
              <w:rPr>
                <w:noProof/>
                <w:webHidden/>
              </w:rPr>
              <w:fldChar w:fldCharType="begin"/>
            </w:r>
            <w:r w:rsidR="00581AA3">
              <w:rPr>
                <w:noProof/>
                <w:webHidden/>
              </w:rPr>
              <w:instrText xml:space="preserve"> PAGEREF _Toc227920742 \h </w:instrText>
            </w:r>
            <w:r w:rsidR="00581AA3">
              <w:rPr>
                <w:noProof/>
                <w:webHidden/>
              </w:rPr>
            </w:r>
            <w:r w:rsidR="00581AA3">
              <w:rPr>
                <w:noProof/>
                <w:webHidden/>
              </w:rPr>
              <w:fldChar w:fldCharType="separate"/>
            </w:r>
            <w:r w:rsidR="00581AA3">
              <w:rPr>
                <w:noProof/>
                <w:webHidden/>
              </w:rPr>
              <w:t>27</w:t>
            </w:r>
            <w:r w:rsidR="00581AA3">
              <w:rPr>
                <w:noProof/>
                <w:webHidden/>
              </w:rPr>
              <w:fldChar w:fldCharType="end"/>
            </w:r>
          </w:hyperlink>
        </w:p>
        <w:p w14:paraId="6BD8AC1A" w14:textId="20AA027F" w:rsidR="00581AA3" w:rsidRDefault="000E28E1">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7920743" w:history="1">
            <w:r w:rsidR="00581AA3" w:rsidRPr="0027271E">
              <w:rPr>
                <w:rStyle w:val="Hyperlink"/>
                <w:rFonts w:ascii="Arial" w:hAnsi="Arial" w:cs="Arial"/>
                <w:noProof/>
              </w:rPr>
              <w:t>INVESTMENT APPRAISAL</w:t>
            </w:r>
            <w:r w:rsidR="00581AA3">
              <w:rPr>
                <w:noProof/>
                <w:webHidden/>
              </w:rPr>
              <w:tab/>
            </w:r>
            <w:r w:rsidR="00581AA3">
              <w:rPr>
                <w:noProof/>
                <w:webHidden/>
              </w:rPr>
              <w:fldChar w:fldCharType="begin"/>
            </w:r>
            <w:r w:rsidR="00581AA3">
              <w:rPr>
                <w:noProof/>
                <w:webHidden/>
              </w:rPr>
              <w:instrText xml:space="preserve"> PAGEREF _Toc227920743 \h </w:instrText>
            </w:r>
            <w:r w:rsidR="00581AA3">
              <w:rPr>
                <w:noProof/>
                <w:webHidden/>
              </w:rPr>
            </w:r>
            <w:r w:rsidR="00581AA3">
              <w:rPr>
                <w:noProof/>
                <w:webHidden/>
              </w:rPr>
              <w:fldChar w:fldCharType="separate"/>
            </w:r>
            <w:r w:rsidR="00581AA3">
              <w:rPr>
                <w:noProof/>
                <w:webHidden/>
              </w:rPr>
              <w:t>28</w:t>
            </w:r>
            <w:r w:rsidR="00581AA3">
              <w:rPr>
                <w:noProof/>
                <w:webHidden/>
              </w:rPr>
              <w:fldChar w:fldCharType="end"/>
            </w:r>
          </w:hyperlink>
        </w:p>
        <w:p w14:paraId="33C5C63E" w14:textId="724F6504" w:rsidR="00576934" w:rsidRPr="00AE2312" w:rsidRDefault="00576934">
          <w:pPr>
            <w:rPr>
              <w:rFonts w:ascii="Arial" w:hAnsi="Arial" w:cs="Arial"/>
              <w:szCs w:val="24"/>
            </w:rPr>
          </w:pPr>
          <w:r w:rsidRPr="00AE2312">
            <w:rPr>
              <w:rFonts w:ascii="Arial" w:hAnsi="Arial" w:cs="Arial"/>
              <w:b/>
              <w:bCs/>
              <w:noProof/>
              <w:szCs w:val="24"/>
            </w:rPr>
            <w:fldChar w:fldCharType="end"/>
          </w:r>
        </w:p>
      </w:sdtContent>
    </w:sdt>
    <w:p w14:paraId="3064BEFB" w14:textId="77777777" w:rsidR="00057486" w:rsidRPr="00AE2312" w:rsidRDefault="00057486">
      <w:pPr>
        <w:spacing w:before="0" w:after="160" w:line="259" w:lineRule="auto"/>
        <w:jc w:val="left"/>
        <w:rPr>
          <w:rFonts w:ascii="Arial" w:hAnsi="Arial" w:cs="Arial"/>
          <w:szCs w:val="24"/>
          <w:lang w:val="en-IN"/>
        </w:rPr>
      </w:pPr>
    </w:p>
    <w:p w14:paraId="1C469706" w14:textId="55922D43" w:rsidR="00057486" w:rsidRPr="00AE2312" w:rsidRDefault="00543AE1" w:rsidP="00543AE1">
      <w:pPr>
        <w:spacing w:before="0" w:after="160" w:line="259" w:lineRule="auto"/>
        <w:jc w:val="center"/>
        <w:rPr>
          <w:rFonts w:ascii="Arial" w:hAnsi="Arial" w:cs="Arial"/>
          <w:b/>
          <w:bCs/>
          <w:szCs w:val="24"/>
          <w:lang w:val="en-IN"/>
        </w:rPr>
      </w:pPr>
      <w:r w:rsidRPr="00AE2312">
        <w:rPr>
          <w:rFonts w:ascii="Arial" w:hAnsi="Arial" w:cs="Arial"/>
          <w:b/>
          <w:bCs/>
          <w:szCs w:val="24"/>
          <w:lang w:val="en-IN"/>
        </w:rPr>
        <w:t>Table of Figures</w:t>
      </w:r>
    </w:p>
    <w:p w14:paraId="19A5985F" w14:textId="7C52E87B" w:rsidR="00581AA3" w:rsidRDefault="00581AA3">
      <w:pPr>
        <w:pStyle w:val="TableofFigures"/>
        <w:tabs>
          <w:tab w:val="right" w:leader="dot" w:pos="9016"/>
        </w:tabs>
        <w:rPr>
          <w:rFonts w:asciiTheme="minorHAnsi" w:eastAsiaTheme="minorEastAsia" w:hAnsiTheme="minorHAnsi"/>
          <w:noProof/>
          <w:kern w:val="2"/>
          <w:szCs w:val="24"/>
          <w:lang w:val="en-IN" w:eastAsia="en-IN"/>
          <w14:ligatures w14:val="standardContextual"/>
        </w:rPr>
      </w:pPr>
      <w:r>
        <w:rPr>
          <w:rFonts w:ascii="Arial" w:hAnsi="Arial" w:cs="Arial"/>
          <w:szCs w:val="24"/>
          <w:lang w:val="en-IN"/>
        </w:rPr>
        <w:fldChar w:fldCharType="begin"/>
      </w:r>
      <w:r>
        <w:rPr>
          <w:rFonts w:ascii="Arial" w:hAnsi="Arial" w:cs="Arial"/>
          <w:szCs w:val="24"/>
          <w:lang w:val="en-IN"/>
        </w:rPr>
        <w:instrText xml:space="preserve"> TOC \h \z \c "Figure" </w:instrText>
      </w:r>
      <w:r>
        <w:rPr>
          <w:rFonts w:ascii="Arial" w:hAnsi="Arial" w:cs="Arial"/>
          <w:szCs w:val="24"/>
          <w:lang w:val="en-IN"/>
        </w:rPr>
        <w:fldChar w:fldCharType="separate"/>
      </w:r>
      <w:hyperlink w:anchor="_Toc227920744" w:history="1">
        <w:r w:rsidRPr="00D51542">
          <w:rPr>
            <w:rStyle w:val="Hyperlink"/>
            <w:rFonts w:ascii="Arial" w:hAnsi="Arial" w:cs="Arial"/>
            <w:noProof/>
          </w:rPr>
          <w:t>Figure 1: Sales Revenue Trend</w:t>
        </w:r>
        <w:r>
          <w:rPr>
            <w:noProof/>
            <w:webHidden/>
          </w:rPr>
          <w:tab/>
        </w:r>
        <w:r>
          <w:rPr>
            <w:noProof/>
            <w:webHidden/>
          </w:rPr>
          <w:fldChar w:fldCharType="begin"/>
        </w:r>
        <w:r>
          <w:rPr>
            <w:noProof/>
            <w:webHidden/>
          </w:rPr>
          <w:instrText xml:space="preserve"> PAGEREF _Toc227920744 \h </w:instrText>
        </w:r>
        <w:r>
          <w:rPr>
            <w:noProof/>
            <w:webHidden/>
          </w:rPr>
        </w:r>
        <w:r>
          <w:rPr>
            <w:noProof/>
            <w:webHidden/>
          </w:rPr>
          <w:fldChar w:fldCharType="separate"/>
        </w:r>
        <w:r>
          <w:rPr>
            <w:noProof/>
            <w:webHidden/>
          </w:rPr>
          <w:t>25</w:t>
        </w:r>
        <w:r>
          <w:rPr>
            <w:noProof/>
            <w:webHidden/>
          </w:rPr>
          <w:fldChar w:fldCharType="end"/>
        </w:r>
      </w:hyperlink>
    </w:p>
    <w:p w14:paraId="00D34404" w14:textId="09F7B818" w:rsidR="00581AA3" w:rsidRDefault="000E28E1">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27920745" w:history="1">
        <w:r w:rsidR="00581AA3" w:rsidRPr="00D51542">
          <w:rPr>
            <w:rStyle w:val="Hyperlink"/>
            <w:rFonts w:ascii="Arial" w:hAnsi="Arial" w:cs="Arial"/>
            <w:noProof/>
          </w:rPr>
          <w:t>Figure 2: Operating Profit Trend</w:t>
        </w:r>
        <w:r w:rsidR="00581AA3">
          <w:rPr>
            <w:noProof/>
            <w:webHidden/>
          </w:rPr>
          <w:tab/>
        </w:r>
        <w:r w:rsidR="00581AA3">
          <w:rPr>
            <w:noProof/>
            <w:webHidden/>
          </w:rPr>
          <w:fldChar w:fldCharType="begin"/>
        </w:r>
        <w:r w:rsidR="00581AA3">
          <w:rPr>
            <w:noProof/>
            <w:webHidden/>
          </w:rPr>
          <w:instrText xml:space="preserve"> PAGEREF _Toc227920745 \h </w:instrText>
        </w:r>
        <w:r w:rsidR="00581AA3">
          <w:rPr>
            <w:noProof/>
            <w:webHidden/>
          </w:rPr>
        </w:r>
        <w:r w:rsidR="00581AA3">
          <w:rPr>
            <w:noProof/>
            <w:webHidden/>
          </w:rPr>
          <w:fldChar w:fldCharType="separate"/>
        </w:r>
        <w:r w:rsidR="00581AA3">
          <w:rPr>
            <w:noProof/>
            <w:webHidden/>
          </w:rPr>
          <w:t>25</w:t>
        </w:r>
        <w:r w:rsidR="00581AA3">
          <w:rPr>
            <w:noProof/>
            <w:webHidden/>
          </w:rPr>
          <w:fldChar w:fldCharType="end"/>
        </w:r>
      </w:hyperlink>
    </w:p>
    <w:p w14:paraId="43E4F637" w14:textId="5BE129D7" w:rsidR="00581AA3" w:rsidRDefault="000E28E1">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27920746" w:history="1">
        <w:r w:rsidR="00581AA3" w:rsidRPr="00D51542">
          <w:rPr>
            <w:rStyle w:val="Hyperlink"/>
            <w:rFonts w:ascii="Arial" w:hAnsi="Arial" w:cs="Arial"/>
            <w:noProof/>
          </w:rPr>
          <w:t>Figure 3: Operating Margin Trend</w:t>
        </w:r>
        <w:r w:rsidR="00581AA3">
          <w:rPr>
            <w:noProof/>
            <w:webHidden/>
          </w:rPr>
          <w:tab/>
        </w:r>
        <w:r w:rsidR="00581AA3">
          <w:rPr>
            <w:noProof/>
            <w:webHidden/>
          </w:rPr>
          <w:fldChar w:fldCharType="begin"/>
        </w:r>
        <w:r w:rsidR="00581AA3">
          <w:rPr>
            <w:noProof/>
            <w:webHidden/>
          </w:rPr>
          <w:instrText xml:space="preserve"> PAGEREF _Toc227920746 \h </w:instrText>
        </w:r>
        <w:r w:rsidR="00581AA3">
          <w:rPr>
            <w:noProof/>
            <w:webHidden/>
          </w:rPr>
        </w:r>
        <w:r w:rsidR="00581AA3">
          <w:rPr>
            <w:noProof/>
            <w:webHidden/>
          </w:rPr>
          <w:fldChar w:fldCharType="separate"/>
        </w:r>
        <w:r w:rsidR="00581AA3">
          <w:rPr>
            <w:noProof/>
            <w:webHidden/>
          </w:rPr>
          <w:t>26</w:t>
        </w:r>
        <w:r w:rsidR="00581AA3">
          <w:rPr>
            <w:noProof/>
            <w:webHidden/>
          </w:rPr>
          <w:fldChar w:fldCharType="end"/>
        </w:r>
      </w:hyperlink>
    </w:p>
    <w:p w14:paraId="41C66EA1" w14:textId="236ED935" w:rsidR="00581AA3" w:rsidRDefault="000E28E1">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27920747" w:history="1">
        <w:r w:rsidR="00581AA3" w:rsidRPr="00D51542">
          <w:rPr>
            <w:rStyle w:val="Hyperlink"/>
            <w:rFonts w:ascii="Arial" w:hAnsi="Arial" w:cs="Arial"/>
            <w:noProof/>
          </w:rPr>
          <w:t>Figure 4: Net Cash Flow Trend</w:t>
        </w:r>
        <w:r w:rsidR="00581AA3">
          <w:rPr>
            <w:noProof/>
            <w:webHidden/>
          </w:rPr>
          <w:tab/>
        </w:r>
        <w:r w:rsidR="00581AA3">
          <w:rPr>
            <w:noProof/>
            <w:webHidden/>
          </w:rPr>
          <w:fldChar w:fldCharType="begin"/>
        </w:r>
        <w:r w:rsidR="00581AA3">
          <w:rPr>
            <w:noProof/>
            <w:webHidden/>
          </w:rPr>
          <w:instrText xml:space="preserve"> PAGEREF _Toc227920747 \h </w:instrText>
        </w:r>
        <w:r w:rsidR="00581AA3">
          <w:rPr>
            <w:noProof/>
            <w:webHidden/>
          </w:rPr>
        </w:r>
        <w:r w:rsidR="00581AA3">
          <w:rPr>
            <w:noProof/>
            <w:webHidden/>
          </w:rPr>
          <w:fldChar w:fldCharType="separate"/>
        </w:r>
        <w:r w:rsidR="00581AA3">
          <w:rPr>
            <w:noProof/>
            <w:webHidden/>
          </w:rPr>
          <w:t>26</w:t>
        </w:r>
        <w:r w:rsidR="00581AA3">
          <w:rPr>
            <w:noProof/>
            <w:webHidden/>
          </w:rPr>
          <w:fldChar w:fldCharType="end"/>
        </w:r>
      </w:hyperlink>
    </w:p>
    <w:p w14:paraId="748EE2D6" w14:textId="11AB07B2" w:rsidR="00581AA3" w:rsidRDefault="000E28E1">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27920748" w:history="1">
        <w:r w:rsidR="00581AA3" w:rsidRPr="00D51542">
          <w:rPr>
            <w:rStyle w:val="Hyperlink"/>
            <w:rFonts w:ascii="Arial" w:hAnsi="Arial" w:cs="Arial"/>
            <w:noProof/>
          </w:rPr>
          <w:t>Figure 5: Ratio Analysis</w:t>
        </w:r>
        <w:r w:rsidR="00581AA3">
          <w:rPr>
            <w:noProof/>
            <w:webHidden/>
          </w:rPr>
          <w:tab/>
        </w:r>
        <w:r w:rsidR="00581AA3">
          <w:rPr>
            <w:noProof/>
            <w:webHidden/>
          </w:rPr>
          <w:fldChar w:fldCharType="begin"/>
        </w:r>
        <w:r w:rsidR="00581AA3">
          <w:rPr>
            <w:noProof/>
            <w:webHidden/>
          </w:rPr>
          <w:instrText xml:space="preserve"> PAGEREF _Toc227920748 \h </w:instrText>
        </w:r>
        <w:r w:rsidR="00581AA3">
          <w:rPr>
            <w:noProof/>
            <w:webHidden/>
          </w:rPr>
        </w:r>
        <w:r w:rsidR="00581AA3">
          <w:rPr>
            <w:noProof/>
            <w:webHidden/>
          </w:rPr>
          <w:fldChar w:fldCharType="separate"/>
        </w:r>
        <w:r w:rsidR="00581AA3">
          <w:rPr>
            <w:noProof/>
            <w:webHidden/>
          </w:rPr>
          <w:t>27</w:t>
        </w:r>
        <w:r w:rsidR="00581AA3">
          <w:rPr>
            <w:noProof/>
            <w:webHidden/>
          </w:rPr>
          <w:fldChar w:fldCharType="end"/>
        </w:r>
      </w:hyperlink>
    </w:p>
    <w:p w14:paraId="37D1EC42" w14:textId="28A12F78" w:rsidR="00576934" w:rsidRPr="00AE2312" w:rsidRDefault="00581AA3">
      <w:pPr>
        <w:spacing w:before="0" w:after="160" w:line="259" w:lineRule="auto"/>
        <w:jc w:val="left"/>
        <w:rPr>
          <w:rFonts w:ascii="Arial" w:eastAsiaTheme="majorEastAsia" w:hAnsi="Arial" w:cs="Arial"/>
          <w:b/>
          <w:bCs/>
          <w:color w:val="000000" w:themeColor="text1"/>
          <w:kern w:val="36"/>
          <w:szCs w:val="24"/>
          <w:lang w:val="en-IN" w:eastAsia="en-IN"/>
        </w:rPr>
      </w:pPr>
      <w:r>
        <w:rPr>
          <w:rFonts w:ascii="Arial" w:hAnsi="Arial" w:cs="Arial"/>
          <w:szCs w:val="24"/>
          <w:lang w:val="en-IN"/>
        </w:rPr>
        <w:fldChar w:fldCharType="end"/>
      </w:r>
      <w:r w:rsidR="00576934" w:rsidRPr="00AE2312">
        <w:rPr>
          <w:rFonts w:ascii="Arial" w:hAnsi="Arial" w:cs="Arial"/>
          <w:szCs w:val="24"/>
          <w:lang w:val="en-IN"/>
        </w:rPr>
        <w:br w:type="page"/>
      </w:r>
    </w:p>
    <w:p w14:paraId="538F53AD" w14:textId="457BC218" w:rsidR="00983123" w:rsidRPr="00AE2312" w:rsidRDefault="00983123" w:rsidP="00983123">
      <w:pPr>
        <w:pStyle w:val="Heading1"/>
        <w:rPr>
          <w:rFonts w:ascii="Arial" w:hAnsi="Arial" w:cs="Arial"/>
          <w:szCs w:val="24"/>
          <w:lang w:val="en-IN"/>
        </w:rPr>
      </w:pPr>
      <w:bookmarkStart w:id="0" w:name="_Toc227920707"/>
      <w:r w:rsidRPr="00AE2312">
        <w:rPr>
          <w:rFonts w:ascii="Arial" w:hAnsi="Arial" w:cs="Arial"/>
          <w:szCs w:val="24"/>
          <w:lang w:val="en-IN"/>
        </w:rPr>
        <w:lastRenderedPageBreak/>
        <w:t>1. Introduction</w:t>
      </w:r>
      <w:bookmarkEnd w:id="0"/>
    </w:p>
    <w:p w14:paraId="3C8A0703" w14:textId="77777777" w:rsidR="00983123" w:rsidRPr="00AE2312" w:rsidRDefault="00983123" w:rsidP="00983123">
      <w:pPr>
        <w:pStyle w:val="Heading2"/>
        <w:rPr>
          <w:rFonts w:ascii="Arial" w:hAnsi="Arial" w:cs="Arial"/>
          <w:szCs w:val="24"/>
        </w:rPr>
      </w:pPr>
      <w:bookmarkStart w:id="1" w:name="_Toc227920708"/>
      <w:r w:rsidRPr="00AE2312">
        <w:rPr>
          <w:rFonts w:ascii="Arial" w:hAnsi="Arial" w:cs="Arial"/>
          <w:szCs w:val="24"/>
        </w:rPr>
        <w:t>1.1 Company Overview</w:t>
      </w:r>
      <w:bookmarkEnd w:id="1"/>
    </w:p>
    <w:p w14:paraId="2F1C1C78" w14:textId="44AEACFD" w:rsidR="001608F6" w:rsidRPr="00AE2312" w:rsidRDefault="001608F6" w:rsidP="00983123">
      <w:pPr>
        <w:rPr>
          <w:rFonts w:ascii="Arial" w:hAnsi="Arial" w:cs="Arial"/>
          <w:szCs w:val="24"/>
          <w:lang w:val="en-IN"/>
        </w:rPr>
      </w:pPr>
      <w:r w:rsidRPr="00AE2312">
        <w:rPr>
          <w:rFonts w:ascii="Arial" w:hAnsi="Arial" w:cs="Arial"/>
          <w:szCs w:val="24"/>
          <w:lang w:val="en-IN"/>
        </w:rPr>
        <w:t xml:space="preserve">Volkswagen Group is </w:t>
      </w:r>
      <w:r w:rsidR="000B3EB7" w:rsidRPr="00AE2312">
        <w:rPr>
          <w:rFonts w:ascii="Arial" w:hAnsi="Arial" w:cs="Arial"/>
          <w:szCs w:val="24"/>
          <w:lang w:val="en-IN"/>
        </w:rPr>
        <w:t>the</w:t>
      </w:r>
      <w:r w:rsidRPr="00AE2312">
        <w:rPr>
          <w:rFonts w:ascii="Arial" w:hAnsi="Arial" w:cs="Arial"/>
          <w:szCs w:val="24"/>
          <w:lang w:val="en-IN"/>
        </w:rPr>
        <w:t xml:space="preserve"> world’s largest automobile located in various countries of the world and has a variety of brands (Volkswagen Group, 2026). Over the past years, the company has experienced a strategic shift in the direction of electric vehicles (EVs), which correspond</w:t>
      </w:r>
      <w:r w:rsidR="000B3EB7" w:rsidRPr="00AE2312">
        <w:rPr>
          <w:rFonts w:ascii="Arial" w:hAnsi="Arial" w:cs="Arial"/>
          <w:szCs w:val="24"/>
          <w:lang w:val="en-IN"/>
        </w:rPr>
        <w:t>s</w:t>
      </w:r>
      <w:r w:rsidRPr="00AE2312">
        <w:rPr>
          <w:rFonts w:ascii="Arial" w:hAnsi="Arial" w:cs="Arial"/>
          <w:szCs w:val="24"/>
          <w:lang w:val="en-IN"/>
        </w:rPr>
        <w:t xml:space="preserve"> to the global sustainability objectives and pressure to decrease carbon emissions. This change is a demonstration of the innovation, </w:t>
      </w:r>
      <w:r w:rsidR="00594BE1" w:rsidRPr="00AE2312">
        <w:rPr>
          <w:rFonts w:ascii="Arial" w:hAnsi="Arial" w:cs="Arial"/>
          <w:szCs w:val="24"/>
          <w:lang w:val="en-IN"/>
        </w:rPr>
        <w:t>environmental responsibility</w:t>
      </w:r>
      <w:r w:rsidR="00FA17CD" w:rsidRPr="00AE2312">
        <w:rPr>
          <w:rFonts w:ascii="Arial" w:hAnsi="Arial" w:cs="Arial"/>
          <w:szCs w:val="24"/>
          <w:lang w:val="en-IN"/>
        </w:rPr>
        <w:t xml:space="preserve"> </w:t>
      </w:r>
      <w:r w:rsidRPr="00AE2312">
        <w:rPr>
          <w:rFonts w:ascii="Arial" w:hAnsi="Arial" w:cs="Arial"/>
          <w:szCs w:val="24"/>
          <w:lang w:val="en-IN"/>
        </w:rPr>
        <w:t>and long-term competitiveness that Volkswagen has made in the highly dynamic automotive sector. It has a very good international presence with its operations spread to Europe, Asia, and North America and bolstered by massive production and high technological investments.</w:t>
      </w:r>
    </w:p>
    <w:p w14:paraId="2EC5031E" w14:textId="70AC8ED4" w:rsidR="008103AD" w:rsidRPr="00AE2312" w:rsidRDefault="008103AD" w:rsidP="008103AD">
      <w:pPr>
        <w:jc w:val="center"/>
        <w:rPr>
          <w:rFonts w:ascii="Arial" w:hAnsi="Arial" w:cs="Arial"/>
          <w:szCs w:val="24"/>
          <w:lang w:val="en-IN"/>
        </w:rPr>
      </w:pPr>
      <w:r w:rsidRPr="00AE2312">
        <w:rPr>
          <w:rFonts w:ascii="Arial" w:hAnsi="Arial" w:cs="Arial"/>
          <w:noProof/>
          <w:szCs w:val="24"/>
        </w:rPr>
        <w:drawing>
          <wp:inline distT="0" distB="0" distL="0" distR="0" wp14:anchorId="53858CB6" wp14:editId="58E8A91C">
            <wp:extent cx="2141220" cy="2141220"/>
            <wp:effectExtent l="0" t="0" r="0" b="0"/>
            <wp:docPr id="1830031228" name="Picture 6" descr="Volkswage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Volkswagen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11E2EB1C" w14:textId="77777777" w:rsidR="00983123" w:rsidRPr="00AE2312" w:rsidRDefault="00983123" w:rsidP="00983123">
      <w:pPr>
        <w:pStyle w:val="Heading2"/>
        <w:rPr>
          <w:rFonts w:ascii="Arial" w:hAnsi="Arial" w:cs="Arial"/>
          <w:szCs w:val="24"/>
        </w:rPr>
      </w:pPr>
      <w:bookmarkStart w:id="2" w:name="_Toc227920709"/>
      <w:r w:rsidRPr="00AE2312">
        <w:rPr>
          <w:rFonts w:ascii="Arial" w:hAnsi="Arial" w:cs="Arial"/>
          <w:szCs w:val="24"/>
        </w:rPr>
        <w:t>1.2 Purpose of the Report</w:t>
      </w:r>
      <w:bookmarkEnd w:id="2"/>
    </w:p>
    <w:p w14:paraId="20049B95" w14:textId="2EF5C24E" w:rsidR="001031FD" w:rsidRPr="00AE2312" w:rsidRDefault="001031FD" w:rsidP="00983123">
      <w:pPr>
        <w:rPr>
          <w:rFonts w:ascii="Arial" w:hAnsi="Arial" w:cs="Arial"/>
          <w:szCs w:val="24"/>
          <w:lang w:val="en-IN"/>
        </w:rPr>
      </w:pPr>
      <w:r w:rsidRPr="00AE2312">
        <w:rPr>
          <w:rFonts w:ascii="Arial" w:hAnsi="Arial" w:cs="Arial"/>
          <w:szCs w:val="24"/>
          <w:lang w:val="en-IN"/>
        </w:rPr>
        <w:t xml:space="preserve">The report </w:t>
      </w:r>
      <w:r w:rsidR="00F158E9" w:rsidRPr="00AE2312">
        <w:rPr>
          <w:rFonts w:ascii="Arial" w:hAnsi="Arial" w:cs="Arial"/>
          <w:szCs w:val="24"/>
          <w:lang w:val="en-IN"/>
        </w:rPr>
        <w:t xml:space="preserve">is prepared from the perspective of a </w:t>
      </w:r>
      <w:r w:rsidRPr="00AE2312">
        <w:rPr>
          <w:rFonts w:ascii="Arial" w:hAnsi="Arial" w:cs="Arial"/>
          <w:szCs w:val="24"/>
          <w:lang w:val="en-IN"/>
        </w:rPr>
        <w:t xml:space="preserve">Chief Financial Officer (CFO) with the aim of assessing the financial performance of Volkswagen in the last five years. The overall objective is to evaluate </w:t>
      </w:r>
      <w:r w:rsidR="000B3EB7" w:rsidRPr="00AE2312">
        <w:rPr>
          <w:rFonts w:ascii="Arial" w:hAnsi="Arial" w:cs="Arial"/>
          <w:szCs w:val="24"/>
          <w:lang w:val="en-IN"/>
        </w:rPr>
        <w:t xml:space="preserve">the </w:t>
      </w:r>
      <w:r w:rsidRPr="00AE2312">
        <w:rPr>
          <w:rFonts w:ascii="Arial" w:hAnsi="Arial" w:cs="Arial"/>
          <w:szCs w:val="24"/>
          <w:lang w:val="en-IN"/>
        </w:rPr>
        <w:t xml:space="preserve">financial health of the company through key financial statements and ratio analysis, to determine key trends, strengths, and potential risks. The report aims to recommend strategic financial measures that can enhance the overall performance and guarantee sustainable growth. It also assesses investment opportunities and financial decision-making to enable long-term value creation </w:t>
      </w:r>
      <w:r w:rsidR="000B3EB7" w:rsidRPr="00AE2312">
        <w:rPr>
          <w:rFonts w:ascii="Arial" w:hAnsi="Arial" w:cs="Arial"/>
          <w:szCs w:val="24"/>
          <w:lang w:val="en-IN"/>
        </w:rPr>
        <w:t>for</w:t>
      </w:r>
      <w:r w:rsidRPr="00AE2312">
        <w:rPr>
          <w:rFonts w:ascii="Arial" w:hAnsi="Arial" w:cs="Arial"/>
          <w:szCs w:val="24"/>
          <w:lang w:val="en-IN"/>
        </w:rPr>
        <w:t xml:space="preserve"> the stakeholders.</w:t>
      </w:r>
    </w:p>
    <w:p w14:paraId="59ED861B" w14:textId="77777777" w:rsidR="00983123" w:rsidRPr="00AE2312" w:rsidRDefault="00983123" w:rsidP="00983123">
      <w:pPr>
        <w:pStyle w:val="Heading2"/>
        <w:rPr>
          <w:rFonts w:ascii="Arial" w:hAnsi="Arial" w:cs="Arial"/>
          <w:szCs w:val="24"/>
        </w:rPr>
      </w:pPr>
      <w:bookmarkStart w:id="3" w:name="_Toc227920710"/>
      <w:r w:rsidRPr="00AE2312">
        <w:rPr>
          <w:rFonts w:ascii="Arial" w:hAnsi="Arial" w:cs="Arial"/>
          <w:szCs w:val="24"/>
        </w:rPr>
        <w:t>1.3 Structure of the Report</w:t>
      </w:r>
      <w:bookmarkEnd w:id="3"/>
    </w:p>
    <w:p w14:paraId="499E257C" w14:textId="77F416E0" w:rsidR="00D60DFB" w:rsidRPr="00AE2312" w:rsidRDefault="00D60DFB" w:rsidP="00983123">
      <w:pPr>
        <w:rPr>
          <w:rFonts w:ascii="Arial" w:hAnsi="Arial" w:cs="Arial"/>
          <w:szCs w:val="24"/>
          <w:lang w:val="en-IN"/>
        </w:rPr>
      </w:pPr>
      <w:r w:rsidRPr="00AE2312">
        <w:rPr>
          <w:rFonts w:ascii="Arial" w:hAnsi="Arial" w:cs="Arial"/>
          <w:szCs w:val="24"/>
          <w:lang w:val="en-IN"/>
        </w:rPr>
        <w:t xml:space="preserve">The report has been divided into a number of sections. It starts with </w:t>
      </w:r>
      <w:r w:rsidR="000B3EB7" w:rsidRPr="00AE2312">
        <w:rPr>
          <w:rFonts w:ascii="Arial" w:hAnsi="Arial" w:cs="Arial"/>
          <w:szCs w:val="24"/>
          <w:lang w:val="en-IN"/>
        </w:rPr>
        <w:t xml:space="preserve">a </w:t>
      </w:r>
      <w:r w:rsidRPr="00AE2312">
        <w:rPr>
          <w:rFonts w:ascii="Arial" w:hAnsi="Arial" w:cs="Arial"/>
          <w:szCs w:val="24"/>
          <w:lang w:val="en-IN"/>
        </w:rPr>
        <w:t xml:space="preserve">financial health check, which examines the past performances and ratio trend. This is then followed </w:t>
      </w:r>
      <w:r w:rsidRPr="00AE2312">
        <w:rPr>
          <w:rFonts w:ascii="Arial" w:hAnsi="Arial" w:cs="Arial"/>
          <w:szCs w:val="24"/>
          <w:lang w:val="en-IN"/>
        </w:rPr>
        <w:lastRenderedPageBreak/>
        <w:t xml:space="preserve">by an analysis of working capital management in terms of liquidity and efficiency. </w:t>
      </w:r>
      <w:r w:rsidR="000B3EB7" w:rsidRPr="00AE2312">
        <w:rPr>
          <w:rFonts w:ascii="Arial" w:hAnsi="Arial" w:cs="Arial"/>
          <w:szCs w:val="24"/>
          <w:lang w:val="en-IN"/>
        </w:rPr>
        <w:t>A s</w:t>
      </w:r>
      <w:r w:rsidRPr="00AE2312">
        <w:rPr>
          <w:rFonts w:ascii="Arial" w:hAnsi="Arial" w:cs="Arial"/>
          <w:szCs w:val="24"/>
          <w:lang w:val="en-IN"/>
        </w:rPr>
        <w:t xml:space="preserve">trategic financial restructuring plan is then provided in the report to solve </w:t>
      </w:r>
      <w:r w:rsidR="000B3EB7" w:rsidRPr="00AE2312">
        <w:rPr>
          <w:rFonts w:ascii="Arial" w:hAnsi="Arial" w:cs="Arial"/>
          <w:szCs w:val="24"/>
          <w:lang w:val="en-IN"/>
        </w:rPr>
        <w:t xml:space="preserve">the </w:t>
      </w:r>
      <w:r w:rsidRPr="00AE2312">
        <w:rPr>
          <w:rFonts w:ascii="Arial" w:hAnsi="Arial" w:cs="Arial"/>
          <w:szCs w:val="24"/>
          <w:lang w:val="en-IN"/>
        </w:rPr>
        <w:t xml:space="preserve">identified problems. This is followed by </w:t>
      </w:r>
      <w:r w:rsidR="000B3EB7" w:rsidRPr="00AE2312">
        <w:rPr>
          <w:rFonts w:ascii="Arial" w:hAnsi="Arial" w:cs="Arial"/>
          <w:szCs w:val="24"/>
          <w:lang w:val="en-IN"/>
        </w:rPr>
        <w:t xml:space="preserve">the </w:t>
      </w:r>
      <w:r w:rsidRPr="00AE2312">
        <w:rPr>
          <w:rFonts w:ascii="Arial" w:hAnsi="Arial" w:cs="Arial"/>
          <w:szCs w:val="24"/>
          <w:lang w:val="en-IN"/>
        </w:rPr>
        <w:t xml:space="preserve">investment appraisal section which assesses various projects using financial methods. </w:t>
      </w:r>
      <w:r w:rsidR="001B4113" w:rsidRPr="00AE2312">
        <w:rPr>
          <w:rFonts w:ascii="Arial" w:hAnsi="Arial" w:cs="Arial"/>
          <w:szCs w:val="24"/>
          <w:lang w:val="en-IN"/>
        </w:rPr>
        <w:t>The</w:t>
      </w:r>
      <w:r w:rsidRPr="00AE2312">
        <w:rPr>
          <w:rFonts w:ascii="Arial" w:hAnsi="Arial" w:cs="Arial"/>
          <w:szCs w:val="24"/>
          <w:lang w:val="en-IN"/>
        </w:rPr>
        <w:t xml:space="preserve"> report ends with some main findings and recommendations that are backed up with detailed data and graphical analysis in appendices.</w:t>
      </w:r>
    </w:p>
    <w:p w14:paraId="1B6D1D78" w14:textId="77777777" w:rsidR="00A42D7C" w:rsidRPr="00AE2312" w:rsidRDefault="00A42D7C" w:rsidP="00202054">
      <w:pPr>
        <w:pStyle w:val="Heading1"/>
        <w:rPr>
          <w:rFonts w:ascii="Arial" w:hAnsi="Arial" w:cs="Arial"/>
          <w:szCs w:val="24"/>
          <w:lang w:val="en-IN"/>
        </w:rPr>
      </w:pPr>
      <w:bookmarkStart w:id="4" w:name="_Toc227920711"/>
      <w:r w:rsidRPr="00AE2312">
        <w:rPr>
          <w:rFonts w:ascii="Arial" w:hAnsi="Arial" w:cs="Arial"/>
          <w:szCs w:val="24"/>
          <w:lang w:val="en-IN"/>
        </w:rPr>
        <w:t>2. Financial Health Check</w:t>
      </w:r>
      <w:bookmarkEnd w:id="4"/>
    </w:p>
    <w:p w14:paraId="44103E10" w14:textId="77777777" w:rsidR="00A42D7C" w:rsidRPr="00AE2312" w:rsidRDefault="00A42D7C" w:rsidP="00202054">
      <w:pPr>
        <w:pStyle w:val="Heading2"/>
        <w:rPr>
          <w:rFonts w:ascii="Arial" w:hAnsi="Arial" w:cs="Arial"/>
          <w:szCs w:val="24"/>
        </w:rPr>
      </w:pPr>
      <w:bookmarkStart w:id="5" w:name="_Toc227920712"/>
      <w:r w:rsidRPr="00AE2312">
        <w:rPr>
          <w:rFonts w:ascii="Arial" w:hAnsi="Arial" w:cs="Arial"/>
          <w:szCs w:val="24"/>
        </w:rPr>
        <w:t>2.1 Financial Performance Overview</w:t>
      </w:r>
      <w:bookmarkEnd w:id="5"/>
    </w:p>
    <w:p w14:paraId="3E29D1DE" w14:textId="18597CFF" w:rsidR="00A42D7C" w:rsidRPr="00AE2312" w:rsidRDefault="00A42D7C" w:rsidP="00A42D7C">
      <w:pPr>
        <w:rPr>
          <w:rFonts w:ascii="Arial" w:hAnsi="Arial" w:cs="Arial"/>
          <w:szCs w:val="24"/>
          <w:lang w:val="en-IN"/>
        </w:rPr>
      </w:pPr>
      <w:r w:rsidRPr="00AE2312">
        <w:rPr>
          <w:rFonts w:ascii="Arial" w:hAnsi="Arial" w:cs="Arial"/>
          <w:szCs w:val="24"/>
          <w:lang w:val="en-IN"/>
        </w:rPr>
        <w:t>Volkswagen’s financial performance over the five</w:t>
      </w:r>
      <w:r w:rsidR="000B3EB7" w:rsidRPr="00AE2312">
        <w:rPr>
          <w:rFonts w:ascii="Arial" w:hAnsi="Arial" w:cs="Arial"/>
          <w:szCs w:val="24"/>
          <w:lang w:val="en-IN"/>
        </w:rPr>
        <w:t xml:space="preserve"> years</w:t>
      </w:r>
      <w:r w:rsidRPr="00AE2312">
        <w:rPr>
          <w:rFonts w:ascii="Arial" w:hAnsi="Arial" w:cs="Arial"/>
          <w:szCs w:val="24"/>
          <w:lang w:val="en-IN"/>
        </w:rPr>
        <w:t xml:space="preserve"> (2021–2025) demonstrates a mixed trend, combining revenue stability with declining profitability. As illustrated in </w:t>
      </w:r>
      <w:r w:rsidR="00B94395" w:rsidRPr="00AE2312">
        <w:rPr>
          <w:rFonts w:ascii="Arial" w:hAnsi="Arial" w:cs="Arial"/>
          <w:i/>
          <w:iCs/>
          <w:szCs w:val="24"/>
          <w:lang w:val="en-IN"/>
        </w:rPr>
        <w:fldChar w:fldCharType="begin"/>
      </w:r>
      <w:r w:rsidR="00B94395" w:rsidRPr="00AE2312">
        <w:rPr>
          <w:rFonts w:ascii="Arial" w:hAnsi="Arial" w:cs="Arial"/>
          <w:szCs w:val="24"/>
          <w:lang w:val="en-IN"/>
        </w:rPr>
        <w:instrText xml:space="preserve"> REF _Ref227866575 \h </w:instrText>
      </w:r>
      <w:r w:rsidR="00AE2312" w:rsidRPr="00AE2312">
        <w:rPr>
          <w:rFonts w:ascii="Arial" w:hAnsi="Arial" w:cs="Arial"/>
          <w:i/>
          <w:iCs/>
          <w:szCs w:val="24"/>
          <w:lang w:val="en-IN"/>
        </w:rPr>
        <w:instrText xml:space="preserve"> \* MERGEFORMAT </w:instrText>
      </w:r>
      <w:r w:rsidR="00B94395" w:rsidRPr="00AE2312">
        <w:rPr>
          <w:rFonts w:ascii="Arial" w:hAnsi="Arial" w:cs="Arial"/>
          <w:i/>
          <w:iCs/>
          <w:szCs w:val="24"/>
          <w:lang w:val="en-IN"/>
        </w:rPr>
      </w:r>
      <w:r w:rsidR="00B94395" w:rsidRPr="00AE2312">
        <w:rPr>
          <w:rFonts w:ascii="Arial" w:hAnsi="Arial" w:cs="Arial"/>
          <w:i/>
          <w:iCs/>
          <w:szCs w:val="24"/>
          <w:lang w:val="en-IN"/>
        </w:rPr>
        <w:fldChar w:fldCharType="separate"/>
      </w:r>
      <w:r w:rsidR="00B94395" w:rsidRPr="00AE2312">
        <w:rPr>
          <w:rFonts w:ascii="Arial" w:hAnsi="Arial" w:cs="Arial"/>
          <w:szCs w:val="24"/>
        </w:rPr>
        <w:t xml:space="preserve">Figure </w:t>
      </w:r>
      <w:r w:rsidR="00B94395" w:rsidRPr="00AE2312">
        <w:rPr>
          <w:rFonts w:ascii="Arial" w:hAnsi="Arial" w:cs="Arial"/>
          <w:noProof/>
          <w:szCs w:val="24"/>
        </w:rPr>
        <w:t>1</w:t>
      </w:r>
      <w:r w:rsidR="00B94395" w:rsidRPr="00AE2312">
        <w:rPr>
          <w:rFonts w:ascii="Arial" w:hAnsi="Arial" w:cs="Arial"/>
          <w:i/>
          <w:iCs/>
          <w:szCs w:val="24"/>
          <w:lang w:val="en-IN"/>
        </w:rPr>
        <w:fldChar w:fldCharType="end"/>
      </w:r>
      <w:r w:rsidRPr="00AE2312">
        <w:rPr>
          <w:rFonts w:ascii="Arial" w:hAnsi="Arial" w:cs="Arial"/>
          <w:szCs w:val="24"/>
          <w:lang w:val="en-IN"/>
        </w:rPr>
        <w:t>, sales revenue increased steadily from €250,200 million in 2021 to a peak of €324,656 million in 2024, before experiencing a slight decline to €321,913 million in 2025</w:t>
      </w:r>
      <w:r w:rsidR="007B54F9" w:rsidRPr="00AE2312">
        <w:rPr>
          <w:rFonts w:ascii="Arial" w:hAnsi="Arial" w:cs="Arial"/>
          <w:szCs w:val="24"/>
          <w:lang w:val="en-IN"/>
        </w:rPr>
        <w:t xml:space="preserve"> (Volkswagen Group, 2026a)</w:t>
      </w:r>
      <w:r w:rsidRPr="00AE2312">
        <w:rPr>
          <w:rFonts w:ascii="Arial" w:hAnsi="Arial" w:cs="Arial"/>
          <w:szCs w:val="24"/>
          <w:lang w:val="en-IN"/>
        </w:rPr>
        <w:t>. This indicates that the company has maintained strong market demand and global presence, particularly during its transition towards electric vehicles. The consistent growth until 2023 reflects successful expansion strategies and increased production capacity.</w:t>
      </w:r>
    </w:p>
    <w:p w14:paraId="6CFB742C" w14:textId="3C1CEF98" w:rsidR="00A42D7C" w:rsidRPr="00AE2312" w:rsidRDefault="00A42D7C" w:rsidP="00A42D7C">
      <w:pPr>
        <w:rPr>
          <w:rFonts w:ascii="Arial" w:hAnsi="Arial" w:cs="Arial"/>
          <w:szCs w:val="24"/>
          <w:lang w:val="en-IN"/>
        </w:rPr>
      </w:pPr>
      <w:r w:rsidRPr="00AE2312">
        <w:rPr>
          <w:rFonts w:ascii="Arial" w:hAnsi="Arial" w:cs="Arial"/>
          <w:szCs w:val="24"/>
          <w:lang w:val="en-IN"/>
        </w:rPr>
        <w:t xml:space="preserve">However, profitability trends present a contrasting picture. Despite rising revenues, operating profit peaked in 2023 at €22,576 million and then declined sharply to €8,868 million in 2025, as shown in </w:t>
      </w:r>
      <w:r w:rsidR="00301754" w:rsidRPr="00AE2312">
        <w:rPr>
          <w:rFonts w:ascii="Arial" w:hAnsi="Arial" w:cs="Arial"/>
          <w:i/>
          <w:iCs/>
          <w:szCs w:val="24"/>
          <w:lang w:val="en-IN"/>
        </w:rPr>
        <w:fldChar w:fldCharType="begin"/>
      </w:r>
      <w:r w:rsidR="00301754" w:rsidRPr="00AE2312">
        <w:rPr>
          <w:rFonts w:ascii="Arial" w:hAnsi="Arial" w:cs="Arial"/>
          <w:szCs w:val="24"/>
          <w:lang w:val="en-IN"/>
        </w:rPr>
        <w:instrText xml:space="preserve"> REF _Ref227866622 \h </w:instrText>
      </w:r>
      <w:r w:rsidR="00AE2312" w:rsidRPr="00AE2312">
        <w:rPr>
          <w:rFonts w:ascii="Arial" w:hAnsi="Arial" w:cs="Arial"/>
          <w:i/>
          <w:iCs/>
          <w:szCs w:val="24"/>
          <w:lang w:val="en-IN"/>
        </w:rPr>
        <w:instrText xml:space="preserve"> \* MERGEFORMAT </w:instrText>
      </w:r>
      <w:r w:rsidR="00301754" w:rsidRPr="00AE2312">
        <w:rPr>
          <w:rFonts w:ascii="Arial" w:hAnsi="Arial" w:cs="Arial"/>
          <w:i/>
          <w:iCs/>
          <w:szCs w:val="24"/>
          <w:lang w:val="en-IN"/>
        </w:rPr>
      </w:r>
      <w:r w:rsidR="00301754" w:rsidRPr="00AE2312">
        <w:rPr>
          <w:rFonts w:ascii="Arial" w:hAnsi="Arial" w:cs="Arial"/>
          <w:i/>
          <w:iCs/>
          <w:szCs w:val="24"/>
          <w:lang w:val="en-IN"/>
        </w:rPr>
        <w:fldChar w:fldCharType="separate"/>
      </w:r>
      <w:r w:rsidR="00301754" w:rsidRPr="00AE2312">
        <w:rPr>
          <w:rFonts w:ascii="Arial" w:hAnsi="Arial" w:cs="Arial"/>
          <w:szCs w:val="24"/>
        </w:rPr>
        <w:t xml:space="preserve">Figure </w:t>
      </w:r>
      <w:r w:rsidR="00301754" w:rsidRPr="00AE2312">
        <w:rPr>
          <w:rFonts w:ascii="Arial" w:hAnsi="Arial" w:cs="Arial"/>
          <w:noProof/>
          <w:szCs w:val="24"/>
        </w:rPr>
        <w:t>2</w:t>
      </w:r>
      <w:r w:rsidR="00301754" w:rsidRPr="00AE2312">
        <w:rPr>
          <w:rFonts w:ascii="Arial" w:hAnsi="Arial" w:cs="Arial"/>
          <w:i/>
          <w:iCs/>
          <w:szCs w:val="24"/>
          <w:lang w:val="en-IN"/>
        </w:rPr>
        <w:fldChar w:fldCharType="end"/>
      </w:r>
      <w:r w:rsidR="00301754" w:rsidRPr="00AE2312">
        <w:rPr>
          <w:rFonts w:ascii="Arial" w:hAnsi="Arial" w:cs="Arial"/>
          <w:i/>
          <w:iCs/>
          <w:szCs w:val="24"/>
          <w:lang w:val="en-IN"/>
        </w:rPr>
        <w:t xml:space="preserve"> </w:t>
      </w:r>
      <w:r w:rsidR="008F3D62" w:rsidRPr="00AE2312">
        <w:rPr>
          <w:rFonts w:ascii="Arial" w:hAnsi="Arial" w:cs="Arial"/>
          <w:szCs w:val="24"/>
          <w:lang w:val="en-IN"/>
        </w:rPr>
        <w:t>(Volkswagen Group, 2024)</w:t>
      </w:r>
      <w:r w:rsidRPr="00AE2312">
        <w:rPr>
          <w:rFonts w:ascii="Arial" w:hAnsi="Arial" w:cs="Arial"/>
          <w:szCs w:val="24"/>
          <w:lang w:val="en-IN"/>
        </w:rPr>
        <w:t>. This divergence between revenue and profit suggests increasing operational costs, inefficiencies, or pricing pressures. The decline in profitability highlights the financial strain associated with investment in EV technology, supply chain disruptions, and inflationary pressures. Overall, while Volkswagen demonstrates strong revenue generation capability, its declining profit performance raises concerns about cost management and operational efficiency.</w:t>
      </w:r>
    </w:p>
    <w:p w14:paraId="05A4A0EB" w14:textId="77777777" w:rsidR="00A42D7C" w:rsidRPr="00AE2312" w:rsidRDefault="00A42D7C" w:rsidP="00202054">
      <w:pPr>
        <w:pStyle w:val="Heading2"/>
        <w:rPr>
          <w:rFonts w:ascii="Arial" w:hAnsi="Arial" w:cs="Arial"/>
          <w:szCs w:val="24"/>
        </w:rPr>
      </w:pPr>
      <w:bookmarkStart w:id="6" w:name="_Toc227920713"/>
      <w:r w:rsidRPr="00AE2312">
        <w:rPr>
          <w:rFonts w:ascii="Arial" w:hAnsi="Arial" w:cs="Arial"/>
          <w:szCs w:val="24"/>
        </w:rPr>
        <w:t>2.2 Ratio Analysis</w:t>
      </w:r>
      <w:bookmarkEnd w:id="6"/>
    </w:p>
    <w:p w14:paraId="17BDFE43" w14:textId="77777777" w:rsidR="00A42D7C" w:rsidRPr="00AE2312" w:rsidRDefault="00A42D7C" w:rsidP="00202054">
      <w:pPr>
        <w:pStyle w:val="Heading3"/>
        <w:rPr>
          <w:rFonts w:ascii="Arial" w:hAnsi="Arial" w:cs="Arial"/>
          <w:szCs w:val="24"/>
          <w:lang w:val="en-IN"/>
        </w:rPr>
      </w:pPr>
      <w:bookmarkStart w:id="7" w:name="_Toc227920714"/>
      <w:r w:rsidRPr="00AE2312">
        <w:rPr>
          <w:rFonts w:ascii="Arial" w:hAnsi="Arial" w:cs="Arial"/>
          <w:szCs w:val="24"/>
          <w:lang w:val="en-IN"/>
        </w:rPr>
        <w:t>2.2.1 Profitability Ratios</w:t>
      </w:r>
      <w:bookmarkEnd w:id="7"/>
    </w:p>
    <w:p w14:paraId="6ED00E3A" w14:textId="3D207375" w:rsidR="00A42D7C" w:rsidRPr="00AE2312" w:rsidRDefault="00A42D7C" w:rsidP="00A42D7C">
      <w:pPr>
        <w:rPr>
          <w:rFonts w:ascii="Arial" w:hAnsi="Arial" w:cs="Arial"/>
          <w:szCs w:val="24"/>
          <w:lang w:val="en-IN"/>
        </w:rPr>
      </w:pPr>
      <w:r w:rsidRPr="00AE2312">
        <w:rPr>
          <w:rFonts w:ascii="Arial" w:hAnsi="Arial" w:cs="Arial"/>
          <w:szCs w:val="24"/>
          <w:lang w:val="en-IN"/>
        </w:rPr>
        <w:t xml:space="preserve">Profitability ratios indicate a significant deterioration in Volkswagen’s financial performance. As shown in </w:t>
      </w:r>
      <w:r w:rsidR="00B94395" w:rsidRPr="00AE2312">
        <w:rPr>
          <w:rFonts w:ascii="Arial" w:hAnsi="Arial" w:cs="Arial"/>
          <w:i/>
          <w:iCs/>
          <w:szCs w:val="24"/>
          <w:lang w:val="en-IN"/>
        </w:rPr>
        <w:fldChar w:fldCharType="begin"/>
      </w:r>
      <w:r w:rsidR="00B94395" w:rsidRPr="00AE2312">
        <w:rPr>
          <w:rFonts w:ascii="Arial" w:hAnsi="Arial" w:cs="Arial"/>
          <w:szCs w:val="24"/>
          <w:lang w:val="en-IN"/>
        </w:rPr>
        <w:instrText xml:space="preserve"> REF _Ref227866602 \h </w:instrText>
      </w:r>
      <w:r w:rsidR="00AE2312" w:rsidRPr="00AE2312">
        <w:rPr>
          <w:rFonts w:ascii="Arial" w:hAnsi="Arial" w:cs="Arial"/>
          <w:i/>
          <w:iCs/>
          <w:szCs w:val="24"/>
          <w:lang w:val="en-IN"/>
        </w:rPr>
        <w:instrText xml:space="preserve"> \* MERGEFORMAT </w:instrText>
      </w:r>
      <w:r w:rsidR="00B94395" w:rsidRPr="00AE2312">
        <w:rPr>
          <w:rFonts w:ascii="Arial" w:hAnsi="Arial" w:cs="Arial"/>
          <w:i/>
          <w:iCs/>
          <w:szCs w:val="24"/>
          <w:lang w:val="en-IN"/>
        </w:rPr>
      </w:r>
      <w:r w:rsidR="00B94395" w:rsidRPr="00AE2312">
        <w:rPr>
          <w:rFonts w:ascii="Arial" w:hAnsi="Arial" w:cs="Arial"/>
          <w:i/>
          <w:iCs/>
          <w:szCs w:val="24"/>
          <w:lang w:val="en-IN"/>
        </w:rPr>
        <w:fldChar w:fldCharType="separate"/>
      </w:r>
      <w:r w:rsidR="00B94395" w:rsidRPr="00AE2312">
        <w:rPr>
          <w:rFonts w:ascii="Arial" w:hAnsi="Arial" w:cs="Arial"/>
          <w:szCs w:val="24"/>
        </w:rPr>
        <w:t xml:space="preserve">Figure </w:t>
      </w:r>
      <w:r w:rsidR="00B94395" w:rsidRPr="00AE2312">
        <w:rPr>
          <w:rFonts w:ascii="Arial" w:hAnsi="Arial" w:cs="Arial"/>
          <w:noProof/>
          <w:szCs w:val="24"/>
        </w:rPr>
        <w:t>3</w:t>
      </w:r>
      <w:r w:rsidR="00B94395" w:rsidRPr="00AE2312">
        <w:rPr>
          <w:rFonts w:ascii="Arial" w:hAnsi="Arial" w:cs="Arial"/>
          <w:i/>
          <w:iCs/>
          <w:szCs w:val="24"/>
          <w:lang w:val="en-IN"/>
        </w:rPr>
        <w:fldChar w:fldCharType="end"/>
      </w:r>
      <w:r w:rsidRPr="00AE2312">
        <w:rPr>
          <w:rFonts w:ascii="Arial" w:hAnsi="Arial" w:cs="Arial"/>
          <w:szCs w:val="24"/>
          <w:lang w:val="en-IN"/>
        </w:rPr>
        <w:t>, the operating margin improved slightly from 7.7% in 2021 to 7.9% in 2022, before declining consistently to 2.8% in 2025</w:t>
      </w:r>
      <w:r w:rsidR="00975BFF" w:rsidRPr="00AE2312">
        <w:rPr>
          <w:rFonts w:ascii="Arial" w:hAnsi="Arial" w:cs="Arial"/>
          <w:szCs w:val="24"/>
          <w:lang w:val="en-IN"/>
        </w:rPr>
        <w:t xml:space="preserve"> (Volkswagen Group, 2023)</w:t>
      </w:r>
      <w:r w:rsidRPr="00AE2312">
        <w:rPr>
          <w:rFonts w:ascii="Arial" w:hAnsi="Arial" w:cs="Arial"/>
          <w:szCs w:val="24"/>
          <w:lang w:val="en-IN"/>
        </w:rPr>
        <w:t xml:space="preserve">. This sharp decrease highlights reduced efficiency in converting revenue </w:t>
      </w:r>
      <w:r w:rsidRPr="00AE2312">
        <w:rPr>
          <w:rFonts w:ascii="Arial" w:hAnsi="Arial" w:cs="Arial"/>
          <w:szCs w:val="24"/>
          <w:lang w:val="en-IN"/>
        </w:rPr>
        <w:lastRenderedPageBreak/>
        <w:t>into operating profit. Similarly, net profit margins followed a downward trend, reflecting increased expenses and declining earnings.</w:t>
      </w:r>
    </w:p>
    <w:p w14:paraId="684B2480" w14:textId="1017723E" w:rsidR="006127A1" w:rsidRPr="00AE2312" w:rsidRDefault="006127A1" w:rsidP="00A42D7C">
      <w:pPr>
        <w:rPr>
          <w:rFonts w:ascii="Arial" w:hAnsi="Arial" w:cs="Arial"/>
          <w:szCs w:val="24"/>
          <w:lang w:val="en-IN"/>
        </w:rPr>
      </w:pPr>
      <w:r w:rsidRPr="00AE2312">
        <w:rPr>
          <w:rFonts w:ascii="Arial" w:hAnsi="Arial" w:cs="Arial"/>
          <w:szCs w:val="24"/>
          <w:lang w:val="en-IN"/>
        </w:rPr>
        <w:t>The declining profitability indicates that Volkswagen is experiencing increasing production costs, increased investment in innovation and competitiveness on the EV market. The company is not coping with profit levels, which are still high</w:t>
      </w:r>
      <w:r w:rsidR="000B3EB7" w:rsidRPr="00AE2312">
        <w:rPr>
          <w:rFonts w:ascii="Arial" w:hAnsi="Arial" w:cs="Arial"/>
          <w:szCs w:val="24"/>
          <w:lang w:val="en-IN"/>
        </w:rPr>
        <w:t>,</w:t>
      </w:r>
      <w:r w:rsidRPr="00AE2312">
        <w:rPr>
          <w:rFonts w:ascii="Arial" w:hAnsi="Arial" w:cs="Arial"/>
          <w:szCs w:val="24"/>
          <w:lang w:val="en-IN"/>
        </w:rPr>
        <w:t xml:space="preserve"> but this means that it is not very efficient in its cost management and operations (</w:t>
      </w:r>
      <w:proofErr w:type="spellStart"/>
      <w:r w:rsidRPr="00AE2312">
        <w:rPr>
          <w:rFonts w:ascii="Arial" w:hAnsi="Arial" w:cs="Arial"/>
          <w:szCs w:val="24"/>
          <w:lang w:val="en-IN"/>
        </w:rPr>
        <w:t>Namadi</w:t>
      </w:r>
      <w:proofErr w:type="spellEnd"/>
      <w:r w:rsidRPr="00AE2312">
        <w:rPr>
          <w:rFonts w:ascii="Arial" w:hAnsi="Arial" w:cs="Arial"/>
          <w:szCs w:val="24"/>
          <w:lang w:val="en-IN"/>
        </w:rPr>
        <w:t>, 2023).</w:t>
      </w:r>
    </w:p>
    <w:p w14:paraId="3EEE02BD" w14:textId="77777777" w:rsidR="00A42D7C" w:rsidRPr="00AE2312" w:rsidRDefault="00A42D7C" w:rsidP="00202054">
      <w:pPr>
        <w:pStyle w:val="Heading3"/>
        <w:rPr>
          <w:rFonts w:ascii="Arial" w:hAnsi="Arial" w:cs="Arial"/>
          <w:szCs w:val="24"/>
          <w:lang w:val="en-IN"/>
        </w:rPr>
      </w:pPr>
      <w:bookmarkStart w:id="8" w:name="_Toc227920715"/>
      <w:r w:rsidRPr="00AE2312">
        <w:rPr>
          <w:rFonts w:ascii="Arial" w:hAnsi="Arial" w:cs="Arial"/>
          <w:szCs w:val="24"/>
          <w:lang w:val="en-IN"/>
        </w:rPr>
        <w:t>2.2.2 Liquidity Ratios</w:t>
      </w:r>
      <w:bookmarkEnd w:id="8"/>
    </w:p>
    <w:p w14:paraId="033287EC" w14:textId="7E2F1FF5" w:rsidR="006B27B0" w:rsidRPr="00AE2312" w:rsidRDefault="006B27B0" w:rsidP="005248BB">
      <w:pPr>
        <w:rPr>
          <w:rFonts w:ascii="Arial" w:hAnsi="Arial" w:cs="Arial"/>
          <w:szCs w:val="24"/>
          <w:lang w:val="en-IN"/>
        </w:rPr>
      </w:pPr>
      <w:r w:rsidRPr="00AE2312">
        <w:rPr>
          <w:rFonts w:ascii="Arial" w:hAnsi="Arial" w:cs="Arial"/>
          <w:szCs w:val="24"/>
          <w:lang w:val="en-IN"/>
        </w:rPr>
        <w:t xml:space="preserve">Liquidity ratios indicate the capacity of the company to pay </w:t>
      </w:r>
      <w:r w:rsidR="000B3EB7" w:rsidRPr="00AE2312">
        <w:rPr>
          <w:rFonts w:ascii="Arial" w:hAnsi="Arial" w:cs="Arial"/>
          <w:szCs w:val="24"/>
          <w:lang w:val="en-IN"/>
        </w:rPr>
        <w:t>its</w:t>
      </w:r>
      <w:r w:rsidRPr="00AE2312">
        <w:rPr>
          <w:rFonts w:ascii="Arial" w:hAnsi="Arial" w:cs="Arial"/>
          <w:szCs w:val="24"/>
          <w:lang w:val="en-IN"/>
        </w:rPr>
        <w:t xml:space="preserve"> short-term debts. The information reveals variations in cash flow, where the cash flow reduced significantly in 2022 and then recovered in 2023, and after that, it was unstable (Volkswagen Group, 2023). This volatility implies that the liquidity position of Volkswagen is not always stable. Even though the company has adequate cash reserves, the irregularities in cash flow can lead to short-term financial strain. This underscores the significance of proper management of working capital to maintain </w:t>
      </w:r>
      <w:r w:rsidR="000B3EB7" w:rsidRPr="00AE2312">
        <w:rPr>
          <w:rFonts w:ascii="Arial" w:hAnsi="Arial" w:cs="Arial"/>
          <w:szCs w:val="24"/>
          <w:lang w:val="en-IN"/>
        </w:rPr>
        <w:t xml:space="preserve">the </w:t>
      </w:r>
      <w:r w:rsidRPr="00AE2312">
        <w:rPr>
          <w:rFonts w:ascii="Arial" w:hAnsi="Arial" w:cs="Arial"/>
          <w:szCs w:val="24"/>
          <w:lang w:val="en-IN"/>
        </w:rPr>
        <w:t>stability of liquidity, especially in times of high investment and operational transformation.</w:t>
      </w:r>
    </w:p>
    <w:p w14:paraId="0D9723C6" w14:textId="77777777" w:rsidR="00A42D7C" w:rsidRPr="00AE2312" w:rsidRDefault="00A42D7C" w:rsidP="00202054">
      <w:pPr>
        <w:pStyle w:val="Heading3"/>
        <w:rPr>
          <w:rFonts w:ascii="Arial" w:hAnsi="Arial" w:cs="Arial"/>
          <w:szCs w:val="24"/>
          <w:lang w:val="en-IN"/>
        </w:rPr>
      </w:pPr>
      <w:bookmarkStart w:id="9" w:name="_Toc227920716"/>
      <w:r w:rsidRPr="00AE2312">
        <w:rPr>
          <w:rFonts w:ascii="Arial" w:hAnsi="Arial" w:cs="Arial"/>
          <w:szCs w:val="24"/>
          <w:lang w:val="en-IN"/>
        </w:rPr>
        <w:t>2.2.3 Efficiency Ratios</w:t>
      </w:r>
      <w:bookmarkEnd w:id="9"/>
    </w:p>
    <w:p w14:paraId="44A96835" w14:textId="5D331DED" w:rsidR="00EE5F8B" w:rsidRPr="00AE2312" w:rsidRDefault="00EE5F8B" w:rsidP="00202054">
      <w:pPr>
        <w:rPr>
          <w:rFonts w:ascii="Arial" w:hAnsi="Arial" w:cs="Arial"/>
          <w:szCs w:val="24"/>
          <w:lang w:val="en-IN"/>
        </w:rPr>
      </w:pPr>
      <w:r w:rsidRPr="00AE2312">
        <w:rPr>
          <w:rFonts w:ascii="Arial" w:hAnsi="Arial" w:cs="Arial"/>
          <w:szCs w:val="24"/>
          <w:lang w:val="en-IN"/>
        </w:rPr>
        <w:t xml:space="preserve">Efficiency ratios are used to assess the efficiency of Volkswagen in using its assets and costs. The decreasing operating margins can be seen as </w:t>
      </w:r>
      <w:r w:rsidR="000B3EB7" w:rsidRPr="00AE2312">
        <w:rPr>
          <w:rFonts w:ascii="Arial" w:hAnsi="Arial" w:cs="Arial"/>
          <w:szCs w:val="24"/>
          <w:lang w:val="en-IN"/>
        </w:rPr>
        <w:t>an</w:t>
      </w:r>
      <w:r w:rsidRPr="00AE2312">
        <w:rPr>
          <w:rFonts w:ascii="Arial" w:hAnsi="Arial" w:cs="Arial"/>
          <w:szCs w:val="24"/>
          <w:lang w:val="en-IN"/>
        </w:rPr>
        <w:t xml:space="preserve"> indication of low efficiency in its operations, which means that the cost is growing faster than the revenue (Volkswagen Group, 2022). This can be credited to inefficiencies in the supply chain, high costs of raw materials, and high capital investment in EV development. The efficiency of the company in transforming inputs into outputs seems to be declining, which adversely affects the overall financial performance. The process of enhancing operational effectiveness is thus important in regaining profitability.</w:t>
      </w:r>
    </w:p>
    <w:p w14:paraId="711846DF" w14:textId="77777777" w:rsidR="00A42D7C" w:rsidRPr="00AE2312" w:rsidRDefault="00A42D7C" w:rsidP="00A42D7C">
      <w:pPr>
        <w:rPr>
          <w:rFonts w:ascii="Arial" w:hAnsi="Arial" w:cs="Arial"/>
          <w:b/>
          <w:bCs/>
          <w:szCs w:val="24"/>
          <w:lang w:val="en-IN"/>
        </w:rPr>
      </w:pPr>
      <w:r w:rsidRPr="00AE2312">
        <w:rPr>
          <w:rFonts w:ascii="Arial" w:hAnsi="Arial" w:cs="Arial"/>
          <w:b/>
          <w:bCs/>
          <w:szCs w:val="24"/>
          <w:lang w:val="en-IN"/>
        </w:rPr>
        <w:t>2.2.4 Gearing Ratios</w:t>
      </w:r>
    </w:p>
    <w:p w14:paraId="247098B0" w14:textId="36D34E95" w:rsidR="0075268C" w:rsidRPr="00AE2312" w:rsidRDefault="0075268C" w:rsidP="00A42D7C">
      <w:pPr>
        <w:rPr>
          <w:rFonts w:ascii="Arial" w:hAnsi="Arial" w:cs="Arial"/>
          <w:szCs w:val="24"/>
          <w:lang w:val="en-IN"/>
        </w:rPr>
      </w:pPr>
      <w:r w:rsidRPr="00AE2312">
        <w:rPr>
          <w:rFonts w:ascii="Arial" w:hAnsi="Arial" w:cs="Arial"/>
          <w:szCs w:val="24"/>
          <w:lang w:val="en-IN"/>
        </w:rPr>
        <w:t>Gearing ratios are a measure of the debt and equity financing. Though no specific numbers are clearly stated</w:t>
      </w:r>
      <w:r w:rsidR="000B3EB7" w:rsidRPr="00AE2312">
        <w:rPr>
          <w:rFonts w:ascii="Arial" w:hAnsi="Arial" w:cs="Arial"/>
          <w:szCs w:val="24"/>
          <w:lang w:val="en-IN"/>
        </w:rPr>
        <w:t>,</w:t>
      </w:r>
      <w:r w:rsidRPr="00AE2312">
        <w:rPr>
          <w:rFonts w:ascii="Arial" w:hAnsi="Arial" w:cs="Arial"/>
          <w:szCs w:val="24"/>
          <w:lang w:val="en-IN"/>
        </w:rPr>
        <w:t xml:space="preserve"> the fall in profitability indicates that taking greater recourse to debt financing could be straining financial performance. The increased interest payments and financial risk may decrease net earnings and flexibility. To guarantee financial stability and minimize risk exposure, it is important to maintain an optimal </w:t>
      </w:r>
      <w:r w:rsidRPr="00AE2312">
        <w:rPr>
          <w:rFonts w:ascii="Arial" w:hAnsi="Arial" w:cs="Arial"/>
          <w:szCs w:val="24"/>
          <w:lang w:val="en-IN"/>
        </w:rPr>
        <w:lastRenderedPageBreak/>
        <w:t>capital structure, especially in a capital-intensive industry such as automotive manufacturing (Adams and Jayasekara, 2024).</w:t>
      </w:r>
    </w:p>
    <w:p w14:paraId="787D757B" w14:textId="77777777" w:rsidR="00A42D7C" w:rsidRPr="00AE2312" w:rsidRDefault="00A42D7C" w:rsidP="00202054">
      <w:pPr>
        <w:pStyle w:val="Heading3"/>
        <w:rPr>
          <w:rFonts w:ascii="Arial" w:hAnsi="Arial" w:cs="Arial"/>
          <w:szCs w:val="24"/>
          <w:lang w:val="en-IN"/>
        </w:rPr>
      </w:pPr>
      <w:bookmarkStart w:id="10" w:name="_Toc227920717"/>
      <w:r w:rsidRPr="00AE2312">
        <w:rPr>
          <w:rFonts w:ascii="Arial" w:hAnsi="Arial" w:cs="Arial"/>
          <w:szCs w:val="24"/>
          <w:lang w:val="en-IN"/>
        </w:rPr>
        <w:t>2.2.5 Cash Flow Ratios</w:t>
      </w:r>
      <w:bookmarkEnd w:id="10"/>
    </w:p>
    <w:p w14:paraId="6A393EC9" w14:textId="70417958" w:rsidR="0075268C" w:rsidRPr="00AE2312" w:rsidRDefault="0075268C" w:rsidP="00A42D7C">
      <w:pPr>
        <w:rPr>
          <w:rFonts w:ascii="Arial" w:hAnsi="Arial" w:cs="Arial"/>
          <w:szCs w:val="24"/>
          <w:lang w:val="en-IN"/>
        </w:rPr>
      </w:pPr>
      <w:r w:rsidRPr="00AE2312">
        <w:rPr>
          <w:rFonts w:ascii="Arial" w:hAnsi="Arial" w:cs="Arial"/>
          <w:szCs w:val="24"/>
          <w:lang w:val="en-IN"/>
        </w:rPr>
        <w:t>The cash flow ratios show the capacity of the firm to generate cash through its operations. The data represents high fluctuations, with high performance in 2023 and drops in 2024 and partial recovery in 2025 (</w:t>
      </w:r>
      <w:r w:rsidR="00BA4B41" w:rsidRPr="00AE2312">
        <w:rPr>
          <w:rFonts w:ascii="Arial" w:hAnsi="Arial" w:cs="Arial"/>
          <w:szCs w:val="24"/>
          <w:lang w:val="en-IN"/>
        </w:rPr>
        <w:t>Volkswagen Group</w:t>
      </w:r>
      <w:r w:rsidRPr="00AE2312">
        <w:rPr>
          <w:rFonts w:ascii="Arial" w:hAnsi="Arial" w:cs="Arial"/>
          <w:szCs w:val="24"/>
          <w:lang w:val="en-IN"/>
        </w:rPr>
        <w:t>, 2024). This discrepancy implies that the cash generation of Volkswagen cannot be considered constant, thus it can affect its capacity to finance its operations and investments. Long-term sustainability requires stable cash flow, and the identified volatility may suggest flaws in financial management and operations planning.</w:t>
      </w:r>
    </w:p>
    <w:p w14:paraId="647A3C1B" w14:textId="77777777" w:rsidR="00A42D7C" w:rsidRPr="00AE2312" w:rsidRDefault="00A42D7C" w:rsidP="00202054">
      <w:pPr>
        <w:pStyle w:val="Heading2"/>
        <w:rPr>
          <w:rFonts w:ascii="Arial" w:hAnsi="Arial" w:cs="Arial"/>
          <w:szCs w:val="24"/>
        </w:rPr>
      </w:pPr>
      <w:bookmarkStart w:id="11" w:name="_Toc227920718"/>
      <w:r w:rsidRPr="00AE2312">
        <w:rPr>
          <w:rFonts w:ascii="Arial" w:hAnsi="Arial" w:cs="Arial"/>
          <w:szCs w:val="24"/>
        </w:rPr>
        <w:t>2.3 Trend Analysis</w:t>
      </w:r>
      <w:bookmarkEnd w:id="11"/>
    </w:p>
    <w:p w14:paraId="63C21514" w14:textId="2E704041" w:rsidR="00F35D2A" w:rsidRPr="00AE2312" w:rsidRDefault="00F35D2A" w:rsidP="00A42D7C">
      <w:pPr>
        <w:rPr>
          <w:rFonts w:ascii="Arial" w:hAnsi="Arial" w:cs="Arial"/>
          <w:szCs w:val="24"/>
          <w:lang w:val="en-IN"/>
        </w:rPr>
      </w:pPr>
      <w:r w:rsidRPr="00AE2312">
        <w:rPr>
          <w:rFonts w:ascii="Arial" w:hAnsi="Arial" w:cs="Arial"/>
          <w:szCs w:val="24"/>
          <w:lang w:val="en-IN"/>
        </w:rPr>
        <w:t xml:space="preserve">The general financial trend indicates a definite growth and loss trend. Until 2023, Volkswagen underwent a boom period of growth in revenue and profit, reaching a high in financial performance. Since 2024, the company </w:t>
      </w:r>
      <w:r w:rsidR="000B3EB7" w:rsidRPr="00AE2312">
        <w:rPr>
          <w:rFonts w:ascii="Arial" w:hAnsi="Arial" w:cs="Arial"/>
          <w:szCs w:val="24"/>
          <w:lang w:val="en-IN"/>
        </w:rPr>
        <w:t xml:space="preserve">has </w:t>
      </w:r>
      <w:r w:rsidRPr="00AE2312">
        <w:rPr>
          <w:rFonts w:ascii="Arial" w:hAnsi="Arial" w:cs="Arial"/>
          <w:szCs w:val="24"/>
          <w:lang w:val="en-IN"/>
        </w:rPr>
        <w:t xml:space="preserve">experienced a significant decline in profitability, which is demonstrated by the decrease in operating profit and margins (Volkswagen Group, 2025). This fall can be explained by </w:t>
      </w:r>
      <w:r w:rsidR="000B3EB7" w:rsidRPr="00AE2312">
        <w:rPr>
          <w:rFonts w:ascii="Arial" w:hAnsi="Arial" w:cs="Arial"/>
          <w:szCs w:val="24"/>
          <w:lang w:val="en-IN"/>
        </w:rPr>
        <w:t>some</w:t>
      </w:r>
      <w:r w:rsidRPr="00AE2312">
        <w:rPr>
          <w:rFonts w:ascii="Arial" w:hAnsi="Arial" w:cs="Arial"/>
          <w:szCs w:val="24"/>
          <w:lang w:val="en-IN"/>
        </w:rPr>
        <w:t xml:space="preserve"> reasons such as higher production expenses, economic difficulties </w:t>
      </w:r>
      <w:r w:rsidR="00285EA8" w:rsidRPr="00AE2312">
        <w:rPr>
          <w:rFonts w:ascii="Arial" w:hAnsi="Arial" w:cs="Arial"/>
          <w:szCs w:val="24"/>
          <w:lang w:val="en-IN"/>
        </w:rPr>
        <w:t>globally</w:t>
      </w:r>
      <w:r w:rsidRPr="00AE2312">
        <w:rPr>
          <w:rFonts w:ascii="Arial" w:hAnsi="Arial" w:cs="Arial"/>
          <w:szCs w:val="24"/>
          <w:lang w:val="en-IN"/>
        </w:rPr>
        <w:t>, as well as heavy investment in the development of electric vehicles. The revenue was not changing much, but failure to contain the costs led to decreased profitability. The gap between the revenue and profit points out an urgent problem in the efficiency of operations.</w:t>
      </w:r>
    </w:p>
    <w:p w14:paraId="726D7D71" w14:textId="6EB3D40F" w:rsidR="00236C01" w:rsidRPr="00AE2312" w:rsidRDefault="00236C01" w:rsidP="00A42D7C">
      <w:pPr>
        <w:rPr>
          <w:rFonts w:ascii="Arial" w:hAnsi="Arial" w:cs="Arial"/>
          <w:szCs w:val="24"/>
          <w:lang w:val="en-IN"/>
        </w:rPr>
      </w:pPr>
      <w:r w:rsidRPr="00AE2312">
        <w:rPr>
          <w:rFonts w:ascii="Arial" w:hAnsi="Arial" w:cs="Arial"/>
          <w:szCs w:val="24"/>
          <w:lang w:val="en-IN"/>
        </w:rPr>
        <w:t>The trend shows that Volkswagen is in a transition period</w:t>
      </w:r>
      <w:r w:rsidR="000B3EB7" w:rsidRPr="00AE2312">
        <w:rPr>
          <w:rFonts w:ascii="Arial" w:hAnsi="Arial" w:cs="Arial"/>
          <w:szCs w:val="24"/>
          <w:lang w:val="en-IN"/>
        </w:rPr>
        <w:t>,</w:t>
      </w:r>
      <w:r w:rsidRPr="00AE2312">
        <w:rPr>
          <w:rFonts w:ascii="Arial" w:hAnsi="Arial" w:cs="Arial"/>
          <w:szCs w:val="24"/>
          <w:lang w:val="en-IN"/>
        </w:rPr>
        <w:t xml:space="preserve"> and strategic investments are affecting the short-term financial performance. Though such investments can bring in long</w:t>
      </w:r>
      <w:r w:rsidR="000B3EB7" w:rsidRPr="00AE2312">
        <w:rPr>
          <w:rFonts w:ascii="Arial" w:hAnsi="Arial" w:cs="Arial"/>
          <w:szCs w:val="24"/>
          <w:lang w:val="en-IN"/>
        </w:rPr>
        <w:t>-</w:t>
      </w:r>
      <w:r w:rsidRPr="00AE2312">
        <w:rPr>
          <w:rFonts w:ascii="Arial" w:hAnsi="Arial" w:cs="Arial"/>
          <w:szCs w:val="24"/>
          <w:lang w:val="en-IN"/>
        </w:rPr>
        <w:t>term gains, they are at the present exerting pressure on profitability and financial stability.</w:t>
      </w:r>
    </w:p>
    <w:p w14:paraId="1A02EE5B" w14:textId="77777777" w:rsidR="00A42D7C" w:rsidRPr="00AE2312" w:rsidRDefault="00A42D7C" w:rsidP="00A42D7C">
      <w:pPr>
        <w:pStyle w:val="Heading2"/>
        <w:rPr>
          <w:rFonts w:ascii="Arial" w:hAnsi="Arial" w:cs="Arial"/>
          <w:szCs w:val="24"/>
        </w:rPr>
      </w:pPr>
      <w:bookmarkStart w:id="12" w:name="_Toc227920719"/>
      <w:r w:rsidRPr="00AE2312">
        <w:rPr>
          <w:rFonts w:ascii="Arial" w:hAnsi="Arial" w:cs="Arial"/>
          <w:szCs w:val="24"/>
        </w:rPr>
        <w:t>2.4 Strengths and Weaknesses</w:t>
      </w:r>
      <w:bookmarkEnd w:id="12"/>
    </w:p>
    <w:p w14:paraId="7D7EC975" w14:textId="77777777" w:rsidR="00A42D7C" w:rsidRPr="00AE2312" w:rsidRDefault="00A42D7C" w:rsidP="00A42D7C">
      <w:pPr>
        <w:rPr>
          <w:rFonts w:ascii="Arial" w:hAnsi="Arial" w:cs="Arial"/>
          <w:b/>
          <w:bCs/>
          <w:szCs w:val="24"/>
        </w:rPr>
      </w:pPr>
      <w:r w:rsidRPr="00AE2312">
        <w:rPr>
          <w:rFonts w:ascii="Arial" w:hAnsi="Arial" w:cs="Arial"/>
          <w:b/>
          <w:bCs/>
          <w:szCs w:val="24"/>
        </w:rPr>
        <w:t>Strengths</w:t>
      </w:r>
    </w:p>
    <w:p w14:paraId="02227520" w14:textId="711271AD" w:rsidR="00761A7D" w:rsidRPr="00AE2312" w:rsidRDefault="00761A7D" w:rsidP="00A42D7C">
      <w:pPr>
        <w:rPr>
          <w:rFonts w:ascii="Arial" w:hAnsi="Arial" w:cs="Arial"/>
          <w:szCs w:val="24"/>
          <w:lang w:val="en-IN"/>
        </w:rPr>
      </w:pPr>
      <w:r w:rsidRPr="00AE2312">
        <w:rPr>
          <w:rFonts w:ascii="Arial" w:hAnsi="Arial" w:cs="Arial"/>
          <w:szCs w:val="24"/>
          <w:lang w:val="en-IN"/>
        </w:rPr>
        <w:t xml:space="preserve">Among the essential strengths of Volkswagen is its capacity to sustain good and consistent growth in revenues within the five years (Volkswagen Group, 2023). The company has a strong market position due to its presence in the world, diversification of its product line, and strategic emphasis on electric vehicles. The highest </w:t>
      </w:r>
      <w:r w:rsidRPr="00AE2312">
        <w:rPr>
          <w:rFonts w:ascii="Arial" w:hAnsi="Arial" w:cs="Arial"/>
          <w:szCs w:val="24"/>
          <w:lang w:val="en-IN"/>
        </w:rPr>
        <w:lastRenderedPageBreak/>
        <w:t>performance of 2023 indicates the potential of the company to be highly profitable given favourable conditions.</w:t>
      </w:r>
    </w:p>
    <w:p w14:paraId="532749D5" w14:textId="77777777" w:rsidR="00A42D7C" w:rsidRPr="00AE2312" w:rsidRDefault="00A42D7C" w:rsidP="00A42D7C">
      <w:pPr>
        <w:rPr>
          <w:rFonts w:ascii="Arial" w:hAnsi="Arial" w:cs="Arial"/>
          <w:b/>
          <w:bCs/>
          <w:szCs w:val="24"/>
          <w:lang w:val="en-IN"/>
        </w:rPr>
      </w:pPr>
      <w:r w:rsidRPr="00AE2312">
        <w:rPr>
          <w:rFonts w:ascii="Arial" w:hAnsi="Arial" w:cs="Arial"/>
          <w:b/>
          <w:bCs/>
          <w:szCs w:val="24"/>
          <w:lang w:val="en-IN"/>
        </w:rPr>
        <w:t>Weaknesses</w:t>
      </w:r>
    </w:p>
    <w:p w14:paraId="661FB958" w14:textId="03DB44A1" w:rsidR="00D8780B" w:rsidRPr="00AE2312" w:rsidRDefault="00D8780B" w:rsidP="00A42D7C">
      <w:pPr>
        <w:rPr>
          <w:rFonts w:ascii="Arial" w:hAnsi="Arial" w:cs="Arial"/>
          <w:szCs w:val="24"/>
          <w:lang w:val="en-IN"/>
        </w:rPr>
      </w:pPr>
      <w:r w:rsidRPr="00AE2312">
        <w:rPr>
          <w:rFonts w:ascii="Arial" w:hAnsi="Arial" w:cs="Arial"/>
          <w:szCs w:val="24"/>
          <w:lang w:val="en-IN"/>
        </w:rPr>
        <w:t xml:space="preserve">Volkswagen is experiencing serious weaknesses in </w:t>
      </w:r>
      <w:r w:rsidR="009338B2" w:rsidRPr="00AE2312">
        <w:rPr>
          <w:rFonts w:ascii="Arial" w:hAnsi="Arial" w:cs="Arial"/>
          <w:szCs w:val="24"/>
          <w:lang w:val="en-IN"/>
        </w:rPr>
        <w:t xml:space="preserve">declining </w:t>
      </w:r>
      <w:r w:rsidRPr="00AE2312">
        <w:rPr>
          <w:rFonts w:ascii="Arial" w:hAnsi="Arial" w:cs="Arial"/>
          <w:szCs w:val="24"/>
          <w:lang w:val="en-IN"/>
        </w:rPr>
        <w:t>profitability and efficiency in its operations despite high revenues. The decline in operating profit and margins is a sharp decrease</w:t>
      </w:r>
      <w:r w:rsidR="000B3EB7" w:rsidRPr="00AE2312">
        <w:rPr>
          <w:rFonts w:ascii="Arial" w:hAnsi="Arial" w:cs="Arial"/>
          <w:szCs w:val="24"/>
          <w:lang w:val="en-IN"/>
        </w:rPr>
        <w:t>,</w:t>
      </w:r>
      <w:r w:rsidRPr="00AE2312">
        <w:rPr>
          <w:rFonts w:ascii="Arial" w:hAnsi="Arial" w:cs="Arial"/>
          <w:szCs w:val="24"/>
          <w:lang w:val="en-IN"/>
        </w:rPr>
        <w:t xml:space="preserve"> signifying the increase in costs and </w:t>
      </w:r>
      <w:r w:rsidR="00395F7E" w:rsidRPr="00AE2312">
        <w:rPr>
          <w:rFonts w:ascii="Arial" w:hAnsi="Arial" w:cs="Arial"/>
          <w:szCs w:val="24"/>
          <w:lang w:val="en-IN"/>
        </w:rPr>
        <w:t>ineffective cost management</w:t>
      </w:r>
      <w:r w:rsidRPr="00AE2312">
        <w:rPr>
          <w:rFonts w:ascii="Arial" w:hAnsi="Arial" w:cs="Arial"/>
          <w:szCs w:val="24"/>
          <w:lang w:val="en-IN"/>
        </w:rPr>
        <w:t xml:space="preserve">. </w:t>
      </w:r>
      <w:r w:rsidR="00863611" w:rsidRPr="00AE2312">
        <w:rPr>
          <w:rFonts w:ascii="Arial" w:hAnsi="Arial" w:cs="Arial"/>
          <w:szCs w:val="24"/>
          <w:lang w:val="en-IN"/>
        </w:rPr>
        <w:t xml:space="preserve">Fluctuating </w:t>
      </w:r>
      <w:r w:rsidRPr="00AE2312">
        <w:rPr>
          <w:rFonts w:ascii="Arial" w:hAnsi="Arial" w:cs="Arial"/>
          <w:szCs w:val="24"/>
          <w:lang w:val="en-IN"/>
        </w:rPr>
        <w:t xml:space="preserve">cash flows indicate the lack of stability in liquidity, which can influence the short-term financial obligations (Barnabas and Oloyede, 2024). The shift towards EVs is a strategically relevant measure that has placed the company under greater financial pressure because of the high investment requirements. </w:t>
      </w:r>
      <w:r w:rsidR="009F4DBB" w:rsidRPr="00AE2312">
        <w:rPr>
          <w:rFonts w:ascii="Arial" w:hAnsi="Arial" w:cs="Arial"/>
          <w:szCs w:val="24"/>
          <w:lang w:val="en-IN"/>
        </w:rPr>
        <w:t xml:space="preserve">If not managed effectively, </w:t>
      </w:r>
      <w:r w:rsidRPr="00AE2312">
        <w:rPr>
          <w:rFonts w:ascii="Arial" w:hAnsi="Arial" w:cs="Arial"/>
          <w:szCs w:val="24"/>
          <w:lang w:val="en-IN"/>
        </w:rPr>
        <w:t>these issues can have a toll on long-term financial sustainability.</w:t>
      </w:r>
    </w:p>
    <w:p w14:paraId="7FAFE12B" w14:textId="77777777" w:rsidR="00B30D95" w:rsidRPr="00AE2312" w:rsidRDefault="00B30D95" w:rsidP="00B30D95">
      <w:pPr>
        <w:pStyle w:val="Heading1"/>
        <w:rPr>
          <w:rFonts w:ascii="Arial" w:hAnsi="Arial" w:cs="Arial"/>
          <w:szCs w:val="24"/>
          <w:lang w:val="en-IN"/>
        </w:rPr>
      </w:pPr>
      <w:bookmarkStart w:id="13" w:name="_Toc227920720"/>
      <w:r w:rsidRPr="00AE2312">
        <w:rPr>
          <w:rFonts w:ascii="Arial" w:hAnsi="Arial" w:cs="Arial"/>
          <w:szCs w:val="24"/>
          <w:lang w:val="en-IN"/>
        </w:rPr>
        <w:t>3. Working Capital Management Analysis</w:t>
      </w:r>
      <w:bookmarkEnd w:id="13"/>
    </w:p>
    <w:p w14:paraId="195E30C6" w14:textId="77777777" w:rsidR="00B30D95" w:rsidRPr="00AE2312" w:rsidRDefault="00B30D95" w:rsidP="00B30D95">
      <w:pPr>
        <w:pStyle w:val="Heading2"/>
        <w:rPr>
          <w:rFonts w:ascii="Arial" w:hAnsi="Arial" w:cs="Arial"/>
          <w:szCs w:val="24"/>
        </w:rPr>
      </w:pPr>
      <w:bookmarkStart w:id="14" w:name="_Toc227920721"/>
      <w:r w:rsidRPr="00AE2312">
        <w:rPr>
          <w:rFonts w:ascii="Arial" w:hAnsi="Arial" w:cs="Arial"/>
          <w:szCs w:val="24"/>
        </w:rPr>
        <w:t>3.1 Cash Conversion Cycle</w:t>
      </w:r>
      <w:bookmarkEnd w:id="14"/>
    </w:p>
    <w:p w14:paraId="355C4A77" w14:textId="77777777" w:rsidR="00741655" w:rsidRPr="00AE2312" w:rsidRDefault="00741655" w:rsidP="00741655">
      <w:pPr>
        <w:rPr>
          <w:rFonts w:ascii="Arial" w:hAnsi="Arial" w:cs="Arial"/>
          <w:szCs w:val="24"/>
          <w:lang w:val="en-IN"/>
        </w:rPr>
      </w:pPr>
      <w:r w:rsidRPr="00AE2312">
        <w:rPr>
          <w:rFonts w:ascii="Arial" w:hAnsi="Arial" w:cs="Arial"/>
          <w:szCs w:val="24"/>
          <w:lang w:val="en-IN"/>
        </w:rPr>
        <w:t xml:space="preserve">Cash conversion cycle (CCC) is a key indicator of the efficiency of a company in terms of its short-term assets and liabilities (Stavropoulos and </w:t>
      </w:r>
      <w:proofErr w:type="spellStart"/>
      <w:r w:rsidRPr="00AE2312">
        <w:rPr>
          <w:rFonts w:ascii="Arial" w:hAnsi="Arial" w:cs="Arial"/>
          <w:szCs w:val="24"/>
          <w:lang w:val="en-IN"/>
        </w:rPr>
        <w:t>Zounta</w:t>
      </w:r>
      <w:proofErr w:type="spellEnd"/>
      <w:r w:rsidRPr="00AE2312">
        <w:rPr>
          <w:rFonts w:ascii="Arial" w:hAnsi="Arial" w:cs="Arial"/>
          <w:szCs w:val="24"/>
          <w:lang w:val="en-IN"/>
        </w:rPr>
        <w:t>, 2025). It shows the duration taken by a business to turn its investments in stocks and other resources into cash inflows. Inventory, receivables and payables management have to be handled efficiently in case of a large manufacturer of automotive vehicles such as Volkswagen because current operations are capital-intensive, and the global supply chain is complicated.</w:t>
      </w:r>
    </w:p>
    <w:p w14:paraId="607355BC" w14:textId="77D5187F" w:rsidR="00741655" w:rsidRPr="00AE2312" w:rsidRDefault="00741655" w:rsidP="00741655">
      <w:pPr>
        <w:rPr>
          <w:rFonts w:ascii="Arial" w:hAnsi="Arial" w:cs="Arial"/>
          <w:szCs w:val="24"/>
          <w:lang w:val="en-IN"/>
        </w:rPr>
      </w:pPr>
      <w:r w:rsidRPr="00AE2312">
        <w:rPr>
          <w:rFonts w:ascii="Arial" w:hAnsi="Arial" w:cs="Arial"/>
          <w:szCs w:val="24"/>
          <w:lang w:val="en-IN"/>
        </w:rPr>
        <w:t>Volkswagen</w:t>
      </w:r>
      <w:r w:rsidR="000B3EB7" w:rsidRPr="00AE2312">
        <w:rPr>
          <w:rFonts w:ascii="Arial" w:hAnsi="Arial" w:cs="Arial"/>
          <w:szCs w:val="24"/>
          <w:lang w:val="en-IN"/>
        </w:rPr>
        <w:t>'s</w:t>
      </w:r>
      <w:r w:rsidRPr="00AE2312">
        <w:rPr>
          <w:rFonts w:ascii="Arial" w:hAnsi="Arial" w:cs="Arial"/>
          <w:szCs w:val="24"/>
          <w:lang w:val="en-IN"/>
        </w:rPr>
        <w:t xml:space="preserve"> inventory management contributes a lot to its working capital efficiency. Inventory in the automotive industry is usually high in terms of raw materials, work-in-progress, and finished </w:t>
      </w:r>
      <w:r w:rsidR="0069079C" w:rsidRPr="00AE2312">
        <w:rPr>
          <w:rFonts w:ascii="Arial" w:hAnsi="Arial" w:cs="Arial"/>
          <w:szCs w:val="24"/>
          <w:lang w:val="en-IN"/>
        </w:rPr>
        <w:t xml:space="preserve">goods </w:t>
      </w:r>
      <w:r w:rsidRPr="00AE2312">
        <w:rPr>
          <w:rFonts w:ascii="Arial" w:hAnsi="Arial" w:cs="Arial"/>
          <w:szCs w:val="24"/>
          <w:lang w:val="en-IN"/>
        </w:rPr>
        <w:t>(</w:t>
      </w:r>
      <w:proofErr w:type="spellStart"/>
      <w:r w:rsidRPr="00AE2312">
        <w:rPr>
          <w:rFonts w:ascii="Arial" w:hAnsi="Arial" w:cs="Arial"/>
          <w:szCs w:val="24"/>
          <w:lang w:val="en-IN"/>
        </w:rPr>
        <w:t>Saliji</w:t>
      </w:r>
      <w:proofErr w:type="spellEnd"/>
      <w:r w:rsidRPr="00AE2312">
        <w:rPr>
          <w:rFonts w:ascii="Arial" w:hAnsi="Arial" w:cs="Arial"/>
          <w:szCs w:val="24"/>
          <w:lang w:val="en-IN"/>
        </w:rPr>
        <w:t>, 2021). The shift to electric vehicles (EVs) at Volkswagen has probably added complexity to the inventory because of the necessity to include more advanced parts, including batteries and semiconductors. Without effective inventory management, one may incur increased holding cost</w:t>
      </w:r>
      <w:r w:rsidR="000B3EB7" w:rsidRPr="00AE2312">
        <w:rPr>
          <w:rFonts w:ascii="Arial" w:hAnsi="Arial" w:cs="Arial"/>
          <w:szCs w:val="24"/>
          <w:lang w:val="en-IN"/>
        </w:rPr>
        <w:t>s</w:t>
      </w:r>
      <w:r w:rsidRPr="00AE2312">
        <w:rPr>
          <w:rFonts w:ascii="Arial" w:hAnsi="Arial" w:cs="Arial"/>
          <w:szCs w:val="24"/>
          <w:lang w:val="en-IN"/>
        </w:rPr>
        <w:t xml:space="preserve"> and chances of obsolescence, particularly in a dynamic technological world. Hence, it is important to keep a good stock level so as not to have a lot of capital </w:t>
      </w:r>
      <w:r w:rsidR="000B3EB7" w:rsidRPr="00AE2312">
        <w:rPr>
          <w:rFonts w:ascii="Arial" w:hAnsi="Arial" w:cs="Arial"/>
          <w:szCs w:val="24"/>
          <w:lang w:val="en-IN"/>
        </w:rPr>
        <w:t xml:space="preserve">tied up </w:t>
      </w:r>
      <w:r w:rsidRPr="00AE2312">
        <w:rPr>
          <w:rFonts w:ascii="Arial" w:hAnsi="Arial" w:cs="Arial"/>
          <w:szCs w:val="24"/>
          <w:lang w:val="en-IN"/>
        </w:rPr>
        <w:t>in stock.</w:t>
      </w:r>
    </w:p>
    <w:p w14:paraId="695AA34F" w14:textId="2D051590" w:rsidR="00F0519D" w:rsidRPr="00AE2312" w:rsidRDefault="00F0519D" w:rsidP="00F0519D">
      <w:pPr>
        <w:rPr>
          <w:rFonts w:ascii="Arial" w:hAnsi="Arial" w:cs="Arial"/>
          <w:szCs w:val="24"/>
          <w:lang w:val="en-IN"/>
        </w:rPr>
      </w:pPr>
      <w:r w:rsidRPr="00AE2312">
        <w:rPr>
          <w:rFonts w:ascii="Arial" w:hAnsi="Arial" w:cs="Arial"/>
          <w:szCs w:val="24"/>
          <w:lang w:val="en-IN"/>
        </w:rPr>
        <w:t xml:space="preserve">The receivables management </w:t>
      </w:r>
      <w:r w:rsidR="0031314E" w:rsidRPr="00AE2312">
        <w:rPr>
          <w:rFonts w:ascii="Arial" w:hAnsi="Arial" w:cs="Arial"/>
          <w:szCs w:val="24"/>
          <w:lang w:val="en-IN"/>
        </w:rPr>
        <w:t xml:space="preserve">determines how quickly the company </w:t>
      </w:r>
      <w:r w:rsidRPr="00AE2312">
        <w:rPr>
          <w:rFonts w:ascii="Arial" w:hAnsi="Arial" w:cs="Arial"/>
          <w:szCs w:val="24"/>
          <w:lang w:val="en-IN"/>
        </w:rPr>
        <w:t>can collect the payment of the customers (</w:t>
      </w:r>
      <w:proofErr w:type="spellStart"/>
      <w:r w:rsidRPr="00AE2312">
        <w:rPr>
          <w:rFonts w:ascii="Arial" w:hAnsi="Arial" w:cs="Arial"/>
          <w:szCs w:val="24"/>
          <w:lang w:val="en-IN"/>
        </w:rPr>
        <w:t>Chernetska</w:t>
      </w:r>
      <w:proofErr w:type="spellEnd"/>
      <w:r w:rsidRPr="00AE2312">
        <w:rPr>
          <w:rFonts w:ascii="Arial" w:hAnsi="Arial" w:cs="Arial"/>
          <w:szCs w:val="24"/>
          <w:lang w:val="en-IN"/>
        </w:rPr>
        <w:t xml:space="preserve">, 2024). Volkswagen has dealerships and </w:t>
      </w:r>
      <w:r w:rsidR="000B3EB7" w:rsidRPr="00AE2312">
        <w:rPr>
          <w:rFonts w:ascii="Arial" w:hAnsi="Arial" w:cs="Arial"/>
          <w:szCs w:val="24"/>
          <w:lang w:val="en-IN"/>
        </w:rPr>
        <w:t xml:space="preserve">an </w:t>
      </w:r>
      <w:r w:rsidRPr="00AE2312">
        <w:rPr>
          <w:rFonts w:ascii="Arial" w:hAnsi="Arial" w:cs="Arial"/>
          <w:szCs w:val="24"/>
          <w:lang w:val="en-IN"/>
        </w:rPr>
        <w:t xml:space="preserve">international market, which could bring about </w:t>
      </w:r>
      <w:r w:rsidR="000B3EB7" w:rsidRPr="00AE2312">
        <w:rPr>
          <w:rFonts w:ascii="Arial" w:hAnsi="Arial" w:cs="Arial"/>
          <w:szCs w:val="24"/>
          <w:lang w:val="en-IN"/>
        </w:rPr>
        <w:t>a</w:t>
      </w:r>
      <w:r w:rsidRPr="00AE2312">
        <w:rPr>
          <w:rFonts w:ascii="Arial" w:hAnsi="Arial" w:cs="Arial"/>
          <w:szCs w:val="24"/>
          <w:lang w:val="en-IN"/>
        </w:rPr>
        <w:t xml:space="preserve"> long period of credit. Increased receivables cycles may postpone cash receipts and bad debts. </w:t>
      </w:r>
      <w:r w:rsidR="00C56A36" w:rsidRPr="00AE2312">
        <w:rPr>
          <w:rFonts w:ascii="Arial" w:hAnsi="Arial" w:cs="Arial"/>
          <w:szCs w:val="24"/>
          <w:lang w:val="en-IN"/>
        </w:rPr>
        <w:t xml:space="preserve">Efficient </w:t>
      </w:r>
      <w:r w:rsidRPr="00AE2312">
        <w:rPr>
          <w:rFonts w:ascii="Arial" w:hAnsi="Arial" w:cs="Arial"/>
          <w:szCs w:val="24"/>
          <w:lang w:val="en-IN"/>
        </w:rPr>
        <w:t xml:space="preserve">credit control </w:t>
      </w:r>
      <w:r w:rsidRPr="00AE2312">
        <w:rPr>
          <w:rFonts w:ascii="Arial" w:hAnsi="Arial" w:cs="Arial"/>
          <w:szCs w:val="24"/>
          <w:lang w:val="en-IN"/>
        </w:rPr>
        <w:lastRenderedPageBreak/>
        <w:t xml:space="preserve">measures, including more demanding terms of payment and better monitoring, are required in order to guarantee the </w:t>
      </w:r>
      <w:r w:rsidR="00BB60B1" w:rsidRPr="00AE2312">
        <w:rPr>
          <w:rFonts w:ascii="Arial" w:hAnsi="Arial" w:cs="Arial"/>
          <w:szCs w:val="24"/>
          <w:lang w:val="en-IN"/>
        </w:rPr>
        <w:t xml:space="preserve">timely </w:t>
      </w:r>
      <w:r w:rsidRPr="00AE2312">
        <w:rPr>
          <w:rFonts w:ascii="Arial" w:hAnsi="Arial" w:cs="Arial"/>
          <w:szCs w:val="24"/>
          <w:lang w:val="en-IN"/>
        </w:rPr>
        <w:t>collection and increase liquidity.</w:t>
      </w:r>
    </w:p>
    <w:p w14:paraId="25B1229C" w14:textId="56CBE3D3" w:rsidR="00F0519D" w:rsidRPr="00AE2312" w:rsidRDefault="00F0519D" w:rsidP="00F0519D">
      <w:pPr>
        <w:rPr>
          <w:rFonts w:ascii="Arial" w:hAnsi="Arial" w:cs="Arial"/>
          <w:szCs w:val="24"/>
          <w:lang w:val="en-IN"/>
        </w:rPr>
      </w:pPr>
      <w:r w:rsidRPr="00AE2312">
        <w:rPr>
          <w:rFonts w:ascii="Arial" w:hAnsi="Arial" w:cs="Arial"/>
          <w:szCs w:val="24"/>
          <w:lang w:val="en-IN"/>
        </w:rPr>
        <w:t xml:space="preserve">The payables management indicates the efficiency of Volkswagen in meeting its commitments to its suppliers. The extension of the payment period can enhance short-term liquidity, as the company will have more time to hold the cash (Puspa and Suyono, 2025). </w:t>
      </w:r>
      <w:r w:rsidR="00472B98" w:rsidRPr="00AE2312">
        <w:rPr>
          <w:rFonts w:ascii="Arial" w:hAnsi="Arial" w:cs="Arial"/>
          <w:szCs w:val="24"/>
          <w:lang w:val="en-IN"/>
        </w:rPr>
        <w:t>T</w:t>
      </w:r>
      <w:r w:rsidRPr="00AE2312">
        <w:rPr>
          <w:rFonts w:ascii="Arial" w:hAnsi="Arial" w:cs="Arial"/>
          <w:szCs w:val="24"/>
          <w:lang w:val="en-IN"/>
        </w:rPr>
        <w:t>oo m</w:t>
      </w:r>
      <w:r w:rsidR="000B3EB7" w:rsidRPr="00AE2312">
        <w:rPr>
          <w:rFonts w:ascii="Arial" w:hAnsi="Arial" w:cs="Arial"/>
          <w:szCs w:val="24"/>
          <w:lang w:val="en-IN"/>
        </w:rPr>
        <w:t>any</w:t>
      </w:r>
      <w:r w:rsidRPr="00AE2312">
        <w:rPr>
          <w:rFonts w:ascii="Arial" w:hAnsi="Arial" w:cs="Arial"/>
          <w:szCs w:val="24"/>
          <w:lang w:val="en-IN"/>
        </w:rPr>
        <w:t xml:space="preserve"> delays might </w:t>
      </w:r>
      <w:r w:rsidR="00A91CA4" w:rsidRPr="00AE2312">
        <w:rPr>
          <w:rFonts w:ascii="Arial" w:hAnsi="Arial" w:cs="Arial"/>
          <w:szCs w:val="24"/>
          <w:lang w:val="en-IN"/>
        </w:rPr>
        <w:t xml:space="preserve">damage </w:t>
      </w:r>
      <w:r w:rsidRPr="00AE2312">
        <w:rPr>
          <w:rFonts w:ascii="Arial" w:hAnsi="Arial" w:cs="Arial"/>
          <w:szCs w:val="24"/>
          <w:lang w:val="en-IN"/>
        </w:rPr>
        <w:t>the relations with suppliers and cause disruption of the supply chain. Since Volkswagen depends on suppliers worldwide, it is necessary to strike a balance between paying late and ensuring the loyalty of its suppliers.</w:t>
      </w:r>
    </w:p>
    <w:p w14:paraId="5C5C3917" w14:textId="1C8D146A" w:rsidR="003B5F65" w:rsidRPr="00AE2312" w:rsidRDefault="003B5F65" w:rsidP="00B30D95">
      <w:pPr>
        <w:rPr>
          <w:rFonts w:ascii="Arial" w:hAnsi="Arial" w:cs="Arial"/>
          <w:szCs w:val="24"/>
          <w:lang w:val="en-IN"/>
        </w:rPr>
      </w:pPr>
      <w:r w:rsidRPr="00AE2312">
        <w:rPr>
          <w:rFonts w:ascii="Arial" w:hAnsi="Arial" w:cs="Arial"/>
          <w:szCs w:val="24"/>
          <w:lang w:val="en-IN"/>
        </w:rPr>
        <w:t xml:space="preserve">It has been critically </w:t>
      </w:r>
      <w:proofErr w:type="spellStart"/>
      <w:r w:rsidRPr="00AE2312">
        <w:rPr>
          <w:rFonts w:ascii="Arial" w:hAnsi="Arial" w:cs="Arial"/>
          <w:szCs w:val="24"/>
          <w:lang w:val="en-IN"/>
        </w:rPr>
        <w:t>analy</w:t>
      </w:r>
      <w:r w:rsidR="000B3EB7" w:rsidRPr="00AE2312">
        <w:rPr>
          <w:rFonts w:ascii="Arial" w:hAnsi="Arial" w:cs="Arial"/>
          <w:szCs w:val="24"/>
          <w:lang w:val="en-IN"/>
        </w:rPr>
        <w:t>z</w:t>
      </w:r>
      <w:r w:rsidRPr="00AE2312">
        <w:rPr>
          <w:rFonts w:ascii="Arial" w:hAnsi="Arial" w:cs="Arial"/>
          <w:szCs w:val="24"/>
          <w:lang w:val="en-IN"/>
        </w:rPr>
        <w:t>ed</w:t>
      </w:r>
      <w:proofErr w:type="spellEnd"/>
      <w:r w:rsidRPr="00AE2312">
        <w:rPr>
          <w:rFonts w:ascii="Arial" w:hAnsi="Arial" w:cs="Arial"/>
          <w:szCs w:val="24"/>
          <w:lang w:val="en-IN"/>
        </w:rPr>
        <w:t xml:space="preserve"> that the cash conversion cycle of Volkswagen is affected by its massive business and transformation strategy to EVs. Efficiency (inventory, receivables, payables) needs to be enhanced to enhance liquidity and operational performance.</w:t>
      </w:r>
    </w:p>
    <w:p w14:paraId="4E4C51BD" w14:textId="77777777" w:rsidR="00B30D95" w:rsidRPr="00AE2312" w:rsidRDefault="00B30D95" w:rsidP="00B30D95">
      <w:pPr>
        <w:pStyle w:val="Heading2"/>
        <w:rPr>
          <w:rFonts w:ascii="Arial" w:hAnsi="Arial" w:cs="Arial"/>
          <w:szCs w:val="24"/>
        </w:rPr>
      </w:pPr>
      <w:bookmarkStart w:id="15" w:name="_Toc227920722"/>
      <w:r w:rsidRPr="00AE2312">
        <w:rPr>
          <w:rFonts w:ascii="Arial" w:hAnsi="Arial" w:cs="Arial"/>
          <w:szCs w:val="24"/>
        </w:rPr>
        <w:t>3.2 Liquidity Analysis</w:t>
      </w:r>
      <w:bookmarkEnd w:id="15"/>
    </w:p>
    <w:p w14:paraId="027A351E" w14:textId="0AAD5FAA" w:rsidR="00D33678" w:rsidRPr="00AE2312" w:rsidRDefault="00D33678" w:rsidP="00B30D95">
      <w:pPr>
        <w:rPr>
          <w:rFonts w:ascii="Arial" w:hAnsi="Arial" w:cs="Arial"/>
          <w:szCs w:val="24"/>
          <w:lang w:val="en-IN"/>
        </w:rPr>
      </w:pPr>
      <w:r w:rsidRPr="00AE2312">
        <w:rPr>
          <w:rFonts w:ascii="Arial" w:hAnsi="Arial" w:cs="Arial"/>
          <w:szCs w:val="24"/>
          <w:lang w:val="en-IN"/>
        </w:rPr>
        <w:t>Liquidity analysis determines the capacity of Volkswagen to fulfil its short-term financial commitments with the help of cash and liquid assets available. According to the given financial information, Volkswagen has a weak liquidity position, which is mainly caused by the changes in net cash flow during the five years of analysis.</w:t>
      </w:r>
    </w:p>
    <w:p w14:paraId="59357410" w14:textId="20FA3628" w:rsidR="00B30D95" w:rsidRPr="00AE2312" w:rsidRDefault="00B30D95" w:rsidP="00B30D95">
      <w:pPr>
        <w:rPr>
          <w:rFonts w:ascii="Arial" w:hAnsi="Arial" w:cs="Arial"/>
          <w:szCs w:val="24"/>
          <w:lang w:val="en-IN"/>
        </w:rPr>
      </w:pPr>
      <w:r w:rsidRPr="00AE2312">
        <w:rPr>
          <w:rFonts w:ascii="Arial" w:hAnsi="Arial" w:cs="Arial"/>
          <w:szCs w:val="24"/>
          <w:lang w:val="en-IN"/>
        </w:rPr>
        <w:t xml:space="preserve">As illustrated in </w:t>
      </w:r>
      <w:r w:rsidR="001E39D7" w:rsidRPr="00AE2312">
        <w:rPr>
          <w:rFonts w:ascii="Arial" w:hAnsi="Arial" w:cs="Arial"/>
          <w:i/>
          <w:iCs/>
          <w:szCs w:val="24"/>
          <w:lang w:val="en-IN"/>
        </w:rPr>
        <w:fldChar w:fldCharType="begin"/>
      </w:r>
      <w:r w:rsidR="001E39D7" w:rsidRPr="00AE2312">
        <w:rPr>
          <w:rFonts w:ascii="Arial" w:hAnsi="Arial" w:cs="Arial"/>
          <w:szCs w:val="24"/>
          <w:lang w:val="en-IN"/>
        </w:rPr>
        <w:instrText xml:space="preserve"> REF _Ref227866654 \h </w:instrText>
      </w:r>
      <w:r w:rsidR="00AE2312" w:rsidRPr="00AE2312">
        <w:rPr>
          <w:rFonts w:ascii="Arial" w:hAnsi="Arial" w:cs="Arial"/>
          <w:i/>
          <w:iCs/>
          <w:szCs w:val="24"/>
          <w:lang w:val="en-IN"/>
        </w:rPr>
        <w:instrText xml:space="preserve"> \* MERGEFORMAT </w:instrText>
      </w:r>
      <w:r w:rsidR="001E39D7" w:rsidRPr="00AE2312">
        <w:rPr>
          <w:rFonts w:ascii="Arial" w:hAnsi="Arial" w:cs="Arial"/>
          <w:i/>
          <w:iCs/>
          <w:szCs w:val="24"/>
          <w:lang w:val="en-IN"/>
        </w:rPr>
      </w:r>
      <w:r w:rsidR="001E39D7" w:rsidRPr="00AE2312">
        <w:rPr>
          <w:rFonts w:ascii="Arial" w:hAnsi="Arial" w:cs="Arial"/>
          <w:i/>
          <w:iCs/>
          <w:szCs w:val="24"/>
          <w:lang w:val="en-IN"/>
        </w:rPr>
        <w:fldChar w:fldCharType="separate"/>
      </w:r>
      <w:r w:rsidR="001E39D7" w:rsidRPr="00AE2312">
        <w:rPr>
          <w:rFonts w:ascii="Arial" w:hAnsi="Arial" w:cs="Arial"/>
          <w:szCs w:val="24"/>
        </w:rPr>
        <w:t xml:space="preserve">Figure </w:t>
      </w:r>
      <w:r w:rsidR="001E39D7" w:rsidRPr="00AE2312">
        <w:rPr>
          <w:rFonts w:ascii="Arial" w:hAnsi="Arial" w:cs="Arial"/>
          <w:noProof/>
          <w:szCs w:val="24"/>
        </w:rPr>
        <w:t>4</w:t>
      </w:r>
      <w:r w:rsidR="001E39D7" w:rsidRPr="00AE2312">
        <w:rPr>
          <w:rFonts w:ascii="Arial" w:hAnsi="Arial" w:cs="Arial"/>
          <w:i/>
          <w:iCs/>
          <w:szCs w:val="24"/>
          <w:lang w:val="en-IN"/>
        </w:rPr>
        <w:fldChar w:fldCharType="end"/>
      </w:r>
      <w:r w:rsidRPr="00AE2312">
        <w:rPr>
          <w:rFonts w:ascii="Arial" w:hAnsi="Arial" w:cs="Arial"/>
          <w:szCs w:val="24"/>
          <w:lang w:val="en-IN"/>
        </w:rPr>
        <w:t>, net cash flow declined significantly from €8,610 million in 2021 to €4,807 million in 2022, indicating a reduction in operational cash generation</w:t>
      </w:r>
      <w:r w:rsidR="000C25A2" w:rsidRPr="00AE2312">
        <w:rPr>
          <w:rFonts w:ascii="Arial" w:hAnsi="Arial" w:cs="Arial"/>
          <w:szCs w:val="24"/>
          <w:lang w:val="en-IN"/>
        </w:rPr>
        <w:t xml:space="preserve"> (Volkswagen Group, 2023)</w:t>
      </w:r>
      <w:r w:rsidRPr="00AE2312">
        <w:rPr>
          <w:rFonts w:ascii="Arial" w:hAnsi="Arial" w:cs="Arial"/>
          <w:szCs w:val="24"/>
          <w:lang w:val="en-IN"/>
        </w:rPr>
        <w:t>. This decline may be attributed to increased operating expenses, supply chain disruptions, or higher investment in EV technology. In 2023, the company experienced a strong recovery, with net cash flow rising to €10,698 million. This suggests improved operational efficiency or temporary cost control measures</w:t>
      </w:r>
      <w:r w:rsidR="000B51E6" w:rsidRPr="00AE2312">
        <w:rPr>
          <w:rFonts w:ascii="Arial" w:hAnsi="Arial" w:cs="Arial"/>
          <w:szCs w:val="24"/>
          <w:lang w:val="en-IN"/>
        </w:rPr>
        <w:t xml:space="preserve"> (Volkswagen Group, 202</w:t>
      </w:r>
      <w:r w:rsidR="00542A26" w:rsidRPr="00AE2312">
        <w:rPr>
          <w:rFonts w:ascii="Arial" w:hAnsi="Arial" w:cs="Arial"/>
          <w:szCs w:val="24"/>
          <w:lang w:val="en-IN"/>
        </w:rPr>
        <w:t>4</w:t>
      </w:r>
      <w:r w:rsidR="000B51E6" w:rsidRPr="00AE2312">
        <w:rPr>
          <w:rFonts w:ascii="Arial" w:hAnsi="Arial" w:cs="Arial"/>
          <w:szCs w:val="24"/>
          <w:lang w:val="en-IN"/>
        </w:rPr>
        <w:t>)</w:t>
      </w:r>
      <w:r w:rsidRPr="00AE2312">
        <w:rPr>
          <w:rFonts w:ascii="Arial" w:hAnsi="Arial" w:cs="Arial"/>
          <w:szCs w:val="24"/>
          <w:lang w:val="en-IN"/>
        </w:rPr>
        <w:t>.</w:t>
      </w:r>
    </w:p>
    <w:p w14:paraId="7F64E729" w14:textId="108792DB" w:rsidR="00CC2FB5" w:rsidRPr="00AE2312" w:rsidRDefault="00CC2FB5" w:rsidP="00CC2FB5">
      <w:pPr>
        <w:rPr>
          <w:rFonts w:ascii="Arial" w:hAnsi="Arial" w:cs="Arial"/>
          <w:szCs w:val="24"/>
          <w:lang w:val="en-IN"/>
        </w:rPr>
      </w:pPr>
      <w:r w:rsidRPr="00AE2312">
        <w:rPr>
          <w:rFonts w:ascii="Arial" w:hAnsi="Arial" w:cs="Arial"/>
          <w:szCs w:val="24"/>
          <w:lang w:val="en-IN"/>
        </w:rPr>
        <w:t>The recovery was</w:t>
      </w:r>
      <w:r w:rsidR="000B3EB7" w:rsidRPr="00AE2312">
        <w:rPr>
          <w:rFonts w:ascii="Arial" w:hAnsi="Arial" w:cs="Arial"/>
          <w:szCs w:val="24"/>
          <w:lang w:val="en-IN"/>
        </w:rPr>
        <w:t>,</w:t>
      </w:r>
      <w:r w:rsidRPr="00AE2312">
        <w:rPr>
          <w:rFonts w:ascii="Arial" w:hAnsi="Arial" w:cs="Arial"/>
          <w:szCs w:val="24"/>
          <w:lang w:val="en-IN"/>
        </w:rPr>
        <w:t xml:space="preserve"> however</w:t>
      </w:r>
      <w:r w:rsidR="000B3EB7" w:rsidRPr="00AE2312">
        <w:rPr>
          <w:rFonts w:ascii="Arial" w:hAnsi="Arial" w:cs="Arial"/>
          <w:szCs w:val="24"/>
          <w:lang w:val="en-IN"/>
        </w:rPr>
        <w:t>,</w:t>
      </w:r>
      <w:r w:rsidRPr="00AE2312">
        <w:rPr>
          <w:rFonts w:ascii="Arial" w:hAnsi="Arial" w:cs="Arial"/>
          <w:szCs w:val="24"/>
          <w:lang w:val="en-IN"/>
        </w:rPr>
        <w:t xml:space="preserve"> not sustainable. The cash flow declined again to 5,000 million euros in 2024 and then</w:t>
      </w:r>
      <w:r w:rsidR="000B3EB7" w:rsidRPr="00AE2312">
        <w:rPr>
          <w:rFonts w:ascii="Arial" w:hAnsi="Arial" w:cs="Arial"/>
          <w:szCs w:val="24"/>
          <w:lang w:val="en-IN"/>
        </w:rPr>
        <w:t>,</w:t>
      </w:r>
      <w:r w:rsidRPr="00AE2312">
        <w:rPr>
          <w:rFonts w:ascii="Arial" w:hAnsi="Arial" w:cs="Arial"/>
          <w:szCs w:val="24"/>
          <w:lang w:val="en-IN"/>
        </w:rPr>
        <w:t xml:space="preserve"> to some extent</w:t>
      </w:r>
      <w:r w:rsidR="000B3EB7" w:rsidRPr="00AE2312">
        <w:rPr>
          <w:rFonts w:ascii="Arial" w:hAnsi="Arial" w:cs="Arial"/>
          <w:szCs w:val="24"/>
          <w:lang w:val="en-IN"/>
        </w:rPr>
        <w:t>,</w:t>
      </w:r>
      <w:r w:rsidRPr="00AE2312">
        <w:rPr>
          <w:rFonts w:ascii="Arial" w:hAnsi="Arial" w:cs="Arial"/>
          <w:szCs w:val="24"/>
          <w:lang w:val="en-IN"/>
        </w:rPr>
        <w:t xml:space="preserve"> bounced back to 6,400 million euros in 2025 (Volkswagen Group, 2026). These changes imply inconstancy in cash generation, which is a threat to short-term financial stability. It is imperative to have </w:t>
      </w:r>
      <w:r w:rsidR="000B3EB7" w:rsidRPr="00AE2312">
        <w:rPr>
          <w:rFonts w:ascii="Arial" w:hAnsi="Arial" w:cs="Arial"/>
          <w:szCs w:val="24"/>
          <w:lang w:val="en-IN"/>
        </w:rPr>
        <w:t>a constant</w:t>
      </w:r>
      <w:r w:rsidRPr="00AE2312">
        <w:rPr>
          <w:rFonts w:ascii="Arial" w:hAnsi="Arial" w:cs="Arial"/>
          <w:szCs w:val="24"/>
          <w:lang w:val="en-IN"/>
        </w:rPr>
        <w:t xml:space="preserve"> cash flow that is constant to pay all obligations like supplier payments, wages and interest on debts. The volatility that has been observed implies that Volkswagen could experience liquidity pressures in times of low cash inflows. The observed </w:t>
      </w:r>
      <w:r w:rsidRPr="00AE2312">
        <w:rPr>
          <w:rFonts w:ascii="Arial" w:hAnsi="Arial" w:cs="Arial"/>
          <w:szCs w:val="24"/>
          <w:lang w:val="en-IN"/>
        </w:rPr>
        <w:lastRenderedPageBreak/>
        <w:t xml:space="preserve">decrease in profitability can have a detrimental effect on liquidity. The decrease in operating profits lowers the level of internally-generated funds, making it more dependent on external financing. It can increase the financial expenditures and </w:t>
      </w:r>
      <w:r w:rsidR="000B3EB7" w:rsidRPr="00AE2312">
        <w:rPr>
          <w:rFonts w:ascii="Arial" w:hAnsi="Arial" w:cs="Arial"/>
          <w:szCs w:val="24"/>
          <w:lang w:val="en-IN"/>
        </w:rPr>
        <w:t>reduce</w:t>
      </w:r>
      <w:r w:rsidRPr="00AE2312">
        <w:rPr>
          <w:rFonts w:ascii="Arial" w:hAnsi="Arial" w:cs="Arial"/>
          <w:szCs w:val="24"/>
          <w:lang w:val="en-IN"/>
        </w:rPr>
        <w:t xml:space="preserve"> flexibility (Islam et al., 2022).</w:t>
      </w:r>
    </w:p>
    <w:p w14:paraId="20476841" w14:textId="3DA8D1DB" w:rsidR="00CC2FB5" w:rsidRPr="00AE2312" w:rsidRDefault="00CC2FB5" w:rsidP="00CC2FB5">
      <w:pPr>
        <w:rPr>
          <w:rFonts w:ascii="Arial" w:hAnsi="Arial" w:cs="Arial"/>
          <w:szCs w:val="24"/>
          <w:lang w:val="en-IN"/>
        </w:rPr>
      </w:pPr>
      <w:r w:rsidRPr="00AE2312">
        <w:rPr>
          <w:rFonts w:ascii="Arial" w:hAnsi="Arial" w:cs="Arial"/>
          <w:szCs w:val="24"/>
          <w:lang w:val="en-IN"/>
        </w:rPr>
        <w:t xml:space="preserve">It has been critically analysed that the liquidity position of Volkswagen is moderate and unstable. </w:t>
      </w:r>
      <w:r w:rsidR="000B3EB7" w:rsidRPr="00AE2312">
        <w:rPr>
          <w:rFonts w:ascii="Arial" w:hAnsi="Arial" w:cs="Arial"/>
          <w:szCs w:val="24"/>
          <w:lang w:val="en-IN"/>
        </w:rPr>
        <w:t>W</w:t>
      </w:r>
      <w:r w:rsidR="00F6536C" w:rsidRPr="00AE2312">
        <w:rPr>
          <w:rFonts w:ascii="Arial" w:hAnsi="Arial" w:cs="Arial"/>
          <w:szCs w:val="24"/>
          <w:lang w:val="en-IN"/>
        </w:rPr>
        <w:t>hile the company is capable of generating substantial cash</w:t>
      </w:r>
      <w:r w:rsidRPr="00AE2312">
        <w:rPr>
          <w:rFonts w:ascii="Arial" w:hAnsi="Arial" w:cs="Arial"/>
          <w:szCs w:val="24"/>
          <w:lang w:val="en-IN"/>
        </w:rPr>
        <w:t>, irregularities in its cash flow underscore the importance of better financial planning and working capital management to maintain sustainable liquidity.</w:t>
      </w:r>
    </w:p>
    <w:p w14:paraId="73822D49" w14:textId="77777777" w:rsidR="00B30D95" w:rsidRPr="00AE2312" w:rsidRDefault="00B30D95" w:rsidP="00B30D95">
      <w:pPr>
        <w:pStyle w:val="Heading2"/>
        <w:rPr>
          <w:rFonts w:ascii="Arial" w:hAnsi="Arial" w:cs="Arial"/>
          <w:szCs w:val="24"/>
        </w:rPr>
      </w:pPr>
      <w:bookmarkStart w:id="16" w:name="_Toc227920723"/>
      <w:r w:rsidRPr="00AE2312">
        <w:rPr>
          <w:rFonts w:ascii="Arial" w:hAnsi="Arial" w:cs="Arial"/>
          <w:szCs w:val="24"/>
        </w:rPr>
        <w:t>3.3 Recommendations</w:t>
      </w:r>
      <w:bookmarkEnd w:id="16"/>
    </w:p>
    <w:p w14:paraId="64103138" w14:textId="77777777" w:rsidR="00B30D95" w:rsidRPr="00AE2312" w:rsidRDefault="00B30D95" w:rsidP="00B30D95">
      <w:pPr>
        <w:rPr>
          <w:rFonts w:ascii="Arial" w:hAnsi="Arial" w:cs="Arial"/>
          <w:szCs w:val="24"/>
          <w:lang w:val="en-IN"/>
        </w:rPr>
      </w:pPr>
      <w:r w:rsidRPr="00AE2312">
        <w:rPr>
          <w:rFonts w:ascii="Arial" w:hAnsi="Arial" w:cs="Arial"/>
          <w:szCs w:val="24"/>
          <w:lang w:val="en-IN"/>
        </w:rPr>
        <w:t>To improve its working capital management and liquidity position, Volkswagen should adopt several strategic measures focused on enhancing efficiency and stability.</w:t>
      </w:r>
    </w:p>
    <w:p w14:paraId="0EAD73A8" w14:textId="07E5B697" w:rsidR="00587721" w:rsidRPr="00AE2312" w:rsidRDefault="00587721" w:rsidP="00587721">
      <w:pPr>
        <w:rPr>
          <w:rFonts w:ascii="Arial" w:hAnsi="Arial" w:cs="Arial"/>
          <w:szCs w:val="24"/>
          <w:lang w:val="en-IN"/>
        </w:rPr>
      </w:pPr>
      <w:r w:rsidRPr="00AE2312">
        <w:rPr>
          <w:rFonts w:ascii="Arial" w:hAnsi="Arial" w:cs="Arial"/>
          <w:szCs w:val="24"/>
          <w:lang w:val="en-IN"/>
        </w:rPr>
        <w:t xml:space="preserve">It is necessary to improve receivables management. Volkswagen ought to enforce more stringent credit policies and shorten the average collection period by enticing customers and dealers to pay sooner (Weglage, 2021). This would be possible by providing an incentive to pay early and an improved credit monitoring system. More intensive cash flows will enhance liquidity and </w:t>
      </w:r>
      <w:r w:rsidR="000B3EB7" w:rsidRPr="00AE2312">
        <w:rPr>
          <w:rFonts w:ascii="Arial" w:hAnsi="Arial" w:cs="Arial"/>
          <w:szCs w:val="24"/>
          <w:lang w:val="en-IN"/>
        </w:rPr>
        <w:t>reduce</w:t>
      </w:r>
      <w:r w:rsidRPr="00AE2312">
        <w:rPr>
          <w:rFonts w:ascii="Arial" w:hAnsi="Arial" w:cs="Arial"/>
          <w:szCs w:val="24"/>
          <w:lang w:val="en-IN"/>
        </w:rPr>
        <w:t xml:space="preserve"> reliance on external funding.</w:t>
      </w:r>
    </w:p>
    <w:p w14:paraId="3673A67A" w14:textId="638F2B76" w:rsidR="00587721" w:rsidRPr="00AE2312" w:rsidRDefault="00587721" w:rsidP="00587721">
      <w:pPr>
        <w:rPr>
          <w:rFonts w:ascii="Arial" w:hAnsi="Arial" w:cs="Arial"/>
          <w:szCs w:val="24"/>
          <w:lang w:val="en-IN"/>
        </w:rPr>
      </w:pPr>
      <w:r w:rsidRPr="00AE2312">
        <w:rPr>
          <w:rFonts w:ascii="Arial" w:hAnsi="Arial" w:cs="Arial"/>
          <w:szCs w:val="24"/>
          <w:lang w:val="en-IN"/>
        </w:rPr>
        <w:t xml:space="preserve">There should be </w:t>
      </w:r>
      <w:r w:rsidR="000B3EB7" w:rsidRPr="00AE2312">
        <w:rPr>
          <w:rFonts w:ascii="Arial" w:hAnsi="Arial" w:cs="Arial"/>
          <w:szCs w:val="24"/>
          <w:lang w:val="en-IN"/>
        </w:rPr>
        <w:t>an optimiz</w:t>
      </w:r>
      <w:r w:rsidRPr="00AE2312">
        <w:rPr>
          <w:rFonts w:ascii="Arial" w:hAnsi="Arial" w:cs="Arial"/>
          <w:szCs w:val="24"/>
          <w:lang w:val="en-IN"/>
        </w:rPr>
        <w:t>ation of inventory management. The firm may implement new inventory management strategies like Just-in-Time (JIT) systems and digital supply chain management device</w:t>
      </w:r>
      <w:r w:rsidR="000B3EB7" w:rsidRPr="00AE2312">
        <w:rPr>
          <w:rFonts w:ascii="Arial" w:hAnsi="Arial" w:cs="Arial"/>
          <w:szCs w:val="24"/>
          <w:lang w:val="en-IN"/>
        </w:rPr>
        <w:t>s</w:t>
      </w:r>
      <w:r w:rsidRPr="00AE2312">
        <w:rPr>
          <w:rFonts w:ascii="Arial" w:hAnsi="Arial" w:cs="Arial"/>
          <w:szCs w:val="24"/>
          <w:lang w:val="en-IN"/>
        </w:rPr>
        <w:t xml:space="preserve"> to reduce the level of stock (Khalil </w:t>
      </w:r>
      <w:r w:rsidRPr="00AE2312">
        <w:rPr>
          <w:rFonts w:ascii="Arial" w:hAnsi="Arial" w:cs="Arial"/>
          <w:i/>
          <w:iCs/>
          <w:szCs w:val="24"/>
          <w:lang w:val="en-IN"/>
        </w:rPr>
        <w:t>et al.,</w:t>
      </w:r>
      <w:r w:rsidRPr="00AE2312">
        <w:rPr>
          <w:rFonts w:ascii="Arial" w:hAnsi="Arial" w:cs="Arial"/>
          <w:szCs w:val="24"/>
          <w:lang w:val="en-IN"/>
        </w:rPr>
        <w:t xml:space="preserve"> 2025). Effective inventory control will minimize holding costs and make capital available to fund other operations. Since EV production is a complex activity, planning and communication with suppliers is paramount.</w:t>
      </w:r>
    </w:p>
    <w:p w14:paraId="5C84EBFF" w14:textId="6BA1E437" w:rsidR="004A27FE" w:rsidRPr="00AE2312" w:rsidRDefault="004A27FE" w:rsidP="004A27FE">
      <w:pPr>
        <w:rPr>
          <w:rFonts w:ascii="Arial" w:hAnsi="Arial" w:cs="Arial"/>
          <w:szCs w:val="24"/>
          <w:lang w:val="en-IN"/>
        </w:rPr>
      </w:pPr>
      <w:r w:rsidRPr="00AE2312">
        <w:rPr>
          <w:rFonts w:ascii="Arial" w:hAnsi="Arial" w:cs="Arial"/>
          <w:szCs w:val="24"/>
          <w:lang w:val="en-IN"/>
        </w:rPr>
        <w:t xml:space="preserve">Volkswagen ought to handle payables amidst strategy. Although the extension of payment terms would enhance liquidity, close relations should be ensured with suppliers. Balancing liquidity and stability of operations will be achieved by negotiating favourable payment terms without damaging the trust of the suppliers (Grewal </w:t>
      </w:r>
      <w:r w:rsidRPr="00AE2312">
        <w:rPr>
          <w:rFonts w:ascii="Arial" w:hAnsi="Arial" w:cs="Arial"/>
          <w:i/>
          <w:iCs/>
          <w:szCs w:val="24"/>
          <w:lang w:val="en-IN"/>
        </w:rPr>
        <w:t>et al.,</w:t>
      </w:r>
      <w:r w:rsidRPr="00AE2312">
        <w:rPr>
          <w:rFonts w:ascii="Arial" w:hAnsi="Arial" w:cs="Arial"/>
          <w:szCs w:val="24"/>
          <w:lang w:val="en-IN"/>
        </w:rPr>
        <w:t xml:space="preserve"> 2024). Volkswagen ought to think of diversifying </w:t>
      </w:r>
      <w:r w:rsidR="000B3EB7" w:rsidRPr="00AE2312">
        <w:rPr>
          <w:rFonts w:ascii="Arial" w:hAnsi="Arial" w:cs="Arial"/>
          <w:szCs w:val="24"/>
          <w:lang w:val="en-IN"/>
        </w:rPr>
        <w:t>its</w:t>
      </w:r>
      <w:r w:rsidRPr="00AE2312">
        <w:rPr>
          <w:rFonts w:ascii="Arial" w:hAnsi="Arial" w:cs="Arial"/>
          <w:szCs w:val="24"/>
          <w:lang w:val="en-IN"/>
        </w:rPr>
        <w:t xml:space="preserve"> financing sources. The immediate liquidity support can be provided with the help of short-term financing sources, i.e., trade credit and bank overdrafts, and the strategic investments can be supported with the help of long-term financing sources, i.e., bonds or equity. A moderate financing policy will minimize risk and increase financial flexibility. It is critical to enhance cash flow forecasting and financial planning. Proper forecasting will also help the company </w:t>
      </w:r>
      <w:r w:rsidRPr="00AE2312">
        <w:rPr>
          <w:rFonts w:ascii="Arial" w:hAnsi="Arial" w:cs="Arial"/>
          <w:szCs w:val="24"/>
          <w:lang w:val="en-IN"/>
        </w:rPr>
        <w:lastRenderedPageBreak/>
        <w:t>to predict cash deficits and proactively implement steps to ensure that the company remains afloat (Barnabas and Oloyede, 2024).</w:t>
      </w:r>
    </w:p>
    <w:p w14:paraId="67F59287" w14:textId="05470996" w:rsidR="004A27FE" w:rsidRPr="00AE2312" w:rsidRDefault="004A27FE" w:rsidP="004A27FE">
      <w:pPr>
        <w:rPr>
          <w:rFonts w:ascii="Arial" w:hAnsi="Arial" w:cs="Arial"/>
          <w:szCs w:val="24"/>
          <w:lang w:val="en-IN"/>
        </w:rPr>
      </w:pPr>
      <w:r w:rsidRPr="00AE2312">
        <w:rPr>
          <w:rFonts w:ascii="Arial" w:hAnsi="Arial" w:cs="Arial"/>
          <w:szCs w:val="24"/>
          <w:lang w:val="en-IN"/>
        </w:rPr>
        <w:t>It has been critically analysed that Volkswagen can enhance its working capital management and maintain the financial sustainability in the long-term through enhancing the receivables, optimi</w:t>
      </w:r>
      <w:r w:rsidR="000B3EB7" w:rsidRPr="00AE2312">
        <w:rPr>
          <w:rFonts w:ascii="Arial" w:hAnsi="Arial" w:cs="Arial"/>
          <w:szCs w:val="24"/>
          <w:lang w:val="en-IN"/>
        </w:rPr>
        <w:t>z</w:t>
      </w:r>
      <w:r w:rsidRPr="00AE2312">
        <w:rPr>
          <w:rFonts w:ascii="Arial" w:hAnsi="Arial" w:cs="Arial"/>
          <w:szCs w:val="24"/>
          <w:lang w:val="en-IN"/>
        </w:rPr>
        <w:t xml:space="preserve">ing inventory, effectively managing payables, and </w:t>
      </w:r>
      <w:r w:rsidR="000B3EB7" w:rsidRPr="00AE2312">
        <w:rPr>
          <w:rFonts w:ascii="Arial" w:hAnsi="Arial" w:cs="Arial"/>
          <w:szCs w:val="24"/>
          <w:lang w:val="en-IN"/>
        </w:rPr>
        <w:t xml:space="preserve">implementing </w:t>
      </w:r>
      <w:r w:rsidRPr="00AE2312">
        <w:rPr>
          <w:rFonts w:ascii="Arial" w:hAnsi="Arial" w:cs="Arial"/>
          <w:szCs w:val="24"/>
          <w:lang w:val="en-IN"/>
        </w:rPr>
        <w:t>a balanced financing strategy.</w:t>
      </w:r>
    </w:p>
    <w:p w14:paraId="3BC7FD66" w14:textId="77777777" w:rsidR="00712BDA" w:rsidRPr="00AE2312" w:rsidRDefault="00712BDA" w:rsidP="00712BDA">
      <w:pPr>
        <w:pStyle w:val="Heading1"/>
        <w:rPr>
          <w:rFonts w:ascii="Arial" w:hAnsi="Arial" w:cs="Arial"/>
          <w:szCs w:val="24"/>
          <w:lang w:val="en-IN"/>
        </w:rPr>
      </w:pPr>
      <w:bookmarkStart w:id="17" w:name="_Toc227920724"/>
      <w:r w:rsidRPr="00AE2312">
        <w:rPr>
          <w:rFonts w:ascii="Arial" w:hAnsi="Arial" w:cs="Arial"/>
          <w:szCs w:val="24"/>
          <w:lang w:val="en-IN"/>
        </w:rPr>
        <w:t>4. Strategic Financial Restructuring</w:t>
      </w:r>
      <w:bookmarkEnd w:id="17"/>
    </w:p>
    <w:p w14:paraId="025114AA" w14:textId="77777777" w:rsidR="00712BDA" w:rsidRPr="00AE2312" w:rsidRDefault="00712BDA" w:rsidP="00712BDA">
      <w:pPr>
        <w:pStyle w:val="Heading2"/>
        <w:rPr>
          <w:rFonts w:ascii="Arial" w:hAnsi="Arial" w:cs="Arial"/>
          <w:szCs w:val="24"/>
        </w:rPr>
      </w:pPr>
      <w:bookmarkStart w:id="18" w:name="_Toc227920725"/>
      <w:r w:rsidRPr="00AE2312">
        <w:rPr>
          <w:rFonts w:ascii="Arial" w:hAnsi="Arial" w:cs="Arial"/>
          <w:szCs w:val="24"/>
        </w:rPr>
        <w:t>4.1 Problem Identification</w:t>
      </w:r>
      <w:bookmarkEnd w:id="18"/>
    </w:p>
    <w:p w14:paraId="0FF2CAE0" w14:textId="53C6325F" w:rsidR="002011DC" w:rsidRPr="00AE2312" w:rsidRDefault="002011DC" w:rsidP="002011DC">
      <w:pPr>
        <w:rPr>
          <w:rFonts w:ascii="Arial" w:hAnsi="Arial" w:cs="Arial"/>
          <w:szCs w:val="24"/>
          <w:lang w:val="en-IN"/>
        </w:rPr>
      </w:pPr>
      <w:r w:rsidRPr="00AE2312">
        <w:rPr>
          <w:rFonts w:ascii="Arial" w:hAnsi="Arial" w:cs="Arial"/>
          <w:szCs w:val="24"/>
          <w:lang w:val="en-IN"/>
        </w:rPr>
        <w:t>The recent financial performance of Volkswagen illustrates a number of areas of concern that require strategic financial restructuring. Although the company has been witnessing a high and relatively steady increase in its revenues over the past five years, its profitability has gone down drastically. Operating profit</w:t>
      </w:r>
      <w:r w:rsidR="000B3EB7" w:rsidRPr="00AE2312">
        <w:rPr>
          <w:rFonts w:ascii="Arial" w:hAnsi="Arial" w:cs="Arial"/>
          <w:szCs w:val="24"/>
          <w:lang w:val="en-IN"/>
        </w:rPr>
        <w:t>, which</w:t>
      </w:r>
      <w:r w:rsidRPr="00AE2312">
        <w:rPr>
          <w:rFonts w:ascii="Arial" w:hAnsi="Arial" w:cs="Arial"/>
          <w:szCs w:val="24"/>
          <w:lang w:val="en-IN"/>
        </w:rPr>
        <w:t xml:space="preserve"> was at its peak in 2023, declined drastically in 2025, meaning that the company can convert its revenue into sustainable earnings (Volkswagen Group, 2026). This is an indicator of structural inefficiency in operations</w:t>
      </w:r>
      <w:r w:rsidR="000B3EB7" w:rsidRPr="00AE2312">
        <w:rPr>
          <w:rFonts w:ascii="Arial" w:hAnsi="Arial" w:cs="Arial"/>
          <w:szCs w:val="24"/>
          <w:lang w:val="en-IN"/>
        </w:rPr>
        <w:t>,</w:t>
      </w:r>
      <w:r w:rsidRPr="00AE2312">
        <w:rPr>
          <w:rFonts w:ascii="Arial" w:hAnsi="Arial" w:cs="Arial"/>
          <w:szCs w:val="24"/>
          <w:lang w:val="en-IN"/>
        </w:rPr>
        <w:t xml:space="preserve"> as there is a disparity between revenue and profit.</w:t>
      </w:r>
    </w:p>
    <w:p w14:paraId="211E1E52" w14:textId="705DA9C5" w:rsidR="002011DC" w:rsidRPr="00AE2312" w:rsidRDefault="002011DC" w:rsidP="002011DC">
      <w:pPr>
        <w:rPr>
          <w:rFonts w:ascii="Arial" w:hAnsi="Arial" w:cs="Arial"/>
          <w:szCs w:val="24"/>
          <w:lang w:val="en-IN"/>
        </w:rPr>
      </w:pPr>
      <w:r w:rsidRPr="00AE2312">
        <w:rPr>
          <w:rFonts w:ascii="Arial" w:hAnsi="Arial" w:cs="Arial"/>
          <w:szCs w:val="24"/>
          <w:lang w:val="en-IN"/>
        </w:rPr>
        <w:t>Increasing cost pressure is one of the main issues. The automotive market is actively changing towards going electric (EVs), and Volkswagen has invested in research, development, and production resources to stay competitive (Yeung, 2024). Although such investments are necessary in the long term, it has greatly raised operational costs in the short term. The expense of battery manufacturing, new plants and technological improvements has strained margins.</w:t>
      </w:r>
    </w:p>
    <w:p w14:paraId="12027808" w14:textId="7B00351A" w:rsidR="003025E7" w:rsidRPr="00AE2312" w:rsidRDefault="003025E7" w:rsidP="003025E7">
      <w:pPr>
        <w:rPr>
          <w:rFonts w:ascii="Arial" w:hAnsi="Arial" w:cs="Arial"/>
          <w:szCs w:val="24"/>
          <w:lang w:val="en-IN"/>
        </w:rPr>
      </w:pPr>
      <w:r w:rsidRPr="00AE2312">
        <w:rPr>
          <w:rFonts w:ascii="Arial" w:hAnsi="Arial" w:cs="Arial"/>
          <w:szCs w:val="24"/>
          <w:lang w:val="en-IN"/>
        </w:rPr>
        <w:t>The economic aspects experienced globally</w:t>
      </w:r>
      <w:r w:rsidR="000B3EB7" w:rsidRPr="00AE2312">
        <w:rPr>
          <w:rFonts w:ascii="Arial" w:hAnsi="Arial" w:cs="Arial"/>
          <w:szCs w:val="24"/>
          <w:lang w:val="en-IN"/>
        </w:rPr>
        <w:t>,</w:t>
      </w:r>
      <w:r w:rsidRPr="00AE2312">
        <w:rPr>
          <w:rFonts w:ascii="Arial" w:hAnsi="Arial" w:cs="Arial"/>
          <w:szCs w:val="24"/>
          <w:lang w:val="en-IN"/>
        </w:rPr>
        <w:t xml:space="preserve"> like inflation, supply chain interruptions, and rising prices of raw materials</w:t>
      </w:r>
      <w:r w:rsidR="000B3EB7" w:rsidRPr="00AE2312">
        <w:rPr>
          <w:rFonts w:ascii="Arial" w:hAnsi="Arial" w:cs="Arial"/>
          <w:szCs w:val="24"/>
          <w:lang w:val="en-IN"/>
        </w:rPr>
        <w:t>,</w:t>
      </w:r>
      <w:r w:rsidRPr="00AE2312">
        <w:rPr>
          <w:rFonts w:ascii="Arial" w:hAnsi="Arial" w:cs="Arial"/>
          <w:szCs w:val="24"/>
          <w:lang w:val="en-IN"/>
        </w:rPr>
        <w:t xml:space="preserve"> have also facilitated reduced profitability (</w:t>
      </w:r>
      <w:proofErr w:type="spellStart"/>
      <w:r w:rsidRPr="00AE2312">
        <w:rPr>
          <w:rFonts w:ascii="Arial" w:hAnsi="Arial" w:cs="Arial"/>
          <w:szCs w:val="24"/>
          <w:lang w:val="en-IN"/>
        </w:rPr>
        <w:t>Santacreu</w:t>
      </w:r>
      <w:proofErr w:type="spellEnd"/>
      <w:r w:rsidRPr="00AE2312">
        <w:rPr>
          <w:rFonts w:ascii="Arial" w:hAnsi="Arial" w:cs="Arial"/>
          <w:szCs w:val="24"/>
          <w:lang w:val="en-IN"/>
        </w:rPr>
        <w:t xml:space="preserve"> and LaBelle, 2022). The lack of semiconductors and increased energy costs have especially affected efficiency in production, which has caused costs and delays to increase. These </w:t>
      </w:r>
      <w:r w:rsidR="0095206E" w:rsidRPr="00AE2312">
        <w:rPr>
          <w:rFonts w:ascii="Arial" w:hAnsi="Arial" w:cs="Arial"/>
          <w:szCs w:val="24"/>
          <w:lang w:val="en-IN"/>
        </w:rPr>
        <w:t>factors</w:t>
      </w:r>
      <w:r w:rsidRPr="00AE2312">
        <w:rPr>
          <w:rFonts w:ascii="Arial" w:hAnsi="Arial" w:cs="Arial"/>
          <w:szCs w:val="24"/>
          <w:lang w:val="en-IN"/>
        </w:rPr>
        <w:t xml:space="preserve"> have made operations less efficient</w:t>
      </w:r>
      <w:r w:rsidR="000B3EB7" w:rsidRPr="00AE2312">
        <w:rPr>
          <w:rFonts w:ascii="Arial" w:hAnsi="Arial" w:cs="Arial"/>
          <w:szCs w:val="24"/>
          <w:lang w:val="en-IN"/>
        </w:rPr>
        <w:t>,</w:t>
      </w:r>
      <w:r w:rsidRPr="00AE2312">
        <w:rPr>
          <w:rFonts w:ascii="Arial" w:hAnsi="Arial" w:cs="Arial"/>
          <w:szCs w:val="24"/>
          <w:lang w:val="en-IN"/>
        </w:rPr>
        <w:t xml:space="preserve"> as indicated by the decreasing operating margin. The other issue is the instability of cash flow</w:t>
      </w:r>
      <w:r w:rsidR="000B3EB7" w:rsidRPr="00AE2312">
        <w:rPr>
          <w:rFonts w:ascii="Arial" w:hAnsi="Arial" w:cs="Arial"/>
          <w:szCs w:val="24"/>
          <w:lang w:val="en-IN"/>
        </w:rPr>
        <w:t>,</w:t>
      </w:r>
      <w:r w:rsidRPr="00AE2312">
        <w:rPr>
          <w:rFonts w:ascii="Arial" w:hAnsi="Arial" w:cs="Arial"/>
          <w:szCs w:val="24"/>
          <w:lang w:val="en-IN"/>
        </w:rPr>
        <w:t xml:space="preserve"> which means that the company has weak cash management. Unpredictability in cash inflows may impact the capacity of the company to cover short-term liabilities and spend on continued investments. This heightens dependency on external financing</w:t>
      </w:r>
      <w:r w:rsidR="000B3EB7" w:rsidRPr="00AE2312">
        <w:rPr>
          <w:rFonts w:ascii="Arial" w:hAnsi="Arial" w:cs="Arial"/>
          <w:szCs w:val="24"/>
          <w:lang w:val="en-IN"/>
        </w:rPr>
        <w:t>,</w:t>
      </w:r>
      <w:r w:rsidRPr="00AE2312">
        <w:rPr>
          <w:rFonts w:ascii="Arial" w:hAnsi="Arial" w:cs="Arial"/>
          <w:szCs w:val="24"/>
          <w:lang w:val="en-IN"/>
        </w:rPr>
        <w:t xml:space="preserve"> which may elevate financial risk.</w:t>
      </w:r>
    </w:p>
    <w:p w14:paraId="0520A09E" w14:textId="70084796" w:rsidR="003025E7" w:rsidRPr="00AE2312" w:rsidRDefault="003025E7" w:rsidP="003025E7">
      <w:pPr>
        <w:rPr>
          <w:rFonts w:ascii="Arial" w:hAnsi="Arial" w:cs="Arial"/>
          <w:szCs w:val="24"/>
          <w:lang w:val="en-IN"/>
        </w:rPr>
      </w:pPr>
      <w:r w:rsidRPr="00AE2312">
        <w:rPr>
          <w:rFonts w:ascii="Arial" w:hAnsi="Arial" w:cs="Arial"/>
          <w:szCs w:val="24"/>
          <w:lang w:val="en-IN"/>
        </w:rPr>
        <w:lastRenderedPageBreak/>
        <w:t>The cost structure at Volkswagen seems to be rigid in nature</w:t>
      </w:r>
      <w:r w:rsidR="000B3EB7" w:rsidRPr="00AE2312">
        <w:rPr>
          <w:rFonts w:ascii="Arial" w:hAnsi="Arial" w:cs="Arial"/>
          <w:szCs w:val="24"/>
          <w:lang w:val="en-IN"/>
        </w:rPr>
        <w:t>,</w:t>
      </w:r>
      <w:r w:rsidRPr="00AE2312">
        <w:rPr>
          <w:rFonts w:ascii="Arial" w:hAnsi="Arial" w:cs="Arial"/>
          <w:szCs w:val="24"/>
          <w:lang w:val="en-IN"/>
        </w:rPr>
        <w:t xml:space="preserve"> as the company has high fixed cost</w:t>
      </w:r>
      <w:r w:rsidR="000B3EB7" w:rsidRPr="00AE2312">
        <w:rPr>
          <w:rFonts w:ascii="Arial" w:hAnsi="Arial" w:cs="Arial"/>
          <w:szCs w:val="24"/>
          <w:lang w:val="en-IN"/>
        </w:rPr>
        <w:t>s</w:t>
      </w:r>
      <w:r w:rsidRPr="00AE2312">
        <w:rPr>
          <w:rFonts w:ascii="Arial" w:hAnsi="Arial" w:cs="Arial"/>
          <w:szCs w:val="24"/>
          <w:lang w:val="en-IN"/>
        </w:rPr>
        <w:t xml:space="preserve"> in terms of manufacturing and labour costs. This restricts the capacity of the company to respond promptly to the fluctuation of demand or economic situation. Consequently, any slight drops in revenue can result in a drastic decrease in profits.</w:t>
      </w:r>
    </w:p>
    <w:p w14:paraId="6E605CEC" w14:textId="4466243F" w:rsidR="00581B41" w:rsidRPr="00AE2312" w:rsidRDefault="00581B41" w:rsidP="00712BDA">
      <w:pPr>
        <w:rPr>
          <w:rFonts w:ascii="Arial" w:hAnsi="Arial" w:cs="Arial"/>
          <w:szCs w:val="24"/>
          <w:lang w:val="en-IN"/>
        </w:rPr>
      </w:pPr>
      <w:r w:rsidRPr="00AE2312">
        <w:rPr>
          <w:rFonts w:ascii="Arial" w:hAnsi="Arial" w:cs="Arial"/>
          <w:szCs w:val="24"/>
          <w:lang w:val="en-IN"/>
        </w:rPr>
        <w:t xml:space="preserve">It has been critically </w:t>
      </w:r>
      <w:proofErr w:type="spellStart"/>
      <w:r w:rsidRPr="00AE2312">
        <w:rPr>
          <w:rFonts w:ascii="Arial" w:hAnsi="Arial" w:cs="Arial"/>
          <w:szCs w:val="24"/>
          <w:lang w:val="en-IN"/>
        </w:rPr>
        <w:t>analy</w:t>
      </w:r>
      <w:r w:rsidR="000B3EB7" w:rsidRPr="00AE2312">
        <w:rPr>
          <w:rFonts w:ascii="Arial" w:hAnsi="Arial" w:cs="Arial"/>
          <w:szCs w:val="24"/>
          <w:lang w:val="en-IN"/>
        </w:rPr>
        <w:t>zed</w:t>
      </w:r>
      <w:proofErr w:type="spellEnd"/>
      <w:r w:rsidR="000B3EB7" w:rsidRPr="00AE2312">
        <w:rPr>
          <w:rFonts w:ascii="Arial" w:hAnsi="Arial" w:cs="Arial"/>
          <w:szCs w:val="24"/>
          <w:lang w:val="en-IN"/>
        </w:rPr>
        <w:t xml:space="preserve"> that</w:t>
      </w:r>
      <w:r w:rsidRPr="00AE2312">
        <w:rPr>
          <w:rFonts w:ascii="Arial" w:hAnsi="Arial" w:cs="Arial"/>
          <w:szCs w:val="24"/>
          <w:lang w:val="en-IN"/>
        </w:rPr>
        <w:t xml:space="preserve"> Volkswagen is experiencing a </w:t>
      </w:r>
      <w:r w:rsidR="00A4071F" w:rsidRPr="00AE2312">
        <w:rPr>
          <w:rFonts w:ascii="Arial" w:hAnsi="Arial" w:cs="Arial"/>
          <w:szCs w:val="24"/>
          <w:lang w:val="en-IN"/>
        </w:rPr>
        <w:t xml:space="preserve">combination </w:t>
      </w:r>
      <w:r w:rsidRPr="00AE2312">
        <w:rPr>
          <w:rFonts w:ascii="Arial" w:hAnsi="Arial" w:cs="Arial"/>
          <w:szCs w:val="24"/>
          <w:lang w:val="en-IN"/>
        </w:rPr>
        <w:t xml:space="preserve">of </w:t>
      </w:r>
      <w:r w:rsidR="00D44050" w:rsidRPr="00AE2312">
        <w:rPr>
          <w:rFonts w:ascii="Arial" w:hAnsi="Arial" w:cs="Arial"/>
          <w:szCs w:val="24"/>
          <w:lang w:val="en-IN"/>
        </w:rPr>
        <w:t xml:space="preserve">declining </w:t>
      </w:r>
      <w:r w:rsidRPr="00AE2312">
        <w:rPr>
          <w:rFonts w:ascii="Arial" w:hAnsi="Arial" w:cs="Arial"/>
          <w:szCs w:val="24"/>
          <w:lang w:val="en-IN"/>
        </w:rPr>
        <w:t>profitability, increasing costs, operational inefficiencies</w:t>
      </w:r>
      <w:r w:rsidR="000B3EB7" w:rsidRPr="00AE2312">
        <w:rPr>
          <w:rFonts w:ascii="Arial" w:hAnsi="Arial" w:cs="Arial"/>
          <w:szCs w:val="24"/>
          <w:lang w:val="en-IN"/>
        </w:rPr>
        <w:t>,</w:t>
      </w:r>
      <w:r w:rsidRPr="00AE2312">
        <w:rPr>
          <w:rFonts w:ascii="Arial" w:hAnsi="Arial" w:cs="Arial"/>
          <w:szCs w:val="24"/>
          <w:lang w:val="en-IN"/>
        </w:rPr>
        <w:t xml:space="preserve"> a</w:t>
      </w:r>
      <w:r w:rsidR="000B3EB7" w:rsidRPr="00AE2312">
        <w:rPr>
          <w:rFonts w:ascii="Arial" w:hAnsi="Arial" w:cs="Arial"/>
          <w:szCs w:val="24"/>
          <w:lang w:val="en-IN"/>
        </w:rPr>
        <w:t>nd</w:t>
      </w:r>
      <w:r w:rsidRPr="00AE2312">
        <w:rPr>
          <w:rFonts w:ascii="Arial" w:hAnsi="Arial" w:cs="Arial"/>
          <w:szCs w:val="24"/>
          <w:lang w:val="en-IN"/>
        </w:rPr>
        <w:t xml:space="preserve"> financial instability. Such problems emphasize the pressing necessity of a financial restructuring plan to bring efficiency back, enhance margins, and be able to support long-term sustainability.</w:t>
      </w:r>
    </w:p>
    <w:p w14:paraId="6026FCF9" w14:textId="77777777" w:rsidR="00712BDA" w:rsidRPr="00AE2312" w:rsidRDefault="00712BDA" w:rsidP="00712BDA">
      <w:pPr>
        <w:pStyle w:val="Heading2"/>
        <w:rPr>
          <w:rFonts w:ascii="Arial" w:hAnsi="Arial" w:cs="Arial"/>
          <w:szCs w:val="24"/>
        </w:rPr>
      </w:pPr>
      <w:bookmarkStart w:id="19" w:name="_Toc227920726"/>
      <w:r w:rsidRPr="00AE2312">
        <w:rPr>
          <w:rFonts w:ascii="Arial" w:hAnsi="Arial" w:cs="Arial"/>
          <w:szCs w:val="24"/>
        </w:rPr>
        <w:t>4.2 Restructuring Strategies</w:t>
      </w:r>
      <w:bookmarkEnd w:id="19"/>
    </w:p>
    <w:p w14:paraId="52C3BEB0" w14:textId="66F2B61B" w:rsidR="00712BDA" w:rsidRPr="00AE2312" w:rsidRDefault="00712BDA" w:rsidP="00712BDA">
      <w:pPr>
        <w:rPr>
          <w:rFonts w:ascii="Arial" w:hAnsi="Arial" w:cs="Arial"/>
          <w:szCs w:val="24"/>
          <w:lang w:val="en-IN"/>
        </w:rPr>
      </w:pPr>
      <w:r w:rsidRPr="00AE2312">
        <w:rPr>
          <w:rFonts w:ascii="Arial" w:hAnsi="Arial" w:cs="Arial"/>
          <w:szCs w:val="24"/>
          <w:lang w:val="en-IN"/>
        </w:rPr>
        <w:t>To address the identified financial challenges, Volkswagen must implement a range of strategic restructuring measures focused on cost efficiency, asset optimi</w:t>
      </w:r>
      <w:r w:rsidR="000B3EB7" w:rsidRPr="00AE2312">
        <w:rPr>
          <w:rFonts w:ascii="Arial" w:hAnsi="Arial" w:cs="Arial"/>
          <w:szCs w:val="24"/>
          <w:lang w:val="en-IN"/>
        </w:rPr>
        <w:t>z</w:t>
      </w:r>
      <w:r w:rsidRPr="00AE2312">
        <w:rPr>
          <w:rFonts w:ascii="Arial" w:hAnsi="Arial" w:cs="Arial"/>
          <w:szCs w:val="24"/>
          <w:lang w:val="en-IN"/>
        </w:rPr>
        <w:t>ation, and capital restructuring.</w:t>
      </w:r>
    </w:p>
    <w:p w14:paraId="6CC73EF6" w14:textId="5FC70E68" w:rsidR="00BA4B41" w:rsidRPr="00AE2312" w:rsidRDefault="00BA4B41" w:rsidP="00BA4B41">
      <w:pPr>
        <w:rPr>
          <w:rFonts w:ascii="Arial" w:hAnsi="Arial" w:cs="Arial"/>
          <w:szCs w:val="24"/>
          <w:lang w:val="en-IN"/>
        </w:rPr>
      </w:pPr>
      <w:r w:rsidRPr="00AE2312">
        <w:rPr>
          <w:rFonts w:ascii="Arial" w:hAnsi="Arial" w:cs="Arial"/>
          <w:szCs w:val="24"/>
          <w:lang w:val="en-IN"/>
        </w:rPr>
        <w:t>One of the priorities is cost reduction. Volkswagen ought to carry out an extensive re-evaluation of its cost base to recognize areas in which costs can be minimized without compromising on quality or innovation. This could involve the optimization of production processes, embrac</w:t>
      </w:r>
      <w:r w:rsidR="000B3EB7" w:rsidRPr="00AE2312">
        <w:rPr>
          <w:rFonts w:ascii="Arial" w:hAnsi="Arial" w:cs="Arial"/>
          <w:szCs w:val="24"/>
          <w:lang w:val="en-IN"/>
        </w:rPr>
        <w:t>ing</w:t>
      </w:r>
      <w:r w:rsidRPr="00AE2312">
        <w:rPr>
          <w:rFonts w:ascii="Arial" w:hAnsi="Arial" w:cs="Arial"/>
          <w:szCs w:val="24"/>
          <w:lang w:val="en-IN"/>
        </w:rPr>
        <w:t xml:space="preserve"> automation technology and also enhanc</w:t>
      </w:r>
      <w:r w:rsidR="000B3EB7" w:rsidRPr="00AE2312">
        <w:rPr>
          <w:rFonts w:ascii="Arial" w:hAnsi="Arial" w:cs="Arial"/>
          <w:szCs w:val="24"/>
          <w:lang w:val="en-IN"/>
        </w:rPr>
        <w:t>ing</w:t>
      </w:r>
      <w:r w:rsidRPr="00AE2312">
        <w:rPr>
          <w:rFonts w:ascii="Arial" w:hAnsi="Arial" w:cs="Arial"/>
          <w:szCs w:val="24"/>
          <w:lang w:val="en-IN"/>
        </w:rPr>
        <w:t xml:space="preserve"> the efficiency of supply chains. Lean manufacturing methods can also be used to remove waste and minimi</w:t>
      </w:r>
      <w:r w:rsidR="000B3EB7" w:rsidRPr="00AE2312">
        <w:rPr>
          <w:rFonts w:ascii="Arial" w:hAnsi="Arial" w:cs="Arial"/>
          <w:szCs w:val="24"/>
          <w:lang w:val="en-IN"/>
        </w:rPr>
        <w:t>z</w:t>
      </w:r>
      <w:r w:rsidRPr="00AE2312">
        <w:rPr>
          <w:rFonts w:ascii="Arial" w:hAnsi="Arial" w:cs="Arial"/>
          <w:szCs w:val="24"/>
          <w:lang w:val="en-IN"/>
        </w:rPr>
        <w:t xml:space="preserve">e costs of operation (Kumar </w:t>
      </w:r>
      <w:r w:rsidRPr="00AE2312">
        <w:rPr>
          <w:rFonts w:ascii="Arial" w:hAnsi="Arial" w:cs="Arial"/>
          <w:i/>
          <w:iCs/>
          <w:szCs w:val="24"/>
          <w:lang w:val="en-IN"/>
        </w:rPr>
        <w:t>et al.,</w:t>
      </w:r>
      <w:r w:rsidRPr="00AE2312">
        <w:rPr>
          <w:rFonts w:ascii="Arial" w:hAnsi="Arial" w:cs="Arial"/>
          <w:szCs w:val="24"/>
          <w:lang w:val="en-IN"/>
        </w:rPr>
        <w:t xml:space="preserve"> 2022). The cost of inputs can also be reduced by renegotiating contracts with suppliers and </w:t>
      </w:r>
      <w:r w:rsidR="000B3EB7" w:rsidRPr="00AE2312">
        <w:rPr>
          <w:rFonts w:ascii="Arial" w:hAnsi="Arial" w:cs="Arial"/>
          <w:szCs w:val="24"/>
          <w:lang w:val="en-IN"/>
        </w:rPr>
        <w:t xml:space="preserve">by </w:t>
      </w:r>
      <w:r w:rsidRPr="00AE2312">
        <w:rPr>
          <w:rFonts w:ascii="Arial" w:hAnsi="Arial" w:cs="Arial"/>
          <w:szCs w:val="24"/>
          <w:lang w:val="en-IN"/>
        </w:rPr>
        <w:t>more effective sourcing.</w:t>
      </w:r>
    </w:p>
    <w:p w14:paraId="0C971E4E" w14:textId="27248286" w:rsidR="00712BDA" w:rsidRPr="00AE2312" w:rsidRDefault="00FC61FE" w:rsidP="00712BDA">
      <w:pPr>
        <w:rPr>
          <w:rFonts w:ascii="Arial" w:hAnsi="Arial" w:cs="Arial"/>
          <w:szCs w:val="24"/>
          <w:lang w:val="en-IN"/>
        </w:rPr>
      </w:pPr>
      <w:r w:rsidRPr="00AE2312">
        <w:rPr>
          <w:rFonts w:ascii="Arial" w:hAnsi="Arial" w:cs="Arial"/>
          <w:szCs w:val="24"/>
          <w:lang w:val="en-IN"/>
        </w:rPr>
        <w:t xml:space="preserve">Volkswagen </w:t>
      </w:r>
      <w:r w:rsidR="00FB0108" w:rsidRPr="00AE2312">
        <w:rPr>
          <w:rFonts w:ascii="Arial" w:hAnsi="Arial" w:cs="Arial"/>
          <w:szCs w:val="24"/>
          <w:lang w:val="en-IN"/>
        </w:rPr>
        <w:t xml:space="preserve">should consider </w:t>
      </w:r>
      <w:r w:rsidR="000B3EB7" w:rsidRPr="00AE2312">
        <w:rPr>
          <w:rFonts w:ascii="Arial" w:hAnsi="Arial" w:cs="Arial"/>
          <w:szCs w:val="24"/>
          <w:lang w:val="en-IN"/>
        </w:rPr>
        <w:t xml:space="preserve">the </w:t>
      </w:r>
      <w:r w:rsidR="00FB0108" w:rsidRPr="00AE2312">
        <w:rPr>
          <w:rFonts w:ascii="Arial" w:hAnsi="Arial" w:cs="Arial"/>
          <w:szCs w:val="24"/>
          <w:lang w:val="en-IN"/>
        </w:rPr>
        <w:t>divestment of non-core assets</w:t>
      </w:r>
      <w:r w:rsidR="00BA4B41" w:rsidRPr="00AE2312">
        <w:rPr>
          <w:rFonts w:ascii="Arial" w:hAnsi="Arial" w:cs="Arial"/>
          <w:szCs w:val="24"/>
          <w:lang w:val="en-IN"/>
        </w:rPr>
        <w:t>. The company has diverse brands and business units, some of which do not help the company generate much overall profit. Selling non-strategic or underperforming assets can create more cash to improve operational complexity and enable the company to concentrate on its core competenc</w:t>
      </w:r>
      <w:r w:rsidR="000B3EB7" w:rsidRPr="00AE2312">
        <w:rPr>
          <w:rFonts w:ascii="Arial" w:hAnsi="Arial" w:cs="Arial"/>
          <w:szCs w:val="24"/>
          <w:lang w:val="en-IN"/>
        </w:rPr>
        <w:t>i</w:t>
      </w:r>
      <w:r w:rsidR="00BA4B41" w:rsidRPr="00AE2312">
        <w:rPr>
          <w:rFonts w:ascii="Arial" w:hAnsi="Arial" w:cs="Arial"/>
          <w:szCs w:val="24"/>
          <w:lang w:val="en-IN"/>
        </w:rPr>
        <w:t>es, especially in the EV segment (</w:t>
      </w:r>
      <w:proofErr w:type="spellStart"/>
      <w:r w:rsidR="00BA4B41" w:rsidRPr="00AE2312">
        <w:rPr>
          <w:rFonts w:ascii="Arial" w:hAnsi="Arial" w:cs="Arial"/>
          <w:szCs w:val="24"/>
          <w:lang w:val="en-IN"/>
        </w:rPr>
        <w:t>Shonayi</w:t>
      </w:r>
      <w:proofErr w:type="spellEnd"/>
      <w:r w:rsidR="00BA4B41" w:rsidRPr="00AE2312">
        <w:rPr>
          <w:rFonts w:ascii="Arial" w:hAnsi="Arial" w:cs="Arial"/>
          <w:szCs w:val="24"/>
          <w:lang w:val="en-IN"/>
        </w:rPr>
        <w:t>, 2024). This reorientation strategy can enhance the overall performance and financial performance.</w:t>
      </w:r>
    </w:p>
    <w:p w14:paraId="44E21853" w14:textId="62DA34BE" w:rsidR="00081CEA" w:rsidRPr="00AE2312" w:rsidRDefault="00081CEA" w:rsidP="00081CEA">
      <w:pPr>
        <w:rPr>
          <w:rFonts w:ascii="Arial" w:hAnsi="Arial" w:cs="Arial"/>
          <w:szCs w:val="24"/>
          <w:lang w:val="en-IN"/>
        </w:rPr>
      </w:pPr>
      <w:r w:rsidRPr="00AE2312">
        <w:rPr>
          <w:rFonts w:ascii="Arial" w:hAnsi="Arial" w:cs="Arial"/>
          <w:szCs w:val="24"/>
          <w:lang w:val="en-IN"/>
        </w:rPr>
        <w:t xml:space="preserve">The capital restructuring is needed to help the company improve its financial position. </w:t>
      </w:r>
      <w:r w:rsidR="00917297" w:rsidRPr="00AE2312">
        <w:rPr>
          <w:rFonts w:ascii="Arial" w:hAnsi="Arial" w:cs="Arial"/>
          <w:szCs w:val="24"/>
          <w:lang w:val="en-IN"/>
        </w:rPr>
        <w:t xml:space="preserve">Volkswagen </w:t>
      </w:r>
      <w:r w:rsidRPr="00AE2312">
        <w:rPr>
          <w:rFonts w:ascii="Arial" w:hAnsi="Arial" w:cs="Arial"/>
          <w:szCs w:val="24"/>
          <w:lang w:val="en-IN"/>
        </w:rPr>
        <w:t>can also think about increasing equity capital to decrease its debt financing. The new shares can be issued to raise funds to invest</w:t>
      </w:r>
      <w:r w:rsidR="000B3EB7" w:rsidRPr="00AE2312">
        <w:rPr>
          <w:rFonts w:ascii="Arial" w:hAnsi="Arial" w:cs="Arial"/>
          <w:szCs w:val="24"/>
          <w:lang w:val="en-IN"/>
        </w:rPr>
        <w:t>,</w:t>
      </w:r>
      <w:r w:rsidRPr="00AE2312">
        <w:rPr>
          <w:rFonts w:ascii="Arial" w:hAnsi="Arial" w:cs="Arial"/>
          <w:szCs w:val="24"/>
          <w:lang w:val="en-IN"/>
        </w:rPr>
        <w:t xml:space="preserve"> but reduce the financial risk of high leverage. Equity financing can also decrease the ownership of </w:t>
      </w:r>
      <w:r w:rsidRPr="00AE2312">
        <w:rPr>
          <w:rFonts w:ascii="Arial" w:hAnsi="Arial" w:cs="Arial"/>
          <w:szCs w:val="24"/>
          <w:lang w:val="en-IN"/>
        </w:rPr>
        <w:lastRenderedPageBreak/>
        <w:t>current shareholders, but it will increase the financial stability and decrease the interests due (</w:t>
      </w:r>
      <w:proofErr w:type="spellStart"/>
      <w:r w:rsidRPr="00AE2312">
        <w:rPr>
          <w:rFonts w:ascii="Arial" w:hAnsi="Arial" w:cs="Arial"/>
          <w:szCs w:val="24"/>
          <w:lang w:val="en-IN"/>
        </w:rPr>
        <w:t>Sha'ari</w:t>
      </w:r>
      <w:proofErr w:type="spellEnd"/>
      <w:r w:rsidRPr="00AE2312">
        <w:rPr>
          <w:rFonts w:ascii="Arial" w:hAnsi="Arial" w:cs="Arial"/>
          <w:szCs w:val="24"/>
          <w:lang w:val="en-IN"/>
        </w:rPr>
        <w:t xml:space="preserve"> et al., 2023). The company ought to streamline its debt position by refinancing its debt where possible at lower interest rates. This has the potential to save financial expenses and enhance cash flow. A balanced capital structure is important to ensure long-term growth and </w:t>
      </w:r>
      <w:r w:rsidR="000B3EB7" w:rsidRPr="00AE2312">
        <w:rPr>
          <w:rFonts w:ascii="Arial" w:hAnsi="Arial" w:cs="Arial"/>
          <w:szCs w:val="24"/>
          <w:lang w:val="en-IN"/>
        </w:rPr>
        <w:t xml:space="preserve">the </w:t>
      </w:r>
      <w:r w:rsidRPr="00AE2312">
        <w:rPr>
          <w:rFonts w:ascii="Arial" w:hAnsi="Arial" w:cs="Arial"/>
          <w:szCs w:val="24"/>
          <w:lang w:val="en-IN"/>
        </w:rPr>
        <w:t>reduction of risk.</w:t>
      </w:r>
    </w:p>
    <w:p w14:paraId="7CC76216" w14:textId="30E644A1" w:rsidR="00081CEA" w:rsidRPr="00AE2312" w:rsidRDefault="00081CEA" w:rsidP="00081CEA">
      <w:pPr>
        <w:rPr>
          <w:rFonts w:ascii="Arial" w:hAnsi="Arial" w:cs="Arial"/>
          <w:szCs w:val="24"/>
          <w:lang w:val="en-IN"/>
        </w:rPr>
      </w:pPr>
      <w:r w:rsidRPr="00AE2312">
        <w:rPr>
          <w:rFonts w:ascii="Arial" w:hAnsi="Arial" w:cs="Arial"/>
          <w:szCs w:val="24"/>
          <w:lang w:val="en-IN"/>
        </w:rPr>
        <w:t>The other key plan is better working capital management. Improving the collection of receivables, inventory management, and payables management can release cash and increase liquidity. This minimizes external funding and enhances financial flexibility. Volkswagen ought to concentrate on prioriti</w:t>
      </w:r>
      <w:r w:rsidR="000B3EB7" w:rsidRPr="00AE2312">
        <w:rPr>
          <w:rFonts w:ascii="Arial" w:hAnsi="Arial" w:cs="Arial"/>
          <w:szCs w:val="24"/>
          <w:lang w:val="en-IN"/>
        </w:rPr>
        <w:t>z</w:t>
      </w:r>
      <w:r w:rsidRPr="00AE2312">
        <w:rPr>
          <w:rFonts w:ascii="Arial" w:hAnsi="Arial" w:cs="Arial"/>
          <w:szCs w:val="24"/>
          <w:lang w:val="en-IN"/>
        </w:rPr>
        <w:t>ation of strategic investment. As EV development is expensive, the company has to invest in the most promising projects as efficiently as possible. This is through critical analysis of investment opportunities and overinvestment in low-paying projects.</w:t>
      </w:r>
    </w:p>
    <w:p w14:paraId="3DCD55E6" w14:textId="15F13AB3" w:rsidR="00AE7659" w:rsidRPr="00AE2312" w:rsidRDefault="00AE7659" w:rsidP="00AE7659">
      <w:pPr>
        <w:rPr>
          <w:rFonts w:ascii="Arial" w:hAnsi="Arial" w:cs="Arial"/>
          <w:szCs w:val="24"/>
          <w:lang w:val="en-IN"/>
        </w:rPr>
      </w:pPr>
      <w:r w:rsidRPr="00AE2312">
        <w:rPr>
          <w:rFonts w:ascii="Arial" w:hAnsi="Arial" w:cs="Arial"/>
          <w:szCs w:val="24"/>
          <w:lang w:val="en-IN"/>
        </w:rPr>
        <w:t>Digital transformation may be an important contributor to the restructuring process. Adopting modern data analytics, automation, and digital supply chain solutions ha</w:t>
      </w:r>
      <w:r w:rsidR="000B3EB7" w:rsidRPr="00AE2312">
        <w:rPr>
          <w:rFonts w:ascii="Arial" w:hAnsi="Arial" w:cs="Arial"/>
          <w:szCs w:val="24"/>
          <w:lang w:val="en-IN"/>
        </w:rPr>
        <w:t>s</w:t>
      </w:r>
      <w:r w:rsidRPr="00AE2312">
        <w:rPr>
          <w:rFonts w:ascii="Arial" w:hAnsi="Arial" w:cs="Arial"/>
          <w:szCs w:val="24"/>
          <w:lang w:val="en-IN"/>
        </w:rPr>
        <w:t xml:space="preserve"> the potential to enhance operational effectiveness, minimize expenses, and improve decision-making (Alonge </w:t>
      </w:r>
      <w:r w:rsidRPr="00AE2312">
        <w:rPr>
          <w:rFonts w:ascii="Arial" w:hAnsi="Arial" w:cs="Arial"/>
          <w:i/>
          <w:iCs/>
          <w:szCs w:val="24"/>
          <w:lang w:val="en-IN"/>
        </w:rPr>
        <w:t>et al.,</w:t>
      </w:r>
      <w:r w:rsidRPr="00AE2312">
        <w:rPr>
          <w:rFonts w:ascii="Arial" w:hAnsi="Arial" w:cs="Arial"/>
          <w:szCs w:val="24"/>
          <w:lang w:val="en-IN"/>
        </w:rPr>
        <w:t xml:space="preserve"> 2023).</w:t>
      </w:r>
    </w:p>
    <w:p w14:paraId="441113A6" w14:textId="740B1764" w:rsidR="00AE7659" w:rsidRPr="00AE2312" w:rsidRDefault="00AE7659" w:rsidP="00AE7659">
      <w:pPr>
        <w:rPr>
          <w:rFonts w:ascii="Arial" w:hAnsi="Arial" w:cs="Arial"/>
          <w:szCs w:val="24"/>
          <w:lang w:val="en-IN"/>
        </w:rPr>
      </w:pPr>
      <w:r w:rsidRPr="00AE2312">
        <w:rPr>
          <w:rFonts w:ascii="Arial" w:hAnsi="Arial" w:cs="Arial"/>
          <w:szCs w:val="24"/>
          <w:lang w:val="en-IN"/>
        </w:rPr>
        <w:t xml:space="preserve">It has been critically </w:t>
      </w:r>
      <w:proofErr w:type="spellStart"/>
      <w:r w:rsidRPr="00AE2312">
        <w:rPr>
          <w:rFonts w:ascii="Arial" w:hAnsi="Arial" w:cs="Arial"/>
          <w:szCs w:val="24"/>
          <w:lang w:val="en-IN"/>
        </w:rPr>
        <w:t>analy</w:t>
      </w:r>
      <w:r w:rsidR="000B3EB7" w:rsidRPr="00AE2312">
        <w:rPr>
          <w:rFonts w:ascii="Arial" w:hAnsi="Arial" w:cs="Arial"/>
          <w:szCs w:val="24"/>
          <w:lang w:val="en-IN"/>
        </w:rPr>
        <w:t>z</w:t>
      </w:r>
      <w:r w:rsidRPr="00AE2312">
        <w:rPr>
          <w:rFonts w:ascii="Arial" w:hAnsi="Arial" w:cs="Arial"/>
          <w:szCs w:val="24"/>
          <w:lang w:val="en-IN"/>
        </w:rPr>
        <w:t>ed</w:t>
      </w:r>
      <w:proofErr w:type="spellEnd"/>
      <w:r w:rsidRPr="00AE2312">
        <w:rPr>
          <w:rFonts w:ascii="Arial" w:hAnsi="Arial" w:cs="Arial"/>
          <w:szCs w:val="24"/>
          <w:lang w:val="en-IN"/>
        </w:rPr>
        <w:t xml:space="preserve"> that the cost</w:t>
      </w:r>
      <w:r w:rsidR="000B3EB7" w:rsidRPr="00AE2312">
        <w:rPr>
          <w:rFonts w:ascii="Arial" w:hAnsi="Arial" w:cs="Arial"/>
          <w:szCs w:val="24"/>
          <w:lang w:val="en-IN"/>
        </w:rPr>
        <w:t>-</w:t>
      </w:r>
      <w:r w:rsidRPr="00AE2312">
        <w:rPr>
          <w:rFonts w:ascii="Arial" w:hAnsi="Arial" w:cs="Arial"/>
          <w:szCs w:val="24"/>
          <w:lang w:val="en-IN"/>
        </w:rPr>
        <w:t>cutting, divestment, restructuring of capital, better management of working capital and priority in strategic investment will help Volkswagen to solve its financial troubles and enhance overall performance.</w:t>
      </w:r>
    </w:p>
    <w:p w14:paraId="4C8A24B2" w14:textId="77777777" w:rsidR="00712BDA" w:rsidRPr="00AE2312" w:rsidRDefault="00712BDA" w:rsidP="00712BDA">
      <w:pPr>
        <w:pStyle w:val="Heading2"/>
        <w:rPr>
          <w:rFonts w:ascii="Arial" w:hAnsi="Arial" w:cs="Arial"/>
          <w:szCs w:val="24"/>
        </w:rPr>
      </w:pPr>
      <w:bookmarkStart w:id="20" w:name="_Toc227920727"/>
      <w:r w:rsidRPr="00AE2312">
        <w:rPr>
          <w:rFonts w:ascii="Arial" w:hAnsi="Arial" w:cs="Arial"/>
          <w:szCs w:val="24"/>
        </w:rPr>
        <w:t>4.3 Impact Analysis</w:t>
      </w:r>
      <w:bookmarkEnd w:id="20"/>
    </w:p>
    <w:p w14:paraId="6AAEA3F1" w14:textId="77777777" w:rsidR="00712BDA" w:rsidRPr="00AE2312" w:rsidRDefault="00712BDA" w:rsidP="00712BDA">
      <w:pPr>
        <w:rPr>
          <w:rFonts w:ascii="Arial" w:hAnsi="Arial" w:cs="Arial"/>
          <w:szCs w:val="24"/>
          <w:lang w:val="en-IN"/>
        </w:rPr>
      </w:pPr>
      <w:r w:rsidRPr="00AE2312">
        <w:rPr>
          <w:rFonts w:ascii="Arial" w:hAnsi="Arial" w:cs="Arial"/>
          <w:szCs w:val="24"/>
          <w:lang w:val="en-IN"/>
        </w:rPr>
        <w:t>The proposed financial restructuring strategies are expected to have significant implications for Volkswagen’s financial performance, shareholder value, and risk profile.</w:t>
      </w:r>
    </w:p>
    <w:p w14:paraId="69660053" w14:textId="77777777" w:rsidR="00AF0679" w:rsidRPr="00AE2312" w:rsidRDefault="00AF0679" w:rsidP="00AF0679">
      <w:pPr>
        <w:rPr>
          <w:rFonts w:ascii="Arial" w:hAnsi="Arial" w:cs="Arial"/>
          <w:szCs w:val="24"/>
          <w:lang w:val="en-IN"/>
        </w:rPr>
      </w:pPr>
      <w:r w:rsidRPr="00AE2312">
        <w:rPr>
          <w:rFonts w:ascii="Arial" w:hAnsi="Arial" w:cs="Arial"/>
          <w:szCs w:val="24"/>
          <w:lang w:val="en-IN"/>
        </w:rPr>
        <w:t>The profitability will be directly increased with the reduction of costs and the increase in operational efficiency. Wolfgang can increase its operating margin and net profit by reducing the cost of production and operating costs. This will improve the financial strength of the company and its capacity to achieve sustainable earnings. Better profitability will probably affect the shareholder value positively since increasing earnings usually result in growing share values and investor trust (</w:t>
      </w:r>
      <w:proofErr w:type="spellStart"/>
      <w:r w:rsidRPr="00AE2312">
        <w:rPr>
          <w:rFonts w:ascii="Arial" w:hAnsi="Arial" w:cs="Arial"/>
          <w:szCs w:val="24"/>
          <w:lang w:val="en-IN"/>
        </w:rPr>
        <w:t>Pangestuti</w:t>
      </w:r>
      <w:proofErr w:type="spellEnd"/>
      <w:r w:rsidRPr="00AE2312">
        <w:rPr>
          <w:rFonts w:ascii="Arial" w:hAnsi="Arial" w:cs="Arial"/>
          <w:szCs w:val="24"/>
          <w:lang w:val="en-IN"/>
        </w:rPr>
        <w:t xml:space="preserve"> </w:t>
      </w:r>
      <w:r w:rsidRPr="00AE2312">
        <w:rPr>
          <w:rFonts w:ascii="Arial" w:hAnsi="Arial" w:cs="Arial"/>
          <w:i/>
          <w:iCs/>
          <w:szCs w:val="24"/>
          <w:lang w:val="en-IN"/>
        </w:rPr>
        <w:t>et al.,</w:t>
      </w:r>
      <w:r w:rsidRPr="00AE2312">
        <w:rPr>
          <w:rFonts w:ascii="Arial" w:hAnsi="Arial" w:cs="Arial"/>
          <w:szCs w:val="24"/>
          <w:lang w:val="en-IN"/>
        </w:rPr>
        <w:t xml:space="preserve"> 2022).</w:t>
      </w:r>
    </w:p>
    <w:p w14:paraId="1922212E" w14:textId="0C2F10AD" w:rsidR="00AF0679" w:rsidRPr="00AE2312" w:rsidRDefault="000B3EB7" w:rsidP="00AF0679">
      <w:pPr>
        <w:rPr>
          <w:rFonts w:ascii="Arial" w:hAnsi="Arial" w:cs="Arial"/>
          <w:szCs w:val="24"/>
          <w:lang w:val="en-IN"/>
        </w:rPr>
      </w:pPr>
      <w:r w:rsidRPr="00AE2312">
        <w:rPr>
          <w:rFonts w:ascii="Arial" w:hAnsi="Arial" w:cs="Arial"/>
          <w:szCs w:val="24"/>
          <w:lang w:val="en-IN"/>
        </w:rPr>
        <w:t>The s</w:t>
      </w:r>
      <w:r w:rsidR="00AF0679" w:rsidRPr="00AE2312">
        <w:rPr>
          <w:rFonts w:ascii="Arial" w:hAnsi="Arial" w:cs="Arial"/>
          <w:szCs w:val="24"/>
          <w:lang w:val="en-IN"/>
        </w:rPr>
        <w:t xml:space="preserve">ale of non-core assets will enable Volkswagen to concentrate on those business areas that are profitable and strategic to the company. This has the potential to </w:t>
      </w:r>
      <w:r w:rsidR="00AF0679" w:rsidRPr="00AE2312">
        <w:rPr>
          <w:rFonts w:ascii="Arial" w:hAnsi="Arial" w:cs="Arial"/>
          <w:szCs w:val="24"/>
          <w:lang w:val="en-IN"/>
        </w:rPr>
        <w:lastRenderedPageBreak/>
        <w:t xml:space="preserve">enhance </w:t>
      </w:r>
      <w:r w:rsidRPr="00AE2312">
        <w:rPr>
          <w:rFonts w:ascii="Arial" w:hAnsi="Arial" w:cs="Arial"/>
          <w:szCs w:val="24"/>
          <w:lang w:val="en-IN"/>
        </w:rPr>
        <w:t xml:space="preserve">the </w:t>
      </w:r>
      <w:r w:rsidR="00AF0679" w:rsidRPr="00AE2312">
        <w:rPr>
          <w:rFonts w:ascii="Arial" w:hAnsi="Arial" w:cs="Arial"/>
          <w:szCs w:val="24"/>
          <w:lang w:val="en-IN"/>
        </w:rPr>
        <w:t>efficiency and complexit</w:t>
      </w:r>
      <w:r w:rsidRPr="00AE2312">
        <w:rPr>
          <w:rFonts w:ascii="Arial" w:hAnsi="Arial" w:cs="Arial"/>
          <w:szCs w:val="24"/>
          <w:lang w:val="en-IN"/>
        </w:rPr>
        <w:t>y</w:t>
      </w:r>
      <w:r w:rsidR="00AF0679" w:rsidRPr="00AE2312">
        <w:rPr>
          <w:rFonts w:ascii="Arial" w:hAnsi="Arial" w:cs="Arial"/>
          <w:szCs w:val="24"/>
          <w:lang w:val="en-IN"/>
        </w:rPr>
        <w:t xml:space="preserve"> of operations. The divestment proceeds could be utilized to invest in EV technology or to cut the debt, which will further bolster the financial strength of the firm.</w:t>
      </w:r>
    </w:p>
    <w:p w14:paraId="19A4824F" w14:textId="5C26FAD3" w:rsidR="00712BDA" w:rsidRPr="00AE2312" w:rsidRDefault="00E14B90" w:rsidP="00712BDA">
      <w:pPr>
        <w:rPr>
          <w:rFonts w:ascii="Arial" w:hAnsi="Arial" w:cs="Arial"/>
          <w:szCs w:val="24"/>
          <w:lang w:val="en-IN"/>
        </w:rPr>
      </w:pPr>
      <w:r w:rsidRPr="00AE2312">
        <w:rPr>
          <w:rFonts w:ascii="Arial" w:hAnsi="Arial" w:cs="Arial"/>
          <w:szCs w:val="24"/>
          <w:lang w:val="en-IN"/>
        </w:rPr>
        <w:t xml:space="preserve">By increasing equity financing, capital restructuring will decrease financial risk by decreasing debt. </w:t>
      </w:r>
      <w:r w:rsidR="000B3EB7" w:rsidRPr="00AE2312">
        <w:rPr>
          <w:rFonts w:ascii="Arial" w:hAnsi="Arial" w:cs="Arial"/>
          <w:szCs w:val="24"/>
          <w:lang w:val="en-IN"/>
        </w:rPr>
        <w:t>A l</w:t>
      </w:r>
      <w:r w:rsidRPr="00AE2312">
        <w:rPr>
          <w:rFonts w:ascii="Arial" w:hAnsi="Arial" w:cs="Arial"/>
          <w:szCs w:val="24"/>
          <w:lang w:val="en-IN"/>
        </w:rPr>
        <w:t xml:space="preserve">ower debt-to-equity ratio would lead to fewer interest payments and increased financial stability, especially in times when the economic situation is uncertain (Utama </w:t>
      </w:r>
      <w:r w:rsidRPr="00AE2312">
        <w:rPr>
          <w:rFonts w:ascii="Arial" w:hAnsi="Arial" w:cs="Arial"/>
          <w:i/>
          <w:iCs/>
          <w:szCs w:val="24"/>
          <w:lang w:val="en-IN"/>
        </w:rPr>
        <w:t>et al.,</w:t>
      </w:r>
      <w:r w:rsidRPr="00AE2312">
        <w:rPr>
          <w:rFonts w:ascii="Arial" w:hAnsi="Arial" w:cs="Arial"/>
          <w:szCs w:val="24"/>
          <w:lang w:val="en-IN"/>
        </w:rPr>
        <w:t xml:space="preserve"> 2023). Nevertheless, equity financing can thin out the ownership of current shareholders, which might not be well perceived in the short-term. Nonetheless, the advantages of decreased financial risk and increased stability in the long term surpass the possible disadvantages. Debt structure optimi</w:t>
      </w:r>
      <w:r w:rsidR="000B3EB7" w:rsidRPr="00AE2312">
        <w:rPr>
          <w:rFonts w:ascii="Arial" w:hAnsi="Arial" w:cs="Arial"/>
          <w:szCs w:val="24"/>
          <w:lang w:val="en-IN"/>
        </w:rPr>
        <w:t>z</w:t>
      </w:r>
      <w:r w:rsidRPr="00AE2312">
        <w:rPr>
          <w:rFonts w:ascii="Arial" w:hAnsi="Arial" w:cs="Arial"/>
          <w:szCs w:val="24"/>
          <w:lang w:val="en-IN"/>
        </w:rPr>
        <w:t>ation can result in reduced interest costs and better cash flow. This boosts its capacity to invest in growth opportunities and handle financial commitments.</w:t>
      </w:r>
    </w:p>
    <w:p w14:paraId="40417F4E" w14:textId="51F92C48" w:rsidR="00432C65" w:rsidRPr="00AE2312" w:rsidRDefault="00432C65" w:rsidP="00432C65">
      <w:pPr>
        <w:rPr>
          <w:rFonts w:ascii="Arial" w:hAnsi="Arial" w:cs="Arial"/>
          <w:szCs w:val="24"/>
          <w:lang w:val="en-IN"/>
        </w:rPr>
      </w:pPr>
      <w:r w:rsidRPr="00AE2312">
        <w:rPr>
          <w:rFonts w:ascii="Arial" w:hAnsi="Arial" w:cs="Arial"/>
          <w:szCs w:val="24"/>
          <w:lang w:val="en-IN"/>
        </w:rPr>
        <w:t>Better liquidity will also be influenced by better working capital management. Effective control of receivables, inventory, and payables will guarantee a stable cash flow, lessening the chances of liquidity deficits (Kumar, 2025). This enhances the capacity of the business to pay in the short term and facilitate</w:t>
      </w:r>
      <w:r w:rsidR="000B3EB7" w:rsidRPr="00AE2312">
        <w:rPr>
          <w:rFonts w:ascii="Arial" w:hAnsi="Arial" w:cs="Arial"/>
          <w:szCs w:val="24"/>
          <w:lang w:val="en-IN"/>
        </w:rPr>
        <w:t>s</w:t>
      </w:r>
      <w:r w:rsidRPr="00AE2312">
        <w:rPr>
          <w:rFonts w:ascii="Arial" w:hAnsi="Arial" w:cs="Arial"/>
          <w:szCs w:val="24"/>
          <w:lang w:val="en-IN"/>
        </w:rPr>
        <w:t xml:space="preserve"> stability in operations. Restructuring has its risks. The reduction of costs can result in cutting </w:t>
      </w:r>
      <w:r w:rsidR="000B3EB7" w:rsidRPr="00AE2312">
        <w:rPr>
          <w:rFonts w:ascii="Arial" w:hAnsi="Arial" w:cs="Arial"/>
          <w:szCs w:val="24"/>
          <w:lang w:val="en-IN"/>
        </w:rPr>
        <w:t>the</w:t>
      </w:r>
      <w:r w:rsidRPr="00AE2312">
        <w:rPr>
          <w:rFonts w:ascii="Arial" w:hAnsi="Arial" w:cs="Arial"/>
          <w:szCs w:val="24"/>
          <w:lang w:val="en-IN"/>
        </w:rPr>
        <w:t xml:space="preserve"> workforce or decreased investment in some aspects that can affect employee morale and future innovation. When making decisions on divestment, a critical consideration should be made in order to avoid selling off valuable assets. </w:t>
      </w:r>
      <w:r w:rsidR="001E421F" w:rsidRPr="00AE2312">
        <w:rPr>
          <w:rFonts w:ascii="Arial" w:hAnsi="Arial" w:cs="Arial"/>
          <w:szCs w:val="24"/>
          <w:lang w:val="en-IN"/>
        </w:rPr>
        <w:t>T</w:t>
      </w:r>
      <w:r w:rsidRPr="00AE2312">
        <w:rPr>
          <w:rFonts w:ascii="Arial" w:hAnsi="Arial" w:cs="Arial"/>
          <w:szCs w:val="24"/>
          <w:lang w:val="en-IN"/>
        </w:rPr>
        <w:t>hese strategies can be affected by external factors like competition in the market and economic factors.</w:t>
      </w:r>
    </w:p>
    <w:p w14:paraId="5D811CFC" w14:textId="407CAEC4" w:rsidR="00432C65" w:rsidRPr="00AE2312" w:rsidRDefault="00432C65" w:rsidP="00432C65">
      <w:pPr>
        <w:rPr>
          <w:rFonts w:ascii="Arial" w:hAnsi="Arial" w:cs="Arial"/>
          <w:szCs w:val="24"/>
          <w:lang w:val="en-IN"/>
        </w:rPr>
      </w:pPr>
      <w:r w:rsidRPr="00AE2312">
        <w:rPr>
          <w:rFonts w:ascii="Arial" w:hAnsi="Arial" w:cs="Arial"/>
          <w:szCs w:val="24"/>
          <w:lang w:val="en-IN"/>
        </w:rPr>
        <w:t>It has been critically analysed that the suggested restructuring plans are likely to enhance the profitability, financial stability, and sustainability of Volkswagen in the long run. As much as there are risks associated with it, with proper implementation and planning, maximum benefits can be realised and a successful recovery of finances is possible.</w:t>
      </w:r>
    </w:p>
    <w:p w14:paraId="6C2817C6" w14:textId="77777777" w:rsidR="00FC2A50" w:rsidRPr="00AE2312" w:rsidRDefault="00FC2A50" w:rsidP="00FC2A50">
      <w:pPr>
        <w:pStyle w:val="Heading1"/>
        <w:rPr>
          <w:rFonts w:ascii="Arial" w:hAnsi="Arial" w:cs="Arial"/>
          <w:szCs w:val="24"/>
          <w:lang w:val="en-IN"/>
        </w:rPr>
      </w:pPr>
      <w:bookmarkStart w:id="21" w:name="_Toc227920728"/>
      <w:r w:rsidRPr="00AE2312">
        <w:rPr>
          <w:rFonts w:ascii="Arial" w:hAnsi="Arial" w:cs="Arial"/>
          <w:szCs w:val="24"/>
          <w:lang w:val="en-IN"/>
        </w:rPr>
        <w:t>5. Investment Appraisal</w:t>
      </w:r>
      <w:bookmarkEnd w:id="21"/>
    </w:p>
    <w:p w14:paraId="7853C5ED" w14:textId="407F13FA" w:rsidR="00FC2A50" w:rsidRPr="00AE2312" w:rsidRDefault="00FC2A50" w:rsidP="00853FD1">
      <w:pPr>
        <w:pStyle w:val="Heading2"/>
        <w:rPr>
          <w:rFonts w:ascii="Arial" w:hAnsi="Arial" w:cs="Arial"/>
          <w:szCs w:val="24"/>
        </w:rPr>
      </w:pPr>
      <w:bookmarkStart w:id="22" w:name="_Toc227920729"/>
      <w:r w:rsidRPr="00AE2312">
        <w:rPr>
          <w:rFonts w:ascii="Arial" w:hAnsi="Arial" w:cs="Arial"/>
          <w:szCs w:val="24"/>
        </w:rPr>
        <w:t>5.1 Techniques Explanation</w:t>
      </w:r>
      <w:bookmarkEnd w:id="22"/>
    </w:p>
    <w:p w14:paraId="0AA592A2" w14:textId="4E14CD38" w:rsidR="007629EC" w:rsidRPr="00AE2312" w:rsidRDefault="007629EC" w:rsidP="007629EC">
      <w:pPr>
        <w:rPr>
          <w:rFonts w:ascii="Arial" w:hAnsi="Arial" w:cs="Arial"/>
          <w:szCs w:val="24"/>
          <w:lang w:val="en-IN"/>
        </w:rPr>
      </w:pPr>
      <w:r w:rsidRPr="00AE2312">
        <w:rPr>
          <w:rFonts w:ascii="Arial" w:hAnsi="Arial" w:cs="Arial"/>
          <w:szCs w:val="24"/>
          <w:lang w:val="en-IN"/>
        </w:rPr>
        <w:t xml:space="preserve">Investment appraisal techniques are vital instruments adopted by financial managers to determine the feasibility, profitability and riskiness of </w:t>
      </w:r>
      <w:r w:rsidR="00AC1D81" w:rsidRPr="00AE2312">
        <w:rPr>
          <w:rFonts w:ascii="Arial" w:hAnsi="Arial" w:cs="Arial"/>
          <w:szCs w:val="24"/>
          <w:lang w:val="en-IN"/>
        </w:rPr>
        <w:t>long-term</w:t>
      </w:r>
      <w:r w:rsidRPr="00AE2312">
        <w:rPr>
          <w:rFonts w:ascii="Arial" w:hAnsi="Arial" w:cs="Arial"/>
          <w:szCs w:val="24"/>
          <w:lang w:val="en-IN"/>
        </w:rPr>
        <w:t xml:space="preserve"> investment projects. These methods aid in generating strategic decision-making within a capital-intensive </w:t>
      </w:r>
      <w:r w:rsidRPr="00AE2312">
        <w:rPr>
          <w:rFonts w:ascii="Arial" w:hAnsi="Arial" w:cs="Arial"/>
          <w:szCs w:val="24"/>
          <w:lang w:val="en-IN"/>
        </w:rPr>
        <w:lastRenderedPageBreak/>
        <w:t>organisation like Volkswagen, especially at a time when the organisation is undergoing transformation to electric vehicles (EVs) and digital innovation.</w:t>
      </w:r>
    </w:p>
    <w:p w14:paraId="40DD0F88" w14:textId="3663A8CB" w:rsidR="00FC2A50" w:rsidRPr="00AE2312" w:rsidRDefault="007629EC" w:rsidP="00FC2A50">
      <w:pPr>
        <w:rPr>
          <w:rFonts w:ascii="Arial" w:hAnsi="Arial" w:cs="Arial"/>
          <w:szCs w:val="24"/>
          <w:lang w:val="en-IN"/>
        </w:rPr>
      </w:pPr>
      <w:r w:rsidRPr="00AE2312">
        <w:rPr>
          <w:rFonts w:ascii="Arial" w:hAnsi="Arial" w:cs="Arial"/>
          <w:szCs w:val="24"/>
          <w:lang w:val="en-IN"/>
        </w:rPr>
        <w:t>Net Present Value (NPV) is the most dependable and common technique. NPV is a method that determines the difference between the cost of investment and the present value of the expected cash flows to be received at the cost of capital of the firm (Arjunan, 2022). When NPV is positive, the project will be of value to the firm</w:t>
      </w:r>
      <w:r w:rsidR="000B3EB7" w:rsidRPr="00AE2312">
        <w:rPr>
          <w:rFonts w:ascii="Arial" w:hAnsi="Arial" w:cs="Arial"/>
          <w:szCs w:val="24"/>
          <w:lang w:val="en-IN"/>
        </w:rPr>
        <w:t>,</w:t>
      </w:r>
      <w:r w:rsidRPr="00AE2312">
        <w:rPr>
          <w:rFonts w:ascii="Arial" w:hAnsi="Arial" w:cs="Arial"/>
          <w:szCs w:val="24"/>
          <w:lang w:val="en-IN"/>
        </w:rPr>
        <w:t xml:space="preserve"> and therefore it should be adopted</w:t>
      </w:r>
      <w:r w:rsidR="000B3EB7" w:rsidRPr="00AE2312">
        <w:rPr>
          <w:rFonts w:ascii="Arial" w:hAnsi="Arial" w:cs="Arial"/>
          <w:szCs w:val="24"/>
          <w:lang w:val="en-IN"/>
        </w:rPr>
        <w:t>,</w:t>
      </w:r>
      <w:r w:rsidRPr="00AE2312">
        <w:rPr>
          <w:rFonts w:ascii="Arial" w:hAnsi="Arial" w:cs="Arial"/>
          <w:szCs w:val="24"/>
          <w:lang w:val="en-IN"/>
        </w:rPr>
        <w:t xml:space="preserve"> whereas a negative value implies that it should not. The advantage of NPV is that it takes the time value of money into account and that it is directly related to </w:t>
      </w:r>
      <w:r w:rsidR="000B3EB7" w:rsidRPr="00AE2312">
        <w:rPr>
          <w:rFonts w:ascii="Arial" w:hAnsi="Arial" w:cs="Arial"/>
          <w:szCs w:val="24"/>
          <w:lang w:val="en-IN"/>
        </w:rPr>
        <w:t>the maximiz</w:t>
      </w:r>
      <w:r w:rsidRPr="00AE2312">
        <w:rPr>
          <w:rFonts w:ascii="Arial" w:hAnsi="Arial" w:cs="Arial"/>
          <w:szCs w:val="24"/>
          <w:lang w:val="en-IN"/>
        </w:rPr>
        <w:t>ation of shareholder wealth. In the case of Volkswagen</w:t>
      </w:r>
      <w:r w:rsidR="000B3EB7" w:rsidRPr="00AE2312">
        <w:rPr>
          <w:rFonts w:ascii="Arial" w:hAnsi="Arial" w:cs="Arial"/>
          <w:szCs w:val="24"/>
          <w:lang w:val="en-IN"/>
        </w:rPr>
        <w:t>,</w:t>
      </w:r>
      <w:r w:rsidRPr="00AE2312">
        <w:rPr>
          <w:rFonts w:ascii="Arial" w:hAnsi="Arial" w:cs="Arial"/>
          <w:szCs w:val="24"/>
          <w:lang w:val="en-IN"/>
        </w:rPr>
        <w:t xml:space="preserve"> where the projects are characterized by heavy initial investments and long-term payback, NPV gives an accurate value creation measure.</w:t>
      </w:r>
    </w:p>
    <w:p w14:paraId="35F1B122" w14:textId="6A32B557" w:rsidR="00F22032" w:rsidRPr="00AE2312" w:rsidRDefault="00F22032" w:rsidP="00F22032">
      <w:pPr>
        <w:rPr>
          <w:rFonts w:ascii="Arial" w:hAnsi="Arial" w:cs="Arial"/>
          <w:szCs w:val="24"/>
          <w:lang w:val="en-IN"/>
        </w:rPr>
      </w:pPr>
      <w:r w:rsidRPr="00AE2312">
        <w:rPr>
          <w:rFonts w:ascii="Arial" w:hAnsi="Arial" w:cs="Arial"/>
          <w:szCs w:val="24"/>
          <w:lang w:val="en-IN"/>
        </w:rPr>
        <w:t xml:space="preserve">The other significant method is the Internal Rate of Return (IRR), which is the discount rate </w:t>
      </w:r>
      <w:r w:rsidR="000B3EB7" w:rsidRPr="00AE2312">
        <w:rPr>
          <w:rFonts w:ascii="Arial" w:hAnsi="Arial" w:cs="Arial"/>
          <w:szCs w:val="24"/>
          <w:lang w:val="en-IN"/>
        </w:rPr>
        <w:t>at which</w:t>
      </w:r>
      <w:r w:rsidRPr="00AE2312">
        <w:rPr>
          <w:rFonts w:ascii="Arial" w:hAnsi="Arial" w:cs="Arial"/>
          <w:szCs w:val="24"/>
          <w:lang w:val="en-IN"/>
        </w:rPr>
        <w:t xml:space="preserve"> the NPV of the project will be zero (Wang, 2021). IRR shows the anticipated rate of project returns. When the IRR of a project is greater than the required rate of return or cost of capital, the project is acceptable. IRR, however, is not without limitations</w:t>
      </w:r>
      <w:r w:rsidR="000B3EB7" w:rsidRPr="00AE2312">
        <w:rPr>
          <w:rFonts w:ascii="Arial" w:hAnsi="Arial" w:cs="Arial"/>
          <w:szCs w:val="24"/>
          <w:lang w:val="en-IN"/>
        </w:rPr>
        <w:t>,</w:t>
      </w:r>
      <w:r w:rsidRPr="00AE2312">
        <w:rPr>
          <w:rFonts w:ascii="Arial" w:hAnsi="Arial" w:cs="Arial"/>
          <w:szCs w:val="24"/>
          <w:lang w:val="en-IN"/>
        </w:rPr>
        <w:t xml:space="preserve"> especially when comparing mutually exclusive projects or when cash flows are not regular. In spite of these limitations, IRR is applicable as an additional tool to evaluate investment attractiveness.</w:t>
      </w:r>
    </w:p>
    <w:p w14:paraId="13BE9322" w14:textId="03061E96" w:rsidR="00F22032" w:rsidRPr="00AE2312" w:rsidRDefault="00F22032" w:rsidP="00F22032">
      <w:pPr>
        <w:rPr>
          <w:rFonts w:ascii="Arial" w:hAnsi="Arial" w:cs="Arial"/>
          <w:szCs w:val="24"/>
          <w:lang w:val="en-IN"/>
        </w:rPr>
      </w:pPr>
      <w:r w:rsidRPr="00AE2312">
        <w:rPr>
          <w:rFonts w:ascii="Arial" w:hAnsi="Arial" w:cs="Arial"/>
          <w:szCs w:val="24"/>
          <w:lang w:val="en-IN"/>
        </w:rPr>
        <w:t xml:space="preserve">Accounting rate of return (ARR) is the average accounting profit expressed as a percentage of the initial investment (Rajgopal </w:t>
      </w:r>
      <w:r w:rsidRPr="00AE2312">
        <w:rPr>
          <w:rFonts w:ascii="Arial" w:hAnsi="Arial" w:cs="Arial"/>
          <w:i/>
          <w:iCs/>
          <w:szCs w:val="24"/>
          <w:lang w:val="en-IN"/>
        </w:rPr>
        <w:t>et al.,</w:t>
      </w:r>
      <w:r w:rsidRPr="00AE2312">
        <w:rPr>
          <w:rFonts w:ascii="Arial" w:hAnsi="Arial" w:cs="Arial"/>
          <w:szCs w:val="24"/>
          <w:lang w:val="en-IN"/>
        </w:rPr>
        <w:t xml:space="preserve"> 2023). It is easy to compute and even to interpret, and can be used to make quick comparisons. But ARR ignores the time value of money and uses accounting profits</w:t>
      </w:r>
      <w:r w:rsidR="000B3EB7" w:rsidRPr="00AE2312">
        <w:rPr>
          <w:rFonts w:ascii="Arial" w:hAnsi="Arial" w:cs="Arial"/>
          <w:szCs w:val="24"/>
          <w:lang w:val="en-IN"/>
        </w:rPr>
        <w:t>,</w:t>
      </w:r>
      <w:r w:rsidRPr="00AE2312">
        <w:rPr>
          <w:rFonts w:ascii="Arial" w:hAnsi="Arial" w:cs="Arial"/>
          <w:szCs w:val="24"/>
          <w:lang w:val="en-IN"/>
        </w:rPr>
        <w:t xml:space="preserve"> not cash flows</w:t>
      </w:r>
      <w:r w:rsidR="000B3EB7" w:rsidRPr="00AE2312">
        <w:rPr>
          <w:rFonts w:ascii="Arial" w:hAnsi="Arial" w:cs="Arial"/>
          <w:szCs w:val="24"/>
          <w:lang w:val="en-IN"/>
        </w:rPr>
        <w:t>,</w:t>
      </w:r>
      <w:r w:rsidRPr="00AE2312">
        <w:rPr>
          <w:rFonts w:ascii="Arial" w:hAnsi="Arial" w:cs="Arial"/>
          <w:szCs w:val="24"/>
          <w:lang w:val="en-IN"/>
        </w:rPr>
        <w:t xml:space="preserve"> which makes it less reliable in making long-term decisions.</w:t>
      </w:r>
    </w:p>
    <w:p w14:paraId="55F96656" w14:textId="1688392D" w:rsidR="0028652A" w:rsidRPr="00AE2312" w:rsidRDefault="0028652A" w:rsidP="0028652A">
      <w:pPr>
        <w:rPr>
          <w:rFonts w:ascii="Arial" w:hAnsi="Arial" w:cs="Arial"/>
          <w:szCs w:val="24"/>
          <w:lang w:val="en-IN"/>
        </w:rPr>
      </w:pPr>
      <w:r w:rsidRPr="00AE2312">
        <w:rPr>
          <w:rFonts w:ascii="Arial" w:hAnsi="Arial" w:cs="Arial"/>
          <w:szCs w:val="24"/>
          <w:lang w:val="en-IN"/>
        </w:rPr>
        <w:t xml:space="preserve">Payback Period (PBP) is a calculation that determines how long it takes to break even the initial investment using cash inflows (Sinaga </w:t>
      </w:r>
      <w:r w:rsidRPr="00AE2312">
        <w:rPr>
          <w:rFonts w:ascii="Arial" w:hAnsi="Arial" w:cs="Arial"/>
          <w:i/>
          <w:iCs/>
          <w:szCs w:val="24"/>
          <w:lang w:val="en-IN"/>
        </w:rPr>
        <w:t>et al.,</w:t>
      </w:r>
      <w:r w:rsidRPr="00AE2312">
        <w:rPr>
          <w:rFonts w:ascii="Arial" w:hAnsi="Arial" w:cs="Arial"/>
          <w:szCs w:val="24"/>
          <w:lang w:val="en-IN"/>
        </w:rPr>
        <w:t xml:space="preserve"> 2023). The shorter the payback period</w:t>
      </w:r>
      <w:r w:rsidR="000B3EB7" w:rsidRPr="00AE2312">
        <w:rPr>
          <w:rFonts w:ascii="Arial" w:hAnsi="Arial" w:cs="Arial"/>
          <w:szCs w:val="24"/>
          <w:lang w:val="en-IN"/>
        </w:rPr>
        <w:t>,</w:t>
      </w:r>
      <w:r w:rsidRPr="00AE2312">
        <w:rPr>
          <w:rFonts w:ascii="Arial" w:hAnsi="Arial" w:cs="Arial"/>
          <w:szCs w:val="24"/>
          <w:lang w:val="en-IN"/>
        </w:rPr>
        <w:t xml:space="preserve"> the better</w:t>
      </w:r>
      <w:r w:rsidR="000B3EB7" w:rsidRPr="00AE2312">
        <w:rPr>
          <w:rFonts w:ascii="Arial" w:hAnsi="Arial" w:cs="Arial"/>
          <w:szCs w:val="24"/>
          <w:lang w:val="en-IN"/>
        </w:rPr>
        <w:t>,</w:t>
      </w:r>
      <w:r w:rsidRPr="00AE2312">
        <w:rPr>
          <w:rFonts w:ascii="Arial" w:hAnsi="Arial" w:cs="Arial"/>
          <w:szCs w:val="24"/>
          <w:lang w:val="en-IN"/>
        </w:rPr>
        <w:t xml:space="preserve"> since it implies faster recovery and reduced risk. </w:t>
      </w:r>
      <w:r w:rsidR="00947980" w:rsidRPr="00AE2312">
        <w:rPr>
          <w:rFonts w:ascii="Arial" w:hAnsi="Arial" w:cs="Arial"/>
          <w:szCs w:val="24"/>
          <w:lang w:val="en-IN"/>
        </w:rPr>
        <w:t>This</w:t>
      </w:r>
      <w:r w:rsidRPr="00AE2312">
        <w:rPr>
          <w:rFonts w:ascii="Arial" w:hAnsi="Arial" w:cs="Arial"/>
          <w:szCs w:val="24"/>
          <w:lang w:val="en-IN"/>
        </w:rPr>
        <w:t xml:space="preserve"> approach does not take into consideration cash flows beyond the payback period and fails to consider profitability or the time value of money.</w:t>
      </w:r>
    </w:p>
    <w:p w14:paraId="0F61DE38" w14:textId="1BB2C9AF" w:rsidR="0028652A" w:rsidRPr="00AE2312" w:rsidRDefault="0028652A" w:rsidP="0028652A">
      <w:pPr>
        <w:rPr>
          <w:rFonts w:ascii="Arial" w:hAnsi="Arial" w:cs="Arial"/>
          <w:szCs w:val="24"/>
          <w:lang w:val="en-IN"/>
        </w:rPr>
      </w:pPr>
      <w:r w:rsidRPr="00AE2312">
        <w:rPr>
          <w:rFonts w:ascii="Arial" w:hAnsi="Arial" w:cs="Arial"/>
          <w:szCs w:val="24"/>
          <w:lang w:val="en-IN"/>
        </w:rPr>
        <w:t xml:space="preserve">In practice, Volkswagen ought to utilise NPV as the main decision-making tool with the assistance of IRR, ARR and payback period in order to offer a </w:t>
      </w:r>
      <w:r w:rsidR="00B16B99" w:rsidRPr="00AE2312">
        <w:rPr>
          <w:rFonts w:ascii="Arial" w:hAnsi="Arial" w:cs="Arial"/>
          <w:szCs w:val="24"/>
          <w:lang w:val="en-IN"/>
        </w:rPr>
        <w:t xml:space="preserve">comprehensive evaluation </w:t>
      </w:r>
      <w:r w:rsidRPr="00AE2312">
        <w:rPr>
          <w:rFonts w:ascii="Arial" w:hAnsi="Arial" w:cs="Arial"/>
          <w:szCs w:val="24"/>
          <w:lang w:val="en-IN"/>
        </w:rPr>
        <w:t>of investment projects.</w:t>
      </w:r>
    </w:p>
    <w:p w14:paraId="21E10718" w14:textId="77777777" w:rsidR="00FC2A50" w:rsidRPr="00AE2312" w:rsidRDefault="00FC2A50" w:rsidP="00FC2A50">
      <w:pPr>
        <w:pStyle w:val="Heading2"/>
        <w:rPr>
          <w:rFonts w:ascii="Arial" w:hAnsi="Arial" w:cs="Arial"/>
          <w:szCs w:val="24"/>
        </w:rPr>
      </w:pPr>
      <w:bookmarkStart w:id="23" w:name="_Toc227920730"/>
      <w:r w:rsidRPr="00AE2312">
        <w:rPr>
          <w:rFonts w:ascii="Arial" w:hAnsi="Arial" w:cs="Arial"/>
          <w:szCs w:val="24"/>
        </w:rPr>
        <w:lastRenderedPageBreak/>
        <w:t>5.2 Project Evaluation</w:t>
      </w:r>
      <w:bookmarkEnd w:id="23"/>
    </w:p>
    <w:p w14:paraId="50D9DBB1" w14:textId="77777777" w:rsidR="00FC2A50" w:rsidRPr="00AE2312" w:rsidRDefault="00FC2A50" w:rsidP="00FC2A50">
      <w:pPr>
        <w:rPr>
          <w:rFonts w:ascii="Arial" w:hAnsi="Arial" w:cs="Arial"/>
          <w:szCs w:val="24"/>
          <w:lang w:val="en-IN"/>
        </w:rPr>
      </w:pPr>
      <w:r w:rsidRPr="00AE2312">
        <w:rPr>
          <w:rFonts w:ascii="Arial" w:hAnsi="Arial" w:cs="Arial"/>
          <w:szCs w:val="24"/>
          <w:lang w:val="en-IN"/>
        </w:rPr>
        <w:t>Volkswagen is considering three investment projects—Project A, Project B, and Project C—each offering different levels of risk and return. A detailed evaluation using the above techniques provides insights into their financial viability.</w:t>
      </w:r>
    </w:p>
    <w:p w14:paraId="50CDE313" w14:textId="77777777" w:rsidR="00FC2A50" w:rsidRPr="00AE2312" w:rsidRDefault="00FC2A50" w:rsidP="00FC2A50">
      <w:pPr>
        <w:pStyle w:val="Heading3"/>
        <w:rPr>
          <w:rFonts w:ascii="Arial" w:hAnsi="Arial" w:cs="Arial"/>
          <w:szCs w:val="24"/>
          <w:lang w:val="en-IN"/>
        </w:rPr>
      </w:pPr>
      <w:bookmarkStart w:id="24" w:name="_Toc227920731"/>
      <w:r w:rsidRPr="00AE2312">
        <w:rPr>
          <w:rFonts w:ascii="Arial" w:hAnsi="Arial" w:cs="Arial"/>
          <w:szCs w:val="24"/>
          <w:lang w:val="en-IN"/>
        </w:rPr>
        <w:t>Project A</w:t>
      </w:r>
      <w:bookmarkEnd w:id="24"/>
    </w:p>
    <w:p w14:paraId="6C558ACE" w14:textId="747E4F91" w:rsidR="00636AA8" w:rsidRPr="00AE2312" w:rsidRDefault="00636AA8" w:rsidP="00636AA8">
      <w:pPr>
        <w:rPr>
          <w:rFonts w:ascii="Arial" w:hAnsi="Arial" w:cs="Arial"/>
          <w:szCs w:val="24"/>
          <w:lang w:val="en-IN"/>
        </w:rPr>
      </w:pPr>
      <w:r w:rsidRPr="00AE2312">
        <w:rPr>
          <w:rFonts w:ascii="Arial" w:hAnsi="Arial" w:cs="Arial"/>
          <w:szCs w:val="24"/>
          <w:lang w:val="en-IN"/>
        </w:rPr>
        <w:t>Project A is an investment that has low risk and a consistent and predictable cash inflow. The project has a positive NPV</w:t>
      </w:r>
      <w:r w:rsidR="000B3EB7" w:rsidRPr="00AE2312">
        <w:rPr>
          <w:rFonts w:ascii="Arial" w:hAnsi="Arial" w:cs="Arial"/>
          <w:szCs w:val="24"/>
          <w:lang w:val="en-IN"/>
        </w:rPr>
        <w:t>,</w:t>
      </w:r>
      <w:r w:rsidRPr="00AE2312">
        <w:rPr>
          <w:rFonts w:ascii="Arial" w:hAnsi="Arial" w:cs="Arial"/>
          <w:szCs w:val="24"/>
          <w:lang w:val="en-IN"/>
        </w:rPr>
        <w:t xml:space="preserve"> showing that it will be value-added to the company. The IRR is higher than the rate of return required</w:t>
      </w:r>
      <w:r w:rsidR="000B3EB7" w:rsidRPr="00AE2312">
        <w:rPr>
          <w:rFonts w:ascii="Arial" w:hAnsi="Arial" w:cs="Arial"/>
          <w:szCs w:val="24"/>
          <w:lang w:val="en-IN"/>
        </w:rPr>
        <w:t>,</w:t>
      </w:r>
      <w:r w:rsidRPr="00AE2312">
        <w:rPr>
          <w:rFonts w:ascii="Arial" w:hAnsi="Arial" w:cs="Arial"/>
          <w:szCs w:val="24"/>
          <w:lang w:val="en-IN"/>
        </w:rPr>
        <w:t xml:space="preserve"> hence it is financially viable. Project A is relatively short payback period, which increases the liquidity and minimizes the financial risk.</w:t>
      </w:r>
    </w:p>
    <w:p w14:paraId="2F587D51" w14:textId="477DF6F1" w:rsidR="00636AA8" w:rsidRDefault="00636AA8" w:rsidP="00636AA8">
      <w:pPr>
        <w:rPr>
          <w:rFonts w:ascii="Arial" w:hAnsi="Arial" w:cs="Arial"/>
          <w:szCs w:val="24"/>
          <w:lang w:val="en-IN"/>
        </w:rPr>
      </w:pPr>
      <w:r w:rsidRPr="00AE2312">
        <w:rPr>
          <w:rFonts w:ascii="Arial" w:hAnsi="Arial" w:cs="Arial"/>
          <w:szCs w:val="24"/>
          <w:lang w:val="en-IN"/>
        </w:rPr>
        <w:t xml:space="preserve">Project A has a moderate ARR; it shows consistent, but not high, profitability. The project is appropriate in terms of financial sustainability and guiding predictable returns. </w:t>
      </w:r>
      <w:r w:rsidR="00531516" w:rsidRPr="00AE2312">
        <w:rPr>
          <w:rFonts w:ascii="Arial" w:hAnsi="Arial" w:cs="Arial"/>
          <w:szCs w:val="24"/>
          <w:lang w:val="en-IN"/>
        </w:rPr>
        <w:t>It</w:t>
      </w:r>
      <w:r w:rsidRPr="00AE2312">
        <w:rPr>
          <w:rFonts w:ascii="Arial" w:hAnsi="Arial" w:cs="Arial"/>
          <w:szCs w:val="24"/>
          <w:lang w:val="en-IN"/>
        </w:rPr>
        <w:t xml:space="preserve"> might not be entirely in line with the strategic goals of aggressive development and innovation of Volkswagen, especially </w:t>
      </w:r>
      <w:r w:rsidR="000B3EB7" w:rsidRPr="00AE2312">
        <w:rPr>
          <w:rFonts w:ascii="Arial" w:hAnsi="Arial" w:cs="Arial"/>
          <w:szCs w:val="24"/>
          <w:lang w:val="en-IN"/>
        </w:rPr>
        <w:t xml:space="preserve">in </w:t>
      </w:r>
      <w:r w:rsidRPr="00AE2312">
        <w:rPr>
          <w:rFonts w:ascii="Arial" w:hAnsi="Arial" w:cs="Arial"/>
          <w:szCs w:val="24"/>
          <w:lang w:val="en-IN"/>
        </w:rPr>
        <w:t>the EV segment. Project A offers security but has low profitability</w:t>
      </w:r>
      <w:r w:rsidR="000B3EB7" w:rsidRPr="00AE2312">
        <w:rPr>
          <w:rFonts w:ascii="Arial" w:hAnsi="Arial" w:cs="Arial"/>
          <w:szCs w:val="24"/>
          <w:lang w:val="en-IN"/>
        </w:rPr>
        <w:t>,</w:t>
      </w:r>
      <w:r w:rsidRPr="00AE2312">
        <w:rPr>
          <w:rFonts w:ascii="Arial" w:hAnsi="Arial" w:cs="Arial"/>
          <w:szCs w:val="24"/>
          <w:lang w:val="en-IN"/>
        </w:rPr>
        <w:t xml:space="preserve"> and this could limit its contribution to long-term value maximisation.</w:t>
      </w:r>
    </w:p>
    <w:p w14:paraId="3F8CBD76" w14:textId="77777777" w:rsidR="001465E0" w:rsidRPr="001465E0" w:rsidRDefault="001465E0" w:rsidP="001465E0">
      <w:pPr>
        <w:rPr>
          <w:rFonts w:ascii="Arial" w:hAnsi="Arial" w:cs="Arial"/>
          <w:szCs w:val="24"/>
          <w:lang w:val="en-IN"/>
        </w:rPr>
      </w:pPr>
      <w:r w:rsidRPr="001465E0">
        <w:rPr>
          <w:rFonts w:ascii="Arial" w:hAnsi="Arial" w:cs="Arial"/>
          <w:szCs w:val="24"/>
          <w:lang w:val="en-IN"/>
        </w:rPr>
        <w:t>Project A generates a positive NPV of £3.79 million and an IRR of 13.9%, which is above the required rate of return of 10%. The payback period is approximately 4.5 years, indicating moderate recovery time, while ARR stands at 21.6%.</w:t>
      </w:r>
    </w:p>
    <w:p w14:paraId="1F0494AF" w14:textId="77777777" w:rsidR="00FC2A50" w:rsidRPr="00AE2312" w:rsidRDefault="00FC2A50" w:rsidP="00FC2A50">
      <w:pPr>
        <w:pStyle w:val="Heading3"/>
        <w:rPr>
          <w:rFonts w:ascii="Arial" w:hAnsi="Arial" w:cs="Arial"/>
          <w:szCs w:val="24"/>
          <w:lang w:val="en-IN"/>
        </w:rPr>
      </w:pPr>
      <w:bookmarkStart w:id="25" w:name="_Toc227920732"/>
      <w:r w:rsidRPr="00AE2312">
        <w:rPr>
          <w:rFonts w:ascii="Arial" w:hAnsi="Arial" w:cs="Arial"/>
          <w:szCs w:val="24"/>
          <w:lang w:val="en-IN"/>
        </w:rPr>
        <w:t>Project B</w:t>
      </w:r>
      <w:bookmarkEnd w:id="25"/>
    </w:p>
    <w:p w14:paraId="319F3E07" w14:textId="2DCBB8CE" w:rsidR="008A1A31" w:rsidRPr="00AE2312" w:rsidRDefault="008A1A31" w:rsidP="008A1A31">
      <w:pPr>
        <w:rPr>
          <w:rFonts w:ascii="Arial" w:hAnsi="Arial" w:cs="Arial"/>
          <w:szCs w:val="24"/>
          <w:lang w:val="en-IN"/>
        </w:rPr>
      </w:pPr>
      <w:r w:rsidRPr="00AE2312">
        <w:rPr>
          <w:rFonts w:ascii="Arial" w:hAnsi="Arial" w:cs="Arial"/>
          <w:szCs w:val="24"/>
          <w:lang w:val="en-IN"/>
        </w:rPr>
        <w:t>Project B has a greater potential return than Project A and is also characterised by greater cash inflows. It creates a larger NPV</w:t>
      </w:r>
      <w:r w:rsidR="000B3EB7" w:rsidRPr="00AE2312">
        <w:rPr>
          <w:rFonts w:ascii="Arial" w:hAnsi="Arial" w:cs="Arial"/>
          <w:szCs w:val="24"/>
          <w:lang w:val="en-IN"/>
        </w:rPr>
        <w:t>,</w:t>
      </w:r>
      <w:r w:rsidRPr="00AE2312">
        <w:rPr>
          <w:rFonts w:ascii="Arial" w:hAnsi="Arial" w:cs="Arial"/>
          <w:szCs w:val="24"/>
          <w:lang w:val="en-IN"/>
        </w:rPr>
        <w:t xml:space="preserve"> which means more value creation </w:t>
      </w:r>
      <w:r w:rsidR="000B3EB7" w:rsidRPr="00AE2312">
        <w:rPr>
          <w:rFonts w:ascii="Arial" w:hAnsi="Arial" w:cs="Arial"/>
          <w:szCs w:val="24"/>
          <w:lang w:val="en-IN"/>
        </w:rPr>
        <w:t>for</w:t>
      </w:r>
      <w:r w:rsidRPr="00AE2312">
        <w:rPr>
          <w:rFonts w:ascii="Arial" w:hAnsi="Arial" w:cs="Arial"/>
          <w:szCs w:val="24"/>
          <w:lang w:val="en-IN"/>
        </w:rPr>
        <w:t xml:space="preserve"> the shareholders. The profitability of the IRR is high</w:t>
      </w:r>
      <w:r w:rsidR="000B3EB7" w:rsidRPr="00AE2312">
        <w:rPr>
          <w:rFonts w:ascii="Arial" w:hAnsi="Arial" w:cs="Arial"/>
          <w:szCs w:val="24"/>
          <w:lang w:val="en-IN"/>
        </w:rPr>
        <w:t>,</w:t>
      </w:r>
      <w:r w:rsidRPr="00AE2312">
        <w:rPr>
          <w:rFonts w:ascii="Arial" w:hAnsi="Arial" w:cs="Arial"/>
          <w:szCs w:val="24"/>
          <w:lang w:val="en-IN"/>
        </w:rPr>
        <w:t xml:space="preserve"> as the required rate of return is considerably lower than the IRR. But Project B has more initial investment and also has a longer payback period than </w:t>
      </w:r>
      <w:r w:rsidR="000B3EB7" w:rsidRPr="00AE2312">
        <w:rPr>
          <w:rFonts w:ascii="Arial" w:hAnsi="Arial" w:cs="Arial"/>
          <w:szCs w:val="24"/>
          <w:lang w:val="en-IN"/>
        </w:rPr>
        <w:t>P</w:t>
      </w:r>
      <w:r w:rsidRPr="00AE2312">
        <w:rPr>
          <w:rFonts w:ascii="Arial" w:hAnsi="Arial" w:cs="Arial"/>
          <w:szCs w:val="24"/>
          <w:lang w:val="en-IN"/>
        </w:rPr>
        <w:t xml:space="preserve">roject A. This heightens the financial strain and risk in the short term. </w:t>
      </w:r>
      <w:r w:rsidR="0054584B" w:rsidRPr="00AE2312">
        <w:rPr>
          <w:rFonts w:ascii="Arial" w:hAnsi="Arial" w:cs="Arial"/>
          <w:szCs w:val="24"/>
          <w:lang w:val="en-IN"/>
        </w:rPr>
        <w:t>The</w:t>
      </w:r>
      <w:r w:rsidRPr="00AE2312">
        <w:rPr>
          <w:rFonts w:ascii="Arial" w:hAnsi="Arial" w:cs="Arial"/>
          <w:szCs w:val="24"/>
          <w:lang w:val="en-IN"/>
        </w:rPr>
        <w:t xml:space="preserve"> project fits the strategic emphasis of Volkswagen, which is focused on innovation, technological development, and entering the EV markets.</w:t>
      </w:r>
    </w:p>
    <w:p w14:paraId="4EC0C03F" w14:textId="623BE9D2" w:rsidR="00A06BD8" w:rsidRPr="00AE2312" w:rsidRDefault="008A1A31" w:rsidP="008A1A31">
      <w:pPr>
        <w:rPr>
          <w:rFonts w:ascii="Arial" w:hAnsi="Arial" w:cs="Arial"/>
          <w:szCs w:val="24"/>
          <w:lang w:val="en-IN"/>
        </w:rPr>
      </w:pPr>
      <w:r w:rsidRPr="00AE2312">
        <w:rPr>
          <w:rFonts w:ascii="Arial" w:hAnsi="Arial" w:cs="Arial"/>
          <w:szCs w:val="24"/>
          <w:lang w:val="en-IN"/>
        </w:rPr>
        <w:t>Strategically, Project B contributes to the long-term competitiveness of the company as it allows it to invest in high-growth directions. Though it is a moderate risk investment, it has good financial returns and can be a good investment.</w:t>
      </w:r>
      <w:r w:rsidR="008B087F">
        <w:rPr>
          <w:rFonts w:ascii="Arial" w:hAnsi="Arial" w:cs="Arial"/>
          <w:szCs w:val="24"/>
          <w:lang w:val="en-IN"/>
        </w:rPr>
        <w:t xml:space="preserve"> </w:t>
      </w:r>
      <w:r w:rsidR="00A06BD8" w:rsidRPr="00A06BD8">
        <w:rPr>
          <w:rFonts w:ascii="Arial" w:hAnsi="Arial" w:cs="Arial"/>
          <w:szCs w:val="24"/>
          <w:lang w:val="en-IN"/>
        </w:rPr>
        <w:t xml:space="preserve">Project B has an NPV of £1.68 million and an IRR of 12.8%, which is slightly above the required </w:t>
      </w:r>
      <w:r w:rsidR="00A06BD8" w:rsidRPr="00A06BD8">
        <w:rPr>
          <w:rFonts w:ascii="Arial" w:hAnsi="Arial" w:cs="Arial"/>
          <w:szCs w:val="24"/>
          <w:lang w:val="en-IN"/>
        </w:rPr>
        <w:lastRenderedPageBreak/>
        <w:t>return. The payback period is around 4.5 years, and ARR is 22%, indicating stable but comparatively lower value creation than other projects.</w:t>
      </w:r>
    </w:p>
    <w:p w14:paraId="00F9E0B8" w14:textId="77777777" w:rsidR="00FC2A50" w:rsidRPr="00AE2312" w:rsidRDefault="00FC2A50" w:rsidP="00FC2A50">
      <w:pPr>
        <w:pStyle w:val="Heading3"/>
        <w:rPr>
          <w:rFonts w:ascii="Arial" w:hAnsi="Arial" w:cs="Arial"/>
          <w:szCs w:val="24"/>
          <w:lang w:val="en-IN"/>
        </w:rPr>
      </w:pPr>
      <w:bookmarkStart w:id="26" w:name="_Toc227920733"/>
      <w:r w:rsidRPr="00AE2312">
        <w:rPr>
          <w:rFonts w:ascii="Arial" w:hAnsi="Arial" w:cs="Arial"/>
          <w:szCs w:val="24"/>
          <w:lang w:val="en-IN"/>
        </w:rPr>
        <w:t>Project C</w:t>
      </w:r>
      <w:bookmarkEnd w:id="26"/>
    </w:p>
    <w:p w14:paraId="34A4970E" w14:textId="19CB1E0B" w:rsidR="00EE2246" w:rsidRPr="00AE2312" w:rsidRDefault="00EE2246" w:rsidP="00EE2246">
      <w:pPr>
        <w:rPr>
          <w:rFonts w:ascii="Arial" w:hAnsi="Arial" w:cs="Arial"/>
          <w:szCs w:val="24"/>
          <w:lang w:val="en-IN"/>
        </w:rPr>
      </w:pPr>
      <w:r w:rsidRPr="00AE2312">
        <w:rPr>
          <w:rFonts w:ascii="Arial" w:hAnsi="Arial" w:cs="Arial"/>
          <w:szCs w:val="24"/>
          <w:lang w:val="en-IN"/>
        </w:rPr>
        <w:t>Project C is a risky, high</w:t>
      </w:r>
      <w:r w:rsidR="000B3EB7" w:rsidRPr="00AE2312">
        <w:rPr>
          <w:rFonts w:ascii="Arial" w:hAnsi="Arial" w:cs="Arial"/>
          <w:szCs w:val="24"/>
          <w:lang w:val="en-IN"/>
        </w:rPr>
        <w:t>-</w:t>
      </w:r>
      <w:r w:rsidRPr="00AE2312">
        <w:rPr>
          <w:rFonts w:ascii="Arial" w:hAnsi="Arial" w:cs="Arial"/>
          <w:szCs w:val="24"/>
          <w:lang w:val="en-IN"/>
        </w:rPr>
        <w:t xml:space="preserve">payback investment and the one with the best NPV and the IRR. This implies that there is a high value creation opportunity. The project, however, has the longest payback period as well, which heightens the risk of liquidity and slows down the recouping of the investment. Project C will have a higher level of uncertainty as the amount of money coming in and going out is subject to fluctuation. Although the project is financially rewarding, it can put Volkswagen at a greater risk of financial losses, especially with its current dilemma of decreasing profitability and inconsistent cash flow. </w:t>
      </w:r>
    </w:p>
    <w:p w14:paraId="17E8BE11" w14:textId="741AF1C5" w:rsidR="00D643A5" w:rsidRPr="00AE2312" w:rsidRDefault="00EE2246" w:rsidP="00EE2246">
      <w:pPr>
        <w:rPr>
          <w:rFonts w:ascii="Arial" w:hAnsi="Arial" w:cs="Arial"/>
          <w:szCs w:val="24"/>
          <w:lang w:val="en-IN"/>
        </w:rPr>
      </w:pPr>
      <w:r w:rsidRPr="00AE2312">
        <w:rPr>
          <w:rFonts w:ascii="Arial" w:hAnsi="Arial" w:cs="Arial"/>
          <w:szCs w:val="24"/>
          <w:lang w:val="en-IN"/>
        </w:rPr>
        <w:t xml:space="preserve">Project C can be appropriate provided that the risk tolerance of Volkswagen is high and the financial reserves are good. </w:t>
      </w:r>
      <w:r w:rsidR="00D643A5">
        <w:rPr>
          <w:rFonts w:ascii="Arial" w:hAnsi="Arial" w:cs="Arial"/>
          <w:szCs w:val="24"/>
          <w:lang w:val="en-IN"/>
        </w:rPr>
        <w:t>The</w:t>
      </w:r>
      <w:r w:rsidRPr="00AE2312">
        <w:rPr>
          <w:rFonts w:ascii="Arial" w:hAnsi="Arial" w:cs="Arial"/>
          <w:szCs w:val="24"/>
          <w:lang w:val="en-IN"/>
        </w:rPr>
        <w:t xml:space="preserve"> risks in question can exceed the gains, given the prevailing circumstances.</w:t>
      </w:r>
      <w:r w:rsidR="00D10AD4">
        <w:rPr>
          <w:rFonts w:ascii="Arial" w:hAnsi="Arial" w:cs="Arial"/>
          <w:szCs w:val="24"/>
          <w:lang w:val="en-IN"/>
        </w:rPr>
        <w:t xml:space="preserve"> </w:t>
      </w:r>
      <w:r w:rsidR="00D643A5" w:rsidRPr="00D643A5">
        <w:rPr>
          <w:rFonts w:ascii="Arial" w:hAnsi="Arial" w:cs="Arial"/>
          <w:szCs w:val="24"/>
          <w:lang w:val="en-IN"/>
        </w:rPr>
        <w:t>Project C generates the highest NPV of £6.68 million and IRR of 15.6%, making it the most profitable option. The payback period is 3.6 years, which is shorter compared to other projects, and ARR is 26%, indicating superior performance.</w:t>
      </w:r>
    </w:p>
    <w:p w14:paraId="1B8EE1E2" w14:textId="77777777" w:rsidR="00FC2A50" w:rsidRPr="00AE2312" w:rsidRDefault="00FC2A50" w:rsidP="00FC2A50">
      <w:pPr>
        <w:pStyle w:val="Heading2"/>
        <w:rPr>
          <w:rFonts w:ascii="Arial" w:hAnsi="Arial" w:cs="Arial"/>
          <w:szCs w:val="24"/>
        </w:rPr>
      </w:pPr>
      <w:bookmarkStart w:id="27" w:name="_Toc227920734"/>
      <w:r w:rsidRPr="00AE2312">
        <w:rPr>
          <w:rFonts w:ascii="Arial" w:hAnsi="Arial" w:cs="Arial"/>
          <w:szCs w:val="24"/>
        </w:rPr>
        <w:t>5.3 Comparative Analysis</w:t>
      </w:r>
      <w:bookmarkEnd w:id="27"/>
    </w:p>
    <w:p w14:paraId="3DB350AC" w14:textId="77777777" w:rsidR="00B97B6B" w:rsidRPr="00B97B6B" w:rsidRDefault="00B97B6B" w:rsidP="00B97B6B">
      <w:pPr>
        <w:rPr>
          <w:rFonts w:ascii="Arial" w:hAnsi="Arial" w:cs="Arial"/>
          <w:szCs w:val="24"/>
          <w:lang w:val="en-IN"/>
        </w:rPr>
      </w:pPr>
      <w:r w:rsidRPr="00B97B6B">
        <w:rPr>
          <w:rFonts w:ascii="Arial" w:hAnsi="Arial" w:cs="Arial"/>
          <w:szCs w:val="24"/>
          <w:lang w:val="en-IN"/>
        </w:rPr>
        <w:t>A comparative evaluation of Projects A, B, and C highlights clear differences in profitability, risk, and strategic value. Project A represents the safest option, offering stable and predictable cash inflows with a moderate NPV of £3.79 million and an IRR of 13.9%. Its relatively steady performance and manageable payback period make it suitable for low-risk investment strategies. Project B provides moderate returns with an NPV of £1.68 million and IRR of 12.8%, indicating acceptable but comparatively lower value creation. It reflects a balanced risk-return profile but lacks strong financial impact.</w:t>
      </w:r>
    </w:p>
    <w:p w14:paraId="67FD2BCF" w14:textId="5EE2D246" w:rsidR="00FC2A50" w:rsidRPr="00AE2312" w:rsidRDefault="00B97B6B" w:rsidP="00FC2A50">
      <w:pPr>
        <w:rPr>
          <w:rFonts w:ascii="Arial" w:hAnsi="Arial" w:cs="Arial"/>
          <w:szCs w:val="24"/>
          <w:lang w:val="en-IN"/>
        </w:rPr>
      </w:pPr>
      <w:r w:rsidRPr="00B97B6B">
        <w:rPr>
          <w:rFonts w:ascii="Arial" w:hAnsi="Arial" w:cs="Arial"/>
          <w:szCs w:val="24"/>
          <w:lang w:val="en-IN"/>
        </w:rPr>
        <w:t>In contrast, Project C emerges as the most financially attractive option, generating the highest NPV of £6.68 million and IRR of 15.6%. Although it involves higher risk due to variability in cash flows, its shorter payback period of 3.6 years and superior returns make it the strongest candidate. Therefore, Project C offers the greatest potential for value maximisation</w:t>
      </w:r>
      <w:r w:rsidR="00FC2A50" w:rsidRPr="00AE2312">
        <w:rPr>
          <w:rFonts w:ascii="Arial" w:hAnsi="Arial" w:cs="Arial"/>
          <w:szCs w:val="24"/>
          <w:lang w:val="en-IN"/>
        </w:rPr>
        <w:t>.</w:t>
      </w:r>
    </w:p>
    <w:p w14:paraId="76868F6B" w14:textId="77777777" w:rsidR="00FC2A50" w:rsidRPr="00AE2312" w:rsidRDefault="00FC2A50" w:rsidP="00FC2A50">
      <w:pPr>
        <w:pStyle w:val="Heading2"/>
        <w:rPr>
          <w:rFonts w:ascii="Arial" w:hAnsi="Arial" w:cs="Arial"/>
          <w:szCs w:val="24"/>
        </w:rPr>
      </w:pPr>
      <w:bookmarkStart w:id="28" w:name="_Toc227920735"/>
      <w:r w:rsidRPr="00AE2312">
        <w:rPr>
          <w:rFonts w:ascii="Arial" w:hAnsi="Arial" w:cs="Arial"/>
          <w:szCs w:val="24"/>
        </w:rPr>
        <w:lastRenderedPageBreak/>
        <w:t>5.4 Recommendation</w:t>
      </w:r>
      <w:bookmarkEnd w:id="28"/>
    </w:p>
    <w:p w14:paraId="410CB992" w14:textId="14283D7B" w:rsidR="004E60C0" w:rsidRPr="004E60C0" w:rsidRDefault="004E60C0" w:rsidP="004E60C0">
      <w:pPr>
        <w:rPr>
          <w:rFonts w:ascii="Arial" w:hAnsi="Arial" w:cs="Arial"/>
          <w:szCs w:val="24"/>
          <w:lang w:val="en-IN"/>
        </w:rPr>
      </w:pPr>
      <w:r w:rsidRPr="004E60C0">
        <w:rPr>
          <w:rFonts w:ascii="Arial" w:hAnsi="Arial" w:cs="Arial"/>
          <w:szCs w:val="24"/>
          <w:lang w:val="en-IN"/>
        </w:rPr>
        <w:t>Based on the financial evaluation of the three investment options, Project C is recommended as the most suitable choice for Volkswagen. The project generates the highest Net Present Value (NPV) of £6.68 million and an Internal Rate of Return (IRR) of 15.6%, both exceeding the required rate of return of 10%. This indicates that Project C will create the greatest shareholder value among the alternatives. In addition, the project has the shortest payback period of 3.6 years and the highest Accounting Rate of Return (ARR) of 26%, reflecting strong profitability and faster capital recovery</w:t>
      </w:r>
      <w:r>
        <w:rPr>
          <w:rFonts w:ascii="Arial" w:hAnsi="Arial" w:cs="Arial"/>
          <w:szCs w:val="24"/>
          <w:lang w:val="en-IN"/>
        </w:rPr>
        <w:t xml:space="preserve"> (</w:t>
      </w:r>
      <w:r w:rsidRPr="00AE2312">
        <w:rPr>
          <w:rFonts w:ascii="Arial" w:hAnsi="Arial" w:cs="Arial"/>
          <w:szCs w:val="24"/>
        </w:rPr>
        <w:t xml:space="preserve">Ridwan </w:t>
      </w:r>
      <w:r w:rsidRPr="004E60C0">
        <w:rPr>
          <w:rFonts w:ascii="Arial" w:hAnsi="Arial" w:cs="Arial"/>
          <w:i/>
          <w:iCs/>
          <w:szCs w:val="24"/>
        </w:rPr>
        <w:t>et al.,</w:t>
      </w:r>
      <w:r w:rsidRPr="00AE2312">
        <w:rPr>
          <w:rFonts w:ascii="Arial" w:hAnsi="Arial" w:cs="Arial"/>
          <w:szCs w:val="24"/>
        </w:rPr>
        <w:t xml:space="preserve"> 2025</w:t>
      </w:r>
      <w:r>
        <w:rPr>
          <w:rFonts w:ascii="Arial" w:hAnsi="Arial" w:cs="Arial"/>
          <w:szCs w:val="24"/>
          <w:lang w:val="en-IN"/>
        </w:rPr>
        <w:t>)</w:t>
      </w:r>
      <w:r w:rsidRPr="004E60C0">
        <w:rPr>
          <w:rFonts w:ascii="Arial" w:hAnsi="Arial" w:cs="Arial"/>
          <w:szCs w:val="24"/>
          <w:lang w:val="en-IN"/>
        </w:rPr>
        <w:t>.</w:t>
      </w:r>
    </w:p>
    <w:p w14:paraId="1C8EA235" w14:textId="483CD641" w:rsidR="004E60C0" w:rsidRPr="00AE2312" w:rsidRDefault="004E60C0" w:rsidP="00FC2A50">
      <w:pPr>
        <w:rPr>
          <w:rFonts w:ascii="Arial" w:hAnsi="Arial" w:cs="Arial"/>
          <w:szCs w:val="24"/>
          <w:lang w:val="en-IN"/>
        </w:rPr>
      </w:pPr>
      <w:r w:rsidRPr="004E60C0">
        <w:rPr>
          <w:rFonts w:ascii="Arial" w:hAnsi="Arial" w:cs="Arial"/>
          <w:szCs w:val="24"/>
          <w:lang w:val="en-IN"/>
        </w:rPr>
        <w:t>However, Project C involves relatively higher risk due to variability in cash flows and uncertainty associated with long-term returns. Therefore, while Project C remains the most financially attractive option, Project B can be considered as an alternative due to its balanced risk-return profile. Overall, Project C is recommended for maximising value, supported by Project B as a secondary option.</w:t>
      </w:r>
    </w:p>
    <w:p w14:paraId="109F49CC" w14:textId="77777777" w:rsidR="00FC2A50" w:rsidRPr="00AE2312" w:rsidRDefault="00FC2A50" w:rsidP="00FC2A50">
      <w:pPr>
        <w:pStyle w:val="Heading2"/>
        <w:rPr>
          <w:rFonts w:ascii="Arial" w:hAnsi="Arial" w:cs="Arial"/>
          <w:szCs w:val="24"/>
        </w:rPr>
      </w:pPr>
      <w:bookmarkStart w:id="29" w:name="_Toc227920736"/>
      <w:r w:rsidRPr="00AE2312">
        <w:rPr>
          <w:rFonts w:ascii="Arial" w:hAnsi="Arial" w:cs="Arial"/>
          <w:szCs w:val="24"/>
        </w:rPr>
        <w:t>5.5 Capital Rationing</w:t>
      </w:r>
      <w:bookmarkEnd w:id="29"/>
    </w:p>
    <w:p w14:paraId="49DED633" w14:textId="77777777" w:rsidR="00FC2A50" w:rsidRPr="00AE2312" w:rsidRDefault="00FC2A50" w:rsidP="00FC2A50">
      <w:pPr>
        <w:rPr>
          <w:rFonts w:ascii="Arial" w:hAnsi="Arial" w:cs="Arial"/>
          <w:szCs w:val="24"/>
          <w:lang w:val="en-IN"/>
        </w:rPr>
      </w:pPr>
      <w:r w:rsidRPr="00AE2312">
        <w:rPr>
          <w:rFonts w:ascii="Arial" w:hAnsi="Arial" w:cs="Arial"/>
          <w:szCs w:val="24"/>
          <w:lang w:val="en-IN"/>
        </w:rPr>
        <w:t>Capital rationing is a situation where a company has limited financial resources and must select the most beneficial combination of projects within a fixed budget. In this case, Volkswagen has a capital budget of £100 million, requiring careful allocation of funds.</w:t>
      </w:r>
    </w:p>
    <w:p w14:paraId="04CC3A1F" w14:textId="77777777" w:rsidR="00FC2A50" w:rsidRPr="00AE2312" w:rsidRDefault="00FC2A50" w:rsidP="00FC2A50">
      <w:pPr>
        <w:rPr>
          <w:rFonts w:ascii="Arial" w:hAnsi="Arial" w:cs="Arial"/>
          <w:szCs w:val="24"/>
          <w:lang w:val="en-IN"/>
        </w:rPr>
      </w:pPr>
      <w:r w:rsidRPr="00AE2312">
        <w:rPr>
          <w:rFonts w:ascii="Arial" w:hAnsi="Arial" w:cs="Arial"/>
          <w:szCs w:val="24"/>
          <w:lang w:val="en-IN"/>
        </w:rPr>
        <w:t>The primary objective of capital rationing is to maximise total NPV while ensuring that the selected projects remain within the budget constraint. Volkswagen should prioritise projects that generate the highest value relative to their cost.</w:t>
      </w:r>
    </w:p>
    <w:p w14:paraId="29DE77B4" w14:textId="77777777" w:rsidR="00FC2A50" w:rsidRPr="00AE2312" w:rsidRDefault="00FC2A50" w:rsidP="00FC2A50">
      <w:pPr>
        <w:rPr>
          <w:rFonts w:ascii="Arial" w:hAnsi="Arial" w:cs="Arial"/>
          <w:szCs w:val="24"/>
          <w:lang w:val="en-IN"/>
        </w:rPr>
      </w:pPr>
      <w:r w:rsidRPr="00AE2312">
        <w:rPr>
          <w:rFonts w:ascii="Arial" w:hAnsi="Arial" w:cs="Arial"/>
          <w:szCs w:val="24"/>
          <w:lang w:val="en-IN"/>
        </w:rPr>
        <w:t>If Project B alone fits within the £100 million budget, it should be selected due to its strong financial performance and strategic benefits. However, if multiple projects can be undertaken within the budget, Volkswagen should consider combinations that maximise overall returns. For example, combining Project A with a portion of Project B may provide diversification and reduce risk while still generating acceptable returns.</w:t>
      </w:r>
    </w:p>
    <w:p w14:paraId="56A2EFF5" w14:textId="77777777" w:rsidR="00FC2A50" w:rsidRPr="00AE2312" w:rsidRDefault="00FC2A50" w:rsidP="00FC2A50">
      <w:pPr>
        <w:rPr>
          <w:rFonts w:ascii="Arial" w:hAnsi="Arial" w:cs="Arial"/>
          <w:szCs w:val="24"/>
          <w:lang w:val="en-IN"/>
        </w:rPr>
      </w:pPr>
      <w:r w:rsidRPr="00AE2312">
        <w:rPr>
          <w:rFonts w:ascii="Arial" w:hAnsi="Arial" w:cs="Arial"/>
          <w:szCs w:val="24"/>
          <w:lang w:val="en-IN"/>
        </w:rPr>
        <w:t>Project C, due to its high cost and risk, may not be suitable under capital rationing unless it significantly outperforms other options in terms of NPV.</w:t>
      </w:r>
    </w:p>
    <w:p w14:paraId="7B422C5E" w14:textId="39CFA73F" w:rsidR="00FC2A50" w:rsidRPr="00121569" w:rsidRDefault="00FC2A50" w:rsidP="00FC2A50">
      <w:pPr>
        <w:rPr>
          <w:rFonts w:ascii="Arial" w:hAnsi="Arial" w:cs="Arial"/>
          <w:lang w:val="en-IN"/>
        </w:rPr>
      </w:pPr>
      <w:r w:rsidRPr="00AE2312">
        <w:rPr>
          <w:rFonts w:ascii="Arial" w:hAnsi="Arial" w:cs="Arial"/>
          <w:szCs w:val="24"/>
          <w:lang w:val="en-IN"/>
        </w:rPr>
        <w:t xml:space="preserve">Additionally, Volkswagen should consider strategic factors such as market positioning, technological advancement, and long-term competitiveness when making capital </w:t>
      </w:r>
      <w:r w:rsidRPr="00AE2312">
        <w:rPr>
          <w:rFonts w:ascii="Arial" w:hAnsi="Arial" w:cs="Arial"/>
          <w:szCs w:val="24"/>
          <w:lang w:val="en-IN"/>
        </w:rPr>
        <w:lastRenderedPageBreak/>
        <w:t>rationing decisions. Financial metrics alone may not fully capture the strategic value of certain projects.</w:t>
      </w:r>
      <w:r w:rsidR="00121569">
        <w:rPr>
          <w:rFonts w:ascii="Arial" w:hAnsi="Arial" w:cs="Arial"/>
          <w:szCs w:val="24"/>
          <w:lang w:val="en-IN"/>
        </w:rPr>
        <w:t xml:space="preserve"> </w:t>
      </w:r>
      <w:r w:rsidR="00121569" w:rsidRPr="00121569">
        <w:rPr>
          <w:rFonts w:ascii="Arial" w:hAnsi="Arial" w:cs="Arial"/>
          <w:lang w:val="en-IN"/>
        </w:rPr>
        <w:t>Based on the analysis, the combination of Project A and Project C generates the highest total NPV of £10.47 million within the £100 million budget, making it the optimal choice.</w:t>
      </w:r>
    </w:p>
    <w:p w14:paraId="34AD08D6" w14:textId="77777777" w:rsidR="00FC2A50" w:rsidRPr="00AE2312" w:rsidRDefault="00FC2A50" w:rsidP="00FC2A50">
      <w:pPr>
        <w:pStyle w:val="Heading2"/>
        <w:rPr>
          <w:rFonts w:ascii="Arial" w:hAnsi="Arial" w:cs="Arial"/>
          <w:szCs w:val="24"/>
        </w:rPr>
      </w:pPr>
      <w:bookmarkStart w:id="30" w:name="_Toc227920737"/>
      <w:r w:rsidRPr="00AE2312">
        <w:rPr>
          <w:rFonts w:ascii="Arial" w:hAnsi="Arial" w:cs="Arial"/>
          <w:szCs w:val="24"/>
        </w:rPr>
        <w:t>5.6 Risk and Sensitivity Analysis</w:t>
      </w:r>
      <w:bookmarkEnd w:id="30"/>
    </w:p>
    <w:p w14:paraId="5F8CA083" w14:textId="03C9ADA6" w:rsidR="002138FC" w:rsidRPr="00AE2312" w:rsidRDefault="002138FC" w:rsidP="00FC2A50">
      <w:pPr>
        <w:rPr>
          <w:rFonts w:ascii="Arial" w:hAnsi="Arial" w:cs="Arial"/>
          <w:szCs w:val="24"/>
          <w:lang w:val="en-IN"/>
        </w:rPr>
      </w:pPr>
      <w:r w:rsidRPr="002138FC">
        <w:rPr>
          <w:rFonts w:ascii="Arial" w:hAnsi="Arial" w:cs="Arial"/>
          <w:szCs w:val="24"/>
        </w:rPr>
        <w:t>Risk and sensitivity analysis are essential to evaluate the impact of uncertainty on investment decisions. Among the three projects, Project C offers the highest returns but carries greater risk due to variability in cash flows and dependence on future performance conditions</w:t>
      </w:r>
      <w:r>
        <w:rPr>
          <w:rFonts w:ascii="Arial" w:hAnsi="Arial" w:cs="Arial"/>
          <w:szCs w:val="24"/>
        </w:rPr>
        <w:t xml:space="preserve"> (</w:t>
      </w:r>
      <w:r w:rsidRPr="00AE2312">
        <w:rPr>
          <w:rFonts w:ascii="Arial" w:hAnsi="Arial" w:cs="Arial"/>
          <w:szCs w:val="24"/>
        </w:rPr>
        <w:t xml:space="preserve">Jahan </w:t>
      </w:r>
      <w:r w:rsidRPr="002138FC">
        <w:rPr>
          <w:rFonts w:ascii="Arial" w:hAnsi="Arial" w:cs="Arial"/>
          <w:i/>
          <w:iCs/>
          <w:szCs w:val="24"/>
        </w:rPr>
        <w:t>et al.,</w:t>
      </w:r>
      <w:r w:rsidRPr="00AE2312">
        <w:rPr>
          <w:rFonts w:ascii="Arial" w:hAnsi="Arial" w:cs="Arial"/>
          <w:szCs w:val="24"/>
        </w:rPr>
        <w:t xml:space="preserve"> 2022</w:t>
      </w:r>
      <w:r>
        <w:rPr>
          <w:rFonts w:ascii="Arial" w:hAnsi="Arial" w:cs="Arial"/>
          <w:szCs w:val="24"/>
        </w:rPr>
        <w:t>)</w:t>
      </w:r>
      <w:r w:rsidRPr="002138FC">
        <w:rPr>
          <w:rFonts w:ascii="Arial" w:hAnsi="Arial" w:cs="Arial"/>
          <w:szCs w:val="24"/>
        </w:rPr>
        <w:t>. In contrast, Project A provides more stable and predictable cash inflows, making it a lower-risk option. Project B represents a moderate risk-return profile. Sensitivity analysis indicates that changes in key variables such as costs, demand, and discount rates can significantly affect NPV and IRR. Therefore, Volkswagen should carefully assess these risks before final decision-making.</w:t>
      </w:r>
    </w:p>
    <w:p w14:paraId="3B98F49A" w14:textId="77777777" w:rsidR="00252B57" w:rsidRPr="00AE2312" w:rsidRDefault="00252B57" w:rsidP="00252B57">
      <w:pPr>
        <w:pStyle w:val="Heading1"/>
        <w:rPr>
          <w:rFonts w:ascii="Arial" w:hAnsi="Arial" w:cs="Arial"/>
          <w:szCs w:val="24"/>
          <w:lang w:val="en-IN"/>
        </w:rPr>
      </w:pPr>
      <w:bookmarkStart w:id="31" w:name="_Toc227920738"/>
      <w:r w:rsidRPr="00AE2312">
        <w:rPr>
          <w:rFonts w:ascii="Arial" w:hAnsi="Arial" w:cs="Arial"/>
          <w:szCs w:val="24"/>
          <w:lang w:val="en-IN"/>
        </w:rPr>
        <w:t>6. Conclusion</w:t>
      </w:r>
      <w:bookmarkEnd w:id="31"/>
    </w:p>
    <w:p w14:paraId="75EC8C63" w14:textId="5C54E670" w:rsidR="00252B57" w:rsidRPr="00AE2312" w:rsidRDefault="00252B57" w:rsidP="00252B57">
      <w:pPr>
        <w:rPr>
          <w:rFonts w:ascii="Arial" w:hAnsi="Arial" w:cs="Arial"/>
          <w:szCs w:val="24"/>
          <w:lang w:val="en-IN"/>
        </w:rPr>
      </w:pPr>
      <w:r w:rsidRPr="00AE2312">
        <w:rPr>
          <w:rFonts w:ascii="Arial" w:hAnsi="Arial" w:cs="Arial"/>
          <w:szCs w:val="24"/>
          <w:lang w:val="en-IN"/>
        </w:rPr>
        <w:t>This report has critically evaluated the financial performance and strategic position of Volkswagen over the five</w:t>
      </w:r>
      <w:r w:rsidR="000B3EB7" w:rsidRPr="00AE2312">
        <w:rPr>
          <w:rFonts w:ascii="Arial" w:hAnsi="Arial" w:cs="Arial"/>
          <w:szCs w:val="24"/>
          <w:lang w:val="en-IN"/>
        </w:rPr>
        <w:t xml:space="preserve"> years</w:t>
      </w:r>
      <w:r w:rsidRPr="00AE2312">
        <w:rPr>
          <w:rFonts w:ascii="Arial" w:hAnsi="Arial" w:cs="Arial"/>
          <w:szCs w:val="24"/>
          <w:lang w:val="en-IN"/>
        </w:rPr>
        <w:t xml:space="preserve">, highlighting both strengths and areas of concern. The analysis confirms that while Volkswagen has maintained strong and stable revenue growth, its overall financial health has been weakened by declining profitability, operational inefficiencies, and fluctuating cash flows. As discussed </w:t>
      </w:r>
      <w:r w:rsidR="00D008DD" w:rsidRPr="00AE2312">
        <w:rPr>
          <w:rFonts w:ascii="Arial" w:hAnsi="Arial" w:cs="Arial"/>
          <w:szCs w:val="24"/>
          <w:lang w:val="en-IN"/>
        </w:rPr>
        <w:t>earlier,</w:t>
      </w:r>
      <w:r w:rsidRPr="00AE2312">
        <w:rPr>
          <w:rFonts w:ascii="Arial" w:hAnsi="Arial" w:cs="Arial"/>
          <w:szCs w:val="24"/>
          <w:lang w:val="en-IN"/>
        </w:rPr>
        <w:t xml:space="preserve"> revenue increased consistently until 2024, reflecting strong market demand and global presence; however, this growth was not matched by profit performance, with operating profit and margins declining significantly by 2025.</w:t>
      </w:r>
    </w:p>
    <w:p w14:paraId="0ED2A702" w14:textId="77777777" w:rsidR="00252B57" w:rsidRPr="00AE2312" w:rsidRDefault="00252B57" w:rsidP="00252B57">
      <w:pPr>
        <w:rPr>
          <w:rFonts w:ascii="Arial" w:hAnsi="Arial" w:cs="Arial"/>
          <w:szCs w:val="24"/>
          <w:lang w:val="en-IN"/>
        </w:rPr>
      </w:pPr>
      <w:r w:rsidRPr="00AE2312">
        <w:rPr>
          <w:rFonts w:ascii="Arial" w:hAnsi="Arial" w:cs="Arial"/>
          <w:szCs w:val="24"/>
          <w:lang w:val="en-IN"/>
        </w:rPr>
        <w:t>The financial health check revealed that rising operational costs, heavy investment in electric vehicle (EV) development, and global economic challenges have placed substantial pressure on profitability. The decline in operating margin and net profit margin indicates reduced efficiency in converting revenue into earnings. Furthermore, liquidity analysis highlighted volatility in cash flows, suggesting instability in short-term financial management. These issues collectively indicate that Volkswagen is currently in a transitional phase, where strategic investments are impacting short-term financial performance.</w:t>
      </w:r>
    </w:p>
    <w:p w14:paraId="425DA0B6" w14:textId="77777777" w:rsidR="00252B57" w:rsidRPr="00AE2312" w:rsidRDefault="00252B57" w:rsidP="00252B57">
      <w:pPr>
        <w:rPr>
          <w:rFonts w:ascii="Arial" w:hAnsi="Arial" w:cs="Arial"/>
          <w:szCs w:val="24"/>
          <w:lang w:val="en-IN"/>
        </w:rPr>
      </w:pPr>
      <w:r w:rsidRPr="00AE2312">
        <w:rPr>
          <w:rFonts w:ascii="Arial" w:hAnsi="Arial" w:cs="Arial"/>
          <w:szCs w:val="24"/>
          <w:lang w:val="en-IN"/>
        </w:rPr>
        <w:lastRenderedPageBreak/>
        <w:t>The working capital management analysis emphasised the importance of improving inventory, receivables, and payables management to stabilise cash flow and enhance liquidity. Effective control over these components is essential to ensure operational efficiency and reduce reliance on external financing. The proposed recommendations, including stricter credit policies, improved inventory systems, and better financial planning, provide practical solutions to strengthen liquidity and financial stability.</w:t>
      </w:r>
    </w:p>
    <w:p w14:paraId="1CEB4DAC" w14:textId="77777777" w:rsidR="00252B57" w:rsidRPr="00AE2312" w:rsidRDefault="00252B57" w:rsidP="00252B57">
      <w:pPr>
        <w:rPr>
          <w:rFonts w:ascii="Arial" w:hAnsi="Arial" w:cs="Arial"/>
          <w:szCs w:val="24"/>
          <w:lang w:val="en-IN"/>
        </w:rPr>
      </w:pPr>
      <w:r w:rsidRPr="00AE2312">
        <w:rPr>
          <w:rFonts w:ascii="Arial" w:hAnsi="Arial" w:cs="Arial"/>
          <w:szCs w:val="24"/>
          <w:lang w:val="en-IN"/>
        </w:rPr>
        <w:t>In response to the identified challenges, strategic financial restructuring was proposed, focusing on cost reduction, asset optimisation, and capital restructuring. These strategies aim to improve profitability, enhance operational efficiency, and reduce financial risk. The impact analysis demonstrated that successful implementation of these measures can significantly improve shareholder value and long-term sustainability, although careful execution is required to mitigate associated risks.</w:t>
      </w:r>
    </w:p>
    <w:p w14:paraId="2B37753B" w14:textId="77777777" w:rsidR="00D50E1E" w:rsidRPr="00AE2312" w:rsidRDefault="00D50E1E">
      <w:pPr>
        <w:rPr>
          <w:rFonts w:ascii="Arial" w:hAnsi="Arial" w:cs="Arial"/>
          <w:szCs w:val="24"/>
        </w:rPr>
      </w:pPr>
    </w:p>
    <w:p w14:paraId="24F65B33" w14:textId="77777777" w:rsidR="00576934" w:rsidRPr="00AE2312" w:rsidRDefault="00576934">
      <w:pPr>
        <w:rPr>
          <w:rFonts w:ascii="Arial" w:hAnsi="Arial" w:cs="Arial"/>
          <w:szCs w:val="24"/>
        </w:rPr>
      </w:pPr>
    </w:p>
    <w:p w14:paraId="025AD57B" w14:textId="77777777" w:rsidR="005972C3" w:rsidRPr="00AE2312" w:rsidRDefault="005972C3">
      <w:pPr>
        <w:rPr>
          <w:rFonts w:ascii="Arial" w:hAnsi="Arial" w:cs="Arial"/>
          <w:szCs w:val="24"/>
        </w:rPr>
      </w:pPr>
    </w:p>
    <w:p w14:paraId="652C2E28" w14:textId="6AF3A7B2" w:rsidR="005972C3" w:rsidRPr="00AE2312" w:rsidRDefault="005972C3">
      <w:pPr>
        <w:spacing w:before="0" w:after="160" w:line="259" w:lineRule="auto"/>
        <w:jc w:val="left"/>
        <w:rPr>
          <w:rFonts w:ascii="Arial" w:hAnsi="Arial" w:cs="Arial"/>
          <w:szCs w:val="24"/>
        </w:rPr>
      </w:pPr>
      <w:r w:rsidRPr="00AE2312">
        <w:rPr>
          <w:rFonts w:ascii="Arial" w:hAnsi="Arial" w:cs="Arial"/>
          <w:szCs w:val="24"/>
        </w:rPr>
        <w:br w:type="page"/>
      </w:r>
    </w:p>
    <w:p w14:paraId="1C75198A" w14:textId="0760EF01" w:rsidR="005972C3" w:rsidRPr="00AE2312" w:rsidRDefault="00252B57" w:rsidP="005972C3">
      <w:pPr>
        <w:pStyle w:val="Heading1"/>
        <w:rPr>
          <w:rFonts w:ascii="Arial" w:hAnsi="Arial" w:cs="Arial"/>
          <w:szCs w:val="24"/>
        </w:rPr>
      </w:pPr>
      <w:bookmarkStart w:id="32" w:name="_Toc227920739"/>
      <w:r w:rsidRPr="00AE2312">
        <w:rPr>
          <w:rFonts w:ascii="Arial" w:hAnsi="Arial" w:cs="Arial"/>
          <w:szCs w:val="24"/>
        </w:rPr>
        <w:lastRenderedPageBreak/>
        <w:t>7. Re</w:t>
      </w:r>
      <w:r w:rsidR="005972C3" w:rsidRPr="00AE2312">
        <w:rPr>
          <w:rFonts w:ascii="Arial" w:hAnsi="Arial" w:cs="Arial"/>
          <w:szCs w:val="24"/>
        </w:rPr>
        <w:t>ferences</w:t>
      </w:r>
      <w:bookmarkEnd w:id="32"/>
    </w:p>
    <w:p w14:paraId="7F65B13D" w14:textId="77777777" w:rsidR="00A601BF" w:rsidRPr="00AE2312" w:rsidRDefault="00A601BF" w:rsidP="00A73715">
      <w:pPr>
        <w:rPr>
          <w:rFonts w:ascii="Arial" w:hAnsi="Arial" w:cs="Arial"/>
          <w:szCs w:val="24"/>
        </w:rPr>
      </w:pPr>
      <w:r w:rsidRPr="00AE2312">
        <w:rPr>
          <w:rFonts w:ascii="Arial" w:hAnsi="Arial" w:cs="Arial"/>
          <w:szCs w:val="24"/>
        </w:rPr>
        <w:t>Adams, L.M.F. and Jayasekara, B.E.A., 2024. Corporate governance and capital structure decision: A conceptual review. </w:t>
      </w:r>
      <w:r w:rsidRPr="00AE2312">
        <w:rPr>
          <w:rFonts w:ascii="Arial" w:hAnsi="Arial" w:cs="Arial"/>
          <w:i/>
          <w:iCs/>
          <w:szCs w:val="24"/>
        </w:rPr>
        <w:t>Journal of Business Studies</w:t>
      </w:r>
      <w:r w:rsidRPr="00AE2312">
        <w:rPr>
          <w:rFonts w:ascii="Arial" w:hAnsi="Arial" w:cs="Arial"/>
          <w:szCs w:val="24"/>
        </w:rPr>
        <w:t>, </w:t>
      </w:r>
      <w:r w:rsidRPr="00AE2312">
        <w:rPr>
          <w:rFonts w:ascii="Arial" w:hAnsi="Arial" w:cs="Arial"/>
          <w:i/>
          <w:iCs/>
          <w:szCs w:val="24"/>
        </w:rPr>
        <w:t>11</w:t>
      </w:r>
      <w:r w:rsidRPr="00AE2312">
        <w:rPr>
          <w:rFonts w:ascii="Arial" w:hAnsi="Arial" w:cs="Arial"/>
          <w:szCs w:val="24"/>
        </w:rPr>
        <w:t>(1).</w:t>
      </w:r>
    </w:p>
    <w:p w14:paraId="7B4D6B84" w14:textId="77777777" w:rsidR="00A601BF" w:rsidRPr="00AE2312" w:rsidRDefault="00A601BF" w:rsidP="005B6B00">
      <w:pPr>
        <w:rPr>
          <w:rFonts w:ascii="Arial" w:hAnsi="Arial" w:cs="Arial"/>
          <w:szCs w:val="24"/>
        </w:rPr>
      </w:pPr>
      <w:r w:rsidRPr="00AE2312">
        <w:rPr>
          <w:rFonts w:ascii="Arial" w:hAnsi="Arial" w:cs="Arial"/>
          <w:szCs w:val="24"/>
        </w:rPr>
        <w:t xml:space="preserve">Alonge, E.O., Eyo-Udo, N.L., </w:t>
      </w:r>
      <w:proofErr w:type="spellStart"/>
      <w:r w:rsidRPr="00AE2312">
        <w:rPr>
          <w:rFonts w:ascii="Arial" w:hAnsi="Arial" w:cs="Arial"/>
          <w:szCs w:val="24"/>
        </w:rPr>
        <w:t>Ubanadu</w:t>
      </w:r>
      <w:proofErr w:type="spellEnd"/>
      <w:r w:rsidRPr="00AE2312">
        <w:rPr>
          <w:rFonts w:ascii="Arial" w:hAnsi="Arial" w:cs="Arial"/>
          <w:szCs w:val="24"/>
        </w:rPr>
        <w:t xml:space="preserve">, B.C., </w:t>
      </w:r>
      <w:proofErr w:type="spellStart"/>
      <w:r w:rsidRPr="00AE2312">
        <w:rPr>
          <w:rFonts w:ascii="Arial" w:hAnsi="Arial" w:cs="Arial"/>
          <w:szCs w:val="24"/>
        </w:rPr>
        <w:t>Daraojimba</w:t>
      </w:r>
      <w:proofErr w:type="spellEnd"/>
      <w:r w:rsidRPr="00AE2312">
        <w:rPr>
          <w:rFonts w:ascii="Arial" w:hAnsi="Arial" w:cs="Arial"/>
          <w:szCs w:val="24"/>
        </w:rPr>
        <w:t>, A.I., Balogun, E.D. and Ogunsola, K.O., 2023. Real-time data analytics for enhancing supply chain efficiency. </w:t>
      </w:r>
      <w:r w:rsidRPr="00AE2312">
        <w:rPr>
          <w:rFonts w:ascii="Arial" w:hAnsi="Arial" w:cs="Arial"/>
          <w:i/>
          <w:iCs/>
          <w:szCs w:val="24"/>
        </w:rPr>
        <w:t>Journal of Supply Chain Management and Analytics</w:t>
      </w:r>
      <w:r w:rsidRPr="00AE2312">
        <w:rPr>
          <w:rFonts w:ascii="Arial" w:hAnsi="Arial" w:cs="Arial"/>
          <w:szCs w:val="24"/>
        </w:rPr>
        <w:t>, </w:t>
      </w:r>
      <w:r w:rsidRPr="00AE2312">
        <w:rPr>
          <w:rFonts w:ascii="Arial" w:hAnsi="Arial" w:cs="Arial"/>
          <w:i/>
          <w:iCs/>
          <w:szCs w:val="24"/>
        </w:rPr>
        <w:t>10</w:t>
      </w:r>
      <w:r w:rsidRPr="00AE2312">
        <w:rPr>
          <w:rFonts w:ascii="Arial" w:hAnsi="Arial" w:cs="Arial"/>
          <w:szCs w:val="24"/>
        </w:rPr>
        <w:t>(1), pp.49-60.</w:t>
      </w:r>
    </w:p>
    <w:p w14:paraId="6422989E" w14:textId="77777777" w:rsidR="00A601BF" w:rsidRPr="00AE2312" w:rsidRDefault="00A601BF" w:rsidP="005B6B00">
      <w:pPr>
        <w:rPr>
          <w:rFonts w:ascii="Arial" w:hAnsi="Arial" w:cs="Arial"/>
          <w:szCs w:val="24"/>
        </w:rPr>
      </w:pPr>
      <w:r w:rsidRPr="00AE2312">
        <w:rPr>
          <w:rFonts w:ascii="Arial" w:hAnsi="Arial" w:cs="Arial"/>
          <w:szCs w:val="24"/>
        </w:rPr>
        <w:t>Arjunan, K., 2022. A new method to estimate NPV and IRR from the capital amortization schedule and the advantages of the new method. </w:t>
      </w:r>
      <w:r w:rsidRPr="00AE2312">
        <w:rPr>
          <w:rFonts w:ascii="Arial" w:hAnsi="Arial" w:cs="Arial"/>
          <w:i/>
          <w:iCs/>
          <w:szCs w:val="24"/>
        </w:rPr>
        <w:t>Australasian Accounting, Business and Finance Journal</w:t>
      </w:r>
      <w:r w:rsidRPr="00AE2312">
        <w:rPr>
          <w:rFonts w:ascii="Arial" w:hAnsi="Arial" w:cs="Arial"/>
          <w:szCs w:val="24"/>
        </w:rPr>
        <w:t>, </w:t>
      </w:r>
      <w:r w:rsidRPr="00AE2312">
        <w:rPr>
          <w:rFonts w:ascii="Arial" w:hAnsi="Arial" w:cs="Arial"/>
          <w:i/>
          <w:iCs/>
          <w:szCs w:val="24"/>
        </w:rPr>
        <w:t>16</w:t>
      </w:r>
      <w:r w:rsidRPr="00AE2312">
        <w:rPr>
          <w:rFonts w:ascii="Arial" w:hAnsi="Arial" w:cs="Arial"/>
          <w:szCs w:val="24"/>
        </w:rPr>
        <w:t>(6).</w:t>
      </w:r>
    </w:p>
    <w:p w14:paraId="1E45D45F" w14:textId="77777777" w:rsidR="00A601BF" w:rsidRPr="00AE2312" w:rsidRDefault="00A601BF" w:rsidP="00A73715">
      <w:pPr>
        <w:rPr>
          <w:rFonts w:ascii="Arial" w:hAnsi="Arial" w:cs="Arial"/>
          <w:szCs w:val="24"/>
        </w:rPr>
      </w:pPr>
      <w:r w:rsidRPr="00AE2312">
        <w:rPr>
          <w:rFonts w:ascii="Arial" w:hAnsi="Arial" w:cs="Arial"/>
          <w:szCs w:val="24"/>
        </w:rPr>
        <w:t>Barnabas, B. and Oloyede, J., 2024. Cash flow optimization: Strategies for enhancing short-term liquidity. </w:t>
      </w:r>
      <w:r w:rsidRPr="00AE2312">
        <w:rPr>
          <w:rFonts w:ascii="Arial" w:hAnsi="Arial" w:cs="Arial"/>
          <w:i/>
          <w:iCs/>
          <w:szCs w:val="24"/>
        </w:rPr>
        <w:t>Available at SSRN 5004465</w:t>
      </w:r>
      <w:r w:rsidRPr="00AE2312">
        <w:rPr>
          <w:rFonts w:ascii="Arial" w:hAnsi="Arial" w:cs="Arial"/>
          <w:szCs w:val="24"/>
        </w:rPr>
        <w:t>.</w:t>
      </w:r>
    </w:p>
    <w:p w14:paraId="71DB61EF" w14:textId="77777777" w:rsidR="00A601BF" w:rsidRPr="00AE2312" w:rsidRDefault="00A601BF" w:rsidP="00F25C1E">
      <w:pPr>
        <w:rPr>
          <w:rFonts w:ascii="Arial" w:hAnsi="Arial" w:cs="Arial"/>
          <w:szCs w:val="24"/>
        </w:rPr>
      </w:pPr>
      <w:proofErr w:type="spellStart"/>
      <w:r w:rsidRPr="00AE2312">
        <w:rPr>
          <w:rFonts w:ascii="Arial" w:hAnsi="Arial" w:cs="Arial"/>
          <w:szCs w:val="24"/>
        </w:rPr>
        <w:t>Chernetska</w:t>
      </w:r>
      <w:proofErr w:type="spellEnd"/>
      <w:r w:rsidRPr="00AE2312">
        <w:rPr>
          <w:rFonts w:ascii="Arial" w:hAnsi="Arial" w:cs="Arial"/>
          <w:szCs w:val="24"/>
        </w:rPr>
        <w:t xml:space="preserve">, O., 2024. Accounting and analytical ensuring the company's receivables management. </w:t>
      </w:r>
      <w:proofErr w:type="spellStart"/>
      <w:r w:rsidRPr="00AE2312">
        <w:rPr>
          <w:rFonts w:ascii="Arial" w:hAnsi="Arial" w:cs="Arial"/>
          <w:szCs w:val="24"/>
        </w:rPr>
        <w:t>Дніпровський</w:t>
      </w:r>
      <w:proofErr w:type="spellEnd"/>
      <w:r w:rsidRPr="00AE2312">
        <w:rPr>
          <w:rFonts w:ascii="Arial" w:hAnsi="Arial" w:cs="Arial"/>
          <w:szCs w:val="24"/>
        </w:rPr>
        <w:t xml:space="preserve"> </w:t>
      </w:r>
      <w:proofErr w:type="spellStart"/>
      <w:r w:rsidRPr="00AE2312">
        <w:rPr>
          <w:rFonts w:ascii="Arial" w:hAnsi="Arial" w:cs="Arial"/>
          <w:szCs w:val="24"/>
        </w:rPr>
        <w:t>державний</w:t>
      </w:r>
      <w:proofErr w:type="spellEnd"/>
      <w:r w:rsidRPr="00AE2312">
        <w:rPr>
          <w:rFonts w:ascii="Arial" w:hAnsi="Arial" w:cs="Arial"/>
          <w:szCs w:val="24"/>
        </w:rPr>
        <w:t xml:space="preserve"> </w:t>
      </w:r>
      <w:proofErr w:type="spellStart"/>
      <w:r w:rsidRPr="00AE2312">
        <w:rPr>
          <w:rFonts w:ascii="Arial" w:hAnsi="Arial" w:cs="Arial"/>
          <w:szCs w:val="24"/>
        </w:rPr>
        <w:t>аграрно-економічний</w:t>
      </w:r>
      <w:proofErr w:type="spellEnd"/>
      <w:r w:rsidRPr="00AE2312">
        <w:rPr>
          <w:rFonts w:ascii="Arial" w:hAnsi="Arial" w:cs="Arial"/>
          <w:szCs w:val="24"/>
        </w:rPr>
        <w:t xml:space="preserve"> </w:t>
      </w:r>
      <w:proofErr w:type="spellStart"/>
      <w:r w:rsidRPr="00AE2312">
        <w:rPr>
          <w:rFonts w:ascii="Arial" w:hAnsi="Arial" w:cs="Arial"/>
          <w:szCs w:val="24"/>
        </w:rPr>
        <w:t>університет</w:t>
      </w:r>
      <w:proofErr w:type="spellEnd"/>
      <w:r w:rsidRPr="00AE2312">
        <w:rPr>
          <w:rFonts w:ascii="Arial" w:hAnsi="Arial" w:cs="Arial"/>
          <w:szCs w:val="24"/>
        </w:rPr>
        <w:t>.</w:t>
      </w:r>
    </w:p>
    <w:p w14:paraId="0848F90D" w14:textId="77777777" w:rsidR="00A601BF" w:rsidRPr="00AE2312" w:rsidRDefault="00A601BF" w:rsidP="00A73715">
      <w:pPr>
        <w:rPr>
          <w:rFonts w:ascii="Arial" w:hAnsi="Arial" w:cs="Arial"/>
          <w:szCs w:val="24"/>
          <w:lang w:val="en-IN"/>
        </w:rPr>
      </w:pPr>
      <w:r w:rsidRPr="00AE2312">
        <w:rPr>
          <w:rFonts w:ascii="Arial" w:hAnsi="Arial" w:cs="Arial"/>
          <w:szCs w:val="24"/>
        </w:rPr>
        <w:t>Grewal, J., Mohan, A. and Pérez</w:t>
      </w:r>
      <w:r w:rsidRPr="00AE2312">
        <w:rPr>
          <w:rFonts w:ascii="Cambria Math" w:hAnsi="Cambria Math" w:cs="Cambria Math"/>
          <w:szCs w:val="24"/>
        </w:rPr>
        <w:t>‐</w:t>
      </w:r>
      <w:r w:rsidRPr="00AE2312">
        <w:rPr>
          <w:rFonts w:ascii="Arial" w:hAnsi="Arial" w:cs="Arial"/>
          <w:szCs w:val="24"/>
        </w:rPr>
        <w:t>Cavazos, G., 2024. Payment practices transparency and customer</w:t>
      </w:r>
      <w:r w:rsidRPr="00AE2312">
        <w:rPr>
          <w:rFonts w:ascii="Cambria Math" w:hAnsi="Cambria Math" w:cs="Cambria Math"/>
          <w:szCs w:val="24"/>
        </w:rPr>
        <w:t>‐</w:t>
      </w:r>
      <w:r w:rsidRPr="00AE2312">
        <w:rPr>
          <w:rFonts w:ascii="Arial" w:hAnsi="Arial" w:cs="Arial"/>
          <w:szCs w:val="24"/>
        </w:rPr>
        <w:t>supplier dynamics. </w:t>
      </w:r>
      <w:r w:rsidRPr="00AE2312">
        <w:rPr>
          <w:rFonts w:ascii="Arial" w:hAnsi="Arial" w:cs="Arial"/>
          <w:i/>
          <w:iCs/>
          <w:szCs w:val="24"/>
        </w:rPr>
        <w:t>Journal of Accounting Research</w:t>
      </w:r>
      <w:r w:rsidRPr="00AE2312">
        <w:rPr>
          <w:rFonts w:ascii="Arial" w:hAnsi="Arial" w:cs="Arial"/>
          <w:szCs w:val="24"/>
        </w:rPr>
        <w:t>, </w:t>
      </w:r>
      <w:r w:rsidRPr="00AE2312">
        <w:rPr>
          <w:rFonts w:ascii="Arial" w:hAnsi="Arial" w:cs="Arial"/>
          <w:i/>
          <w:iCs/>
          <w:szCs w:val="24"/>
        </w:rPr>
        <w:t>62</w:t>
      </w:r>
      <w:r w:rsidRPr="00AE2312">
        <w:rPr>
          <w:rFonts w:ascii="Arial" w:hAnsi="Arial" w:cs="Arial"/>
          <w:szCs w:val="24"/>
        </w:rPr>
        <w:t>(2), pp.635-674.</w:t>
      </w:r>
    </w:p>
    <w:p w14:paraId="72871880" w14:textId="77777777" w:rsidR="00A601BF" w:rsidRPr="00AE2312" w:rsidRDefault="00A601BF" w:rsidP="00A73715">
      <w:pPr>
        <w:rPr>
          <w:rFonts w:ascii="Arial" w:hAnsi="Arial" w:cs="Arial"/>
          <w:szCs w:val="24"/>
        </w:rPr>
      </w:pPr>
      <w:r w:rsidRPr="00AE2312">
        <w:rPr>
          <w:rFonts w:ascii="Arial" w:hAnsi="Arial" w:cs="Arial"/>
          <w:szCs w:val="24"/>
        </w:rPr>
        <w:t>Islam, R., Haque, Z. and Moutushi, R.H., 2022. Earnings quality and financial flexibility: A moderating role of corporate governance. </w:t>
      </w:r>
      <w:r w:rsidRPr="00AE2312">
        <w:rPr>
          <w:rFonts w:ascii="Arial" w:hAnsi="Arial" w:cs="Arial"/>
          <w:i/>
          <w:iCs/>
          <w:szCs w:val="24"/>
        </w:rPr>
        <w:t>Cogent Business &amp; Management</w:t>
      </w:r>
      <w:r w:rsidRPr="00AE2312">
        <w:rPr>
          <w:rFonts w:ascii="Arial" w:hAnsi="Arial" w:cs="Arial"/>
          <w:szCs w:val="24"/>
        </w:rPr>
        <w:t>, </w:t>
      </w:r>
      <w:r w:rsidRPr="00AE2312">
        <w:rPr>
          <w:rFonts w:ascii="Arial" w:hAnsi="Arial" w:cs="Arial"/>
          <w:i/>
          <w:iCs/>
          <w:szCs w:val="24"/>
        </w:rPr>
        <w:t>9</w:t>
      </w:r>
      <w:r w:rsidRPr="00AE2312">
        <w:rPr>
          <w:rFonts w:ascii="Arial" w:hAnsi="Arial" w:cs="Arial"/>
          <w:szCs w:val="24"/>
        </w:rPr>
        <w:t>(1), p.2097620.</w:t>
      </w:r>
    </w:p>
    <w:p w14:paraId="704FACC1" w14:textId="77777777" w:rsidR="00A601BF" w:rsidRPr="00AE2312" w:rsidRDefault="00A601BF" w:rsidP="00A73715">
      <w:pPr>
        <w:rPr>
          <w:rFonts w:ascii="Arial" w:hAnsi="Arial" w:cs="Arial"/>
          <w:szCs w:val="24"/>
        </w:rPr>
      </w:pPr>
      <w:r w:rsidRPr="00AE2312">
        <w:rPr>
          <w:rFonts w:ascii="Arial" w:hAnsi="Arial" w:cs="Arial"/>
          <w:szCs w:val="24"/>
        </w:rPr>
        <w:t xml:space="preserve">Jahan, S., Khan, K.I.A., </w:t>
      </w:r>
      <w:proofErr w:type="spellStart"/>
      <w:r w:rsidRPr="00AE2312">
        <w:rPr>
          <w:rFonts w:ascii="Arial" w:hAnsi="Arial" w:cs="Arial"/>
          <w:szCs w:val="24"/>
        </w:rPr>
        <w:t>Thaheem</w:t>
      </w:r>
      <w:proofErr w:type="spellEnd"/>
      <w:r w:rsidRPr="00AE2312">
        <w:rPr>
          <w:rFonts w:ascii="Arial" w:hAnsi="Arial" w:cs="Arial"/>
          <w:szCs w:val="24"/>
        </w:rPr>
        <w:t xml:space="preserve">, M.J., Ullah, F., </w:t>
      </w:r>
      <w:proofErr w:type="spellStart"/>
      <w:r w:rsidRPr="00AE2312">
        <w:rPr>
          <w:rFonts w:ascii="Arial" w:hAnsi="Arial" w:cs="Arial"/>
          <w:szCs w:val="24"/>
        </w:rPr>
        <w:t>Alqurashi</w:t>
      </w:r>
      <w:proofErr w:type="spellEnd"/>
      <w:r w:rsidRPr="00AE2312">
        <w:rPr>
          <w:rFonts w:ascii="Arial" w:hAnsi="Arial" w:cs="Arial"/>
          <w:szCs w:val="24"/>
        </w:rPr>
        <w:t xml:space="preserve">, M. and </w:t>
      </w:r>
      <w:proofErr w:type="spellStart"/>
      <w:r w:rsidRPr="00AE2312">
        <w:rPr>
          <w:rFonts w:ascii="Arial" w:hAnsi="Arial" w:cs="Arial"/>
          <w:szCs w:val="24"/>
        </w:rPr>
        <w:t>Alsulami</w:t>
      </w:r>
      <w:proofErr w:type="spellEnd"/>
      <w:r w:rsidRPr="00AE2312">
        <w:rPr>
          <w:rFonts w:ascii="Arial" w:hAnsi="Arial" w:cs="Arial"/>
          <w:szCs w:val="24"/>
        </w:rPr>
        <w:t>, B.T., 2022. Modeling profitability-influencing risk factors for construction projects: A system dynamics approach. </w:t>
      </w:r>
      <w:r w:rsidRPr="00AE2312">
        <w:rPr>
          <w:rFonts w:ascii="Arial" w:hAnsi="Arial" w:cs="Arial"/>
          <w:i/>
          <w:iCs/>
          <w:szCs w:val="24"/>
        </w:rPr>
        <w:t>Buildings</w:t>
      </w:r>
      <w:r w:rsidRPr="00AE2312">
        <w:rPr>
          <w:rFonts w:ascii="Arial" w:hAnsi="Arial" w:cs="Arial"/>
          <w:szCs w:val="24"/>
        </w:rPr>
        <w:t>, </w:t>
      </w:r>
      <w:r w:rsidRPr="00AE2312">
        <w:rPr>
          <w:rFonts w:ascii="Arial" w:hAnsi="Arial" w:cs="Arial"/>
          <w:i/>
          <w:iCs/>
          <w:szCs w:val="24"/>
        </w:rPr>
        <w:t>12</w:t>
      </w:r>
      <w:r w:rsidRPr="00AE2312">
        <w:rPr>
          <w:rFonts w:ascii="Arial" w:hAnsi="Arial" w:cs="Arial"/>
          <w:szCs w:val="24"/>
        </w:rPr>
        <w:t xml:space="preserve">(6), p.701. </w:t>
      </w:r>
    </w:p>
    <w:p w14:paraId="4923AB01" w14:textId="0A7CC9A0" w:rsidR="00A601BF" w:rsidRPr="00AE2312" w:rsidRDefault="00A601BF" w:rsidP="00A73715">
      <w:pPr>
        <w:rPr>
          <w:rFonts w:ascii="Arial" w:hAnsi="Arial" w:cs="Arial"/>
          <w:szCs w:val="24"/>
        </w:rPr>
      </w:pPr>
      <w:r w:rsidRPr="00AE2312">
        <w:rPr>
          <w:rFonts w:ascii="Arial" w:hAnsi="Arial" w:cs="Arial"/>
          <w:szCs w:val="24"/>
        </w:rPr>
        <w:t>Khalil, S., Zaman, K. and Iqbal, F., 2025. The Impact of Just-in-Time Inventory Systems on Supply Chain Efficiency. </w:t>
      </w:r>
      <w:r w:rsidRPr="00AE2312">
        <w:rPr>
          <w:rFonts w:ascii="Arial" w:hAnsi="Arial" w:cs="Arial"/>
          <w:i/>
          <w:iCs/>
          <w:szCs w:val="24"/>
        </w:rPr>
        <w:t>Economic Trends and Business Review</w:t>
      </w:r>
      <w:r w:rsidRPr="00AE2312">
        <w:rPr>
          <w:rFonts w:ascii="Arial" w:hAnsi="Arial" w:cs="Arial"/>
          <w:szCs w:val="24"/>
        </w:rPr>
        <w:t>, </w:t>
      </w:r>
      <w:r w:rsidRPr="00AE2312">
        <w:rPr>
          <w:rFonts w:ascii="Arial" w:hAnsi="Arial" w:cs="Arial"/>
          <w:i/>
          <w:iCs/>
          <w:szCs w:val="24"/>
        </w:rPr>
        <w:t>3</w:t>
      </w:r>
      <w:r w:rsidRPr="00AE2312">
        <w:rPr>
          <w:rFonts w:ascii="Arial" w:hAnsi="Arial" w:cs="Arial"/>
          <w:szCs w:val="24"/>
        </w:rPr>
        <w:t>(1), pp.1-16.</w:t>
      </w:r>
    </w:p>
    <w:p w14:paraId="78641409" w14:textId="77777777" w:rsidR="00A601BF" w:rsidRPr="00AE2312" w:rsidRDefault="00A601BF" w:rsidP="005B6B00">
      <w:pPr>
        <w:rPr>
          <w:rFonts w:ascii="Arial" w:hAnsi="Arial" w:cs="Arial"/>
          <w:szCs w:val="24"/>
        </w:rPr>
      </w:pPr>
      <w:r w:rsidRPr="00AE2312">
        <w:rPr>
          <w:rFonts w:ascii="Arial" w:hAnsi="Arial" w:cs="Arial"/>
          <w:szCs w:val="24"/>
        </w:rPr>
        <w:t>Kumar, N., Hasan, S.S., Srivastava, K., Akhtar, R., Yadav, R.K. and Choubey, V.K., 2022. Lean manufacturing techniques and its implementation: A review. </w:t>
      </w:r>
      <w:r w:rsidRPr="00AE2312">
        <w:rPr>
          <w:rFonts w:ascii="Arial" w:hAnsi="Arial" w:cs="Arial"/>
          <w:i/>
          <w:iCs/>
          <w:szCs w:val="24"/>
        </w:rPr>
        <w:t>Materials Today: Proceedings</w:t>
      </w:r>
      <w:r w:rsidRPr="00AE2312">
        <w:rPr>
          <w:rFonts w:ascii="Arial" w:hAnsi="Arial" w:cs="Arial"/>
          <w:szCs w:val="24"/>
        </w:rPr>
        <w:t>, </w:t>
      </w:r>
      <w:r w:rsidRPr="00AE2312">
        <w:rPr>
          <w:rFonts w:ascii="Arial" w:hAnsi="Arial" w:cs="Arial"/>
          <w:i/>
          <w:iCs/>
          <w:szCs w:val="24"/>
        </w:rPr>
        <w:t>64</w:t>
      </w:r>
      <w:r w:rsidRPr="00AE2312">
        <w:rPr>
          <w:rFonts w:ascii="Arial" w:hAnsi="Arial" w:cs="Arial"/>
          <w:szCs w:val="24"/>
        </w:rPr>
        <w:t>, pp.1188-1192.</w:t>
      </w:r>
    </w:p>
    <w:p w14:paraId="326192D5" w14:textId="77777777" w:rsidR="00A601BF" w:rsidRPr="00AE2312" w:rsidRDefault="00A601BF" w:rsidP="005B6B00">
      <w:pPr>
        <w:rPr>
          <w:rFonts w:ascii="Arial" w:hAnsi="Arial" w:cs="Arial"/>
          <w:szCs w:val="24"/>
        </w:rPr>
      </w:pPr>
      <w:r w:rsidRPr="00AE2312">
        <w:rPr>
          <w:rFonts w:ascii="Arial" w:hAnsi="Arial" w:cs="Arial"/>
          <w:szCs w:val="24"/>
        </w:rPr>
        <w:t>Kumar, R., 2025. Cash flow management in modern businesses: techniques for liquidity optimization. </w:t>
      </w:r>
      <w:r w:rsidRPr="00AE2312">
        <w:rPr>
          <w:rFonts w:ascii="Arial" w:hAnsi="Arial" w:cs="Arial"/>
          <w:i/>
          <w:iCs/>
          <w:szCs w:val="24"/>
        </w:rPr>
        <w:t>International Journal of Exploring Emerging Trends in Engineering</w:t>
      </w:r>
      <w:r w:rsidRPr="00AE2312">
        <w:rPr>
          <w:rFonts w:ascii="Arial" w:hAnsi="Arial" w:cs="Arial"/>
          <w:szCs w:val="24"/>
        </w:rPr>
        <w:t>, </w:t>
      </w:r>
      <w:r w:rsidRPr="00AE2312">
        <w:rPr>
          <w:rFonts w:ascii="Arial" w:hAnsi="Arial" w:cs="Arial"/>
          <w:i/>
          <w:iCs/>
          <w:szCs w:val="24"/>
        </w:rPr>
        <w:t>11</w:t>
      </w:r>
      <w:r w:rsidRPr="00AE2312">
        <w:rPr>
          <w:rFonts w:ascii="Arial" w:hAnsi="Arial" w:cs="Arial"/>
          <w:szCs w:val="24"/>
        </w:rPr>
        <w:t>(4), pp.1-12.</w:t>
      </w:r>
    </w:p>
    <w:p w14:paraId="644ACF11" w14:textId="77777777" w:rsidR="00A601BF" w:rsidRPr="00AE2312" w:rsidRDefault="00A601BF" w:rsidP="00C95D5B">
      <w:pPr>
        <w:rPr>
          <w:rFonts w:ascii="Arial" w:hAnsi="Arial" w:cs="Arial"/>
          <w:szCs w:val="24"/>
          <w:lang w:val="en-IN"/>
        </w:rPr>
      </w:pPr>
      <w:proofErr w:type="spellStart"/>
      <w:r w:rsidRPr="00AE2312">
        <w:rPr>
          <w:rFonts w:ascii="Arial" w:hAnsi="Arial" w:cs="Arial"/>
          <w:szCs w:val="24"/>
        </w:rPr>
        <w:lastRenderedPageBreak/>
        <w:t>Namadi</w:t>
      </w:r>
      <w:proofErr w:type="spellEnd"/>
      <w:r w:rsidRPr="00AE2312">
        <w:rPr>
          <w:rFonts w:ascii="Arial" w:hAnsi="Arial" w:cs="Arial"/>
          <w:szCs w:val="24"/>
        </w:rPr>
        <w:t>, S., 2023. Strategic Management of Outsourcing Balancing Profitability and Cost Control in Corporate Operations. </w:t>
      </w:r>
      <w:r w:rsidRPr="00AE2312">
        <w:rPr>
          <w:rFonts w:ascii="Arial" w:hAnsi="Arial" w:cs="Arial"/>
          <w:i/>
          <w:iCs/>
          <w:szCs w:val="24"/>
        </w:rPr>
        <w:t>Journal of Business and Economic Options</w:t>
      </w:r>
      <w:r w:rsidRPr="00AE2312">
        <w:rPr>
          <w:rFonts w:ascii="Arial" w:hAnsi="Arial" w:cs="Arial"/>
          <w:szCs w:val="24"/>
        </w:rPr>
        <w:t>, </w:t>
      </w:r>
      <w:r w:rsidRPr="00AE2312">
        <w:rPr>
          <w:rFonts w:ascii="Arial" w:hAnsi="Arial" w:cs="Arial"/>
          <w:i/>
          <w:iCs/>
          <w:szCs w:val="24"/>
        </w:rPr>
        <w:t>6</w:t>
      </w:r>
      <w:r w:rsidRPr="00AE2312">
        <w:rPr>
          <w:rFonts w:ascii="Arial" w:hAnsi="Arial" w:cs="Arial"/>
          <w:szCs w:val="24"/>
        </w:rPr>
        <w:t>(4), pp.28-35.</w:t>
      </w:r>
    </w:p>
    <w:p w14:paraId="24F6A947" w14:textId="77777777" w:rsidR="00A601BF" w:rsidRPr="00AE2312" w:rsidRDefault="00A601BF" w:rsidP="005B6B00">
      <w:pPr>
        <w:rPr>
          <w:rFonts w:ascii="Arial" w:hAnsi="Arial" w:cs="Arial"/>
          <w:szCs w:val="24"/>
        </w:rPr>
      </w:pPr>
      <w:proofErr w:type="spellStart"/>
      <w:r w:rsidRPr="00AE2312">
        <w:rPr>
          <w:rFonts w:ascii="Arial" w:hAnsi="Arial" w:cs="Arial"/>
          <w:szCs w:val="24"/>
        </w:rPr>
        <w:t>Pangestuti</w:t>
      </w:r>
      <w:proofErr w:type="spellEnd"/>
      <w:r w:rsidRPr="00AE2312">
        <w:rPr>
          <w:rFonts w:ascii="Arial" w:hAnsi="Arial" w:cs="Arial"/>
          <w:szCs w:val="24"/>
        </w:rPr>
        <w:t xml:space="preserve">, D.C., </w:t>
      </w:r>
      <w:proofErr w:type="spellStart"/>
      <w:r w:rsidRPr="00AE2312">
        <w:rPr>
          <w:rFonts w:ascii="Arial" w:hAnsi="Arial" w:cs="Arial"/>
          <w:szCs w:val="24"/>
        </w:rPr>
        <w:t>Muktiyanto</w:t>
      </w:r>
      <w:proofErr w:type="spellEnd"/>
      <w:r w:rsidRPr="00AE2312">
        <w:rPr>
          <w:rFonts w:ascii="Arial" w:hAnsi="Arial" w:cs="Arial"/>
          <w:szCs w:val="24"/>
        </w:rPr>
        <w:t>, A. and Geraldina, I., 2022. Role of profitability, business risk, and intellectual capital in increasing firm value. Journal of Indonesian Economy and Business, 37(3), pp.311-338.</w:t>
      </w:r>
    </w:p>
    <w:p w14:paraId="25C8C410" w14:textId="77777777" w:rsidR="00A601BF" w:rsidRPr="00AE2312" w:rsidRDefault="00A601BF" w:rsidP="00A73715">
      <w:pPr>
        <w:rPr>
          <w:rFonts w:ascii="Arial" w:hAnsi="Arial" w:cs="Arial"/>
          <w:szCs w:val="24"/>
        </w:rPr>
      </w:pPr>
      <w:r w:rsidRPr="00AE2312">
        <w:rPr>
          <w:rFonts w:ascii="Arial" w:hAnsi="Arial" w:cs="Arial"/>
          <w:szCs w:val="24"/>
        </w:rPr>
        <w:t>Puspa, E.S. and Suyono, W.P., 2025. CASH MANAGEMENT STRATEGY IN INCREASING COMPANY LIQUIDITY IN TIMES OF ECONOMIC CRISIS. </w:t>
      </w:r>
      <w:r w:rsidRPr="00AE2312">
        <w:rPr>
          <w:rFonts w:ascii="Arial" w:hAnsi="Arial" w:cs="Arial"/>
          <w:i/>
          <w:iCs/>
          <w:szCs w:val="24"/>
        </w:rPr>
        <w:t>INTERNATIONAL JOURNAL OF ECONOMIC LITERATURE</w:t>
      </w:r>
      <w:r w:rsidRPr="00AE2312">
        <w:rPr>
          <w:rFonts w:ascii="Arial" w:hAnsi="Arial" w:cs="Arial"/>
          <w:szCs w:val="24"/>
        </w:rPr>
        <w:t>, </w:t>
      </w:r>
      <w:r w:rsidRPr="00AE2312">
        <w:rPr>
          <w:rFonts w:ascii="Arial" w:hAnsi="Arial" w:cs="Arial"/>
          <w:i/>
          <w:iCs/>
          <w:szCs w:val="24"/>
        </w:rPr>
        <w:t>3</w:t>
      </w:r>
      <w:r w:rsidRPr="00AE2312">
        <w:rPr>
          <w:rFonts w:ascii="Arial" w:hAnsi="Arial" w:cs="Arial"/>
          <w:szCs w:val="24"/>
        </w:rPr>
        <w:t>(5), pp.355-367.</w:t>
      </w:r>
    </w:p>
    <w:p w14:paraId="2216674A" w14:textId="77777777" w:rsidR="00A601BF" w:rsidRPr="00AE2312" w:rsidRDefault="00A601BF" w:rsidP="005B6B00">
      <w:pPr>
        <w:rPr>
          <w:rFonts w:ascii="Arial" w:hAnsi="Arial" w:cs="Arial"/>
          <w:szCs w:val="24"/>
        </w:rPr>
      </w:pPr>
      <w:r w:rsidRPr="00AE2312">
        <w:rPr>
          <w:rFonts w:ascii="Arial" w:hAnsi="Arial" w:cs="Arial"/>
          <w:szCs w:val="24"/>
        </w:rPr>
        <w:t>Rajgopal, S., Srivastava, A. and Zhao, R., 2023. Do digital technology firms earn excess profits? Alternative perspectives. </w:t>
      </w:r>
      <w:r w:rsidRPr="00AE2312">
        <w:rPr>
          <w:rFonts w:ascii="Arial" w:hAnsi="Arial" w:cs="Arial"/>
          <w:i/>
          <w:iCs/>
          <w:szCs w:val="24"/>
        </w:rPr>
        <w:t>The Accounting Review</w:t>
      </w:r>
      <w:r w:rsidRPr="00AE2312">
        <w:rPr>
          <w:rFonts w:ascii="Arial" w:hAnsi="Arial" w:cs="Arial"/>
          <w:szCs w:val="24"/>
        </w:rPr>
        <w:t>, </w:t>
      </w:r>
      <w:r w:rsidRPr="00AE2312">
        <w:rPr>
          <w:rFonts w:ascii="Arial" w:hAnsi="Arial" w:cs="Arial"/>
          <w:i/>
          <w:iCs/>
          <w:szCs w:val="24"/>
        </w:rPr>
        <w:t>98</w:t>
      </w:r>
      <w:r w:rsidRPr="00AE2312">
        <w:rPr>
          <w:rFonts w:ascii="Arial" w:hAnsi="Arial" w:cs="Arial"/>
          <w:szCs w:val="24"/>
        </w:rPr>
        <w:t>(4), pp.321-344.</w:t>
      </w:r>
    </w:p>
    <w:p w14:paraId="508554AE" w14:textId="77777777" w:rsidR="00A601BF" w:rsidRPr="00AE2312" w:rsidRDefault="00A601BF" w:rsidP="005B6B00">
      <w:pPr>
        <w:rPr>
          <w:rFonts w:ascii="Arial" w:hAnsi="Arial" w:cs="Arial"/>
          <w:szCs w:val="24"/>
        </w:rPr>
      </w:pPr>
      <w:r w:rsidRPr="00AE2312">
        <w:rPr>
          <w:rFonts w:ascii="Arial" w:hAnsi="Arial" w:cs="Arial"/>
          <w:szCs w:val="24"/>
        </w:rPr>
        <w:t xml:space="preserve">Ridwan, S., Syah, T.Y.R., </w:t>
      </w:r>
      <w:proofErr w:type="spellStart"/>
      <w:r w:rsidRPr="00AE2312">
        <w:rPr>
          <w:rFonts w:ascii="Arial" w:hAnsi="Arial" w:cs="Arial"/>
          <w:szCs w:val="24"/>
        </w:rPr>
        <w:t>Kustiawan</w:t>
      </w:r>
      <w:proofErr w:type="spellEnd"/>
      <w:r w:rsidRPr="00AE2312">
        <w:rPr>
          <w:rFonts w:ascii="Arial" w:hAnsi="Arial" w:cs="Arial"/>
          <w:szCs w:val="24"/>
        </w:rPr>
        <w:t xml:space="preserve">, U. and </w:t>
      </w:r>
      <w:proofErr w:type="spellStart"/>
      <w:r w:rsidRPr="00AE2312">
        <w:rPr>
          <w:rFonts w:ascii="Arial" w:hAnsi="Arial" w:cs="Arial"/>
          <w:szCs w:val="24"/>
        </w:rPr>
        <w:t>Nofierni</w:t>
      </w:r>
      <w:proofErr w:type="spellEnd"/>
      <w:r w:rsidRPr="00AE2312">
        <w:rPr>
          <w:rFonts w:ascii="Arial" w:hAnsi="Arial" w:cs="Arial"/>
          <w:szCs w:val="24"/>
        </w:rPr>
        <w:t>, N., 2025. Financial planning and investment feasibility analysis based on five-year projections using ROI, NPV, IRR, and financial ratios. </w:t>
      </w:r>
      <w:r w:rsidRPr="00AE2312">
        <w:rPr>
          <w:rFonts w:ascii="Arial" w:hAnsi="Arial" w:cs="Arial"/>
          <w:i/>
          <w:iCs/>
          <w:szCs w:val="24"/>
        </w:rPr>
        <w:t xml:space="preserve">Journal La </w:t>
      </w:r>
      <w:proofErr w:type="spellStart"/>
      <w:r w:rsidRPr="00AE2312">
        <w:rPr>
          <w:rFonts w:ascii="Arial" w:hAnsi="Arial" w:cs="Arial"/>
          <w:i/>
          <w:iCs/>
          <w:szCs w:val="24"/>
        </w:rPr>
        <w:t>Bisecoman</w:t>
      </w:r>
      <w:proofErr w:type="spellEnd"/>
      <w:r w:rsidRPr="00AE2312">
        <w:rPr>
          <w:rFonts w:ascii="Arial" w:hAnsi="Arial" w:cs="Arial"/>
          <w:szCs w:val="24"/>
        </w:rPr>
        <w:t>, </w:t>
      </w:r>
      <w:r w:rsidRPr="00AE2312">
        <w:rPr>
          <w:rFonts w:ascii="Arial" w:hAnsi="Arial" w:cs="Arial"/>
          <w:i/>
          <w:iCs/>
          <w:szCs w:val="24"/>
        </w:rPr>
        <w:t>6</w:t>
      </w:r>
      <w:r w:rsidRPr="00AE2312">
        <w:rPr>
          <w:rFonts w:ascii="Arial" w:hAnsi="Arial" w:cs="Arial"/>
          <w:szCs w:val="24"/>
        </w:rPr>
        <w:t>(2), pp.489-506.</w:t>
      </w:r>
    </w:p>
    <w:p w14:paraId="260E660A" w14:textId="77777777" w:rsidR="00A601BF" w:rsidRPr="00AE2312" w:rsidRDefault="00A601BF" w:rsidP="00F25C1E">
      <w:pPr>
        <w:rPr>
          <w:rFonts w:ascii="Arial" w:hAnsi="Arial" w:cs="Arial"/>
          <w:szCs w:val="24"/>
        </w:rPr>
      </w:pPr>
      <w:proofErr w:type="spellStart"/>
      <w:r w:rsidRPr="00AE2312">
        <w:rPr>
          <w:rFonts w:ascii="Arial" w:hAnsi="Arial" w:cs="Arial"/>
          <w:szCs w:val="24"/>
        </w:rPr>
        <w:t>Saliji</w:t>
      </w:r>
      <w:proofErr w:type="spellEnd"/>
      <w:r w:rsidRPr="00AE2312">
        <w:rPr>
          <w:rFonts w:ascii="Arial" w:hAnsi="Arial" w:cs="Arial"/>
          <w:szCs w:val="24"/>
        </w:rPr>
        <w:t>, M., 2021. Effective inventory management in the automotive industry, a literature study.</w:t>
      </w:r>
    </w:p>
    <w:p w14:paraId="116D4469" w14:textId="77777777" w:rsidR="00A601BF" w:rsidRPr="00AE2312" w:rsidRDefault="00A601BF" w:rsidP="005B6B00">
      <w:pPr>
        <w:rPr>
          <w:rFonts w:ascii="Arial" w:hAnsi="Arial" w:cs="Arial"/>
          <w:szCs w:val="24"/>
        </w:rPr>
      </w:pPr>
      <w:proofErr w:type="spellStart"/>
      <w:r w:rsidRPr="00AE2312">
        <w:rPr>
          <w:rFonts w:ascii="Arial" w:hAnsi="Arial" w:cs="Arial"/>
          <w:szCs w:val="24"/>
        </w:rPr>
        <w:t>Santacreu</w:t>
      </w:r>
      <w:proofErr w:type="spellEnd"/>
      <w:r w:rsidRPr="00AE2312">
        <w:rPr>
          <w:rFonts w:ascii="Arial" w:hAnsi="Arial" w:cs="Arial"/>
          <w:szCs w:val="24"/>
        </w:rPr>
        <w:t>, A.M. and LaBelle, J., 2022. Global supply chain disruptions and inflation during the COVID-19 pandemic. </w:t>
      </w:r>
      <w:r w:rsidRPr="00AE2312">
        <w:rPr>
          <w:rFonts w:ascii="Arial" w:hAnsi="Arial" w:cs="Arial"/>
          <w:i/>
          <w:iCs/>
          <w:szCs w:val="24"/>
        </w:rPr>
        <w:t>Federal Reserve Bank of St. Louis Review</w:t>
      </w:r>
      <w:r w:rsidRPr="00AE2312">
        <w:rPr>
          <w:rFonts w:ascii="Arial" w:hAnsi="Arial" w:cs="Arial"/>
          <w:szCs w:val="24"/>
        </w:rPr>
        <w:t>, </w:t>
      </w:r>
      <w:r w:rsidRPr="00AE2312">
        <w:rPr>
          <w:rFonts w:ascii="Arial" w:hAnsi="Arial" w:cs="Arial"/>
          <w:i/>
          <w:iCs/>
          <w:szCs w:val="24"/>
        </w:rPr>
        <w:t>104</w:t>
      </w:r>
      <w:r w:rsidRPr="00AE2312">
        <w:rPr>
          <w:rFonts w:ascii="Arial" w:hAnsi="Arial" w:cs="Arial"/>
          <w:szCs w:val="24"/>
        </w:rPr>
        <w:t>(2), pp.78-91.</w:t>
      </w:r>
    </w:p>
    <w:p w14:paraId="27E61B28" w14:textId="77777777" w:rsidR="00A601BF" w:rsidRPr="00AE2312" w:rsidRDefault="00A601BF" w:rsidP="005B6B00">
      <w:pPr>
        <w:rPr>
          <w:rFonts w:ascii="Arial" w:hAnsi="Arial" w:cs="Arial"/>
          <w:szCs w:val="24"/>
        </w:rPr>
      </w:pPr>
      <w:proofErr w:type="spellStart"/>
      <w:r w:rsidRPr="00AE2312">
        <w:rPr>
          <w:rFonts w:ascii="Arial" w:hAnsi="Arial" w:cs="Arial"/>
          <w:szCs w:val="24"/>
        </w:rPr>
        <w:t>Sha'ari</w:t>
      </w:r>
      <w:proofErr w:type="spellEnd"/>
      <w:r w:rsidRPr="00AE2312">
        <w:rPr>
          <w:rFonts w:ascii="Arial" w:hAnsi="Arial" w:cs="Arial"/>
          <w:szCs w:val="24"/>
        </w:rPr>
        <w:t xml:space="preserve">, U.A.S., Hamzah, S.R.B. and Kamil, K.H., 2023. Financial sustainability of A firm: debt-based or equity-based financing to </w:t>
      </w:r>
      <w:proofErr w:type="gramStart"/>
      <w:r w:rsidRPr="00AE2312">
        <w:rPr>
          <w:rFonts w:ascii="Arial" w:hAnsi="Arial" w:cs="Arial"/>
          <w:szCs w:val="24"/>
        </w:rPr>
        <w:t>pursue?.</w:t>
      </w:r>
      <w:proofErr w:type="gramEnd"/>
      <w:r w:rsidRPr="00AE2312">
        <w:rPr>
          <w:rFonts w:ascii="Arial" w:hAnsi="Arial" w:cs="Arial"/>
          <w:szCs w:val="24"/>
        </w:rPr>
        <w:t> </w:t>
      </w:r>
      <w:r w:rsidRPr="00AE2312">
        <w:rPr>
          <w:rFonts w:ascii="Arial" w:hAnsi="Arial" w:cs="Arial"/>
          <w:i/>
          <w:iCs/>
          <w:szCs w:val="24"/>
        </w:rPr>
        <w:t>Journal of Islamic Monetary Economics and Finance</w:t>
      </w:r>
      <w:r w:rsidRPr="00AE2312">
        <w:rPr>
          <w:rFonts w:ascii="Arial" w:hAnsi="Arial" w:cs="Arial"/>
          <w:szCs w:val="24"/>
        </w:rPr>
        <w:t>, </w:t>
      </w:r>
      <w:r w:rsidRPr="00AE2312">
        <w:rPr>
          <w:rFonts w:ascii="Arial" w:hAnsi="Arial" w:cs="Arial"/>
          <w:i/>
          <w:iCs/>
          <w:szCs w:val="24"/>
        </w:rPr>
        <w:t>9</w:t>
      </w:r>
      <w:r w:rsidRPr="00AE2312">
        <w:rPr>
          <w:rFonts w:ascii="Arial" w:hAnsi="Arial" w:cs="Arial"/>
          <w:szCs w:val="24"/>
        </w:rPr>
        <w:t>(2), pp.199-224.</w:t>
      </w:r>
    </w:p>
    <w:p w14:paraId="41AC8B0C" w14:textId="77777777" w:rsidR="00A601BF" w:rsidRPr="00AE2312" w:rsidRDefault="00A601BF" w:rsidP="005B6B00">
      <w:pPr>
        <w:rPr>
          <w:rFonts w:ascii="Arial" w:hAnsi="Arial" w:cs="Arial"/>
          <w:szCs w:val="24"/>
        </w:rPr>
      </w:pPr>
      <w:proofErr w:type="spellStart"/>
      <w:r w:rsidRPr="00AE2312">
        <w:rPr>
          <w:rFonts w:ascii="Arial" w:hAnsi="Arial" w:cs="Arial"/>
          <w:szCs w:val="24"/>
        </w:rPr>
        <w:t>Shonayi</w:t>
      </w:r>
      <w:proofErr w:type="spellEnd"/>
      <w:r w:rsidRPr="00AE2312">
        <w:rPr>
          <w:rFonts w:ascii="Arial" w:hAnsi="Arial" w:cs="Arial"/>
          <w:szCs w:val="24"/>
        </w:rPr>
        <w:t>, C., 2024. The determinants of divestment from coal energy: the case of South Africa.</w:t>
      </w:r>
    </w:p>
    <w:p w14:paraId="135F2A12" w14:textId="77777777" w:rsidR="00A601BF" w:rsidRPr="00AE2312" w:rsidRDefault="00A601BF" w:rsidP="005B6B00">
      <w:pPr>
        <w:rPr>
          <w:rFonts w:ascii="Arial" w:hAnsi="Arial" w:cs="Arial"/>
          <w:szCs w:val="24"/>
        </w:rPr>
      </w:pPr>
      <w:r w:rsidRPr="00AE2312">
        <w:rPr>
          <w:rFonts w:ascii="Arial" w:hAnsi="Arial" w:cs="Arial"/>
          <w:szCs w:val="24"/>
        </w:rPr>
        <w:t xml:space="preserve">Sinaga, A.S., Sari, M.M., </w:t>
      </w:r>
      <w:proofErr w:type="spellStart"/>
      <w:r w:rsidRPr="00AE2312">
        <w:rPr>
          <w:rFonts w:ascii="Arial" w:hAnsi="Arial" w:cs="Arial"/>
          <w:szCs w:val="24"/>
        </w:rPr>
        <w:t>Hutasuhut</w:t>
      </w:r>
      <w:proofErr w:type="spellEnd"/>
      <w:r w:rsidRPr="00AE2312">
        <w:rPr>
          <w:rFonts w:ascii="Arial" w:hAnsi="Arial" w:cs="Arial"/>
          <w:szCs w:val="24"/>
        </w:rPr>
        <w:t xml:space="preserve">, A.A., </w:t>
      </w:r>
      <w:proofErr w:type="spellStart"/>
      <w:r w:rsidRPr="00AE2312">
        <w:rPr>
          <w:rFonts w:ascii="Arial" w:hAnsi="Arial" w:cs="Arial"/>
          <w:szCs w:val="24"/>
        </w:rPr>
        <w:t>Zahara</w:t>
      </w:r>
      <w:proofErr w:type="spellEnd"/>
      <w:r w:rsidRPr="00AE2312">
        <w:rPr>
          <w:rFonts w:ascii="Arial" w:hAnsi="Arial" w:cs="Arial"/>
          <w:szCs w:val="24"/>
        </w:rPr>
        <w:t>, S.T., Amanda, A., Fitri, A. and Caesario, M.A., 2023. Comparison of capital budgeting methods: NPV, IRR, PAYBACK PERIOD. </w:t>
      </w:r>
      <w:r w:rsidRPr="00AE2312">
        <w:rPr>
          <w:rFonts w:ascii="Arial" w:hAnsi="Arial" w:cs="Arial"/>
          <w:i/>
          <w:iCs/>
          <w:szCs w:val="24"/>
        </w:rPr>
        <w:t>World Journal of Advanced Research and Reviews</w:t>
      </w:r>
      <w:r w:rsidRPr="00AE2312">
        <w:rPr>
          <w:rFonts w:ascii="Arial" w:hAnsi="Arial" w:cs="Arial"/>
          <w:szCs w:val="24"/>
        </w:rPr>
        <w:t>, </w:t>
      </w:r>
      <w:r w:rsidRPr="00AE2312">
        <w:rPr>
          <w:rFonts w:ascii="Arial" w:hAnsi="Arial" w:cs="Arial"/>
          <w:i/>
          <w:iCs/>
          <w:szCs w:val="24"/>
        </w:rPr>
        <w:t>19</w:t>
      </w:r>
      <w:r w:rsidRPr="00AE2312">
        <w:rPr>
          <w:rFonts w:ascii="Arial" w:hAnsi="Arial" w:cs="Arial"/>
          <w:szCs w:val="24"/>
        </w:rPr>
        <w:t>(2), pp.1078-1081.</w:t>
      </w:r>
    </w:p>
    <w:p w14:paraId="44DDBECB" w14:textId="77777777" w:rsidR="00A601BF" w:rsidRPr="00AE2312" w:rsidRDefault="00A601BF" w:rsidP="00A73715">
      <w:pPr>
        <w:rPr>
          <w:rFonts w:ascii="Arial" w:hAnsi="Arial" w:cs="Arial"/>
          <w:szCs w:val="24"/>
        </w:rPr>
      </w:pPr>
      <w:r w:rsidRPr="00AE2312">
        <w:rPr>
          <w:rFonts w:ascii="Arial" w:hAnsi="Arial" w:cs="Arial"/>
          <w:szCs w:val="24"/>
        </w:rPr>
        <w:lastRenderedPageBreak/>
        <w:t xml:space="preserve">Stavropoulos, A.S. and </w:t>
      </w:r>
      <w:proofErr w:type="spellStart"/>
      <w:r w:rsidRPr="00AE2312">
        <w:rPr>
          <w:rFonts w:ascii="Arial" w:hAnsi="Arial" w:cs="Arial"/>
          <w:szCs w:val="24"/>
        </w:rPr>
        <w:t>Zounta</w:t>
      </w:r>
      <w:proofErr w:type="spellEnd"/>
      <w:r w:rsidRPr="00AE2312">
        <w:rPr>
          <w:rFonts w:ascii="Arial" w:hAnsi="Arial" w:cs="Arial"/>
          <w:szCs w:val="24"/>
        </w:rPr>
        <w:t>, S., 2025. Cash conversion cycle and profitability: Evidence from Greek service firms. </w:t>
      </w:r>
      <w:r w:rsidRPr="00AE2312">
        <w:rPr>
          <w:rFonts w:ascii="Arial" w:hAnsi="Arial" w:cs="Arial"/>
          <w:i/>
          <w:iCs/>
          <w:szCs w:val="24"/>
        </w:rPr>
        <w:t>Journal of Risk and Financial Management</w:t>
      </w:r>
      <w:r w:rsidRPr="00AE2312">
        <w:rPr>
          <w:rFonts w:ascii="Arial" w:hAnsi="Arial" w:cs="Arial"/>
          <w:szCs w:val="24"/>
        </w:rPr>
        <w:t>, </w:t>
      </w:r>
      <w:r w:rsidRPr="00AE2312">
        <w:rPr>
          <w:rFonts w:ascii="Arial" w:hAnsi="Arial" w:cs="Arial"/>
          <w:i/>
          <w:iCs/>
          <w:szCs w:val="24"/>
        </w:rPr>
        <w:t>18</w:t>
      </w:r>
      <w:r w:rsidRPr="00AE2312">
        <w:rPr>
          <w:rFonts w:ascii="Arial" w:hAnsi="Arial" w:cs="Arial"/>
          <w:szCs w:val="24"/>
        </w:rPr>
        <w:t>(4), p.208.</w:t>
      </w:r>
    </w:p>
    <w:p w14:paraId="09ED4BD0" w14:textId="77777777" w:rsidR="00A601BF" w:rsidRPr="00AE2312" w:rsidRDefault="00A601BF" w:rsidP="005B6B00">
      <w:pPr>
        <w:rPr>
          <w:rFonts w:ascii="Arial" w:hAnsi="Arial" w:cs="Arial"/>
          <w:szCs w:val="24"/>
        </w:rPr>
      </w:pPr>
      <w:r w:rsidRPr="00AE2312">
        <w:rPr>
          <w:rFonts w:ascii="Arial" w:hAnsi="Arial" w:cs="Arial"/>
          <w:szCs w:val="24"/>
        </w:rPr>
        <w:t xml:space="preserve">Utama, S., </w:t>
      </w:r>
      <w:proofErr w:type="spellStart"/>
      <w:r w:rsidRPr="00AE2312">
        <w:rPr>
          <w:rFonts w:ascii="Arial" w:hAnsi="Arial" w:cs="Arial"/>
          <w:szCs w:val="24"/>
        </w:rPr>
        <w:t>Purmono</w:t>
      </w:r>
      <w:proofErr w:type="spellEnd"/>
      <w:r w:rsidRPr="00AE2312">
        <w:rPr>
          <w:rFonts w:ascii="Arial" w:hAnsi="Arial" w:cs="Arial"/>
          <w:szCs w:val="24"/>
        </w:rPr>
        <w:t xml:space="preserve">, B.B., Malini, H., </w:t>
      </w:r>
      <w:proofErr w:type="spellStart"/>
      <w:r w:rsidRPr="00AE2312">
        <w:rPr>
          <w:rFonts w:ascii="Arial" w:hAnsi="Arial" w:cs="Arial"/>
          <w:szCs w:val="24"/>
        </w:rPr>
        <w:t>Mustarudin</w:t>
      </w:r>
      <w:proofErr w:type="spellEnd"/>
      <w:r w:rsidRPr="00AE2312">
        <w:rPr>
          <w:rFonts w:ascii="Arial" w:hAnsi="Arial" w:cs="Arial"/>
          <w:szCs w:val="24"/>
        </w:rPr>
        <w:t>, M. and Wendy, W., 2023. The influence of debt equity ratio and times interest earned ratio through return on assets on banking companies’ share price. </w:t>
      </w:r>
      <w:r w:rsidRPr="00AE2312">
        <w:rPr>
          <w:rFonts w:ascii="Arial" w:hAnsi="Arial" w:cs="Arial"/>
          <w:i/>
          <w:iCs/>
          <w:szCs w:val="24"/>
        </w:rPr>
        <w:t>International Journal of Applied Finance and Business Studies</w:t>
      </w:r>
      <w:r w:rsidRPr="00AE2312">
        <w:rPr>
          <w:rFonts w:ascii="Arial" w:hAnsi="Arial" w:cs="Arial"/>
          <w:szCs w:val="24"/>
        </w:rPr>
        <w:t>, </w:t>
      </w:r>
      <w:r w:rsidRPr="00AE2312">
        <w:rPr>
          <w:rFonts w:ascii="Arial" w:hAnsi="Arial" w:cs="Arial"/>
          <w:i/>
          <w:iCs/>
          <w:szCs w:val="24"/>
        </w:rPr>
        <w:t>11</w:t>
      </w:r>
      <w:r w:rsidRPr="00AE2312">
        <w:rPr>
          <w:rFonts w:ascii="Arial" w:hAnsi="Arial" w:cs="Arial"/>
          <w:szCs w:val="24"/>
        </w:rPr>
        <w:t>(3), pp.418-429.</w:t>
      </w:r>
    </w:p>
    <w:p w14:paraId="6F822AC6" w14:textId="77777777" w:rsidR="00A601BF" w:rsidRPr="00AE2312" w:rsidRDefault="00A601BF" w:rsidP="001107D2">
      <w:pPr>
        <w:rPr>
          <w:rFonts w:ascii="Arial" w:hAnsi="Arial" w:cs="Arial"/>
          <w:szCs w:val="24"/>
          <w:lang w:val="en-IN"/>
        </w:rPr>
      </w:pPr>
      <w:r w:rsidRPr="00AE2312">
        <w:rPr>
          <w:rFonts w:ascii="Arial" w:hAnsi="Arial" w:cs="Arial"/>
          <w:szCs w:val="24"/>
          <w:lang w:val="en-IN"/>
        </w:rPr>
        <w:t xml:space="preserve">Volkswagen Group, 2022. </w:t>
      </w:r>
      <w:r w:rsidRPr="00AE2312">
        <w:rPr>
          <w:rFonts w:ascii="Arial" w:hAnsi="Arial" w:cs="Arial"/>
          <w:i/>
          <w:iCs/>
          <w:szCs w:val="24"/>
          <w:lang w:val="en-IN"/>
        </w:rPr>
        <w:t>Annual Report 2021.</w:t>
      </w:r>
      <w:r w:rsidRPr="00AE2312">
        <w:rPr>
          <w:rFonts w:ascii="Arial" w:hAnsi="Arial" w:cs="Arial"/>
          <w:szCs w:val="24"/>
          <w:lang w:val="en-IN"/>
        </w:rPr>
        <w:t xml:space="preserve"> [online] available at </w:t>
      </w:r>
      <w:hyperlink r:id="rId9" w:history="1">
        <w:r w:rsidRPr="00AE2312">
          <w:rPr>
            <w:rStyle w:val="Hyperlink"/>
            <w:rFonts w:ascii="Arial" w:hAnsi="Arial" w:cs="Arial"/>
            <w:szCs w:val="24"/>
            <w:lang w:val="en-IN"/>
          </w:rPr>
          <w:t>https://www.volkswagen-group.com/en/publications/more/annual-report-2021-1791</w:t>
        </w:r>
      </w:hyperlink>
    </w:p>
    <w:p w14:paraId="6FAFE151" w14:textId="77777777" w:rsidR="00A601BF" w:rsidRPr="00AE2312" w:rsidRDefault="00A601BF" w:rsidP="001107D2">
      <w:pPr>
        <w:rPr>
          <w:rFonts w:ascii="Arial" w:hAnsi="Arial" w:cs="Arial"/>
          <w:szCs w:val="24"/>
          <w:lang w:val="en-IN"/>
        </w:rPr>
      </w:pPr>
      <w:r w:rsidRPr="00AE2312">
        <w:rPr>
          <w:rFonts w:ascii="Arial" w:hAnsi="Arial" w:cs="Arial"/>
          <w:szCs w:val="24"/>
          <w:lang w:val="en-IN"/>
        </w:rPr>
        <w:t xml:space="preserve">Volkswagen Group, 2023. </w:t>
      </w:r>
      <w:r w:rsidRPr="00AE2312">
        <w:rPr>
          <w:rFonts w:ascii="Arial" w:hAnsi="Arial" w:cs="Arial"/>
          <w:i/>
          <w:iCs/>
          <w:szCs w:val="24"/>
          <w:lang w:val="en-IN"/>
        </w:rPr>
        <w:t>Annual Report &amp; Full Year Results 2022.</w:t>
      </w:r>
      <w:r w:rsidRPr="00AE2312">
        <w:rPr>
          <w:rFonts w:ascii="Arial" w:hAnsi="Arial" w:cs="Arial"/>
          <w:szCs w:val="24"/>
          <w:lang w:val="en-IN"/>
        </w:rPr>
        <w:t xml:space="preserve"> [online] available at </w:t>
      </w:r>
      <w:hyperlink r:id="rId10" w:history="1">
        <w:r w:rsidRPr="00AE2312">
          <w:rPr>
            <w:rStyle w:val="Hyperlink"/>
            <w:rFonts w:ascii="Arial" w:hAnsi="Arial" w:cs="Arial"/>
            <w:szCs w:val="24"/>
            <w:lang w:val="en-IN"/>
          </w:rPr>
          <w:t>https://www.volkswagen-group.com/en/annual-report-and-full-year-results-2022-16098</w:t>
        </w:r>
      </w:hyperlink>
    </w:p>
    <w:p w14:paraId="4963D623" w14:textId="77777777" w:rsidR="00A601BF" w:rsidRPr="00AE2312" w:rsidRDefault="00A601BF" w:rsidP="001107D2">
      <w:pPr>
        <w:rPr>
          <w:rFonts w:ascii="Arial" w:hAnsi="Arial" w:cs="Arial"/>
          <w:szCs w:val="24"/>
          <w:lang w:val="en-IN"/>
        </w:rPr>
      </w:pPr>
      <w:r w:rsidRPr="00AE2312">
        <w:rPr>
          <w:rFonts w:ascii="Arial" w:hAnsi="Arial" w:cs="Arial"/>
          <w:szCs w:val="24"/>
          <w:lang w:val="en-IN"/>
        </w:rPr>
        <w:t xml:space="preserve">Volkswagen Group, 2024. </w:t>
      </w:r>
      <w:r w:rsidRPr="00AE2312">
        <w:rPr>
          <w:rFonts w:ascii="Arial" w:hAnsi="Arial" w:cs="Arial"/>
          <w:i/>
          <w:iCs/>
          <w:szCs w:val="24"/>
          <w:lang w:val="en-IN"/>
        </w:rPr>
        <w:t>Annual Report &amp; Full Year Results 2023.</w:t>
      </w:r>
      <w:r w:rsidRPr="00AE2312">
        <w:rPr>
          <w:rFonts w:ascii="Arial" w:hAnsi="Arial" w:cs="Arial"/>
          <w:szCs w:val="24"/>
          <w:lang w:val="en-IN"/>
        </w:rPr>
        <w:t xml:space="preserve"> [online] available at </w:t>
      </w:r>
      <w:hyperlink r:id="rId11" w:history="1">
        <w:r w:rsidRPr="00AE2312">
          <w:rPr>
            <w:rStyle w:val="Hyperlink"/>
            <w:rFonts w:ascii="Arial" w:hAnsi="Arial" w:cs="Arial"/>
            <w:szCs w:val="24"/>
            <w:lang w:val="en-IN"/>
          </w:rPr>
          <w:t>https://www.volkswagen-group.com/en/annual-report-and-full-year-results-2024-19005</w:t>
        </w:r>
      </w:hyperlink>
    </w:p>
    <w:p w14:paraId="161AE458" w14:textId="77777777" w:rsidR="00A601BF" w:rsidRPr="00AE2312" w:rsidRDefault="00A601BF" w:rsidP="001107D2">
      <w:pPr>
        <w:rPr>
          <w:rFonts w:ascii="Arial" w:hAnsi="Arial" w:cs="Arial"/>
          <w:i/>
          <w:iCs/>
          <w:szCs w:val="24"/>
          <w:lang w:val="en-IN"/>
        </w:rPr>
      </w:pPr>
      <w:r w:rsidRPr="00AE2312">
        <w:rPr>
          <w:rFonts w:ascii="Arial" w:hAnsi="Arial" w:cs="Arial"/>
          <w:szCs w:val="24"/>
          <w:lang w:val="en-IN"/>
        </w:rPr>
        <w:t xml:space="preserve">Volkswagen Group, 2025. </w:t>
      </w:r>
      <w:r w:rsidRPr="00AE2312">
        <w:rPr>
          <w:rFonts w:ascii="Arial" w:hAnsi="Arial" w:cs="Arial"/>
          <w:i/>
          <w:iCs/>
          <w:szCs w:val="24"/>
          <w:lang w:val="en-IN"/>
        </w:rPr>
        <w:t>Annual Report &amp; Full Year Results 2024.</w:t>
      </w:r>
      <w:r w:rsidRPr="00AE2312">
        <w:rPr>
          <w:rFonts w:ascii="Arial" w:hAnsi="Arial" w:cs="Arial"/>
          <w:szCs w:val="24"/>
          <w:lang w:val="en-IN"/>
        </w:rPr>
        <w:t xml:space="preserve"> [online] available at </w:t>
      </w:r>
      <w:hyperlink r:id="rId12" w:history="1">
        <w:r w:rsidRPr="00AE2312">
          <w:rPr>
            <w:rStyle w:val="Hyperlink"/>
            <w:rFonts w:ascii="Arial" w:hAnsi="Arial" w:cs="Arial"/>
            <w:szCs w:val="24"/>
            <w:lang w:val="en-IN"/>
          </w:rPr>
          <w:t>https://www.volkswagen-group.com/en/annual-report-and-full-year-results-2024-19005</w:t>
        </w:r>
      </w:hyperlink>
    </w:p>
    <w:p w14:paraId="20B6BF77" w14:textId="77777777" w:rsidR="00A601BF" w:rsidRPr="00AE2312" w:rsidRDefault="00A601BF" w:rsidP="004C18B1">
      <w:pPr>
        <w:rPr>
          <w:rFonts w:ascii="Arial" w:hAnsi="Arial" w:cs="Arial"/>
          <w:szCs w:val="24"/>
          <w:lang w:val="en-IN"/>
        </w:rPr>
      </w:pPr>
      <w:r w:rsidRPr="00AE2312">
        <w:rPr>
          <w:rFonts w:ascii="Arial" w:hAnsi="Arial" w:cs="Arial"/>
          <w:szCs w:val="24"/>
          <w:lang w:val="en-IN"/>
        </w:rPr>
        <w:t xml:space="preserve">Volkswagen Group, 2026. </w:t>
      </w:r>
      <w:r w:rsidRPr="00AE2312">
        <w:rPr>
          <w:rFonts w:ascii="Arial" w:hAnsi="Arial" w:cs="Arial"/>
          <w:i/>
          <w:iCs/>
          <w:szCs w:val="24"/>
          <w:lang w:val="en-IN"/>
        </w:rPr>
        <w:t>About Us.</w:t>
      </w:r>
      <w:r w:rsidRPr="00AE2312">
        <w:rPr>
          <w:rFonts w:ascii="Arial" w:hAnsi="Arial" w:cs="Arial"/>
          <w:szCs w:val="24"/>
          <w:lang w:val="en-IN"/>
        </w:rPr>
        <w:t xml:space="preserve"> [online] available at </w:t>
      </w:r>
      <w:hyperlink r:id="rId13" w:history="1">
        <w:r w:rsidRPr="00AE2312">
          <w:rPr>
            <w:rStyle w:val="Hyperlink"/>
            <w:rFonts w:ascii="Arial" w:hAnsi="Arial" w:cs="Arial"/>
            <w:szCs w:val="24"/>
            <w:lang w:val="en-IN"/>
          </w:rPr>
          <w:t>https://www.volkswagen-group.com/en/about-us-16013</w:t>
        </w:r>
      </w:hyperlink>
    </w:p>
    <w:p w14:paraId="1DDBF440" w14:textId="77777777" w:rsidR="00A601BF" w:rsidRPr="00AE2312" w:rsidRDefault="00A601BF" w:rsidP="001107D2">
      <w:pPr>
        <w:rPr>
          <w:rFonts w:ascii="Arial" w:hAnsi="Arial" w:cs="Arial"/>
          <w:szCs w:val="24"/>
          <w:lang w:val="en-IN"/>
        </w:rPr>
      </w:pPr>
      <w:r w:rsidRPr="00AE2312">
        <w:rPr>
          <w:rFonts w:ascii="Arial" w:hAnsi="Arial" w:cs="Arial"/>
          <w:szCs w:val="24"/>
          <w:lang w:val="en-IN"/>
        </w:rPr>
        <w:t xml:space="preserve">Volkswagen Group, 2026a. </w:t>
      </w:r>
      <w:r w:rsidRPr="00AE2312">
        <w:rPr>
          <w:rFonts w:ascii="Arial" w:hAnsi="Arial" w:cs="Arial"/>
          <w:i/>
          <w:iCs/>
          <w:szCs w:val="24"/>
          <w:lang w:val="en-IN"/>
        </w:rPr>
        <w:t>Annual Report &amp; Full Year Results 2025.</w:t>
      </w:r>
      <w:r w:rsidRPr="00AE2312">
        <w:rPr>
          <w:rFonts w:ascii="Arial" w:hAnsi="Arial" w:cs="Arial"/>
          <w:szCs w:val="24"/>
          <w:lang w:val="en-IN"/>
        </w:rPr>
        <w:t xml:space="preserve"> [online] available at </w:t>
      </w:r>
      <w:hyperlink r:id="rId14" w:history="1">
        <w:r w:rsidRPr="00AE2312">
          <w:rPr>
            <w:rStyle w:val="Hyperlink"/>
            <w:rFonts w:ascii="Arial" w:hAnsi="Arial" w:cs="Arial"/>
            <w:szCs w:val="24"/>
            <w:lang w:val="en-IN"/>
          </w:rPr>
          <w:t>https://www.volkswagen-group.com/en/annual-report-and-full-year-results-2025-20174</w:t>
        </w:r>
      </w:hyperlink>
    </w:p>
    <w:p w14:paraId="1A3601AF" w14:textId="77777777" w:rsidR="00A601BF" w:rsidRPr="00AE2312" w:rsidRDefault="00A601BF" w:rsidP="005B6B00">
      <w:pPr>
        <w:rPr>
          <w:rFonts w:ascii="Arial" w:hAnsi="Arial" w:cs="Arial"/>
          <w:szCs w:val="24"/>
        </w:rPr>
      </w:pPr>
      <w:r w:rsidRPr="00AE2312">
        <w:rPr>
          <w:rFonts w:ascii="Arial" w:hAnsi="Arial" w:cs="Arial"/>
          <w:szCs w:val="24"/>
        </w:rPr>
        <w:t>Wang, Y., 2021, December. The development and usage of NPV and IRR and their comparison. In </w:t>
      </w:r>
      <w:r w:rsidRPr="00AE2312">
        <w:rPr>
          <w:rFonts w:ascii="Arial" w:hAnsi="Arial" w:cs="Arial"/>
          <w:i/>
          <w:iCs/>
          <w:szCs w:val="24"/>
        </w:rPr>
        <w:t>2021 3rd International Conference on Economic Management and Cultural Industry (ICEMCI 2021)</w:t>
      </w:r>
      <w:r w:rsidRPr="00AE2312">
        <w:rPr>
          <w:rFonts w:ascii="Arial" w:hAnsi="Arial" w:cs="Arial"/>
          <w:szCs w:val="24"/>
        </w:rPr>
        <w:t> (pp. 2044-2048). Atlantis Press.</w:t>
      </w:r>
    </w:p>
    <w:p w14:paraId="24EB6686" w14:textId="77777777" w:rsidR="00A601BF" w:rsidRPr="00AE2312" w:rsidRDefault="00A601BF" w:rsidP="00A73715">
      <w:pPr>
        <w:rPr>
          <w:rFonts w:ascii="Arial" w:hAnsi="Arial" w:cs="Arial"/>
          <w:szCs w:val="24"/>
        </w:rPr>
      </w:pPr>
      <w:r w:rsidRPr="00AE2312">
        <w:rPr>
          <w:rFonts w:ascii="Arial" w:hAnsi="Arial" w:cs="Arial"/>
          <w:szCs w:val="24"/>
        </w:rPr>
        <w:t>Weglage, H., 2021. Fleet customer loyalty analysis and action plan for Volkswagen Service in Finland.</w:t>
      </w:r>
    </w:p>
    <w:p w14:paraId="75C8F53F" w14:textId="77777777" w:rsidR="00A601BF" w:rsidRPr="00AE2312" w:rsidRDefault="00A601BF" w:rsidP="005B6B00">
      <w:pPr>
        <w:rPr>
          <w:rFonts w:ascii="Arial" w:hAnsi="Arial" w:cs="Arial"/>
          <w:szCs w:val="24"/>
        </w:rPr>
      </w:pPr>
      <w:r w:rsidRPr="00AE2312">
        <w:rPr>
          <w:rFonts w:ascii="Arial" w:hAnsi="Arial" w:cs="Arial"/>
          <w:szCs w:val="24"/>
        </w:rPr>
        <w:t>Yeung, G., 2024. Competitive dynamics of lead firms and their systems suppliers in the automotive industry. </w:t>
      </w:r>
      <w:r w:rsidRPr="00AE2312">
        <w:rPr>
          <w:rFonts w:ascii="Arial" w:hAnsi="Arial" w:cs="Arial"/>
          <w:i/>
          <w:iCs/>
          <w:szCs w:val="24"/>
        </w:rPr>
        <w:t>Environment and Planning A: Economy and Space</w:t>
      </w:r>
      <w:r w:rsidRPr="00AE2312">
        <w:rPr>
          <w:rFonts w:ascii="Arial" w:hAnsi="Arial" w:cs="Arial"/>
          <w:szCs w:val="24"/>
        </w:rPr>
        <w:t>, </w:t>
      </w:r>
      <w:r w:rsidRPr="00AE2312">
        <w:rPr>
          <w:rFonts w:ascii="Arial" w:hAnsi="Arial" w:cs="Arial"/>
          <w:i/>
          <w:iCs/>
          <w:szCs w:val="24"/>
        </w:rPr>
        <w:t>56</w:t>
      </w:r>
      <w:r w:rsidRPr="00AE2312">
        <w:rPr>
          <w:rFonts w:ascii="Arial" w:hAnsi="Arial" w:cs="Arial"/>
          <w:szCs w:val="24"/>
        </w:rPr>
        <w:t>(2), pp.454-475.</w:t>
      </w:r>
    </w:p>
    <w:p w14:paraId="03315F80" w14:textId="77777777" w:rsidR="003021EE" w:rsidRPr="00AE2312" w:rsidRDefault="003021EE">
      <w:pPr>
        <w:spacing w:before="0" w:after="160" w:line="259" w:lineRule="auto"/>
        <w:jc w:val="left"/>
        <w:rPr>
          <w:rFonts w:ascii="Arial" w:eastAsiaTheme="majorEastAsia" w:hAnsi="Arial" w:cs="Arial"/>
          <w:b/>
          <w:bCs/>
          <w:color w:val="000000" w:themeColor="text1"/>
          <w:kern w:val="36"/>
          <w:szCs w:val="24"/>
          <w:lang w:eastAsia="en-IN"/>
        </w:rPr>
      </w:pPr>
      <w:r w:rsidRPr="00AE2312">
        <w:rPr>
          <w:rFonts w:ascii="Arial" w:hAnsi="Arial" w:cs="Arial"/>
          <w:szCs w:val="24"/>
        </w:rPr>
        <w:lastRenderedPageBreak/>
        <w:br w:type="page"/>
      </w:r>
    </w:p>
    <w:p w14:paraId="5B381FFD" w14:textId="559D00B7" w:rsidR="005972C3" w:rsidRPr="00AE2312" w:rsidRDefault="00252B57" w:rsidP="005972C3">
      <w:pPr>
        <w:pStyle w:val="Heading1"/>
        <w:rPr>
          <w:rFonts w:ascii="Arial" w:hAnsi="Arial" w:cs="Arial"/>
          <w:szCs w:val="24"/>
        </w:rPr>
      </w:pPr>
      <w:bookmarkStart w:id="33" w:name="_Toc227920740"/>
      <w:r w:rsidRPr="00AE2312">
        <w:rPr>
          <w:rFonts w:ascii="Arial" w:hAnsi="Arial" w:cs="Arial"/>
          <w:szCs w:val="24"/>
        </w:rPr>
        <w:lastRenderedPageBreak/>
        <w:t xml:space="preserve">8. </w:t>
      </w:r>
      <w:r w:rsidR="005972C3" w:rsidRPr="00AE2312">
        <w:rPr>
          <w:rFonts w:ascii="Arial" w:hAnsi="Arial" w:cs="Arial"/>
          <w:szCs w:val="24"/>
        </w:rPr>
        <w:t>Appendix</w:t>
      </w:r>
      <w:bookmarkEnd w:id="33"/>
    </w:p>
    <w:p w14:paraId="21F644DB" w14:textId="77777777" w:rsidR="00972B16" w:rsidRPr="00AE2312" w:rsidRDefault="00972B16" w:rsidP="00972B16">
      <w:pPr>
        <w:rPr>
          <w:rFonts w:ascii="Arial" w:hAnsi="Arial" w:cs="Arial"/>
          <w:szCs w:val="24"/>
          <w:lang w:eastAsia="en-IN"/>
        </w:rPr>
      </w:pPr>
    </w:p>
    <w:p w14:paraId="7F2A0023" w14:textId="77777777" w:rsidR="00972B16" w:rsidRPr="00AE2312" w:rsidRDefault="00A04273" w:rsidP="00B94395">
      <w:pPr>
        <w:keepNext/>
        <w:jc w:val="center"/>
        <w:rPr>
          <w:rFonts w:ascii="Arial" w:hAnsi="Arial" w:cs="Arial"/>
          <w:szCs w:val="24"/>
        </w:rPr>
      </w:pPr>
      <w:r w:rsidRPr="00AE2312">
        <w:rPr>
          <w:rFonts w:ascii="Arial" w:hAnsi="Arial" w:cs="Arial"/>
          <w:noProof/>
          <w:szCs w:val="24"/>
        </w:rPr>
        <w:drawing>
          <wp:inline distT="0" distB="0" distL="0" distR="0" wp14:anchorId="515DF6F6" wp14:editId="7309F5C9">
            <wp:extent cx="4566285" cy="2743200"/>
            <wp:effectExtent l="0" t="0" r="5715" b="0"/>
            <wp:docPr id="16045574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10B69223" w14:textId="3D4A6F9B" w:rsidR="005972C3" w:rsidRPr="00AE2312" w:rsidRDefault="00972B16" w:rsidP="00B94395">
      <w:pPr>
        <w:pStyle w:val="Caption"/>
        <w:jc w:val="center"/>
        <w:rPr>
          <w:rFonts w:ascii="Arial" w:hAnsi="Arial" w:cs="Arial"/>
          <w:color w:val="auto"/>
          <w:sz w:val="24"/>
          <w:szCs w:val="24"/>
        </w:rPr>
      </w:pPr>
      <w:bookmarkStart w:id="34" w:name="_Ref227866575"/>
      <w:bookmarkStart w:id="35" w:name="_Toc227920744"/>
      <w:r w:rsidRPr="00AE2312">
        <w:rPr>
          <w:rFonts w:ascii="Arial" w:hAnsi="Arial" w:cs="Arial"/>
          <w:color w:val="auto"/>
          <w:sz w:val="24"/>
          <w:szCs w:val="24"/>
        </w:rPr>
        <w:t xml:space="preserve">Figure </w:t>
      </w:r>
      <w:r w:rsidRPr="00AE2312">
        <w:rPr>
          <w:rFonts w:ascii="Arial" w:hAnsi="Arial" w:cs="Arial"/>
          <w:color w:val="auto"/>
          <w:sz w:val="24"/>
          <w:szCs w:val="24"/>
        </w:rPr>
        <w:fldChar w:fldCharType="begin"/>
      </w:r>
      <w:r w:rsidRPr="00AE2312">
        <w:rPr>
          <w:rFonts w:ascii="Arial" w:hAnsi="Arial" w:cs="Arial"/>
          <w:color w:val="auto"/>
          <w:sz w:val="24"/>
          <w:szCs w:val="24"/>
        </w:rPr>
        <w:instrText xml:space="preserve"> SEQ Figure \* ARABIC </w:instrText>
      </w:r>
      <w:r w:rsidRPr="00AE2312">
        <w:rPr>
          <w:rFonts w:ascii="Arial" w:hAnsi="Arial" w:cs="Arial"/>
          <w:color w:val="auto"/>
          <w:sz w:val="24"/>
          <w:szCs w:val="24"/>
        </w:rPr>
        <w:fldChar w:fldCharType="separate"/>
      </w:r>
      <w:r w:rsidR="00B94395" w:rsidRPr="00AE2312">
        <w:rPr>
          <w:rFonts w:ascii="Arial" w:hAnsi="Arial" w:cs="Arial"/>
          <w:noProof/>
          <w:color w:val="auto"/>
          <w:sz w:val="24"/>
          <w:szCs w:val="24"/>
        </w:rPr>
        <w:t>1</w:t>
      </w:r>
      <w:r w:rsidRPr="00AE2312">
        <w:rPr>
          <w:rFonts w:ascii="Arial" w:hAnsi="Arial" w:cs="Arial"/>
          <w:color w:val="auto"/>
          <w:sz w:val="24"/>
          <w:szCs w:val="24"/>
        </w:rPr>
        <w:fldChar w:fldCharType="end"/>
      </w:r>
      <w:bookmarkEnd w:id="34"/>
      <w:r w:rsidRPr="00AE2312">
        <w:rPr>
          <w:rFonts w:ascii="Arial" w:hAnsi="Arial" w:cs="Arial"/>
          <w:color w:val="auto"/>
          <w:sz w:val="24"/>
          <w:szCs w:val="24"/>
        </w:rPr>
        <w:t>: Sales Revenue Trend</w:t>
      </w:r>
      <w:bookmarkEnd w:id="35"/>
    </w:p>
    <w:p w14:paraId="255F5C55" w14:textId="77777777" w:rsidR="00972B16" w:rsidRPr="00AE2312" w:rsidRDefault="00972B16" w:rsidP="00972B16">
      <w:pPr>
        <w:rPr>
          <w:rFonts w:ascii="Arial" w:hAnsi="Arial" w:cs="Arial"/>
          <w:szCs w:val="24"/>
        </w:rPr>
      </w:pPr>
    </w:p>
    <w:p w14:paraId="2867ED8F" w14:textId="77777777" w:rsidR="002A1EA7" w:rsidRPr="00AE2312" w:rsidRDefault="00A04273" w:rsidP="002A1EA7">
      <w:pPr>
        <w:keepNext/>
        <w:jc w:val="center"/>
        <w:rPr>
          <w:rFonts w:ascii="Arial" w:hAnsi="Arial" w:cs="Arial"/>
          <w:szCs w:val="24"/>
        </w:rPr>
      </w:pPr>
      <w:r w:rsidRPr="00AE2312">
        <w:rPr>
          <w:rFonts w:ascii="Arial" w:hAnsi="Arial" w:cs="Arial"/>
          <w:noProof/>
          <w:szCs w:val="24"/>
        </w:rPr>
        <w:drawing>
          <wp:inline distT="0" distB="0" distL="0" distR="0" wp14:anchorId="348766CF" wp14:editId="02ED05CE">
            <wp:extent cx="4572635" cy="2743200"/>
            <wp:effectExtent l="0" t="0" r="0" b="0"/>
            <wp:docPr id="8419459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4737CD56" w14:textId="5C01985F" w:rsidR="002A1EA7" w:rsidRPr="00AE2312" w:rsidRDefault="002A1EA7" w:rsidP="002A1EA7">
      <w:pPr>
        <w:pStyle w:val="Caption"/>
        <w:jc w:val="center"/>
        <w:rPr>
          <w:rFonts w:ascii="Arial" w:hAnsi="Arial" w:cs="Arial"/>
          <w:color w:val="auto"/>
          <w:sz w:val="24"/>
          <w:szCs w:val="24"/>
        </w:rPr>
      </w:pPr>
      <w:bookmarkStart w:id="36" w:name="_Ref227866622"/>
      <w:bookmarkStart w:id="37" w:name="_Toc227920745"/>
      <w:r w:rsidRPr="00AE2312">
        <w:rPr>
          <w:rFonts w:ascii="Arial" w:hAnsi="Arial" w:cs="Arial"/>
          <w:color w:val="auto"/>
          <w:sz w:val="24"/>
          <w:szCs w:val="24"/>
        </w:rPr>
        <w:t xml:space="preserve">Figure </w:t>
      </w:r>
      <w:r w:rsidRPr="00AE2312">
        <w:rPr>
          <w:rFonts w:ascii="Arial" w:hAnsi="Arial" w:cs="Arial"/>
          <w:color w:val="auto"/>
          <w:sz w:val="24"/>
          <w:szCs w:val="24"/>
        </w:rPr>
        <w:fldChar w:fldCharType="begin"/>
      </w:r>
      <w:r w:rsidRPr="00AE2312">
        <w:rPr>
          <w:rFonts w:ascii="Arial" w:hAnsi="Arial" w:cs="Arial"/>
          <w:color w:val="auto"/>
          <w:sz w:val="24"/>
          <w:szCs w:val="24"/>
        </w:rPr>
        <w:instrText xml:space="preserve"> SEQ Figure \* ARABIC </w:instrText>
      </w:r>
      <w:r w:rsidRPr="00AE2312">
        <w:rPr>
          <w:rFonts w:ascii="Arial" w:hAnsi="Arial" w:cs="Arial"/>
          <w:color w:val="auto"/>
          <w:sz w:val="24"/>
          <w:szCs w:val="24"/>
        </w:rPr>
        <w:fldChar w:fldCharType="separate"/>
      </w:r>
      <w:r w:rsidR="00B94395" w:rsidRPr="00AE2312">
        <w:rPr>
          <w:rFonts w:ascii="Arial" w:hAnsi="Arial" w:cs="Arial"/>
          <w:noProof/>
          <w:color w:val="auto"/>
          <w:sz w:val="24"/>
          <w:szCs w:val="24"/>
        </w:rPr>
        <w:t>2</w:t>
      </w:r>
      <w:r w:rsidRPr="00AE2312">
        <w:rPr>
          <w:rFonts w:ascii="Arial" w:hAnsi="Arial" w:cs="Arial"/>
          <w:color w:val="auto"/>
          <w:sz w:val="24"/>
          <w:szCs w:val="24"/>
        </w:rPr>
        <w:fldChar w:fldCharType="end"/>
      </w:r>
      <w:bookmarkEnd w:id="36"/>
      <w:r w:rsidRPr="00AE2312">
        <w:rPr>
          <w:rFonts w:ascii="Arial" w:hAnsi="Arial" w:cs="Arial"/>
          <w:color w:val="auto"/>
          <w:sz w:val="24"/>
          <w:szCs w:val="24"/>
        </w:rPr>
        <w:t>: Operating Profit Trend</w:t>
      </w:r>
      <w:bookmarkEnd w:id="37"/>
    </w:p>
    <w:p w14:paraId="48A17D8A" w14:textId="77777777" w:rsidR="002A1EA7" w:rsidRPr="00AE2312" w:rsidRDefault="00A04273" w:rsidP="002A1EA7">
      <w:pPr>
        <w:keepNext/>
        <w:jc w:val="center"/>
        <w:rPr>
          <w:rFonts w:ascii="Arial" w:hAnsi="Arial" w:cs="Arial"/>
          <w:szCs w:val="24"/>
        </w:rPr>
      </w:pPr>
      <w:r w:rsidRPr="00AE2312">
        <w:rPr>
          <w:rFonts w:ascii="Arial" w:hAnsi="Arial" w:cs="Arial"/>
          <w:noProof/>
          <w:szCs w:val="24"/>
        </w:rPr>
        <w:lastRenderedPageBreak/>
        <w:drawing>
          <wp:inline distT="0" distB="0" distL="0" distR="0" wp14:anchorId="21E0E421" wp14:editId="74C48771">
            <wp:extent cx="4566285" cy="2743200"/>
            <wp:effectExtent l="0" t="0" r="5715" b="0"/>
            <wp:docPr id="5933882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4342B88D" w14:textId="09863BF4" w:rsidR="002A1EA7" w:rsidRPr="00AE2312" w:rsidRDefault="002A1EA7" w:rsidP="002A1EA7">
      <w:pPr>
        <w:pStyle w:val="Caption"/>
        <w:jc w:val="center"/>
        <w:rPr>
          <w:rFonts w:ascii="Arial" w:hAnsi="Arial" w:cs="Arial"/>
          <w:color w:val="auto"/>
          <w:sz w:val="24"/>
          <w:szCs w:val="24"/>
        </w:rPr>
      </w:pPr>
      <w:bookmarkStart w:id="38" w:name="_Ref227866602"/>
      <w:bookmarkStart w:id="39" w:name="_Toc227920746"/>
      <w:r w:rsidRPr="00AE2312">
        <w:rPr>
          <w:rFonts w:ascii="Arial" w:hAnsi="Arial" w:cs="Arial"/>
          <w:color w:val="auto"/>
          <w:sz w:val="24"/>
          <w:szCs w:val="24"/>
        </w:rPr>
        <w:t xml:space="preserve">Figure </w:t>
      </w:r>
      <w:r w:rsidRPr="00AE2312">
        <w:rPr>
          <w:rFonts w:ascii="Arial" w:hAnsi="Arial" w:cs="Arial"/>
          <w:color w:val="auto"/>
          <w:sz w:val="24"/>
          <w:szCs w:val="24"/>
        </w:rPr>
        <w:fldChar w:fldCharType="begin"/>
      </w:r>
      <w:r w:rsidRPr="00AE2312">
        <w:rPr>
          <w:rFonts w:ascii="Arial" w:hAnsi="Arial" w:cs="Arial"/>
          <w:color w:val="auto"/>
          <w:sz w:val="24"/>
          <w:szCs w:val="24"/>
        </w:rPr>
        <w:instrText xml:space="preserve"> SEQ Figure \* ARABIC </w:instrText>
      </w:r>
      <w:r w:rsidRPr="00AE2312">
        <w:rPr>
          <w:rFonts w:ascii="Arial" w:hAnsi="Arial" w:cs="Arial"/>
          <w:color w:val="auto"/>
          <w:sz w:val="24"/>
          <w:szCs w:val="24"/>
        </w:rPr>
        <w:fldChar w:fldCharType="separate"/>
      </w:r>
      <w:r w:rsidR="00B94395" w:rsidRPr="00AE2312">
        <w:rPr>
          <w:rFonts w:ascii="Arial" w:hAnsi="Arial" w:cs="Arial"/>
          <w:noProof/>
          <w:color w:val="auto"/>
          <w:sz w:val="24"/>
          <w:szCs w:val="24"/>
        </w:rPr>
        <w:t>3</w:t>
      </w:r>
      <w:r w:rsidRPr="00AE2312">
        <w:rPr>
          <w:rFonts w:ascii="Arial" w:hAnsi="Arial" w:cs="Arial"/>
          <w:color w:val="auto"/>
          <w:sz w:val="24"/>
          <w:szCs w:val="24"/>
        </w:rPr>
        <w:fldChar w:fldCharType="end"/>
      </w:r>
      <w:bookmarkEnd w:id="38"/>
      <w:r w:rsidRPr="00AE2312">
        <w:rPr>
          <w:rFonts w:ascii="Arial" w:hAnsi="Arial" w:cs="Arial"/>
          <w:color w:val="auto"/>
          <w:sz w:val="24"/>
          <w:szCs w:val="24"/>
        </w:rPr>
        <w:t>: Operating Margin Trend</w:t>
      </w:r>
      <w:bookmarkEnd w:id="39"/>
    </w:p>
    <w:p w14:paraId="5E353188" w14:textId="77777777" w:rsidR="00B94395" w:rsidRPr="00AE2312" w:rsidRDefault="00B94395" w:rsidP="00B94395">
      <w:pPr>
        <w:rPr>
          <w:rFonts w:ascii="Arial" w:hAnsi="Arial" w:cs="Arial"/>
          <w:szCs w:val="24"/>
        </w:rPr>
      </w:pPr>
    </w:p>
    <w:p w14:paraId="0A4DA633" w14:textId="77777777" w:rsidR="00B94395" w:rsidRPr="00AE2312" w:rsidRDefault="00371C16" w:rsidP="00B94395">
      <w:pPr>
        <w:keepNext/>
        <w:jc w:val="center"/>
        <w:rPr>
          <w:rFonts w:ascii="Arial" w:hAnsi="Arial" w:cs="Arial"/>
          <w:szCs w:val="24"/>
        </w:rPr>
      </w:pPr>
      <w:r w:rsidRPr="00AE2312">
        <w:rPr>
          <w:rFonts w:ascii="Arial" w:hAnsi="Arial" w:cs="Arial"/>
          <w:noProof/>
          <w:szCs w:val="24"/>
        </w:rPr>
        <w:drawing>
          <wp:inline distT="0" distB="0" distL="0" distR="0" wp14:anchorId="4040B820" wp14:editId="5925A7B5">
            <wp:extent cx="4572635" cy="2743200"/>
            <wp:effectExtent l="0" t="0" r="0" b="0"/>
            <wp:docPr id="1734726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0CD487AF" w14:textId="0B3B3343" w:rsidR="00576934" w:rsidRPr="00AE2312" w:rsidRDefault="00B94395" w:rsidP="00B94395">
      <w:pPr>
        <w:pStyle w:val="Caption"/>
        <w:jc w:val="center"/>
        <w:rPr>
          <w:rFonts w:ascii="Arial" w:hAnsi="Arial" w:cs="Arial"/>
          <w:color w:val="auto"/>
          <w:sz w:val="24"/>
          <w:szCs w:val="24"/>
        </w:rPr>
      </w:pPr>
      <w:bookmarkStart w:id="40" w:name="_Ref227866654"/>
      <w:bookmarkStart w:id="41" w:name="_Toc227920747"/>
      <w:r w:rsidRPr="00AE2312">
        <w:rPr>
          <w:rFonts w:ascii="Arial" w:hAnsi="Arial" w:cs="Arial"/>
          <w:color w:val="auto"/>
          <w:sz w:val="24"/>
          <w:szCs w:val="24"/>
        </w:rPr>
        <w:t xml:space="preserve">Figure </w:t>
      </w:r>
      <w:r w:rsidRPr="00AE2312">
        <w:rPr>
          <w:rFonts w:ascii="Arial" w:hAnsi="Arial" w:cs="Arial"/>
          <w:color w:val="auto"/>
          <w:sz w:val="24"/>
          <w:szCs w:val="24"/>
        </w:rPr>
        <w:fldChar w:fldCharType="begin"/>
      </w:r>
      <w:r w:rsidRPr="00AE2312">
        <w:rPr>
          <w:rFonts w:ascii="Arial" w:hAnsi="Arial" w:cs="Arial"/>
          <w:color w:val="auto"/>
          <w:sz w:val="24"/>
          <w:szCs w:val="24"/>
        </w:rPr>
        <w:instrText xml:space="preserve"> SEQ Figure \* ARABIC </w:instrText>
      </w:r>
      <w:r w:rsidRPr="00AE2312">
        <w:rPr>
          <w:rFonts w:ascii="Arial" w:hAnsi="Arial" w:cs="Arial"/>
          <w:color w:val="auto"/>
          <w:sz w:val="24"/>
          <w:szCs w:val="24"/>
        </w:rPr>
        <w:fldChar w:fldCharType="separate"/>
      </w:r>
      <w:r w:rsidRPr="00AE2312">
        <w:rPr>
          <w:rFonts w:ascii="Arial" w:hAnsi="Arial" w:cs="Arial"/>
          <w:noProof/>
          <w:color w:val="auto"/>
          <w:sz w:val="24"/>
          <w:szCs w:val="24"/>
        </w:rPr>
        <w:t>4</w:t>
      </w:r>
      <w:r w:rsidRPr="00AE2312">
        <w:rPr>
          <w:rFonts w:ascii="Arial" w:hAnsi="Arial" w:cs="Arial"/>
          <w:color w:val="auto"/>
          <w:sz w:val="24"/>
          <w:szCs w:val="24"/>
        </w:rPr>
        <w:fldChar w:fldCharType="end"/>
      </w:r>
      <w:bookmarkEnd w:id="40"/>
      <w:r w:rsidRPr="00AE2312">
        <w:rPr>
          <w:rFonts w:ascii="Arial" w:hAnsi="Arial" w:cs="Arial"/>
          <w:color w:val="auto"/>
          <w:sz w:val="24"/>
          <w:szCs w:val="24"/>
        </w:rPr>
        <w:t>: Net Cash Flow Trend</w:t>
      </w:r>
      <w:bookmarkEnd w:id="41"/>
    </w:p>
    <w:p w14:paraId="3ADDCC56" w14:textId="77777777" w:rsidR="008A1E14" w:rsidRPr="00AE2312" w:rsidRDefault="008A1E14">
      <w:pPr>
        <w:rPr>
          <w:rFonts w:ascii="Arial" w:hAnsi="Arial" w:cs="Arial"/>
          <w:szCs w:val="24"/>
        </w:rPr>
      </w:pPr>
    </w:p>
    <w:p w14:paraId="7DAEDA1D" w14:textId="77777777" w:rsidR="00B94395" w:rsidRPr="00AE2312" w:rsidRDefault="008A1E14" w:rsidP="00B94395">
      <w:pPr>
        <w:keepNext/>
        <w:jc w:val="center"/>
        <w:rPr>
          <w:rFonts w:ascii="Arial" w:hAnsi="Arial" w:cs="Arial"/>
          <w:szCs w:val="24"/>
        </w:rPr>
      </w:pPr>
      <w:r w:rsidRPr="00AE2312">
        <w:rPr>
          <w:rFonts w:ascii="Arial" w:hAnsi="Arial" w:cs="Arial"/>
          <w:noProof/>
          <w:szCs w:val="24"/>
        </w:rPr>
        <w:lastRenderedPageBreak/>
        <w:drawing>
          <wp:inline distT="0" distB="0" distL="0" distR="0" wp14:anchorId="61F6C660" wp14:editId="1B58DD21">
            <wp:extent cx="4578350" cy="2755900"/>
            <wp:effectExtent l="0" t="0" r="0" b="6350"/>
            <wp:docPr id="5814059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EDA4796" w14:textId="4EF96BF1" w:rsidR="008A1E14" w:rsidRPr="00AE2312" w:rsidRDefault="00B94395" w:rsidP="00B94395">
      <w:pPr>
        <w:pStyle w:val="Caption"/>
        <w:jc w:val="center"/>
        <w:rPr>
          <w:rFonts w:ascii="Arial" w:hAnsi="Arial" w:cs="Arial"/>
          <w:color w:val="auto"/>
          <w:sz w:val="24"/>
          <w:szCs w:val="24"/>
        </w:rPr>
      </w:pPr>
      <w:bookmarkStart w:id="42" w:name="_Toc227920748"/>
      <w:r w:rsidRPr="00AE2312">
        <w:rPr>
          <w:rFonts w:ascii="Arial" w:hAnsi="Arial" w:cs="Arial"/>
          <w:color w:val="auto"/>
          <w:sz w:val="24"/>
          <w:szCs w:val="24"/>
        </w:rPr>
        <w:t xml:space="preserve">Figure </w:t>
      </w:r>
      <w:r w:rsidRPr="00AE2312">
        <w:rPr>
          <w:rFonts w:ascii="Arial" w:hAnsi="Arial" w:cs="Arial"/>
          <w:color w:val="auto"/>
          <w:sz w:val="24"/>
          <w:szCs w:val="24"/>
        </w:rPr>
        <w:fldChar w:fldCharType="begin"/>
      </w:r>
      <w:r w:rsidRPr="00AE2312">
        <w:rPr>
          <w:rFonts w:ascii="Arial" w:hAnsi="Arial" w:cs="Arial"/>
          <w:color w:val="auto"/>
          <w:sz w:val="24"/>
          <w:szCs w:val="24"/>
        </w:rPr>
        <w:instrText xml:space="preserve"> SEQ Figure \* ARABIC </w:instrText>
      </w:r>
      <w:r w:rsidRPr="00AE2312">
        <w:rPr>
          <w:rFonts w:ascii="Arial" w:hAnsi="Arial" w:cs="Arial"/>
          <w:color w:val="auto"/>
          <w:sz w:val="24"/>
          <w:szCs w:val="24"/>
        </w:rPr>
        <w:fldChar w:fldCharType="separate"/>
      </w:r>
      <w:r w:rsidRPr="00AE2312">
        <w:rPr>
          <w:rFonts w:ascii="Arial" w:hAnsi="Arial" w:cs="Arial"/>
          <w:noProof/>
          <w:color w:val="auto"/>
          <w:sz w:val="24"/>
          <w:szCs w:val="24"/>
        </w:rPr>
        <w:t>5</w:t>
      </w:r>
      <w:r w:rsidRPr="00AE2312">
        <w:rPr>
          <w:rFonts w:ascii="Arial" w:hAnsi="Arial" w:cs="Arial"/>
          <w:color w:val="auto"/>
          <w:sz w:val="24"/>
          <w:szCs w:val="24"/>
        </w:rPr>
        <w:fldChar w:fldCharType="end"/>
      </w:r>
      <w:r w:rsidRPr="00AE2312">
        <w:rPr>
          <w:rFonts w:ascii="Arial" w:hAnsi="Arial" w:cs="Arial"/>
          <w:color w:val="auto"/>
          <w:sz w:val="24"/>
          <w:szCs w:val="24"/>
        </w:rPr>
        <w:t>: Ratio Analysis</w:t>
      </w:r>
      <w:bookmarkEnd w:id="42"/>
    </w:p>
    <w:p w14:paraId="260E5B60" w14:textId="77777777" w:rsidR="00BC3AA2" w:rsidRPr="00AE2312" w:rsidRDefault="00BC3AA2" w:rsidP="00BC3AA2">
      <w:pPr>
        <w:rPr>
          <w:rFonts w:ascii="Arial" w:hAnsi="Arial" w:cs="Arial"/>
          <w:szCs w:val="24"/>
        </w:rPr>
      </w:pPr>
    </w:p>
    <w:p w14:paraId="5C52D535" w14:textId="68A4CA56" w:rsidR="00BC3AA2" w:rsidRPr="00AE2312" w:rsidRDefault="00BC3AA2" w:rsidP="00BC3AA2">
      <w:pPr>
        <w:pStyle w:val="Heading2"/>
        <w:rPr>
          <w:rFonts w:ascii="Arial" w:hAnsi="Arial" w:cs="Arial"/>
          <w:szCs w:val="24"/>
        </w:rPr>
      </w:pPr>
      <w:bookmarkStart w:id="43" w:name="_Toc227920741"/>
      <w:r w:rsidRPr="00AE2312">
        <w:rPr>
          <w:rFonts w:ascii="Arial" w:hAnsi="Arial" w:cs="Arial"/>
          <w:szCs w:val="24"/>
        </w:rPr>
        <w:t>Financial Statements</w:t>
      </w:r>
      <w:bookmarkEnd w:id="43"/>
    </w:p>
    <w:tbl>
      <w:tblPr>
        <w:tblStyle w:val="ListTable3-Accent6"/>
        <w:tblW w:w="9160" w:type="dxa"/>
        <w:tblLook w:val="04A0" w:firstRow="1" w:lastRow="0" w:firstColumn="1" w:lastColumn="0" w:noHBand="0" w:noVBand="1"/>
      </w:tblPr>
      <w:tblGrid>
        <w:gridCol w:w="3405"/>
        <w:gridCol w:w="1151"/>
        <w:gridCol w:w="1151"/>
        <w:gridCol w:w="1151"/>
        <w:gridCol w:w="1151"/>
        <w:gridCol w:w="1151"/>
      </w:tblGrid>
      <w:tr w:rsidR="00BC3AA2" w:rsidRPr="00AE2312" w14:paraId="5BE1BF31" w14:textId="77777777" w:rsidTr="00BC3AA2">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4360" w:type="dxa"/>
            <w:hideMark/>
          </w:tcPr>
          <w:p w14:paraId="0AB73FB0" w14:textId="4FDE1A8F" w:rsidR="00BC3AA2" w:rsidRPr="00AE2312" w:rsidRDefault="00BC3AA2" w:rsidP="00BC3AA2">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Metric (€ m)</w:t>
            </w:r>
          </w:p>
        </w:tc>
        <w:tc>
          <w:tcPr>
            <w:tcW w:w="960" w:type="dxa"/>
            <w:hideMark/>
          </w:tcPr>
          <w:p w14:paraId="3313064D" w14:textId="77777777" w:rsidR="00BC3AA2" w:rsidRPr="00AE2312" w:rsidRDefault="00BC3AA2" w:rsidP="00BC3AA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2021</w:t>
            </w:r>
          </w:p>
        </w:tc>
        <w:tc>
          <w:tcPr>
            <w:tcW w:w="960" w:type="dxa"/>
            <w:hideMark/>
          </w:tcPr>
          <w:p w14:paraId="7BE576C2" w14:textId="77777777" w:rsidR="00BC3AA2" w:rsidRPr="00AE2312" w:rsidRDefault="00BC3AA2" w:rsidP="00BC3AA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2022</w:t>
            </w:r>
          </w:p>
        </w:tc>
        <w:tc>
          <w:tcPr>
            <w:tcW w:w="960" w:type="dxa"/>
            <w:hideMark/>
          </w:tcPr>
          <w:p w14:paraId="2D09F8EC" w14:textId="77777777" w:rsidR="00BC3AA2" w:rsidRPr="00AE2312" w:rsidRDefault="00BC3AA2" w:rsidP="00BC3AA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2023</w:t>
            </w:r>
          </w:p>
        </w:tc>
        <w:tc>
          <w:tcPr>
            <w:tcW w:w="960" w:type="dxa"/>
            <w:hideMark/>
          </w:tcPr>
          <w:p w14:paraId="729F46BB" w14:textId="77777777" w:rsidR="00BC3AA2" w:rsidRPr="00AE2312" w:rsidRDefault="00BC3AA2" w:rsidP="00BC3AA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2024</w:t>
            </w:r>
          </w:p>
        </w:tc>
        <w:tc>
          <w:tcPr>
            <w:tcW w:w="960" w:type="dxa"/>
            <w:hideMark/>
          </w:tcPr>
          <w:p w14:paraId="63695B55" w14:textId="77777777" w:rsidR="00BC3AA2" w:rsidRPr="00AE2312" w:rsidRDefault="00BC3AA2" w:rsidP="00BC3AA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2025</w:t>
            </w:r>
          </w:p>
        </w:tc>
      </w:tr>
      <w:tr w:rsidR="00BC3AA2" w:rsidRPr="00AE2312" w14:paraId="147B8706"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7E70A98B" w14:textId="35FEBE26"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xml:space="preserve">Sales Revenue </w:t>
            </w:r>
          </w:p>
        </w:tc>
        <w:tc>
          <w:tcPr>
            <w:tcW w:w="960" w:type="dxa"/>
            <w:hideMark/>
          </w:tcPr>
          <w:p w14:paraId="4325252B"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2,50,200</w:t>
            </w:r>
          </w:p>
        </w:tc>
        <w:tc>
          <w:tcPr>
            <w:tcW w:w="960" w:type="dxa"/>
            <w:hideMark/>
          </w:tcPr>
          <w:p w14:paraId="030FBD37"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2,79,232</w:t>
            </w:r>
          </w:p>
        </w:tc>
        <w:tc>
          <w:tcPr>
            <w:tcW w:w="960" w:type="dxa"/>
            <w:hideMark/>
          </w:tcPr>
          <w:p w14:paraId="0DDA8B40"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3,22,284</w:t>
            </w:r>
          </w:p>
        </w:tc>
        <w:tc>
          <w:tcPr>
            <w:tcW w:w="960" w:type="dxa"/>
            <w:hideMark/>
          </w:tcPr>
          <w:p w14:paraId="141CC66F"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3,24,656</w:t>
            </w:r>
          </w:p>
        </w:tc>
        <w:tc>
          <w:tcPr>
            <w:tcW w:w="960" w:type="dxa"/>
            <w:hideMark/>
          </w:tcPr>
          <w:p w14:paraId="2EF552F0"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3,21,913</w:t>
            </w:r>
          </w:p>
        </w:tc>
      </w:tr>
      <w:tr w:rsidR="00BC3AA2" w:rsidRPr="00AE2312" w14:paraId="77A46D9A"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61F7AFBE" w14:textId="35272A69"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xml:space="preserve">Operating Profit </w:t>
            </w:r>
          </w:p>
        </w:tc>
        <w:tc>
          <w:tcPr>
            <w:tcW w:w="960" w:type="dxa"/>
            <w:hideMark/>
          </w:tcPr>
          <w:p w14:paraId="761DFF8F"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19,275</w:t>
            </w:r>
          </w:p>
        </w:tc>
        <w:tc>
          <w:tcPr>
            <w:tcW w:w="960" w:type="dxa"/>
            <w:hideMark/>
          </w:tcPr>
          <w:p w14:paraId="77E21498"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22,124</w:t>
            </w:r>
          </w:p>
        </w:tc>
        <w:tc>
          <w:tcPr>
            <w:tcW w:w="960" w:type="dxa"/>
            <w:hideMark/>
          </w:tcPr>
          <w:p w14:paraId="373D10F7"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22,576</w:t>
            </w:r>
          </w:p>
        </w:tc>
        <w:tc>
          <w:tcPr>
            <w:tcW w:w="960" w:type="dxa"/>
            <w:hideMark/>
          </w:tcPr>
          <w:p w14:paraId="3CC0B669"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19,060</w:t>
            </w:r>
          </w:p>
        </w:tc>
        <w:tc>
          <w:tcPr>
            <w:tcW w:w="960" w:type="dxa"/>
            <w:hideMark/>
          </w:tcPr>
          <w:p w14:paraId="4822BC73"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8,868</w:t>
            </w:r>
          </w:p>
        </w:tc>
      </w:tr>
      <w:tr w:rsidR="00BC3AA2" w:rsidRPr="00AE2312" w14:paraId="0611B274"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7A0DA760" w14:textId="6B868CA2"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xml:space="preserve">Earnings Before Tax (EBT) </w:t>
            </w:r>
          </w:p>
        </w:tc>
        <w:tc>
          <w:tcPr>
            <w:tcW w:w="960" w:type="dxa"/>
            <w:hideMark/>
          </w:tcPr>
          <w:p w14:paraId="78DB0695"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20,126</w:t>
            </w:r>
          </w:p>
        </w:tc>
        <w:tc>
          <w:tcPr>
            <w:tcW w:w="960" w:type="dxa"/>
            <w:hideMark/>
          </w:tcPr>
          <w:p w14:paraId="059873F3"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22,044</w:t>
            </w:r>
          </w:p>
        </w:tc>
        <w:tc>
          <w:tcPr>
            <w:tcW w:w="960" w:type="dxa"/>
            <w:hideMark/>
          </w:tcPr>
          <w:p w14:paraId="44A4E175"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23,194</w:t>
            </w:r>
          </w:p>
        </w:tc>
        <w:tc>
          <w:tcPr>
            <w:tcW w:w="960" w:type="dxa"/>
            <w:hideMark/>
          </w:tcPr>
          <w:p w14:paraId="046A177B"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16,806</w:t>
            </w:r>
          </w:p>
        </w:tc>
        <w:tc>
          <w:tcPr>
            <w:tcW w:w="960" w:type="dxa"/>
            <w:hideMark/>
          </w:tcPr>
          <w:p w14:paraId="75137238"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9,307</w:t>
            </w:r>
          </w:p>
        </w:tc>
      </w:tr>
      <w:tr w:rsidR="00BC3AA2" w:rsidRPr="00AE2312" w14:paraId="236EB377"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6FF7B307" w14:textId="539A0810"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xml:space="preserve">Net Profit </w:t>
            </w:r>
          </w:p>
        </w:tc>
        <w:tc>
          <w:tcPr>
            <w:tcW w:w="960" w:type="dxa"/>
            <w:hideMark/>
          </w:tcPr>
          <w:p w14:paraId="0C9BF7CD"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15,428</w:t>
            </w:r>
          </w:p>
        </w:tc>
        <w:tc>
          <w:tcPr>
            <w:tcW w:w="960" w:type="dxa"/>
            <w:hideMark/>
          </w:tcPr>
          <w:p w14:paraId="567E2872"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15,836</w:t>
            </w:r>
          </w:p>
        </w:tc>
        <w:tc>
          <w:tcPr>
            <w:tcW w:w="960" w:type="dxa"/>
            <w:hideMark/>
          </w:tcPr>
          <w:p w14:paraId="40E2875D"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17,928</w:t>
            </w:r>
          </w:p>
        </w:tc>
        <w:tc>
          <w:tcPr>
            <w:tcW w:w="960" w:type="dxa"/>
            <w:hideMark/>
          </w:tcPr>
          <w:p w14:paraId="4D6FCE7B"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12,394</w:t>
            </w:r>
          </w:p>
        </w:tc>
        <w:tc>
          <w:tcPr>
            <w:tcW w:w="960" w:type="dxa"/>
            <w:hideMark/>
          </w:tcPr>
          <w:p w14:paraId="55511A67"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6,904</w:t>
            </w:r>
          </w:p>
        </w:tc>
      </w:tr>
      <w:tr w:rsidR="00BC3AA2" w:rsidRPr="00AE2312" w14:paraId="2270A7D2"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68E7B219" w14:textId="4DFAA99B"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xml:space="preserve">Net Cash Flow </w:t>
            </w:r>
          </w:p>
        </w:tc>
        <w:tc>
          <w:tcPr>
            <w:tcW w:w="960" w:type="dxa"/>
            <w:hideMark/>
          </w:tcPr>
          <w:p w14:paraId="1BA84911"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8,610</w:t>
            </w:r>
          </w:p>
        </w:tc>
        <w:tc>
          <w:tcPr>
            <w:tcW w:w="960" w:type="dxa"/>
            <w:hideMark/>
          </w:tcPr>
          <w:p w14:paraId="2207DECE"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4,807</w:t>
            </w:r>
          </w:p>
        </w:tc>
        <w:tc>
          <w:tcPr>
            <w:tcW w:w="960" w:type="dxa"/>
            <w:hideMark/>
          </w:tcPr>
          <w:p w14:paraId="22FB3F35"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10,698</w:t>
            </w:r>
          </w:p>
        </w:tc>
        <w:tc>
          <w:tcPr>
            <w:tcW w:w="960" w:type="dxa"/>
            <w:hideMark/>
          </w:tcPr>
          <w:p w14:paraId="1BB49AD7"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5,000</w:t>
            </w:r>
          </w:p>
        </w:tc>
        <w:tc>
          <w:tcPr>
            <w:tcW w:w="960" w:type="dxa"/>
            <w:hideMark/>
          </w:tcPr>
          <w:p w14:paraId="7AA4E1A0"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6,400</w:t>
            </w:r>
          </w:p>
        </w:tc>
      </w:tr>
      <w:tr w:rsidR="00BC3AA2" w:rsidRPr="00AE2312" w14:paraId="62155036"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56E2DDF5" w14:textId="18170B6A"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xml:space="preserve">Net Liquidity </w:t>
            </w:r>
          </w:p>
        </w:tc>
        <w:tc>
          <w:tcPr>
            <w:tcW w:w="960" w:type="dxa"/>
            <w:hideMark/>
          </w:tcPr>
          <w:p w14:paraId="5869E275"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26,685</w:t>
            </w:r>
          </w:p>
        </w:tc>
        <w:tc>
          <w:tcPr>
            <w:tcW w:w="960" w:type="dxa"/>
            <w:hideMark/>
          </w:tcPr>
          <w:p w14:paraId="71219644"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43,015</w:t>
            </w:r>
          </w:p>
        </w:tc>
        <w:tc>
          <w:tcPr>
            <w:tcW w:w="960" w:type="dxa"/>
            <w:hideMark/>
          </w:tcPr>
          <w:p w14:paraId="308EA0E5"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40,289</w:t>
            </w:r>
          </w:p>
        </w:tc>
        <w:tc>
          <w:tcPr>
            <w:tcW w:w="960" w:type="dxa"/>
            <w:hideMark/>
          </w:tcPr>
          <w:p w14:paraId="6ABF4422"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36,100</w:t>
            </w:r>
          </w:p>
        </w:tc>
        <w:tc>
          <w:tcPr>
            <w:tcW w:w="960" w:type="dxa"/>
            <w:hideMark/>
          </w:tcPr>
          <w:p w14:paraId="46A5CF7A"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34,500</w:t>
            </w:r>
          </w:p>
        </w:tc>
      </w:tr>
      <w:tr w:rsidR="00BC3AA2" w:rsidRPr="00AE2312" w14:paraId="65A5BA2C"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66B3201A"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Operating Margin (%)</w:t>
            </w:r>
          </w:p>
        </w:tc>
        <w:tc>
          <w:tcPr>
            <w:tcW w:w="960" w:type="dxa"/>
            <w:hideMark/>
          </w:tcPr>
          <w:p w14:paraId="00E36249"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7.70%</w:t>
            </w:r>
          </w:p>
        </w:tc>
        <w:tc>
          <w:tcPr>
            <w:tcW w:w="960" w:type="dxa"/>
            <w:hideMark/>
          </w:tcPr>
          <w:p w14:paraId="2E3E4005"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7.90%</w:t>
            </w:r>
          </w:p>
        </w:tc>
        <w:tc>
          <w:tcPr>
            <w:tcW w:w="960" w:type="dxa"/>
            <w:hideMark/>
          </w:tcPr>
          <w:p w14:paraId="252ACDD2"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7.00%</w:t>
            </w:r>
          </w:p>
        </w:tc>
        <w:tc>
          <w:tcPr>
            <w:tcW w:w="960" w:type="dxa"/>
            <w:hideMark/>
          </w:tcPr>
          <w:p w14:paraId="7626B3A3"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5.90%</w:t>
            </w:r>
          </w:p>
        </w:tc>
        <w:tc>
          <w:tcPr>
            <w:tcW w:w="960" w:type="dxa"/>
            <w:hideMark/>
          </w:tcPr>
          <w:p w14:paraId="45C65B34"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2.80%</w:t>
            </w:r>
          </w:p>
        </w:tc>
      </w:tr>
      <w:tr w:rsidR="00BC3AA2" w:rsidRPr="00AE2312" w14:paraId="5AC2B822"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21E4137C"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Current Assets</w:t>
            </w:r>
          </w:p>
        </w:tc>
        <w:tc>
          <w:tcPr>
            <w:tcW w:w="960" w:type="dxa"/>
            <w:hideMark/>
          </w:tcPr>
          <w:p w14:paraId="45CC4C4C"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2,00,347</w:t>
            </w:r>
          </w:p>
        </w:tc>
        <w:tc>
          <w:tcPr>
            <w:tcW w:w="960" w:type="dxa"/>
            <w:hideMark/>
          </w:tcPr>
          <w:p w14:paraId="4997C7B1"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2,24,309</w:t>
            </w:r>
          </w:p>
        </w:tc>
        <w:tc>
          <w:tcPr>
            <w:tcW w:w="960" w:type="dxa"/>
            <w:hideMark/>
          </w:tcPr>
          <w:p w14:paraId="5ED4A119"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2,39,644</w:t>
            </w:r>
          </w:p>
        </w:tc>
        <w:tc>
          <w:tcPr>
            <w:tcW w:w="960" w:type="dxa"/>
            <w:hideMark/>
          </w:tcPr>
          <w:p w14:paraId="1E352715"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2,45,231</w:t>
            </w:r>
          </w:p>
        </w:tc>
        <w:tc>
          <w:tcPr>
            <w:tcW w:w="960" w:type="dxa"/>
            <w:hideMark/>
          </w:tcPr>
          <w:p w14:paraId="782912CA"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2,47,865</w:t>
            </w:r>
          </w:p>
        </w:tc>
      </w:tr>
      <w:tr w:rsidR="00BC3AA2" w:rsidRPr="00AE2312" w14:paraId="783B40D3"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7B1EC7CA"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Current Liabilities</w:t>
            </w:r>
          </w:p>
        </w:tc>
        <w:tc>
          <w:tcPr>
            <w:tcW w:w="960" w:type="dxa"/>
            <w:hideMark/>
          </w:tcPr>
          <w:p w14:paraId="66E38F9C"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1,64,393</w:t>
            </w:r>
          </w:p>
        </w:tc>
        <w:tc>
          <w:tcPr>
            <w:tcW w:w="960" w:type="dxa"/>
            <w:hideMark/>
          </w:tcPr>
          <w:p w14:paraId="43093DFF"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1,82,992</w:t>
            </w:r>
          </w:p>
        </w:tc>
        <w:tc>
          <w:tcPr>
            <w:tcW w:w="960" w:type="dxa"/>
            <w:hideMark/>
          </w:tcPr>
          <w:p w14:paraId="549C2FCF"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2,05,874</w:t>
            </w:r>
          </w:p>
        </w:tc>
        <w:tc>
          <w:tcPr>
            <w:tcW w:w="960" w:type="dxa"/>
            <w:hideMark/>
          </w:tcPr>
          <w:p w14:paraId="06E2FFAE"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2,17,039</w:t>
            </w:r>
          </w:p>
        </w:tc>
        <w:tc>
          <w:tcPr>
            <w:tcW w:w="960" w:type="dxa"/>
            <w:hideMark/>
          </w:tcPr>
          <w:p w14:paraId="4D7763C4"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2,26,525</w:t>
            </w:r>
          </w:p>
        </w:tc>
      </w:tr>
      <w:tr w:rsidR="00BC3AA2" w:rsidRPr="00AE2312" w14:paraId="76816257"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1432CAB4"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Inventory</w:t>
            </w:r>
          </w:p>
        </w:tc>
        <w:tc>
          <w:tcPr>
            <w:tcW w:w="960" w:type="dxa"/>
            <w:hideMark/>
          </w:tcPr>
          <w:p w14:paraId="7B970C2A"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43,725</w:t>
            </w:r>
          </w:p>
        </w:tc>
        <w:tc>
          <w:tcPr>
            <w:tcW w:w="960" w:type="dxa"/>
            <w:hideMark/>
          </w:tcPr>
          <w:p w14:paraId="6CBAB0F9"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52,274</w:t>
            </w:r>
          </w:p>
        </w:tc>
        <w:tc>
          <w:tcPr>
            <w:tcW w:w="960" w:type="dxa"/>
            <w:hideMark/>
          </w:tcPr>
          <w:p w14:paraId="51243B44"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53,601</w:t>
            </w:r>
          </w:p>
        </w:tc>
        <w:tc>
          <w:tcPr>
            <w:tcW w:w="960" w:type="dxa"/>
            <w:hideMark/>
          </w:tcPr>
          <w:p w14:paraId="76026E73"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56,720</w:t>
            </w:r>
          </w:p>
        </w:tc>
        <w:tc>
          <w:tcPr>
            <w:tcW w:w="960" w:type="dxa"/>
            <w:hideMark/>
          </w:tcPr>
          <w:p w14:paraId="56542E4F"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56,042</w:t>
            </w:r>
          </w:p>
        </w:tc>
      </w:tr>
      <w:tr w:rsidR="00BC3AA2" w:rsidRPr="00AE2312" w14:paraId="0F9BF78D"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5CA6950C"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Trade Receivables</w:t>
            </w:r>
          </w:p>
        </w:tc>
        <w:tc>
          <w:tcPr>
            <w:tcW w:w="960" w:type="dxa"/>
            <w:hideMark/>
          </w:tcPr>
          <w:p w14:paraId="7DB0C77F"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15,521</w:t>
            </w:r>
          </w:p>
        </w:tc>
        <w:tc>
          <w:tcPr>
            <w:tcW w:w="960" w:type="dxa"/>
            <w:hideMark/>
          </w:tcPr>
          <w:p w14:paraId="01E240B0"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18,581</w:t>
            </w:r>
          </w:p>
        </w:tc>
        <w:tc>
          <w:tcPr>
            <w:tcW w:w="960" w:type="dxa"/>
            <w:hideMark/>
          </w:tcPr>
          <w:p w14:paraId="5FD842A1"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21,849</w:t>
            </w:r>
          </w:p>
        </w:tc>
        <w:tc>
          <w:tcPr>
            <w:tcW w:w="960" w:type="dxa"/>
            <w:hideMark/>
          </w:tcPr>
          <w:p w14:paraId="0680F828"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21,130</w:t>
            </w:r>
          </w:p>
        </w:tc>
        <w:tc>
          <w:tcPr>
            <w:tcW w:w="960" w:type="dxa"/>
            <w:hideMark/>
          </w:tcPr>
          <w:p w14:paraId="1CBCBC99"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20,760</w:t>
            </w:r>
          </w:p>
        </w:tc>
      </w:tr>
      <w:tr w:rsidR="00BC3AA2" w:rsidRPr="00AE2312" w14:paraId="4195A93D"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6D749803"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Trade Payables</w:t>
            </w:r>
          </w:p>
        </w:tc>
        <w:tc>
          <w:tcPr>
            <w:tcW w:w="960" w:type="dxa"/>
            <w:hideMark/>
          </w:tcPr>
          <w:p w14:paraId="2CF8A958"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23,624</w:t>
            </w:r>
          </w:p>
        </w:tc>
        <w:tc>
          <w:tcPr>
            <w:tcW w:w="960" w:type="dxa"/>
            <w:hideMark/>
          </w:tcPr>
          <w:p w14:paraId="5A85715B"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28,738</w:t>
            </w:r>
          </w:p>
        </w:tc>
        <w:tc>
          <w:tcPr>
            <w:tcW w:w="960" w:type="dxa"/>
            <w:hideMark/>
          </w:tcPr>
          <w:p w14:paraId="4C5A8879"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30,901</w:t>
            </w:r>
          </w:p>
        </w:tc>
        <w:tc>
          <w:tcPr>
            <w:tcW w:w="960" w:type="dxa"/>
            <w:hideMark/>
          </w:tcPr>
          <w:p w14:paraId="483270AF"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29,772</w:t>
            </w:r>
          </w:p>
        </w:tc>
        <w:tc>
          <w:tcPr>
            <w:tcW w:w="960" w:type="dxa"/>
            <w:hideMark/>
          </w:tcPr>
          <w:p w14:paraId="5219C489"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30,490</w:t>
            </w:r>
          </w:p>
        </w:tc>
      </w:tr>
      <w:tr w:rsidR="00BC3AA2" w:rsidRPr="00AE2312" w14:paraId="6EB1FAF2"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258A7176"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Total Debt</w:t>
            </w:r>
          </w:p>
        </w:tc>
        <w:tc>
          <w:tcPr>
            <w:tcW w:w="960" w:type="dxa"/>
            <w:hideMark/>
          </w:tcPr>
          <w:p w14:paraId="4B2F8FB6"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2,10,202</w:t>
            </w:r>
          </w:p>
        </w:tc>
        <w:tc>
          <w:tcPr>
            <w:tcW w:w="960" w:type="dxa"/>
            <w:hideMark/>
          </w:tcPr>
          <w:p w14:paraId="7AA91CC5"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2,05,185</w:t>
            </w:r>
          </w:p>
        </w:tc>
        <w:tc>
          <w:tcPr>
            <w:tcW w:w="960" w:type="dxa"/>
            <w:hideMark/>
          </w:tcPr>
          <w:p w14:paraId="44C1A1BC"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2,32,799</w:t>
            </w:r>
          </w:p>
        </w:tc>
        <w:tc>
          <w:tcPr>
            <w:tcW w:w="960" w:type="dxa"/>
            <w:hideMark/>
          </w:tcPr>
          <w:p w14:paraId="53667FFD"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2,54,081</w:t>
            </w:r>
          </w:p>
        </w:tc>
        <w:tc>
          <w:tcPr>
            <w:tcW w:w="960" w:type="dxa"/>
            <w:hideMark/>
          </w:tcPr>
          <w:p w14:paraId="1E48ECD2"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2,64,703</w:t>
            </w:r>
          </w:p>
        </w:tc>
      </w:tr>
      <w:tr w:rsidR="00BC3AA2" w:rsidRPr="00AE2312" w14:paraId="29CD8881" w14:textId="77777777" w:rsidTr="00BC3AA2">
        <w:trPr>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3CF4FAC5"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Total Equity</w:t>
            </w:r>
          </w:p>
        </w:tc>
        <w:tc>
          <w:tcPr>
            <w:tcW w:w="960" w:type="dxa"/>
            <w:hideMark/>
          </w:tcPr>
          <w:p w14:paraId="1D451DED"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1,46,154</w:t>
            </w:r>
          </w:p>
        </w:tc>
        <w:tc>
          <w:tcPr>
            <w:tcW w:w="960" w:type="dxa"/>
            <w:hideMark/>
          </w:tcPr>
          <w:p w14:paraId="7F99D613"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1,78,327</w:t>
            </w:r>
          </w:p>
        </w:tc>
        <w:tc>
          <w:tcPr>
            <w:tcW w:w="960" w:type="dxa"/>
            <w:hideMark/>
          </w:tcPr>
          <w:p w14:paraId="4BB693F5"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1,89,912</w:t>
            </w:r>
          </w:p>
        </w:tc>
        <w:tc>
          <w:tcPr>
            <w:tcW w:w="960" w:type="dxa"/>
            <w:hideMark/>
          </w:tcPr>
          <w:p w14:paraId="3656FDFD"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1,96,731</w:t>
            </w:r>
          </w:p>
        </w:tc>
        <w:tc>
          <w:tcPr>
            <w:tcW w:w="960" w:type="dxa"/>
            <w:hideMark/>
          </w:tcPr>
          <w:p w14:paraId="425AA089" w14:textId="77777777" w:rsidR="00BC3AA2" w:rsidRPr="00AE2312" w:rsidRDefault="00BC3AA2" w:rsidP="00BC3AA2">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2,03,054</w:t>
            </w:r>
          </w:p>
        </w:tc>
      </w:tr>
      <w:tr w:rsidR="00BC3AA2" w:rsidRPr="00AE2312" w14:paraId="7672D7DE" w14:textId="77777777" w:rsidTr="00BC3AA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360" w:type="dxa"/>
            <w:hideMark/>
          </w:tcPr>
          <w:p w14:paraId="4CFA8372" w14:textId="77777777" w:rsidR="00BC3AA2" w:rsidRPr="00AE2312" w:rsidRDefault="00BC3AA2" w:rsidP="00BC3AA2">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Cost of Sales</w:t>
            </w:r>
          </w:p>
        </w:tc>
        <w:tc>
          <w:tcPr>
            <w:tcW w:w="960" w:type="dxa"/>
            <w:hideMark/>
          </w:tcPr>
          <w:p w14:paraId="41918A4D"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2,02,959</w:t>
            </w:r>
          </w:p>
        </w:tc>
        <w:tc>
          <w:tcPr>
            <w:tcW w:w="960" w:type="dxa"/>
            <w:hideMark/>
          </w:tcPr>
          <w:p w14:paraId="0773764E"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2,27,005</w:t>
            </w:r>
          </w:p>
        </w:tc>
        <w:tc>
          <w:tcPr>
            <w:tcW w:w="960" w:type="dxa"/>
            <w:hideMark/>
          </w:tcPr>
          <w:p w14:paraId="738E4901"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2,50,568</w:t>
            </w:r>
          </w:p>
        </w:tc>
        <w:tc>
          <w:tcPr>
            <w:tcW w:w="960" w:type="dxa"/>
            <w:hideMark/>
          </w:tcPr>
          <w:p w14:paraId="34938DD2"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2,67,894</w:t>
            </w:r>
          </w:p>
        </w:tc>
        <w:tc>
          <w:tcPr>
            <w:tcW w:w="960" w:type="dxa"/>
            <w:hideMark/>
          </w:tcPr>
          <w:p w14:paraId="1BB47ED8" w14:textId="77777777" w:rsidR="00BC3AA2" w:rsidRPr="00AE2312" w:rsidRDefault="00BC3AA2" w:rsidP="00BC3AA2">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2,74,320</w:t>
            </w:r>
          </w:p>
        </w:tc>
      </w:tr>
    </w:tbl>
    <w:p w14:paraId="122F20F0" w14:textId="77777777" w:rsidR="0018210F" w:rsidRPr="00AE2312" w:rsidRDefault="0018210F" w:rsidP="0018210F">
      <w:pPr>
        <w:rPr>
          <w:rFonts w:ascii="Arial" w:hAnsi="Arial" w:cs="Arial"/>
          <w:szCs w:val="24"/>
        </w:rPr>
      </w:pPr>
    </w:p>
    <w:p w14:paraId="19D97C65" w14:textId="6FEE68B0" w:rsidR="0018210F" w:rsidRPr="00AE2312" w:rsidRDefault="0018210F" w:rsidP="00BC3AA2">
      <w:pPr>
        <w:pStyle w:val="Heading2"/>
        <w:rPr>
          <w:rFonts w:ascii="Arial" w:hAnsi="Arial" w:cs="Arial"/>
          <w:szCs w:val="24"/>
        </w:rPr>
      </w:pPr>
      <w:bookmarkStart w:id="44" w:name="_Toc227920742"/>
      <w:r w:rsidRPr="00AE2312">
        <w:rPr>
          <w:rFonts w:ascii="Arial" w:hAnsi="Arial" w:cs="Arial"/>
          <w:szCs w:val="24"/>
        </w:rPr>
        <w:t>RATIOS</w:t>
      </w:r>
      <w:bookmarkEnd w:id="44"/>
    </w:p>
    <w:tbl>
      <w:tblPr>
        <w:tblStyle w:val="ListTable3-Accent6"/>
        <w:tblW w:w="8960" w:type="dxa"/>
        <w:tblLook w:val="04A0" w:firstRow="1" w:lastRow="0" w:firstColumn="1" w:lastColumn="0" w:noHBand="0" w:noVBand="1"/>
      </w:tblPr>
      <w:tblGrid>
        <w:gridCol w:w="2180"/>
        <w:gridCol w:w="1240"/>
        <w:gridCol w:w="1440"/>
        <w:gridCol w:w="1340"/>
        <w:gridCol w:w="1320"/>
        <w:gridCol w:w="1440"/>
      </w:tblGrid>
      <w:tr w:rsidR="0018210F" w:rsidRPr="00AE2312" w14:paraId="148315A1" w14:textId="77777777" w:rsidTr="0018210F">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60" w:type="dxa"/>
            <w:gridSpan w:val="6"/>
            <w:hideMark/>
          </w:tcPr>
          <w:p w14:paraId="6868B8B6"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PROFITABILITY RATIOS</w:t>
            </w:r>
          </w:p>
        </w:tc>
      </w:tr>
      <w:tr w:rsidR="0018210F" w:rsidRPr="00AE2312" w14:paraId="46F29D0D"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03E19077"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Ratio</w:t>
            </w:r>
          </w:p>
        </w:tc>
        <w:tc>
          <w:tcPr>
            <w:tcW w:w="1240" w:type="dxa"/>
            <w:hideMark/>
          </w:tcPr>
          <w:p w14:paraId="7F6FE9F0"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2021</w:t>
            </w:r>
          </w:p>
        </w:tc>
        <w:tc>
          <w:tcPr>
            <w:tcW w:w="1440" w:type="dxa"/>
            <w:hideMark/>
          </w:tcPr>
          <w:p w14:paraId="036E8BAF"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2022</w:t>
            </w:r>
          </w:p>
        </w:tc>
        <w:tc>
          <w:tcPr>
            <w:tcW w:w="1340" w:type="dxa"/>
            <w:hideMark/>
          </w:tcPr>
          <w:p w14:paraId="42F176D7"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2023</w:t>
            </w:r>
          </w:p>
        </w:tc>
        <w:tc>
          <w:tcPr>
            <w:tcW w:w="1320" w:type="dxa"/>
            <w:hideMark/>
          </w:tcPr>
          <w:p w14:paraId="4468EDC6"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2024</w:t>
            </w:r>
          </w:p>
        </w:tc>
        <w:tc>
          <w:tcPr>
            <w:tcW w:w="1440" w:type="dxa"/>
            <w:hideMark/>
          </w:tcPr>
          <w:p w14:paraId="08768C57"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2025</w:t>
            </w:r>
          </w:p>
        </w:tc>
      </w:tr>
      <w:tr w:rsidR="0018210F" w:rsidRPr="00AE2312" w14:paraId="7AD3040D"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647FE572"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Operating Margin</w:t>
            </w:r>
          </w:p>
        </w:tc>
        <w:tc>
          <w:tcPr>
            <w:tcW w:w="1240" w:type="dxa"/>
            <w:hideMark/>
          </w:tcPr>
          <w:p w14:paraId="19922B92"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7.70%</w:t>
            </w:r>
          </w:p>
        </w:tc>
        <w:tc>
          <w:tcPr>
            <w:tcW w:w="1440" w:type="dxa"/>
            <w:hideMark/>
          </w:tcPr>
          <w:p w14:paraId="179E3BC2"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7.92%</w:t>
            </w:r>
          </w:p>
        </w:tc>
        <w:tc>
          <w:tcPr>
            <w:tcW w:w="1340" w:type="dxa"/>
            <w:hideMark/>
          </w:tcPr>
          <w:p w14:paraId="2C675267"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7.01%</w:t>
            </w:r>
          </w:p>
        </w:tc>
        <w:tc>
          <w:tcPr>
            <w:tcW w:w="1320" w:type="dxa"/>
            <w:hideMark/>
          </w:tcPr>
          <w:p w14:paraId="12D0F37E"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5.87%</w:t>
            </w:r>
          </w:p>
        </w:tc>
        <w:tc>
          <w:tcPr>
            <w:tcW w:w="1440" w:type="dxa"/>
            <w:hideMark/>
          </w:tcPr>
          <w:p w14:paraId="7519D37B"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2.75%</w:t>
            </w:r>
          </w:p>
        </w:tc>
      </w:tr>
      <w:tr w:rsidR="0018210F" w:rsidRPr="00AE2312" w14:paraId="586A4563"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0C4F55FF"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Net Profit Margin</w:t>
            </w:r>
          </w:p>
        </w:tc>
        <w:tc>
          <w:tcPr>
            <w:tcW w:w="1240" w:type="dxa"/>
            <w:hideMark/>
          </w:tcPr>
          <w:p w14:paraId="5AA2C112"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6.17%</w:t>
            </w:r>
          </w:p>
        </w:tc>
        <w:tc>
          <w:tcPr>
            <w:tcW w:w="1440" w:type="dxa"/>
            <w:hideMark/>
          </w:tcPr>
          <w:p w14:paraId="30D5BA8A"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5.67%</w:t>
            </w:r>
          </w:p>
        </w:tc>
        <w:tc>
          <w:tcPr>
            <w:tcW w:w="1340" w:type="dxa"/>
            <w:hideMark/>
          </w:tcPr>
          <w:p w14:paraId="1262024C"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5.56%</w:t>
            </w:r>
          </w:p>
        </w:tc>
        <w:tc>
          <w:tcPr>
            <w:tcW w:w="1320" w:type="dxa"/>
            <w:hideMark/>
          </w:tcPr>
          <w:p w14:paraId="54FEDFFF"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3.82%</w:t>
            </w:r>
          </w:p>
        </w:tc>
        <w:tc>
          <w:tcPr>
            <w:tcW w:w="1440" w:type="dxa"/>
            <w:hideMark/>
          </w:tcPr>
          <w:p w14:paraId="50E410ED"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2.14%</w:t>
            </w:r>
          </w:p>
        </w:tc>
      </w:tr>
      <w:tr w:rsidR="0018210F" w:rsidRPr="00AE2312" w14:paraId="1D8B6DF8"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7FF4D960"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EBT Margin</w:t>
            </w:r>
          </w:p>
        </w:tc>
        <w:tc>
          <w:tcPr>
            <w:tcW w:w="1240" w:type="dxa"/>
            <w:hideMark/>
          </w:tcPr>
          <w:p w14:paraId="6F444616"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8.04%</w:t>
            </w:r>
          </w:p>
        </w:tc>
        <w:tc>
          <w:tcPr>
            <w:tcW w:w="1440" w:type="dxa"/>
            <w:hideMark/>
          </w:tcPr>
          <w:p w14:paraId="2941B0E8"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7.89%</w:t>
            </w:r>
          </w:p>
        </w:tc>
        <w:tc>
          <w:tcPr>
            <w:tcW w:w="1340" w:type="dxa"/>
            <w:hideMark/>
          </w:tcPr>
          <w:p w14:paraId="582C71F2"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7.20%</w:t>
            </w:r>
          </w:p>
        </w:tc>
        <w:tc>
          <w:tcPr>
            <w:tcW w:w="1320" w:type="dxa"/>
            <w:hideMark/>
          </w:tcPr>
          <w:p w14:paraId="3C1C3D90"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5.18%</w:t>
            </w:r>
          </w:p>
        </w:tc>
        <w:tc>
          <w:tcPr>
            <w:tcW w:w="1440" w:type="dxa"/>
            <w:hideMark/>
          </w:tcPr>
          <w:p w14:paraId="22727F54"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2.89%</w:t>
            </w:r>
          </w:p>
        </w:tc>
      </w:tr>
    </w:tbl>
    <w:p w14:paraId="4BFCB13E" w14:textId="77777777" w:rsidR="0018210F" w:rsidRPr="00AE2312" w:rsidRDefault="0018210F" w:rsidP="0018210F">
      <w:pPr>
        <w:rPr>
          <w:rFonts w:ascii="Arial" w:hAnsi="Arial" w:cs="Arial"/>
          <w:szCs w:val="24"/>
        </w:rPr>
      </w:pPr>
    </w:p>
    <w:tbl>
      <w:tblPr>
        <w:tblStyle w:val="ListTable3-Accent6"/>
        <w:tblW w:w="8960" w:type="dxa"/>
        <w:tblLook w:val="04A0" w:firstRow="1" w:lastRow="0" w:firstColumn="1" w:lastColumn="0" w:noHBand="0" w:noVBand="1"/>
      </w:tblPr>
      <w:tblGrid>
        <w:gridCol w:w="2180"/>
        <w:gridCol w:w="1240"/>
        <w:gridCol w:w="1440"/>
        <w:gridCol w:w="1340"/>
        <w:gridCol w:w="1320"/>
        <w:gridCol w:w="1440"/>
      </w:tblGrid>
      <w:tr w:rsidR="0018210F" w:rsidRPr="00AE2312" w14:paraId="29B2C5A3" w14:textId="77777777" w:rsidTr="0018210F">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60" w:type="dxa"/>
            <w:gridSpan w:val="6"/>
            <w:noWrap/>
            <w:hideMark/>
          </w:tcPr>
          <w:p w14:paraId="4C9921CE"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LIQUIDITY RATIOS</w:t>
            </w:r>
          </w:p>
        </w:tc>
      </w:tr>
      <w:tr w:rsidR="0018210F" w:rsidRPr="00AE2312" w14:paraId="6B345837"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4A54C3F9"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Ratio</w:t>
            </w:r>
          </w:p>
        </w:tc>
        <w:tc>
          <w:tcPr>
            <w:tcW w:w="1240" w:type="dxa"/>
            <w:hideMark/>
          </w:tcPr>
          <w:p w14:paraId="30EF056B"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2021</w:t>
            </w:r>
          </w:p>
        </w:tc>
        <w:tc>
          <w:tcPr>
            <w:tcW w:w="1440" w:type="dxa"/>
            <w:hideMark/>
          </w:tcPr>
          <w:p w14:paraId="5CAFAB2B"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2022</w:t>
            </w:r>
          </w:p>
        </w:tc>
        <w:tc>
          <w:tcPr>
            <w:tcW w:w="1340" w:type="dxa"/>
            <w:hideMark/>
          </w:tcPr>
          <w:p w14:paraId="5A466D88"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2023</w:t>
            </w:r>
          </w:p>
        </w:tc>
        <w:tc>
          <w:tcPr>
            <w:tcW w:w="1320" w:type="dxa"/>
            <w:hideMark/>
          </w:tcPr>
          <w:p w14:paraId="5AE4DD3C"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2024</w:t>
            </w:r>
          </w:p>
        </w:tc>
        <w:tc>
          <w:tcPr>
            <w:tcW w:w="1440" w:type="dxa"/>
            <w:hideMark/>
          </w:tcPr>
          <w:p w14:paraId="1908370B"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2025</w:t>
            </w:r>
          </w:p>
        </w:tc>
      </w:tr>
      <w:tr w:rsidR="0018210F" w:rsidRPr="00AE2312" w14:paraId="11DC387D"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52293129"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Current Ratio</w:t>
            </w:r>
          </w:p>
        </w:tc>
        <w:tc>
          <w:tcPr>
            <w:tcW w:w="1240" w:type="dxa"/>
            <w:hideMark/>
          </w:tcPr>
          <w:p w14:paraId="114FE36A"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1.22</w:t>
            </w:r>
          </w:p>
        </w:tc>
        <w:tc>
          <w:tcPr>
            <w:tcW w:w="1440" w:type="dxa"/>
            <w:hideMark/>
          </w:tcPr>
          <w:p w14:paraId="40D4141A"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1.23</w:t>
            </w:r>
          </w:p>
        </w:tc>
        <w:tc>
          <w:tcPr>
            <w:tcW w:w="1340" w:type="dxa"/>
            <w:hideMark/>
          </w:tcPr>
          <w:p w14:paraId="231404EF"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1.16</w:t>
            </w:r>
          </w:p>
        </w:tc>
        <w:tc>
          <w:tcPr>
            <w:tcW w:w="1320" w:type="dxa"/>
            <w:hideMark/>
          </w:tcPr>
          <w:p w14:paraId="520E1658"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1.13</w:t>
            </w:r>
          </w:p>
        </w:tc>
        <w:tc>
          <w:tcPr>
            <w:tcW w:w="1440" w:type="dxa"/>
            <w:hideMark/>
          </w:tcPr>
          <w:p w14:paraId="017C1FCA"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1.09</w:t>
            </w:r>
          </w:p>
        </w:tc>
      </w:tr>
      <w:tr w:rsidR="0018210F" w:rsidRPr="00AE2312" w14:paraId="25B94772"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486FDE6A"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Quick Ratio</w:t>
            </w:r>
          </w:p>
        </w:tc>
        <w:tc>
          <w:tcPr>
            <w:tcW w:w="1240" w:type="dxa"/>
            <w:hideMark/>
          </w:tcPr>
          <w:p w14:paraId="06B46709"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0.95</w:t>
            </w:r>
          </w:p>
        </w:tc>
        <w:tc>
          <w:tcPr>
            <w:tcW w:w="1440" w:type="dxa"/>
            <w:hideMark/>
          </w:tcPr>
          <w:p w14:paraId="51E169E2"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0.94</w:t>
            </w:r>
          </w:p>
        </w:tc>
        <w:tc>
          <w:tcPr>
            <w:tcW w:w="1340" w:type="dxa"/>
            <w:hideMark/>
          </w:tcPr>
          <w:p w14:paraId="4FA7E3FC"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0.90</w:t>
            </w:r>
          </w:p>
        </w:tc>
        <w:tc>
          <w:tcPr>
            <w:tcW w:w="1320" w:type="dxa"/>
            <w:hideMark/>
          </w:tcPr>
          <w:p w14:paraId="76E20F10"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0.87</w:t>
            </w:r>
          </w:p>
        </w:tc>
        <w:tc>
          <w:tcPr>
            <w:tcW w:w="1440" w:type="dxa"/>
            <w:hideMark/>
          </w:tcPr>
          <w:p w14:paraId="5968D4D1"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0.85</w:t>
            </w:r>
          </w:p>
        </w:tc>
      </w:tr>
    </w:tbl>
    <w:p w14:paraId="74625343" w14:textId="77777777" w:rsidR="0018210F" w:rsidRPr="00AE2312" w:rsidRDefault="0018210F" w:rsidP="0018210F">
      <w:pPr>
        <w:rPr>
          <w:rFonts w:ascii="Arial" w:hAnsi="Arial" w:cs="Arial"/>
          <w:szCs w:val="24"/>
        </w:rPr>
      </w:pPr>
    </w:p>
    <w:tbl>
      <w:tblPr>
        <w:tblStyle w:val="ListTable3-Accent6"/>
        <w:tblW w:w="8960" w:type="dxa"/>
        <w:tblLook w:val="04A0" w:firstRow="1" w:lastRow="0" w:firstColumn="1" w:lastColumn="0" w:noHBand="0" w:noVBand="1"/>
      </w:tblPr>
      <w:tblGrid>
        <w:gridCol w:w="2180"/>
        <w:gridCol w:w="1240"/>
        <w:gridCol w:w="1440"/>
        <w:gridCol w:w="1340"/>
        <w:gridCol w:w="1320"/>
        <w:gridCol w:w="1440"/>
      </w:tblGrid>
      <w:tr w:rsidR="0018210F" w:rsidRPr="00AE2312" w14:paraId="38084825" w14:textId="77777777" w:rsidTr="0018210F">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60" w:type="dxa"/>
            <w:gridSpan w:val="6"/>
            <w:noWrap/>
            <w:hideMark/>
          </w:tcPr>
          <w:p w14:paraId="3FD06039"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EFFICIENCY RATIOS</w:t>
            </w:r>
          </w:p>
        </w:tc>
      </w:tr>
      <w:tr w:rsidR="0018210F" w:rsidRPr="00AE2312" w14:paraId="44B56D33"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30C47A53"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Ratio</w:t>
            </w:r>
          </w:p>
        </w:tc>
        <w:tc>
          <w:tcPr>
            <w:tcW w:w="1240" w:type="dxa"/>
            <w:hideMark/>
          </w:tcPr>
          <w:p w14:paraId="7C95958B"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2021</w:t>
            </w:r>
          </w:p>
        </w:tc>
        <w:tc>
          <w:tcPr>
            <w:tcW w:w="1440" w:type="dxa"/>
            <w:hideMark/>
          </w:tcPr>
          <w:p w14:paraId="1196FC12"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2022</w:t>
            </w:r>
          </w:p>
        </w:tc>
        <w:tc>
          <w:tcPr>
            <w:tcW w:w="1340" w:type="dxa"/>
            <w:hideMark/>
          </w:tcPr>
          <w:p w14:paraId="6850FAB4"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2023</w:t>
            </w:r>
          </w:p>
        </w:tc>
        <w:tc>
          <w:tcPr>
            <w:tcW w:w="1320" w:type="dxa"/>
            <w:hideMark/>
          </w:tcPr>
          <w:p w14:paraId="05AEC621"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2024</w:t>
            </w:r>
          </w:p>
        </w:tc>
        <w:tc>
          <w:tcPr>
            <w:tcW w:w="1440" w:type="dxa"/>
            <w:hideMark/>
          </w:tcPr>
          <w:p w14:paraId="1CF38155"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2025</w:t>
            </w:r>
          </w:p>
        </w:tc>
      </w:tr>
      <w:tr w:rsidR="0018210F" w:rsidRPr="00AE2312" w14:paraId="5A765DED"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7F2B16C3"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Inventory Turnover</w:t>
            </w:r>
          </w:p>
        </w:tc>
        <w:tc>
          <w:tcPr>
            <w:tcW w:w="1240" w:type="dxa"/>
            <w:hideMark/>
          </w:tcPr>
          <w:p w14:paraId="331543DB"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4.64</w:t>
            </w:r>
          </w:p>
        </w:tc>
        <w:tc>
          <w:tcPr>
            <w:tcW w:w="1440" w:type="dxa"/>
            <w:hideMark/>
          </w:tcPr>
          <w:p w14:paraId="51D8FCB4"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4.34</w:t>
            </w:r>
          </w:p>
        </w:tc>
        <w:tc>
          <w:tcPr>
            <w:tcW w:w="1340" w:type="dxa"/>
            <w:hideMark/>
          </w:tcPr>
          <w:p w14:paraId="0C635E8F"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4.67</w:t>
            </w:r>
          </w:p>
        </w:tc>
        <w:tc>
          <w:tcPr>
            <w:tcW w:w="1320" w:type="dxa"/>
            <w:hideMark/>
          </w:tcPr>
          <w:p w14:paraId="5B2F4D45"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4.72</w:t>
            </w:r>
          </w:p>
        </w:tc>
        <w:tc>
          <w:tcPr>
            <w:tcW w:w="1440" w:type="dxa"/>
            <w:hideMark/>
          </w:tcPr>
          <w:p w14:paraId="40B4282F"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4.89</w:t>
            </w:r>
          </w:p>
        </w:tc>
      </w:tr>
      <w:tr w:rsidR="0018210F" w:rsidRPr="00AE2312" w14:paraId="1C09F9CD"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09FE388C"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Receivable Days</w:t>
            </w:r>
          </w:p>
        </w:tc>
        <w:tc>
          <w:tcPr>
            <w:tcW w:w="1240" w:type="dxa"/>
            <w:hideMark/>
          </w:tcPr>
          <w:p w14:paraId="78CC1877"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23</w:t>
            </w:r>
          </w:p>
        </w:tc>
        <w:tc>
          <w:tcPr>
            <w:tcW w:w="1440" w:type="dxa"/>
            <w:hideMark/>
          </w:tcPr>
          <w:p w14:paraId="48D3839E"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24</w:t>
            </w:r>
          </w:p>
        </w:tc>
        <w:tc>
          <w:tcPr>
            <w:tcW w:w="1340" w:type="dxa"/>
            <w:hideMark/>
          </w:tcPr>
          <w:p w14:paraId="756D1DEF"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25</w:t>
            </w:r>
          </w:p>
        </w:tc>
        <w:tc>
          <w:tcPr>
            <w:tcW w:w="1320" w:type="dxa"/>
            <w:hideMark/>
          </w:tcPr>
          <w:p w14:paraId="76225C59"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24</w:t>
            </w:r>
          </w:p>
        </w:tc>
        <w:tc>
          <w:tcPr>
            <w:tcW w:w="1440" w:type="dxa"/>
            <w:hideMark/>
          </w:tcPr>
          <w:p w14:paraId="1F3DAC5C"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24</w:t>
            </w:r>
          </w:p>
        </w:tc>
      </w:tr>
      <w:tr w:rsidR="0018210F" w:rsidRPr="00AE2312" w14:paraId="08526D18"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45C0DFAD"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Payable Days</w:t>
            </w:r>
          </w:p>
        </w:tc>
        <w:tc>
          <w:tcPr>
            <w:tcW w:w="1240" w:type="dxa"/>
            <w:hideMark/>
          </w:tcPr>
          <w:p w14:paraId="1351BE27"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42</w:t>
            </w:r>
          </w:p>
        </w:tc>
        <w:tc>
          <w:tcPr>
            <w:tcW w:w="1440" w:type="dxa"/>
            <w:hideMark/>
          </w:tcPr>
          <w:p w14:paraId="41F88A87"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46</w:t>
            </w:r>
          </w:p>
        </w:tc>
        <w:tc>
          <w:tcPr>
            <w:tcW w:w="1340" w:type="dxa"/>
            <w:hideMark/>
          </w:tcPr>
          <w:p w14:paraId="76E724E5"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45</w:t>
            </w:r>
          </w:p>
        </w:tc>
        <w:tc>
          <w:tcPr>
            <w:tcW w:w="1320" w:type="dxa"/>
            <w:hideMark/>
          </w:tcPr>
          <w:p w14:paraId="1C7F6CD0"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41</w:t>
            </w:r>
          </w:p>
        </w:tc>
        <w:tc>
          <w:tcPr>
            <w:tcW w:w="1440" w:type="dxa"/>
            <w:hideMark/>
          </w:tcPr>
          <w:p w14:paraId="5F7E38B5"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41</w:t>
            </w:r>
          </w:p>
        </w:tc>
      </w:tr>
      <w:tr w:rsidR="0018210F" w:rsidRPr="00AE2312" w14:paraId="2F57ADA8"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noWrap/>
            <w:hideMark/>
          </w:tcPr>
          <w:p w14:paraId="5D2FF66D"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Inventory Days</w:t>
            </w:r>
          </w:p>
        </w:tc>
        <w:tc>
          <w:tcPr>
            <w:tcW w:w="1240" w:type="dxa"/>
            <w:noWrap/>
            <w:hideMark/>
          </w:tcPr>
          <w:p w14:paraId="140DA318"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79</w:t>
            </w:r>
          </w:p>
        </w:tc>
        <w:tc>
          <w:tcPr>
            <w:tcW w:w="1440" w:type="dxa"/>
            <w:noWrap/>
            <w:hideMark/>
          </w:tcPr>
          <w:p w14:paraId="6A368DFB"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84</w:t>
            </w:r>
          </w:p>
        </w:tc>
        <w:tc>
          <w:tcPr>
            <w:tcW w:w="1340" w:type="dxa"/>
            <w:noWrap/>
            <w:hideMark/>
          </w:tcPr>
          <w:p w14:paraId="49F1D436"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78</w:t>
            </w:r>
          </w:p>
        </w:tc>
        <w:tc>
          <w:tcPr>
            <w:tcW w:w="1320" w:type="dxa"/>
            <w:noWrap/>
            <w:hideMark/>
          </w:tcPr>
          <w:p w14:paraId="5D670963"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77</w:t>
            </w:r>
          </w:p>
        </w:tc>
        <w:tc>
          <w:tcPr>
            <w:tcW w:w="1440" w:type="dxa"/>
            <w:noWrap/>
            <w:hideMark/>
          </w:tcPr>
          <w:p w14:paraId="54DFF8C6"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75</w:t>
            </w:r>
          </w:p>
        </w:tc>
      </w:tr>
    </w:tbl>
    <w:p w14:paraId="40292332" w14:textId="77777777" w:rsidR="0018210F" w:rsidRPr="00AE2312" w:rsidRDefault="0018210F" w:rsidP="0018210F">
      <w:pPr>
        <w:rPr>
          <w:rFonts w:ascii="Arial" w:hAnsi="Arial" w:cs="Arial"/>
          <w:szCs w:val="24"/>
        </w:rPr>
      </w:pPr>
    </w:p>
    <w:tbl>
      <w:tblPr>
        <w:tblStyle w:val="ListTable3-Accent6"/>
        <w:tblW w:w="8960" w:type="dxa"/>
        <w:tblLook w:val="04A0" w:firstRow="1" w:lastRow="0" w:firstColumn="1" w:lastColumn="0" w:noHBand="0" w:noVBand="1"/>
      </w:tblPr>
      <w:tblGrid>
        <w:gridCol w:w="1594"/>
        <w:gridCol w:w="1380"/>
        <w:gridCol w:w="1541"/>
        <w:gridCol w:w="1460"/>
        <w:gridCol w:w="1444"/>
        <w:gridCol w:w="1541"/>
      </w:tblGrid>
      <w:tr w:rsidR="0018210F" w:rsidRPr="00AE2312" w14:paraId="3F30397F" w14:textId="77777777" w:rsidTr="0018210F">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60" w:type="dxa"/>
            <w:gridSpan w:val="6"/>
            <w:noWrap/>
            <w:hideMark/>
          </w:tcPr>
          <w:p w14:paraId="7748CEBE"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WORKING CAPITAL CYCLE</w:t>
            </w:r>
          </w:p>
        </w:tc>
      </w:tr>
      <w:tr w:rsidR="0018210F" w:rsidRPr="00AE2312" w14:paraId="4EF8BFE5"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594" w:type="dxa"/>
            <w:noWrap/>
            <w:hideMark/>
          </w:tcPr>
          <w:p w14:paraId="381A9B53"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 </w:t>
            </w:r>
          </w:p>
        </w:tc>
        <w:tc>
          <w:tcPr>
            <w:tcW w:w="1380" w:type="dxa"/>
            <w:hideMark/>
          </w:tcPr>
          <w:p w14:paraId="6FC57EFD"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2021</w:t>
            </w:r>
          </w:p>
        </w:tc>
        <w:tc>
          <w:tcPr>
            <w:tcW w:w="1541" w:type="dxa"/>
            <w:hideMark/>
          </w:tcPr>
          <w:p w14:paraId="06A5A6D3"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2022</w:t>
            </w:r>
          </w:p>
        </w:tc>
        <w:tc>
          <w:tcPr>
            <w:tcW w:w="1460" w:type="dxa"/>
            <w:hideMark/>
          </w:tcPr>
          <w:p w14:paraId="1BFDAA52"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2023</w:t>
            </w:r>
          </w:p>
        </w:tc>
        <w:tc>
          <w:tcPr>
            <w:tcW w:w="1444" w:type="dxa"/>
            <w:hideMark/>
          </w:tcPr>
          <w:p w14:paraId="6D7BD212"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2024</w:t>
            </w:r>
          </w:p>
        </w:tc>
        <w:tc>
          <w:tcPr>
            <w:tcW w:w="1541" w:type="dxa"/>
            <w:hideMark/>
          </w:tcPr>
          <w:p w14:paraId="4236E4EA"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2025</w:t>
            </w:r>
          </w:p>
        </w:tc>
      </w:tr>
      <w:tr w:rsidR="0018210F" w:rsidRPr="00AE2312" w14:paraId="5F984134"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1594" w:type="dxa"/>
            <w:noWrap/>
            <w:hideMark/>
          </w:tcPr>
          <w:p w14:paraId="37E69AB2"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CCC (Days)</w:t>
            </w:r>
          </w:p>
        </w:tc>
        <w:tc>
          <w:tcPr>
            <w:tcW w:w="1380" w:type="dxa"/>
            <w:noWrap/>
            <w:hideMark/>
          </w:tcPr>
          <w:p w14:paraId="24C964B9"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60</w:t>
            </w:r>
          </w:p>
        </w:tc>
        <w:tc>
          <w:tcPr>
            <w:tcW w:w="1541" w:type="dxa"/>
            <w:noWrap/>
            <w:hideMark/>
          </w:tcPr>
          <w:p w14:paraId="5D29E0AD"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62</w:t>
            </w:r>
          </w:p>
        </w:tc>
        <w:tc>
          <w:tcPr>
            <w:tcW w:w="1460" w:type="dxa"/>
            <w:noWrap/>
            <w:hideMark/>
          </w:tcPr>
          <w:p w14:paraId="2A9D3407"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58</w:t>
            </w:r>
          </w:p>
        </w:tc>
        <w:tc>
          <w:tcPr>
            <w:tcW w:w="1444" w:type="dxa"/>
            <w:noWrap/>
            <w:hideMark/>
          </w:tcPr>
          <w:p w14:paraId="6BE1A896"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60</w:t>
            </w:r>
          </w:p>
        </w:tc>
        <w:tc>
          <w:tcPr>
            <w:tcW w:w="1541" w:type="dxa"/>
            <w:noWrap/>
            <w:hideMark/>
          </w:tcPr>
          <w:p w14:paraId="4B0D7D99"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58</w:t>
            </w:r>
          </w:p>
        </w:tc>
      </w:tr>
    </w:tbl>
    <w:p w14:paraId="5C19A13A" w14:textId="77777777" w:rsidR="0018210F" w:rsidRPr="00AE2312" w:rsidRDefault="0018210F" w:rsidP="0018210F">
      <w:pPr>
        <w:rPr>
          <w:rFonts w:ascii="Arial" w:hAnsi="Arial" w:cs="Arial"/>
          <w:szCs w:val="24"/>
        </w:rPr>
      </w:pPr>
    </w:p>
    <w:tbl>
      <w:tblPr>
        <w:tblStyle w:val="ListTable3-Accent6"/>
        <w:tblW w:w="8960" w:type="dxa"/>
        <w:tblLook w:val="04A0" w:firstRow="1" w:lastRow="0" w:firstColumn="1" w:lastColumn="0" w:noHBand="0" w:noVBand="1"/>
      </w:tblPr>
      <w:tblGrid>
        <w:gridCol w:w="2180"/>
        <w:gridCol w:w="1240"/>
        <w:gridCol w:w="1440"/>
        <w:gridCol w:w="1340"/>
        <w:gridCol w:w="1320"/>
        <w:gridCol w:w="1440"/>
      </w:tblGrid>
      <w:tr w:rsidR="0018210F" w:rsidRPr="00AE2312" w14:paraId="30C9CC87" w14:textId="77777777" w:rsidTr="0018210F">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60" w:type="dxa"/>
            <w:gridSpan w:val="6"/>
            <w:noWrap/>
            <w:hideMark/>
          </w:tcPr>
          <w:p w14:paraId="4F5952C9"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GEARING RATIO</w:t>
            </w:r>
          </w:p>
        </w:tc>
      </w:tr>
      <w:tr w:rsidR="0018210F" w:rsidRPr="00AE2312" w14:paraId="1A8530AF"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48B812E9"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Ratio</w:t>
            </w:r>
          </w:p>
        </w:tc>
        <w:tc>
          <w:tcPr>
            <w:tcW w:w="1240" w:type="dxa"/>
            <w:hideMark/>
          </w:tcPr>
          <w:p w14:paraId="58BA5381"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2021</w:t>
            </w:r>
          </w:p>
        </w:tc>
        <w:tc>
          <w:tcPr>
            <w:tcW w:w="1440" w:type="dxa"/>
            <w:hideMark/>
          </w:tcPr>
          <w:p w14:paraId="7F22540D"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2022</w:t>
            </w:r>
          </w:p>
        </w:tc>
        <w:tc>
          <w:tcPr>
            <w:tcW w:w="1340" w:type="dxa"/>
            <w:hideMark/>
          </w:tcPr>
          <w:p w14:paraId="62FF6EE8"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2023</w:t>
            </w:r>
          </w:p>
        </w:tc>
        <w:tc>
          <w:tcPr>
            <w:tcW w:w="1320" w:type="dxa"/>
            <w:hideMark/>
          </w:tcPr>
          <w:p w14:paraId="7C4EA19B"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2024</w:t>
            </w:r>
          </w:p>
        </w:tc>
        <w:tc>
          <w:tcPr>
            <w:tcW w:w="1440" w:type="dxa"/>
            <w:hideMark/>
          </w:tcPr>
          <w:p w14:paraId="6F9AA3A7"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2025</w:t>
            </w:r>
          </w:p>
        </w:tc>
      </w:tr>
      <w:tr w:rsidR="0018210F" w:rsidRPr="00AE2312" w14:paraId="204DDD61" w14:textId="77777777" w:rsidTr="0018210F">
        <w:trPr>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02A97C86"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Debt to Equity Ratio</w:t>
            </w:r>
          </w:p>
        </w:tc>
        <w:tc>
          <w:tcPr>
            <w:tcW w:w="1240" w:type="dxa"/>
            <w:hideMark/>
          </w:tcPr>
          <w:p w14:paraId="3B1AD714"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1.44</w:t>
            </w:r>
          </w:p>
        </w:tc>
        <w:tc>
          <w:tcPr>
            <w:tcW w:w="1440" w:type="dxa"/>
            <w:hideMark/>
          </w:tcPr>
          <w:p w14:paraId="0FB9EF2A"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1.15</w:t>
            </w:r>
          </w:p>
        </w:tc>
        <w:tc>
          <w:tcPr>
            <w:tcW w:w="1340" w:type="dxa"/>
            <w:hideMark/>
          </w:tcPr>
          <w:p w14:paraId="6B18E104"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1.23</w:t>
            </w:r>
          </w:p>
        </w:tc>
        <w:tc>
          <w:tcPr>
            <w:tcW w:w="1320" w:type="dxa"/>
            <w:hideMark/>
          </w:tcPr>
          <w:p w14:paraId="347D5096"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1.29</w:t>
            </w:r>
          </w:p>
        </w:tc>
        <w:tc>
          <w:tcPr>
            <w:tcW w:w="1440" w:type="dxa"/>
            <w:hideMark/>
          </w:tcPr>
          <w:p w14:paraId="46896754"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1.30</w:t>
            </w:r>
          </w:p>
        </w:tc>
      </w:tr>
    </w:tbl>
    <w:p w14:paraId="04E13F5C" w14:textId="77777777" w:rsidR="0018210F" w:rsidRPr="00AE2312" w:rsidRDefault="0018210F" w:rsidP="0018210F">
      <w:pPr>
        <w:rPr>
          <w:rFonts w:ascii="Arial" w:hAnsi="Arial" w:cs="Arial"/>
          <w:szCs w:val="24"/>
        </w:rPr>
      </w:pPr>
    </w:p>
    <w:tbl>
      <w:tblPr>
        <w:tblStyle w:val="ListTable3-Accent6"/>
        <w:tblW w:w="8960" w:type="dxa"/>
        <w:tblLook w:val="04A0" w:firstRow="1" w:lastRow="0" w:firstColumn="1" w:lastColumn="0" w:noHBand="0" w:noVBand="1"/>
      </w:tblPr>
      <w:tblGrid>
        <w:gridCol w:w="2180"/>
        <w:gridCol w:w="1240"/>
        <w:gridCol w:w="1440"/>
        <w:gridCol w:w="1340"/>
        <w:gridCol w:w="1320"/>
        <w:gridCol w:w="1440"/>
      </w:tblGrid>
      <w:tr w:rsidR="0018210F" w:rsidRPr="00AE2312" w14:paraId="12E9792E" w14:textId="77777777" w:rsidTr="0018210F">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60" w:type="dxa"/>
            <w:gridSpan w:val="6"/>
            <w:noWrap/>
            <w:hideMark/>
          </w:tcPr>
          <w:p w14:paraId="654B402A"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CASH FLOW RATIOS</w:t>
            </w:r>
          </w:p>
        </w:tc>
      </w:tr>
      <w:tr w:rsidR="0018210F" w:rsidRPr="00AE2312" w14:paraId="7D7A809B"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21DA9F19" w14:textId="77777777" w:rsidR="0018210F" w:rsidRPr="00AE2312" w:rsidRDefault="0018210F" w:rsidP="0018210F">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Ratio</w:t>
            </w:r>
          </w:p>
        </w:tc>
        <w:tc>
          <w:tcPr>
            <w:tcW w:w="1240" w:type="dxa"/>
            <w:hideMark/>
          </w:tcPr>
          <w:p w14:paraId="5B163D33"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2021</w:t>
            </w:r>
          </w:p>
        </w:tc>
        <w:tc>
          <w:tcPr>
            <w:tcW w:w="1440" w:type="dxa"/>
            <w:hideMark/>
          </w:tcPr>
          <w:p w14:paraId="7F36B36D"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2022</w:t>
            </w:r>
          </w:p>
        </w:tc>
        <w:tc>
          <w:tcPr>
            <w:tcW w:w="1340" w:type="dxa"/>
            <w:hideMark/>
          </w:tcPr>
          <w:p w14:paraId="708E5DFF"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2023</w:t>
            </w:r>
          </w:p>
        </w:tc>
        <w:tc>
          <w:tcPr>
            <w:tcW w:w="1320" w:type="dxa"/>
            <w:hideMark/>
          </w:tcPr>
          <w:p w14:paraId="20B8F427"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2024</w:t>
            </w:r>
          </w:p>
        </w:tc>
        <w:tc>
          <w:tcPr>
            <w:tcW w:w="1440" w:type="dxa"/>
            <w:hideMark/>
          </w:tcPr>
          <w:p w14:paraId="727B4106" w14:textId="77777777" w:rsidR="0018210F" w:rsidRPr="00AE2312" w:rsidRDefault="0018210F" w:rsidP="0018210F">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2025</w:t>
            </w:r>
          </w:p>
        </w:tc>
      </w:tr>
      <w:tr w:rsidR="0018210F" w:rsidRPr="00AE2312" w14:paraId="3BD3F782" w14:textId="77777777" w:rsidTr="0018210F">
        <w:trPr>
          <w:trHeight w:val="576"/>
        </w:trPr>
        <w:tc>
          <w:tcPr>
            <w:cnfStyle w:val="001000000000" w:firstRow="0" w:lastRow="0" w:firstColumn="1" w:lastColumn="0" w:oddVBand="0" w:evenVBand="0" w:oddHBand="0" w:evenHBand="0" w:firstRowFirstColumn="0" w:firstRowLastColumn="0" w:lastRowFirstColumn="0" w:lastRowLastColumn="0"/>
            <w:tcW w:w="2180" w:type="dxa"/>
            <w:hideMark/>
          </w:tcPr>
          <w:p w14:paraId="5FA4BD35"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Cash Flow to Revenue</w:t>
            </w:r>
          </w:p>
        </w:tc>
        <w:tc>
          <w:tcPr>
            <w:tcW w:w="1240" w:type="dxa"/>
            <w:hideMark/>
          </w:tcPr>
          <w:p w14:paraId="4DFB80AE"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3.44%</w:t>
            </w:r>
          </w:p>
        </w:tc>
        <w:tc>
          <w:tcPr>
            <w:tcW w:w="1440" w:type="dxa"/>
            <w:hideMark/>
          </w:tcPr>
          <w:p w14:paraId="448478AA"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1.72%</w:t>
            </w:r>
          </w:p>
        </w:tc>
        <w:tc>
          <w:tcPr>
            <w:tcW w:w="1340" w:type="dxa"/>
            <w:hideMark/>
          </w:tcPr>
          <w:p w14:paraId="2915E95A"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3.32%</w:t>
            </w:r>
          </w:p>
        </w:tc>
        <w:tc>
          <w:tcPr>
            <w:tcW w:w="1320" w:type="dxa"/>
            <w:hideMark/>
          </w:tcPr>
          <w:p w14:paraId="48A5E222"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1.54%</w:t>
            </w:r>
          </w:p>
        </w:tc>
        <w:tc>
          <w:tcPr>
            <w:tcW w:w="1440" w:type="dxa"/>
            <w:hideMark/>
          </w:tcPr>
          <w:p w14:paraId="1EE11449" w14:textId="77777777" w:rsidR="0018210F" w:rsidRPr="00AE2312" w:rsidRDefault="0018210F" w:rsidP="0018210F">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1.99%</w:t>
            </w:r>
          </w:p>
        </w:tc>
      </w:tr>
      <w:tr w:rsidR="0018210F" w:rsidRPr="00AE2312" w14:paraId="3268C95A" w14:textId="77777777" w:rsidTr="0018210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0" w:type="dxa"/>
            <w:hideMark/>
          </w:tcPr>
          <w:p w14:paraId="4DCAF88A" w14:textId="77777777" w:rsidR="0018210F" w:rsidRPr="00AE2312" w:rsidRDefault="0018210F" w:rsidP="0018210F">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Cash Flow to Debt</w:t>
            </w:r>
          </w:p>
        </w:tc>
        <w:tc>
          <w:tcPr>
            <w:tcW w:w="1240" w:type="dxa"/>
            <w:hideMark/>
          </w:tcPr>
          <w:p w14:paraId="7EAD9674"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4.10%</w:t>
            </w:r>
          </w:p>
        </w:tc>
        <w:tc>
          <w:tcPr>
            <w:tcW w:w="1440" w:type="dxa"/>
            <w:hideMark/>
          </w:tcPr>
          <w:p w14:paraId="6471D58D"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2.34%</w:t>
            </w:r>
          </w:p>
        </w:tc>
        <w:tc>
          <w:tcPr>
            <w:tcW w:w="1340" w:type="dxa"/>
            <w:hideMark/>
          </w:tcPr>
          <w:p w14:paraId="7E1A7456"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4.60%</w:t>
            </w:r>
          </w:p>
        </w:tc>
        <w:tc>
          <w:tcPr>
            <w:tcW w:w="1320" w:type="dxa"/>
            <w:hideMark/>
          </w:tcPr>
          <w:p w14:paraId="57EDF995"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1.97%</w:t>
            </w:r>
          </w:p>
        </w:tc>
        <w:tc>
          <w:tcPr>
            <w:tcW w:w="1440" w:type="dxa"/>
            <w:hideMark/>
          </w:tcPr>
          <w:p w14:paraId="5F8CAA29" w14:textId="77777777" w:rsidR="0018210F" w:rsidRPr="00AE2312" w:rsidRDefault="0018210F" w:rsidP="0018210F">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2.42%</w:t>
            </w:r>
          </w:p>
        </w:tc>
      </w:tr>
    </w:tbl>
    <w:p w14:paraId="6F55186B" w14:textId="22181C7F" w:rsidR="00522B17" w:rsidRPr="00AE2312" w:rsidRDefault="00522B17" w:rsidP="0018210F">
      <w:pPr>
        <w:rPr>
          <w:rFonts w:ascii="Arial" w:hAnsi="Arial" w:cs="Arial"/>
          <w:szCs w:val="24"/>
        </w:rPr>
      </w:pPr>
      <w:r w:rsidRPr="00AE2312">
        <w:rPr>
          <w:rFonts w:ascii="Arial" w:hAnsi="Arial" w:cs="Arial"/>
          <w:szCs w:val="24"/>
        </w:rPr>
        <w:t xml:space="preserve"> </w:t>
      </w:r>
    </w:p>
    <w:p w14:paraId="24AA99CF" w14:textId="3E1A8A13" w:rsidR="00522B17" w:rsidRPr="00AE2312" w:rsidRDefault="00522B17" w:rsidP="00BC3AA2">
      <w:pPr>
        <w:pStyle w:val="Heading2"/>
        <w:rPr>
          <w:rFonts w:ascii="Arial" w:hAnsi="Arial" w:cs="Arial"/>
          <w:szCs w:val="24"/>
        </w:rPr>
      </w:pPr>
      <w:bookmarkStart w:id="45" w:name="_Toc227920743"/>
      <w:r w:rsidRPr="00AE2312">
        <w:rPr>
          <w:rFonts w:ascii="Arial" w:hAnsi="Arial" w:cs="Arial"/>
          <w:szCs w:val="24"/>
        </w:rPr>
        <w:t>INVESTMENT APPRAISAL</w:t>
      </w:r>
      <w:bookmarkEnd w:id="45"/>
    </w:p>
    <w:tbl>
      <w:tblPr>
        <w:tblStyle w:val="ListTable3-Accent6"/>
        <w:tblW w:w="8926" w:type="dxa"/>
        <w:tblLook w:val="04A0" w:firstRow="1" w:lastRow="0" w:firstColumn="1" w:lastColumn="0" w:noHBand="0" w:noVBand="1"/>
      </w:tblPr>
      <w:tblGrid>
        <w:gridCol w:w="1413"/>
        <w:gridCol w:w="3260"/>
        <w:gridCol w:w="2410"/>
        <w:gridCol w:w="1843"/>
      </w:tblGrid>
      <w:tr w:rsidR="00522B17" w:rsidRPr="00AE2312" w14:paraId="564BFA62"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26" w:type="dxa"/>
            <w:gridSpan w:val="4"/>
            <w:noWrap/>
            <w:hideMark/>
          </w:tcPr>
          <w:p w14:paraId="6B988C51"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CASH FLOWS</w:t>
            </w:r>
          </w:p>
        </w:tc>
      </w:tr>
      <w:tr w:rsidR="00522B17" w:rsidRPr="00AE2312" w14:paraId="6C8A64F9"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3BD15E4A"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Year</w:t>
            </w:r>
          </w:p>
        </w:tc>
        <w:tc>
          <w:tcPr>
            <w:tcW w:w="3260" w:type="dxa"/>
            <w:hideMark/>
          </w:tcPr>
          <w:p w14:paraId="6A1B0ACE"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Project A (£m)</w:t>
            </w:r>
          </w:p>
        </w:tc>
        <w:tc>
          <w:tcPr>
            <w:tcW w:w="2410" w:type="dxa"/>
            <w:hideMark/>
          </w:tcPr>
          <w:p w14:paraId="2A7A7D71"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Project B (£m)</w:t>
            </w:r>
          </w:p>
        </w:tc>
        <w:tc>
          <w:tcPr>
            <w:tcW w:w="1843" w:type="dxa"/>
            <w:hideMark/>
          </w:tcPr>
          <w:p w14:paraId="382B3483"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Project C (£m)</w:t>
            </w:r>
          </w:p>
        </w:tc>
      </w:tr>
      <w:tr w:rsidR="00522B17" w:rsidRPr="00AE2312" w14:paraId="2FE42CA9"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14508711" w14:textId="77777777" w:rsidR="00522B17" w:rsidRPr="00AE2312" w:rsidRDefault="00522B17" w:rsidP="00522B17">
            <w:pPr>
              <w:spacing w:before="0" w:after="0" w:line="240" w:lineRule="auto"/>
              <w:jc w:val="righ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0</w:t>
            </w:r>
          </w:p>
        </w:tc>
        <w:tc>
          <w:tcPr>
            <w:tcW w:w="3260" w:type="dxa"/>
            <w:hideMark/>
          </w:tcPr>
          <w:p w14:paraId="705A4C26"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-50</w:t>
            </w:r>
          </w:p>
        </w:tc>
        <w:tc>
          <w:tcPr>
            <w:tcW w:w="2410" w:type="dxa"/>
            <w:hideMark/>
          </w:tcPr>
          <w:p w14:paraId="532837C1"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-50</w:t>
            </w:r>
          </w:p>
        </w:tc>
        <w:tc>
          <w:tcPr>
            <w:tcW w:w="1843" w:type="dxa"/>
            <w:hideMark/>
          </w:tcPr>
          <w:p w14:paraId="48EFBAF5"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-50</w:t>
            </w:r>
          </w:p>
        </w:tc>
      </w:tr>
      <w:tr w:rsidR="00522B17" w:rsidRPr="00AE2312" w14:paraId="504B2AB6"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5F921933" w14:textId="77777777" w:rsidR="00522B17" w:rsidRPr="00AE2312" w:rsidRDefault="00522B17" w:rsidP="00522B17">
            <w:pPr>
              <w:spacing w:before="0" w:after="0" w:line="240" w:lineRule="auto"/>
              <w:jc w:val="righ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w:t>
            </w:r>
          </w:p>
        </w:tc>
        <w:tc>
          <w:tcPr>
            <w:tcW w:w="3260" w:type="dxa"/>
            <w:hideMark/>
          </w:tcPr>
          <w:p w14:paraId="02DD9026"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w:t>
            </w:r>
          </w:p>
        </w:tc>
        <w:tc>
          <w:tcPr>
            <w:tcW w:w="2410" w:type="dxa"/>
            <w:hideMark/>
          </w:tcPr>
          <w:p w14:paraId="08EFB463"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w:t>
            </w:r>
          </w:p>
        </w:tc>
        <w:tc>
          <w:tcPr>
            <w:tcW w:w="1843" w:type="dxa"/>
            <w:hideMark/>
          </w:tcPr>
          <w:p w14:paraId="6EE7DE61"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w:t>
            </w:r>
          </w:p>
        </w:tc>
      </w:tr>
      <w:tr w:rsidR="00522B17" w:rsidRPr="00AE2312" w14:paraId="4A29FB20"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6EB26001" w14:textId="77777777" w:rsidR="00522B17" w:rsidRPr="00AE2312" w:rsidRDefault="00522B17" w:rsidP="00522B17">
            <w:pPr>
              <w:spacing w:before="0" w:after="0" w:line="240" w:lineRule="auto"/>
              <w:jc w:val="righ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w:t>
            </w:r>
          </w:p>
        </w:tc>
        <w:tc>
          <w:tcPr>
            <w:tcW w:w="3260" w:type="dxa"/>
            <w:hideMark/>
          </w:tcPr>
          <w:p w14:paraId="4C1A090A"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w:t>
            </w:r>
          </w:p>
        </w:tc>
        <w:tc>
          <w:tcPr>
            <w:tcW w:w="2410" w:type="dxa"/>
            <w:hideMark/>
          </w:tcPr>
          <w:p w14:paraId="1DD99615"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w:t>
            </w:r>
          </w:p>
        </w:tc>
        <w:tc>
          <w:tcPr>
            <w:tcW w:w="1843" w:type="dxa"/>
            <w:hideMark/>
          </w:tcPr>
          <w:p w14:paraId="3F5F681D"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w:t>
            </w:r>
          </w:p>
        </w:tc>
      </w:tr>
      <w:tr w:rsidR="00522B17" w:rsidRPr="00AE2312" w14:paraId="3B55DCF2"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4793C541" w14:textId="77777777" w:rsidR="00522B17" w:rsidRPr="00AE2312" w:rsidRDefault="00522B17" w:rsidP="00522B17">
            <w:pPr>
              <w:spacing w:before="0" w:after="0" w:line="240" w:lineRule="auto"/>
              <w:jc w:val="righ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w:t>
            </w:r>
          </w:p>
        </w:tc>
        <w:tc>
          <w:tcPr>
            <w:tcW w:w="3260" w:type="dxa"/>
            <w:hideMark/>
          </w:tcPr>
          <w:p w14:paraId="0B032529"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14</w:t>
            </w:r>
          </w:p>
        </w:tc>
        <w:tc>
          <w:tcPr>
            <w:tcW w:w="2410" w:type="dxa"/>
            <w:hideMark/>
          </w:tcPr>
          <w:p w14:paraId="12B54182"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w:t>
            </w:r>
          </w:p>
        </w:tc>
        <w:tc>
          <w:tcPr>
            <w:tcW w:w="1843" w:type="dxa"/>
            <w:hideMark/>
          </w:tcPr>
          <w:p w14:paraId="4E9EC0C3"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20</w:t>
            </w:r>
          </w:p>
        </w:tc>
      </w:tr>
      <w:tr w:rsidR="00522B17" w:rsidRPr="00AE2312" w14:paraId="71859645"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6809FD2A" w14:textId="77777777" w:rsidR="00522B17" w:rsidRPr="00AE2312" w:rsidRDefault="00522B17" w:rsidP="00522B17">
            <w:pPr>
              <w:spacing w:before="0" w:after="0" w:line="240" w:lineRule="auto"/>
              <w:jc w:val="righ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w:t>
            </w:r>
          </w:p>
        </w:tc>
        <w:tc>
          <w:tcPr>
            <w:tcW w:w="3260" w:type="dxa"/>
            <w:hideMark/>
          </w:tcPr>
          <w:p w14:paraId="62421883"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w:t>
            </w:r>
          </w:p>
        </w:tc>
        <w:tc>
          <w:tcPr>
            <w:tcW w:w="2410" w:type="dxa"/>
            <w:hideMark/>
          </w:tcPr>
          <w:p w14:paraId="1CB334C8"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w:t>
            </w:r>
          </w:p>
        </w:tc>
        <w:tc>
          <w:tcPr>
            <w:tcW w:w="1843" w:type="dxa"/>
            <w:hideMark/>
          </w:tcPr>
          <w:p w14:paraId="21FC924F"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25</w:t>
            </w:r>
          </w:p>
        </w:tc>
      </w:tr>
      <w:tr w:rsidR="00522B17" w:rsidRPr="00AE2312" w14:paraId="24352074"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413" w:type="dxa"/>
            <w:hideMark/>
          </w:tcPr>
          <w:p w14:paraId="2CE2D066" w14:textId="77777777" w:rsidR="00522B17" w:rsidRPr="00AE2312" w:rsidRDefault="00522B17" w:rsidP="00522B17">
            <w:pPr>
              <w:spacing w:before="0" w:after="0" w:line="240" w:lineRule="auto"/>
              <w:jc w:val="righ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lastRenderedPageBreak/>
              <w:t>5</w:t>
            </w:r>
          </w:p>
        </w:tc>
        <w:tc>
          <w:tcPr>
            <w:tcW w:w="3260" w:type="dxa"/>
            <w:hideMark/>
          </w:tcPr>
          <w:p w14:paraId="1461B24C"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8</w:t>
            </w:r>
          </w:p>
        </w:tc>
        <w:tc>
          <w:tcPr>
            <w:tcW w:w="2410" w:type="dxa"/>
            <w:hideMark/>
          </w:tcPr>
          <w:p w14:paraId="0301CDE7"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w:t>
            </w:r>
          </w:p>
        </w:tc>
        <w:tc>
          <w:tcPr>
            <w:tcW w:w="1843" w:type="dxa"/>
            <w:hideMark/>
          </w:tcPr>
          <w:p w14:paraId="7744C48C"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w:t>
            </w:r>
          </w:p>
        </w:tc>
      </w:tr>
    </w:tbl>
    <w:p w14:paraId="15DBC4DF" w14:textId="77777777" w:rsidR="00522B17" w:rsidRPr="00AE2312" w:rsidRDefault="00522B17" w:rsidP="00522B17">
      <w:pPr>
        <w:rPr>
          <w:rFonts w:ascii="Arial" w:hAnsi="Arial" w:cs="Arial"/>
          <w:szCs w:val="24"/>
        </w:rPr>
      </w:pPr>
    </w:p>
    <w:tbl>
      <w:tblPr>
        <w:tblStyle w:val="ListTable3-Accent6"/>
        <w:tblW w:w="4220" w:type="dxa"/>
        <w:tblLook w:val="04A0" w:firstRow="1" w:lastRow="0" w:firstColumn="1" w:lastColumn="0" w:noHBand="0" w:noVBand="1"/>
      </w:tblPr>
      <w:tblGrid>
        <w:gridCol w:w="1030"/>
        <w:gridCol w:w="3190"/>
      </w:tblGrid>
      <w:tr w:rsidR="00522B17" w:rsidRPr="00AE2312" w14:paraId="52551B28"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4220" w:type="dxa"/>
            <w:gridSpan w:val="2"/>
            <w:noWrap/>
            <w:hideMark/>
          </w:tcPr>
          <w:p w14:paraId="7A98C89D"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NPV (10% DISCOUNT RATE)</w:t>
            </w:r>
          </w:p>
        </w:tc>
      </w:tr>
      <w:tr w:rsidR="00522B17" w:rsidRPr="00AE2312" w14:paraId="44684357"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25FFAB91"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Project</w:t>
            </w:r>
          </w:p>
        </w:tc>
        <w:tc>
          <w:tcPr>
            <w:tcW w:w="3260" w:type="dxa"/>
            <w:hideMark/>
          </w:tcPr>
          <w:p w14:paraId="5C65B1F1"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NPV (£m)</w:t>
            </w:r>
          </w:p>
        </w:tc>
      </w:tr>
      <w:tr w:rsidR="00522B17" w:rsidRPr="00AE2312" w14:paraId="01E44ECB"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6EEC43CF"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w:t>
            </w:r>
          </w:p>
        </w:tc>
        <w:tc>
          <w:tcPr>
            <w:tcW w:w="3260" w:type="dxa"/>
            <w:hideMark/>
          </w:tcPr>
          <w:p w14:paraId="78F248EB"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3.79</w:t>
            </w:r>
          </w:p>
        </w:tc>
      </w:tr>
      <w:tr w:rsidR="00522B17" w:rsidRPr="00AE2312" w14:paraId="7FF744F1"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2EAF791F"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B</w:t>
            </w:r>
          </w:p>
        </w:tc>
        <w:tc>
          <w:tcPr>
            <w:tcW w:w="3260" w:type="dxa"/>
            <w:hideMark/>
          </w:tcPr>
          <w:p w14:paraId="1CC656A9"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1.68</w:t>
            </w:r>
          </w:p>
        </w:tc>
      </w:tr>
      <w:tr w:rsidR="00522B17" w:rsidRPr="00AE2312" w14:paraId="3EEBFC08"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4C1CD08E"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w:t>
            </w:r>
          </w:p>
        </w:tc>
        <w:tc>
          <w:tcPr>
            <w:tcW w:w="3260" w:type="dxa"/>
            <w:hideMark/>
          </w:tcPr>
          <w:p w14:paraId="0879ACEF"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6.68</w:t>
            </w:r>
          </w:p>
        </w:tc>
      </w:tr>
    </w:tbl>
    <w:p w14:paraId="67122BC3" w14:textId="77777777" w:rsidR="00522B17" w:rsidRPr="00AE2312" w:rsidRDefault="00522B17" w:rsidP="00522B17">
      <w:pPr>
        <w:rPr>
          <w:rFonts w:ascii="Arial" w:hAnsi="Arial" w:cs="Arial"/>
          <w:szCs w:val="24"/>
        </w:rPr>
      </w:pPr>
    </w:p>
    <w:tbl>
      <w:tblPr>
        <w:tblStyle w:val="ListTable3-Accent6"/>
        <w:tblW w:w="4220" w:type="dxa"/>
        <w:tblLook w:val="04A0" w:firstRow="1" w:lastRow="0" w:firstColumn="1" w:lastColumn="0" w:noHBand="0" w:noVBand="1"/>
      </w:tblPr>
      <w:tblGrid>
        <w:gridCol w:w="1030"/>
        <w:gridCol w:w="3190"/>
      </w:tblGrid>
      <w:tr w:rsidR="00522B17" w:rsidRPr="00AE2312" w14:paraId="3FB974E8"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4220" w:type="dxa"/>
            <w:gridSpan w:val="2"/>
            <w:noWrap/>
            <w:hideMark/>
          </w:tcPr>
          <w:p w14:paraId="7095D92D"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IRR</w:t>
            </w:r>
          </w:p>
        </w:tc>
      </w:tr>
      <w:tr w:rsidR="00522B17" w:rsidRPr="00AE2312" w14:paraId="60EAF634"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48C6AEF0"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Project</w:t>
            </w:r>
          </w:p>
        </w:tc>
        <w:tc>
          <w:tcPr>
            <w:tcW w:w="3260" w:type="dxa"/>
            <w:hideMark/>
          </w:tcPr>
          <w:p w14:paraId="0932120B"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IRR (%)</w:t>
            </w:r>
          </w:p>
        </w:tc>
      </w:tr>
      <w:tr w:rsidR="00522B17" w:rsidRPr="00AE2312" w14:paraId="1DBB87A8"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30F40A4C"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w:t>
            </w:r>
          </w:p>
        </w:tc>
        <w:tc>
          <w:tcPr>
            <w:tcW w:w="3260" w:type="dxa"/>
            <w:hideMark/>
          </w:tcPr>
          <w:p w14:paraId="1D3BE48C"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13.90%</w:t>
            </w:r>
          </w:p>
        </w:tc>
      </w:tr>
      <w:tr w:rsidR="00522B17" w:rsidRPr="00AE2312" w14:paraId="47B635AD"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3E5005BB"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B</w:t>
            </w:r>
          </w:p>
        </w:tc>
        <w:tc>
          <w:tcPr>
            <w:tcW w:w="3260" w:type="dxa"/>
            <w:hideMark/>
          </w:tcPr>
          <w:p w14:paraId="1EF8BEA3"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12.80%</w:t>
            </w:r>
          </w:p>
        </w:tc>
      </w:tr>
      <w:tr w:rsidR="00522B17" w:rsidRPr="00AE2312" w14:paraId="4E77ED9C"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34360C1C"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w:t>
            </w:r>
          </w:p>
        </w:tc>
        <w:tc>
          <w:tcPr>
            <w:tcW w:w="3260" w:type="dxa"/>
            <w:hideMark/>
          </w:tcPr>
          <w:p w14:paraId="187B54FB"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15.60%</w:t>
            </w:r>
          </w:p>
        </w:tc>
      </w:tr>
    </w:tbl>
    <w:p w14:paraId="2D7FD6F6" w14:textId="77777777" w:rsidR="00522B17" w:rsidRPr="00AE2312" w:rsidRDefault="00522B17" w:rsidP="00522B17">
      <w:pPr>
        <w:rPr>
          <w:rFonts w:ascii="Arial" w:hAnsi="Arial" w:cs="Arial"/>
          <w:szCs w:val="24"/>
        </w:rPr>
      </w:pPr>
    </w:p>
    <w:tbl>
      <w:tblPr>
        <w:tblStyle w:val="ListTable3-Accent6"/>
        <w:tblW w:w="4220" w:type="dxa"/>
        <w:tblLook w:val="04A0" w:firstRow="1" w:lastRow="0" w:firstColumn="1" w:lastColumn="0" w:noHBand="0" w:noVBand="1"/>
      </w:tblPr>
      <w:tblGrid>
        <w:gridCol w:w="1030"/>
        <w:gridCol w:w="3190"/>
      </w:tblGrid>
      <w:tr w:rsidR="00522B17" w:rsidRPr="00AE2312" w14:paraId="6B8F2667"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4220" w:type="dxa"/>
            <w:gridSpan w:val="2"/>
            <w:noWrap/>
            <w:hideMark/>
          </w:tcPr>
          <w:p w14:paraId="21A25477"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PAYBACK PERIOD</w:t>
            </w:r>
          </w:p>
        </w:tc>
      </w:tr>
      <w:tr w:rsidR="00522B17" w:rsidRPr="00AE2312" w14:paraId="125738A2"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6DC14111"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Project</w:t>
            </w:r>
          </w:p>
        </w:tc>
        <w:tc>
          <w:tcPr>
            <w:tcW w:w="3260" w:type="dxa"/>
            <w:hideMark/>
          </w:tcPr>
          <w:p w14:paraId="29EA0890"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Payback Period (Years)</w:t>
            </w:r>
          </w:p>
        </w:tc>
      </w:tr>
      <w:tr w:rsidR="00522B17" w:rsidRPr="00AE2312" w14:paraId="2FE1F279"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37245ACC"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w:t>
            </w:r>
          </w:p>
        </w:tc>
        <w:tc>
          <w:tcPr>
            <w:tcW w:w="3260" w:type="dxa"/>
            <w:hideMark/>
          </w:tcPr>
          <w:p w14:paraId="08BC0394" w14:textId="77777777" w:rsidR="00522B17" w:rsidRPr="00AE2312" w:rsidRDefault="00522B17" w:rsidP="00522B17">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4.5 years</w:t>
            </w:r>
          </w:p>
        </w:tc>
      </w:tr>
      <w:tr w:rsidR="00522B17" w:rsidRPr="00AE2312" w14:paraId="54AD6532"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0A1FDE28"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B</w:t>
            </w:r>
          </w:p>
        </w:tc>
        <w:tc>
          <w:tcPr>
            <w:tcW w:w="3260" w:type="dxa"/>
            <w:hideMark/>
          </w:tcPr>
          <w:p w14:paraId="039A61FA" w14:textId="77777777" w:rsidR="00522B17" w:rsidRPr="00AE2312" w:rsidRDefault="00522B17" w:rsidP="00522B17">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4.5 years</w:t>
            </w:r>
          </w:p>
        </w:tc>
      </w:tr>
      <w:tr w:rsidR="00522B17" w:rsidRPr="00AE2312" w14:paraId="4D8EDA68"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960" w:type="dxa"/>
            <w:hideMark/>
          </w:tcPr>
          <w:p w14:paraId="1B1023E8"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w:t>
            </w:r>
          </w:p>
        </w:tc>
        <w:tc>
          <w:tcPr>
            <w:tcW w:w="3260" w:type="dxa"/>
            <w:hideMark/>
          </w:tcPr>
          <w:p w14:paraId="553E2E9B" w14:textId="77777777" w:rsidR="00522B17" w:rsidRPr="00AE2312" w:rsidRDefault="00522B17" w:rsidP="00522B17">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3.6 years</w:t>
            </w:r>
          </w:p>
        </w:tc>
      </w:tr>
    </w:tbl>
    <w:p w14:paraId="741B102E" w14:textId="77777777" w:rsidR="00522B17" w:rsidRPr="00AE2312" w:rsidRDefault="00522B17" w:rsidP="00522B17">
      <w:pPr>
        <w:rPr>
          <w:rFonts w:ascii="Arial" w:hAnsi="Arial" w:cs="Arial"/>
          <w:szCs w:val="24"/>
        </w:rPr>
      </w:pPr>
    </w:p>
    <w:tbl>
      <w:tblPr>
        <w:tblStyle w:val="ListTable3-Accent6"/>
        <w:tblW w:w="8926" w:type="dxa"/>
        <w:tblLook w:val="04A0" w:firstRow="1" w:lastRow="0" w:firstColumn="1" w:lastColumn="0" w:noHBand="0" w:noVBand="1"/>
      </w:tblPr>
      <w:tblGrid>
        <w:gridCol w:w="2122"/>
        <w:gridCol w:w="3543"/>
        <w:gridCol w:w="3261"/>
      </w:tblGrid>
      <w:tr w:rsidR="00522B17" w:rsidRPr="00AE2312" w14:paraId="388EE969"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26" w:type="dxa"/>
            <w:gridSpan w:val="3"/>
            <w:noWrap/>
            <w:hideMark/>
          </w:tcPr>
          <w:p w14:paraId="4B0C791B"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ACCOUNTING RATE OF RETURN</w:t>
            </w:r>
          </w:p>
        </w:tc>
      </w:tr>
      <w:tr w:rsidR="00522B17" w:rsidRPr="00AE2312" w14:paraId="187355FE"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22" w:type="dxa"/>
            <w:hideMark/>
          </w:tcPr>
          <w:p w14:paraId="5D9D2A7F"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Project</w:t>
            </w:r>
          </w:p>
        </w:tc>
        <w:tc>
          <w:tcPr>
            <w:tcW w:w="3543" w:type="dxa"/>
            <w:hideMark/>
          </w:tcPr>
          <w:p w14:paraId="717443AB"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Average Profit (£m)</w:t>
            </w:r>
          </w:p>
        </w:tc>
        <w:tc>
          <w:tcPr>
            <w:tcW w:w="3261" w:type="dxa"/>
            <w:hideMark/>
          </w:tcPr>
          <w:p w14:paraId="1454E8CA"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ARR (%)</w:t>
            </w:r>
          </w:p>
        </w:tc>
      </w:tr>
      <w:tr w:rsidR="00522B17" w:rsidRPr="00AE2312" w14:paraId="6C32045D"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2122" w:type="dxa"/>
            <w:hideMark/>
          </w:tcPr>
          <w:p w14:paraId="1BB6A520"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w:t>
            </w:r>
          </w:p>
        </w:tc>
        <w:tc>
          <w:tcPr>
            <w:tcW w:w="3543" w:type="dxa"/>
            <w:hideMark/>
          </w:tcPr>
          <w:p w14:paraId="48E98AC6"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10.8</w:t>
            </w:r>
          </w:p>
        </w:tc>
        <w:tc>
          <w:tcPr>
            <w:tcW w:w="3261" w:type="dxa"/>
            <w:hideMark/>
          </w:tcPr>
          <w:p w14:paraId="427DB914"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21.60%</w:t>
            </w:r>
          </w:p>
        </w:tc>
      </w:tr>
      <w:tr w:rsidR="00522B17" w:rsidRPr="00AE2312" w14:paraId="141151C6"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22" w:type="dxa"/>
            <w:hideMark/>
          </w:tcPr>
          <w:p w14:paraId="55DE444B"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B</w:t>
            </w:r>
          </w:p>
        </w:tc>
        <w:tc>
          <w:tcPr>
            <w:tcW w:w="3543" w:type="dxa"/>
            <w:hideMark/>
          </w:tcPr>
          <w:p w14:paraId="4AEEC949"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w:t>
            </w:r>
          </w:p>
        </w:tc>
        <w:tc>
          <w:tcPr>
            <w:tcW w:w="3261" w:type="dxa"/>
            <w:hideMark/>
          </w:tcPr>
          <w:p w14:paraId="45ACDFC5"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22.00%</w:t>
            </w:r>
          </w:p>
        </w:tc>
      </w:tr>
      <w:tr w:rsidR="00522B17" w:rsidRPr="00AE2312" w14:paraId="02A59990"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2122" w:type="dxa"/>
            <w:hideMark/>
          </w:tcPr>
          <w:p w14:paraId="777ADE29"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w:t>
            </w:r>
          </w:p>
        </w:tc>
        <w:tc>
          <w:tcPr>
            <w:tcW w:w="3543" w:type="dxa"/>
            <w:hideMark/>
          </w:tcPr>
          <w:p w14:paraId="3FA9C4CE"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13</w:t>
            </w:r>
          </w:p>
        </w:tc>
        <w:tc>
          <w:tcPr>
            <w:tcW w:w="3261" w:type="dxa"/>
            <w:hideMark/>
          </w:tcPr>
          <w:p w14:paraId="6EEFDAB1"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26.00%</w:t>
            </w:r>
          </w:p>
        </w:tc>
      </w:tr>
    </w:tbl>
    <w:p w14:paraId="6BF127F4" w14:textId="77777777" w:rsidR="00522B17" w:rsidRPr="00AE2312" w:rsidRDefault="00522B17" w:rsidP="00522B17">
      <w:pPr>
        <w:rPr>
          <w:rFonts w:ascii="Arial" w:hAnsi="Arial" w:cs="Arial"/>
          <w:szCs w:val="24"/>
        </w:rPr>
      </w:pPr>
    </w:p>
    <w:tbl>
      <w:tblPr>
        <w:tblStyle w:val="ListTable3-Accent6"/>
        <w:tblW w:w="5640" w:type="dxa"/>
        <w:tblLook w:val="04A0" w:firstRow="1" w:lastRow="0" w:firstColumn="1" w:lastColumn="0" w:noHBand="0" w:noVBand="1"/>
      </w:tblPr>
      <w:tblGrid>
        <w:gridCol w:w="2140"/>
        <w:gridCol w:w="3500"/>
      </w:tblGrid>
      <w:tr w:rsidR="00522B17" w:rsidRPr="00AE2312" w14:paraId="5903C013"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5640" w:type="dxa"/>
            <w:gridSpan w:val="2"/>
            <w:noWrap/>
            <w:hideMark/>
          </w:tcPr>
          <w:p w14:paraId="37D3F250"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PROFITABILITY INDEX (PI)</w:t>
            </w:r>
          </w:p>
        </w:tc>
      </w:tr>
      <w:tr w:rsidR="00522B17" w:rsidRPr="00AE2312" w14:paraId="30120608"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7FEC9102"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Project</w:t>
            </w:r>
          </w:p>
        </w:tc>
        <w:tc>
          <w:tcPr>
            <w:tcW w:w="3500" w:type="dxa"/>
            <w:hideMark/>
          </w:tcPr>
          <w:p w14:paraId="31840073"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PI</w:t>
            </w:r>
          </w:p>
        </w:tc>
      </w:tr>
      <w:tr w:rsidR="00522B17" w:rsidRPr="00AE2312" w14:paraId="72A3ED82"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3E7E3AF8"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w:t>
            </w:r>
          </w:p>
        </w:tc>
        <w:tc>
          <w:tcPr>
            <w:tcW w:w="3500" w:type="dxa"/>
            <w:hideMark/>
          </w:tcPr>
          <w:p w14:paraId="0BA922AD"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1.08</w:t>
            </w:r>
          </w:p>
        </w:tc>
      </w:tr>
      <w:tr w:rsidR="00522B17" w:rsidRPr="00AE2312" w14:paraId="3164446C"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15DB89F1"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B</w:t>
            </w:r>
          </w:p>
        </w:tc>
        <w:tc>
          <w:tcPr>
            <w:tcW w:w="3500" w:type="dxa"/>
            <w:hideMark/>
          </w:tcPr>
          <w:p w14:paraId="2247A3D1"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1.03</w:t>
            </w:r>
          </w:p>
        </w:tc>
      </w:tr>
      <w:tr w:rsidR="00522B17" w:rsidRPr="00AE2312" w14:paraId="1A1D674F"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6EA19F40"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w:t>
            </w:r>
          </w:p>
        </w:tc>
        <w:tc>
          <w:tcPr>
            <w:tcW w:w="3500" w:type="dxa"/>
            <w:hideMark/>
          </w:tcPr>
          <w:p w14:paraId="4967470C"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1.13</w:t>
            </w:r>
          </w:p>
        </w:tc>
      </w:tr>
    </w:tbl>
    <w:p w14:paraId="2FC6911E" w14:textId="77777777" w:rsidR="00522B17" w:rsidRPr="00AE2312" w:rsidRDefault="00522B17" w:rsidP="00522B17">
      <w:pPr>
        <w:rPr>
          <w:rFonts w:ascii="Arial" w:hAnsi="Arial" w:cs="Arial"/>
          <w:szCs w:val="24"/>
        </w:rPr>
      </w:pPr>
    </w:p>
    <w:tbl>
      <w:tblPr>
        <w:tblStyle w:val="ListTable3-Accent6"/>
        <w:tblW w:w="8926" w:type="dxa"/>
        <w:tblLook w:val="04A0" w:firstRow="1" w:lastRow="0" w:firstColumn="1" w:lastColumn="0" w:noHBand="0" w:noVBand="1"/>
      </w:tblPr>
      <w:tblGrid>
        <w:gridCol w:w="2140"/>
        <w:gridCol w:w="4376"/>
        <w:gridCol w:w="2410"/>
      </w:tblGrid>
      <w:tr w:rsidR="00522B17" w:rsidRPr="00AE2312" w14:paraId="72D82E0F" w14:textId="77777777" w:rsidTr="00522B17">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8926" w:type="dxa"/>
            <w:gridSpan w:val="3"/>
            <w:noWrap/>
            <w:hideMark/>
          </w:tcPr>
          <w:p w14:paraId="3034C0E0"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CAPITAL RATIONING (BUDGET £100m)</w:t>
            </w:r>
          </w:p>
        </w:tc>
      </w:tr>
      <w:tr w:rsidR="00522B17" w:rsidRPr="00AE2312" w14:paraId="0272AFA0"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6A6BE9BC" w14:textId="77777777" w:rsidR="00522B17" w:rsidRPr="00AE2312" w:rsidRDefault="00522B17" w:rsidP="00522B17">
            <w:pPr>
              <w:spacing w:before="0" w:after="0" w:line="240" w:lineRule="auto"/>
              <w:jc w:val="center"/>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Combination</w:t>
            </w:r>
          </w:p>
        </w:tc>
        <w:tc>
          <w:tcPr>
            <w:tcW w:w="4376" w:type="dxa"/>
            <w:hideMark/>
          </w:tcPr>
          <w:p w14:paraId="48F2CDE7"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Total Investment (£m)</w:t>
            </w:r>
          </w:p>
        </w:tc>
        <w:tc>
          <w:tcPr>
            <w:tcW w:w="2410" w:type="dxa"/>
            <w:hideMark/>
          </w:tcPr>
          <w:p w14:paraId="25D1F362" w14:textId="77777777" w:rsidR="00522B17" w:rsidRPr="00AE2312" w:rsidRDefault="00522B17" w:rsidP="00522B17">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lang w:val="en-IN" w:eastAsia="en-IN"/>
              </w:rPr>
            </w:pPr>
            <w:r w:rsidRPr="00AE2312">
              <w:rPr>
                <w:rFonts w:ascii="Arial" w:eastAsia="Times New Roman" w:hAnsi="Arial" w:cs="Arial"/>
                <w:b/>
                <w:bCs/>
                <w:color w:val="000000"/>
                <w:szCs w:val="24"/>
                <w:lang w:val="en-IN" w:eastAsia="en-IN"/>
              </w:rPr>
              <w:t>Total NPV (£m)</w:t>
            </w:r>
          </w:p>
        </w:tc>
      </w:tr>
      <w:tr w:rsidR="00522B17" w:rsidRPr="00AE2312" w14:paraId="5CCF92A7"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04C8495F"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 + B</w:t>
            </w:r>
          </w:p>
        </w:tc>
        <w:tc>
          <w:tcPr>
            <w:tcW w:w="4376" w:type="dxa"/>
            <w:hideMark/>
          </w:tcPr>
          <w:p w14:paraId="12B3767E"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100</w:t>
            </w:r>
          </w:p>
        </w:tc>
        <w:tc>
          <w:tcPr>
            <w:tcW w:w="2410" w:type="dxa"/>
            <w:hideMark/>
          </w:tcPr>
          <w:p w14:paraId="09D573FE"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5.47</w:t>
            </w:r>
          </w:p>
        </w:tc>
      </w:tr>
      <w:tr w:rsidR="00522B17" w:rsidRPr="00AE2312" w14:paraId="22BD61EF" w14:textId="77777777" w:rsidTr="00522B1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2239FBC8"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A + C</w:t>
            </w:r>
          </w:p>
        </w:tc>
        <w:tc>
          <w:tcPr>
            <w:tcW w:w="4376" w:type="dxa"/>
            <w:hideMark/>
          </w:tcPr>
          <w:p w14:paraId="257CE10E"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100</w:t>
            </w:r>
          </w:p>
        </w:tc>
        <w:tc>
          <w:tcPr>
            <w:tcW w:w="2410" w:type="dxa"/>
            <w:hideMark/>
          </w:tcPr>
          <w:p w14:paraId="42D28ECF" w14:textId="77777777" w:rsidR="00522B17" w:rsidRPr="00AE2312" w:rsidRDefault="00522B17" w:rsidP="00522B17">
            <w:pPr>
              <w:spacing w:before="0" w:after="0"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10.47</w:t>
            </w:r>
          </w:p>
        </w:tc>
      </w:tr>
      <w:tr w:rsidR="00522B17" w:rsidRPr="00AE2312" w14:paraId="33215AC5" w14:textId="77777777" w:rsidTr="00522B17">
        <w:trPr>
          <w:trHeight w:val="288"/>
        </w:trPr>
        <w:tc>
          <w:tcPr>
            <w:cnfStyle w:val="001000000000" w:firstRow="0" w:lastRow="0" w:firstColumn="1" w:lastColumn="0" w:oddVBand="0" w:evenVBand="0" w:oddHBand="0" w:evenHBand="0" w:firstRowFirstColumn="0" w:firstRowLastColumn="0" w:lastRowFirstColumn="0" w:lastRowLastColumn="0"/>
            <w:tcW w:w="2140" w:type="dxa"/>
            <w:hideMark/>
          </w:tcPr>
          <w:p w14:paraId="5662D348" w14:textId="77777777" w:rsidR="00522B17" w:rsidRPr="00AE2312" w:rsidRDefault="00522B17" w:rsidP="00522B17">
            <w:pPr>
              <w:spacing w:before="0" w:after="0" w:line="240" w:lineRule="auto"/>
              <w:jc w:val="left"/>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B + C</w:t>
            </w:r>
          </w:p>
        </w:tc>
        <w:tc>
          <w:tcPr>
            <w:tcW w:w="4376" w:type="dxa"/>
            <w:hideMark/>
          </w:tcPr>
          <w:p w14:paraId="2850599C"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100</w:t>
            </w:r>
          </w:p>
        </w:tc>
        <w:tc>
          <w:tcPr>
            <w:tcW w:w="2410" w:type="dxa"/>
            <w:hideMark/>
          </w:tcPr>
          <w:p w14:paraId="2D8A7117" w14:textId="77777777" w:rsidR="00522B17" w:rsidRPr="00AE2312" w:rsidRDefault="00522B17" w:rsidP="00522B17">
            <w:pPr>
              <w:spacing w:before="0" w:after="0"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IN" w:eastAsia="en-IN"/>
              </w:rPr>
            </w:pPr>
            <w:r w:rsidRPr="00AE2312">
              <w:rPr>
                <w:rFonts w:ascii="Arial" w:eastAsia="Times New Roman" w:hAnsi="Arial" w:cs="Arial"/>
                <w:color w:val="000000"/>
                <w:szCs w:val="24"/>
                <w:lang w:val="en-IN" w:eastAsia="en-IN"/>
              </w:rPr>
              <w:t>8.36</w:t>
            </w:r>
          </w:p>
        </w:tc>
      </w:tr>
    </w:tbl>
    <w:p w14:paraId="24C4C20B" w14:textId="77777777" w:rsidR="00522B17" w:rsidRPr="00AE2312" w:rsidRDefault="00522B17" w:rsidP="00522B17">
      <w:pPr>
        <w:rPr>
          <w:rFonts w:ascii="Arial" w:hAnsi="Arial" w:cs="Arial"/>
          <w:szCs w:val="24"/>
        </w:rPr>
      </w:pPr>
    </w:p>
    <w:sectPr w:rsidR="00522B17" w:rsidRPr="00AE2312" w:rsidSect="00983123">
      <w:headerReference w:type="default" r:id="rId20"/>
      <w:footerReference w:type="default" r:id="rId21"/>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9CF9A" w14:textId="77777777" w:rsidR="000E28E1" w:rsidRDefault="000E28E1" w:rsidP="00983123">
      <w:pPr>
        <w:spacing w:before="0" w:after="0" w:line="240" w:lineRule="auto"/>
      </w:pPr>
      <w:r>
        <w:separator/>
      </w:r>
    </w:p>
  </w:endnote>
  <w:endnote w:type="continuationSeparator" w:id="0">
    <w:p w14:paraId="5BA891F0" w14:textId="77777777" w:rsidR="000E28E1" w:rsidRDefault="000E28E1" w:rsidP="009831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848757"/>
      <w:docPartObj>
        <w:docPartGallery w:val="Page Numbers (Bottom of Page)"/>
        <w:docPartUnique/>
      </w:docPartObj>
    </w:sdtPr>
    <w:sdtEndPr>
      <w:rPr>
        <w:color w:val="7F7F7F" w:themeColor="background1" w:themeShade="7F"/>
        <w:spacing w:val="60"/>
      </w:rPr>
    </w:sdtEndPr>
    <w:sdtContent>
      <w:p w14:paraId="70AC15C8" w14:textId="07292AD4" w:rsidR="00983123" w:rsidRDefault="009831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F3FA26" w14:textId="77777777" w:rsidR="00983123" w:rsidRDefault="00983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F1469" w14:textId="77777777" w:rsidR="000E28E1" w:rsidRDefault="000E28E1" w:rsidP="00983123">
      <w:pPr>
        <w:spacing w:before="0" w:after="0" w:line="240" w:lineRule="auto"/>
      </w:pPr>
      <w:r>
        <w:separator/>
      </w:r>
    </w:p>
  </w:footnote>
  <w:footnote w:type="continuationSeparator" w:id="0">
    <w:p w14:paraId="2D145A88" w14:textId="77777777" w:rsidR="000E28E1" w:rsidRDefault="000E28E1" w:rsidP="0098312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74750" w14:textId="2E2F8DA5" w:rsidR="00B61C20" w:rsidRDefault="00B61C20">
    <w:pPr>
      <w:pStyle w:val="Header"/>
    </w:pPr>
    <w:r w:rsidRPr="00B61C20">
      <w:rPr>
        <w:noProof/>
        <w:lang w:val="en-IN"/>
      </w:rPr>
      <w:drawing>
        <wp:anchor distT="0" distB="0" distL="114300" distR="114300" simplePos="0" relativeHeight="251658240" behindDoc="0" locked="0" layoutInCell="1" allowOverlap="1" wp14:anchorId="7159CA15" wp14:editId="187EAB38">
          <wp:simplePos x="0" y="0"/>
          <wp:positionH relativeFrom="column">
            <wp:posOffset>5128260</wp:posOffset>
          </wp:positionH>
          <wp:positionV relativeFrom="paragraph">
            <wp:posOffset>0</wp:posOffset>
          </wp:positionV>
          <wp:extent cx="1082040" cy="391160"/>
          <wp:effectExtent l="0" t="0" r="3810" b="8890"/>
          <wp:wrapNone/>
          <wp:docPr id="1713529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75279" name=""/>
                  <pic:cNvPicPr/>
                </pic:nvPicPr>
                <pic:blipFill>
                  <a:blip r:embed="rId1">
                    <a:extLst>
                      <a:ext uri="{28A0092B-C50C-407E-A947-70E740481C1C}">
                        <a14:useLocalDpi xmlns:a14="http://schemas.microsoft.com/office/drawing/2010/main" val="0"/>
                      </a:ext>
                    </a:extLst>
                  </a:blip>
                  <a:stretch>
                    <a:fillRect/>
                  </a:stretch>
                </pic:blipFill>
                <pic:spPr>
                  <a:xfrm>
                    <a:off x="0" y="0"/>
                    <a:ext cx="1082040" cy="391160"/>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QxNDcyNTQ3AUJzUyUdpeDU4uLM/DyQApNaAFXOL8IsAAAA"/>
  </w:docVars>
  <w:rsids>
    <w:rsidRoot w:val="00983123"/>
    <w:rsid w:val="00005984"/>
    <w:rsid w:val="000122CC"/>
    <w:rsid w:val="00017683"/>
    <w:rsid w:val="00034FE9"/>
    <w:rsid w:val="00037351"/>
    <w:rsid w:val="00040371"/>
    <w:rsid w:val="00057486"/>
    <w:rsid w:val="000722F6"/>
    <w:rsid w:val="000768D0"/>
    <w:rsid w:val="00081CEA"/>
    <w:rsid w:val="000853AD"/>
    <w:rsid w:val="000A0A67"/>
    <w:rsid w:val="000A182D"/>
    <w:rsid w:val="000A43D5"/>
    <w:rsid w:val="000B1C31"/>
    <w:rsid w:val="000B3EB7"/>
    <w:rsid w:val="000B51E6"/>
    <w:rsid w:val="000B75E2"/>
    <w:rsid w:val="000C25A2"/>
    <w:rsid w:val="000D5DB0"/>
    <w:rsid w:val="000E1CEB"/>
    <w:rsid w:val="000E28E1"/>
    <w:rsid w:val="000F7679"/>
    <w:rsid w:val="001031FD"/>
    <w:rsid w:val="00104E32"/>
    <w:rsid w:val="001107D2"/>
    <w:rsid w:val="00112355"/>
    <w:rsid w:val="00117C84"/>
    <w:rsid w:val="00121569"/>
    <w:rsid w:val="001260AA"/>
    <w:rsid w:val="001461B6"/>
    <w:rsid w:val="001465E0"/>
    <w:rsid w:val="00154929"/>
    <w:rsid w:val="001608F6"/>
    <w:rsid w:val="00170092"/>
    <w:rsid w:val="00174461"/>
    <w:rsid w:val="0018210F"/>
    <w:rsid w:val="001832CB"/>
    <w:rsid w:val="00186824"/>
    <w:rsid w:val="00196E74"/>
    <w:rsid w:val="00197423"/>
    <w:rsid w:val="001B4113"/>
    <w:rsid w:val="001D488C"/>
    <w:rsid w:val="001E39D7"/>
    <w:rsid w:val="001E421F"/>
    <w:rsid w:val="001E4EAB"/>
    <w:rsid w:val="001E5881"/>
    <w:rsid w:val="001F51E0"/>
    <w:rsid w:val="002011DC"/>
    <w:rsid w:val="00202054"/>
    <w:rsid w:val="00207D1C"/>
    <w:rsid w:val="002138FC"/>
    <w:rsid w:val="00225642"/>
    <w:rsid w:val="002260E5"/>
    <w:rsid w:val="00236C01"/>
    <w:rsid w:val="00243EF9"/>
    <w:rsid w:val="002463F9"/>
    <w:rsid w:val="002467FB"/>
    <w:rsid w:val="00252B57"/>
    <w:rsid w:val="00267205"/>
    <w:rsid w:val="002851AD"/>
    <w:rsid w:val="00285EA8"/>
    <w:rsid w:val="0028652A"/>
    <w:rsid w:val="002A1EA7"/>
    <w:rsid w:val="002B2803"/>
    <w:rsid w:val="002B3FF6"/>
    <w:rsid w:val="002D65DD"/>
    <w:rsid w:val="002E552C"/>
    <w:rsid w:val="00301754"/>
    <w:rsid w:val="003021EE"/>
    <w:rsid w:val="003025E7"/>
    <w:rsid w:val="0031314E"/>
    <w:rsid w:val="0035298F"/>
    <w:rsid w:val="00371C16"/>
    <w:rsid w:val="0039134C"/>
    <w:rsid w:val="00392A32"/>
    <w:rsid w:val="00395F7E"/>
    <w:rsid w:val="003A3847"/>
    <w:rsid w:val="003B5F65"/>
    <w:rsid w:val="003C4AD2"/>
    <w:rsid w:val="003E0811"/>
    <w:rsid w:val="003F76C8"/>
    <w:rsid w:val="00411B1B"/>
    <w:rsid w:val="00411D87"/>
    <w:rsid w:val="00432C65"/>
    <w:rsid w:val="004556DD"/>
    <w:rsid w:val="00471F5F"/>
    <w:rsid w:val="00472B98"/>
    <w:rsid w:val="00496897"/>
    <w:rsid w:val="0049761B"/>
    <w:rsid w:val="004A1625"/>
    <w:rsid w:val="004A27FE"/>
    <w:rsid w:val="004C18B1"/>
    <w:rsid w:val="004D736C"/>
    <w:rsid w:val="004E60C0"/>
    <w:rsid w:val="005213AC"/>
    <w:rsid w:val="00522590"/>
    <w:rsid w:val="00522B17"/>
    <w:rsid w:val="00523105"/>
    <w:rsid w:val="005248BB"/>
    <w:rsid w:val="00531516"/>
    <w:rsid w:val="00536255"/>
    <w:rsid w:val="00542A26"/>
    <w:rsid w:val="00543AE1"/>
    <w:rsid w:val="0054584B"/>
    <w:rsid w:val="00550A20"/>
    <w:rsid w:val="005512BC"/>
    <w:rsid w:val="00576934"/>
    <w:rsid w:val="00581AA3"/>
    <w:rsid w:val="00581B41"/>
    <w:rsid w:val="0058209A"/>
    <w:rsid w:val="00583B99"/>
    <w:rsid w:val="00587721"/>
    <w:rsid w:val="00594BE1"/>
    <w:rsid w:val="005972C3"/>
    <w:rsid w:val="005A1D12"/>
    <w:rsid w:val="005B6B00"/>
    <w:rsid w:val="005F6B77"/>
    <w:rsid w:val="00600139"/>
    <w:rsid w:val="006127A1"/>
    <w:rsid w:val="006306F2"/>
    <w:rsid w:val="00636AA8"/>
    <w:rsid w:val="00653204"/>
    <w:rsid w:val="00655F3A"/>
    <w:rsid w:val="006659F1"/>
    <w:rsid w:val="00676C03"/>
    <w:rsid w:val="00683837"/>
    <w:rsid w:val="0069079C"/>
    <w:rsid w:val="00695D5B"/>
    <w:rsid w:val="006B27B0"/>
    <w:rsid w:val="006F366A"/>
    <w:rsid w:val="0070545B"/>
    <w:rsid w:val="00712BDA"/>
    <w:rsid w:val="007152CA"/>
    <w:rsid w:val="00716940"/>
    <w:rsid w:val="00720036"/>
    <w:rsid w:val="00724FD6"/>
    <w:rsid w:val="007251E7"/>
    <w:rsid w:val="00725432"/>
    <w:rsid w:val="00741655"/>
    <w:rsid w:val="0075268C"/>
    <w:rsid w:val="00761A7D"/>
    <w:rsid w:val="007629EC"/>
    <w:rsid w:val="00764F82"/>
    <w:rsid w:val="00783DBC"/>
    <w:rsid w:val="007A10C3"/>
    <w:rsid w:val="007A4170"/>
    <w:rsid w:val="007B54F9"/>
    <w:rsid w:val="007C2C81"/>
    <w:rsid w:val="007D1F48"/>
    <w:rsid w:val="007D6F7A"/>
    <w:rsid w:val="008103AD"/>
    <w:rsid w:val="00825292"/>
    <w:rsid w:val="00853FD1"/>
    <w:rsid w:val="00863611"/>
    <w:rsid w:val="008A1A31"/>
    <w:rsid w:val="008A1E14"/>
    <w:rsid w:val="008A7B1E"/>
    <w:rsid w:val="008B087F"/>
    <w:rsid w:val="008F3D62"/>
    <w:rsid w:val="008F4525"/>
    <w:rsid w:val="008F554B"/>
    <w:rsid w:val="008F774A"/>
    <w:rsid w:val="00917297"/>
    <w:rsid w:val="009266B8"/>
    <w:rsid w:val="00932650"/>
    <w:rsid w:val="009338B2"/>
    <w:rsid w:val="00945BEA"/>
    <w:rsid w:val="00947980"/>
    <w:rsid w:val="0095206E"/>
    <w:rsid w:val="009645B3"/>
    <w:rsid w:val="00965411"/>
    <w:rsid w:val="009662FB"/>
    <w:rsid w:val="00972B16"/>
    <w:rsid w:val="00975BFF"/>
    <w:rsid w:val="00983123"/>
    <w:rsid w:val="00994E1C"/>
    <w:rsid w:val="009B4D74"/>
    <w:rsid w:val="009C2A8A"/>
    <w:rsid w:val="009D5A95"/>
    <w:rsid w:val="009F4DBB"/>
    <w:rsid w:val="009F6901"/>
    <w:rsid w:val="00A01E50"/>
    <w:rsid w:val="00A04273"/>
    <w:rsid w:val="00A06BD8"/>
    <w:rsid w:val="00A4071F"/>
    <w:rsid w:val="00A42D7C"/>
    <w:rsid w:val="00A601BF"/>
    <w:rsid w:val="00A636A0"/>
    <w:rsid w:val="00A70229"/>
    <w:rsid w:val="00A73715"/>
    <w:rsid w:val="00A810DE"/>
    <w:rsid w:val="00A84BB5"/>
    <w:rsid w:val="00A91CA4"/>
    <w:rsid w:val="00A93ED4"/>
    <w:rsid w:val="00AB226D"/>
    <w:rsid w:val="00AC1D81"/>
    <w:rsid w:val="00AC67C8"/>
    <w:rsid w:val="00AE2312"/>
    <w:rsid w:val="00AE7659"/>
    <w:rsid w:val="00AF0679"/>
    <w:rsid w:val="00B02BF9"/>
    <w:rsid w:val="00B11622"/>
    <w:rsid w:val="00B16B99"/>
    <w:rsid w:val="00B30D95"/>
    <w:rsid w:val="00B31B32"/>
    <w:rsid w:val="00B61C20"/>
    <w:rsid w:val="00B715A9"/>
    <w:rsid w:val="00B94395"/>
    <w:rsid w:val="00B949C8"/>
    <w:rsid w:val="00B9519F"/>
    <w:rsid w:val="00B97B6B"/>
    <w:rsid w:val="00BA4B41"/>
    <w:rsid w:val="00BB60B1"/>
    <w:rsid w:val="00BC3AA2"/>
    <w:rsid w:val="00BD0E91"/>
    <w:rsid w:val="00BD4D18"/>
    <w:rsid w:val="00BD6C33"/>
    <w:rsid w:val="00BE1900"/>
    <w:rsid w:val="00BE2562"/>
    <w:rsid w:val="00BE4622"/>
    <w:rsid w:val="00C00724"/>
    <w:rsid w:val="00C0540D"/>
    <w:rsid w:val="00C269B8"/>
    <w:rsid w:val="00C46163"/>
    <w:rsid w:val="00C50280"/>
    <w:rsid w:val="00C56A36"/>
    <w:rsid w:val="00C570B6"/>
    <w:rsid w:val="00C57777"/>
    <w:rsid w:val="00C77653"/>
    <w:rsid w:val="00C9575C"/>
    <w:rsid w:val="00C95D5B"/>
    <w:rsid w:val="00CB24F9"/>
    <w:rsid w:val="00CC2FB5"/>
    <w:rsid w:val="00CC6088"/>
    <w:rsid w:val="00CF020C"/>
    <w:rsid w:val="00D008DD"/>
    <w:rsid w:val="00D10AD4"/>
    <w:rsid w:val="00D2333A"/>
    <w:rsid w:val="00D33678"/>
    <w:rsid w:val="00D44050"/>
    <w:rsid w:val="00D50671"/>
    <w:rsid w:val="00D50E1E"/>
    <w:rsid w:val="00D57C6E"/>
    <w:rsid w:val="00D60DFB"/>
    <w:rsid w:val="00D643A5"/>
    <w:rsid w:val="00D70B0C"/>
    <w:rsid w:val="00D77C6D"/>
    <w:rsid w:val="00D8780B"/>
    <w:rsid w:val="00D93AA0"/>
    <w:rsid w:val="00DA76B9"/>
    <w:rsid w:val="00DA7B4D"/>
    <w:rsid w:val="00DB5FAF"/>
    <w:rsid w:val="00DC4407"/>
    <w:rsid w:val="00DE726A"/>
    <w:rsid w:val="00DF1241"/>
    <w:rsid w:val="00DF1A0F"/>
    <w:rsid w:val="00E02C72"/>
    <w:rsid w:val="00E054A6"/>
    <w:rsid w:val="00E14B90"/>
    <w:rsid w:val="00E272F5"/>
    <w:rsid w:val="00E337B2"/>
    <w:rsid w:val="00E601B1"/>
    <w:rsid w:val="00E60294"/>
    <w:rsid w:val="00E73706"/>
    <w:rsid w:val="00E739F0"/>
    <w:rsid w:val="00E85783"/>
    <w:rsid w:val="00E85E81"/>
    <w:rsid w:val="00E900E0"/>
    <w:rsid w:val="00EB2BEC"/>
    <w:rsid w:val="00EE12D0"/>
    <w:rsid w:val="00EE2246"/>
    <w:rsid w:val="00EE5F8B"/>
    <w:rsid w:val="00F04EC0"/>
    <w:rsid w:val="00F0519D"/>
    <w:rsid w:val="00F07ED8"/>
    <w:rsid w:val="00F158E9"/>
    <w:rsid w:val="00F22032"/>
    <w:rsid w:val="00F25C1E"/>
    <w:rsid w:val="00F34464"/>
    <w:rsid w:val="00F35D2A"/>
    <w:rsid w:val="00F360FA"/>
    <w:rsid w:val="00F45213"/>
    <w:rsid w:val="00F6536C"/>
    <w:rsid w:val="00F81D6C"/>
    <w:rsid w:val="00F979CB"/>
    <w:rsid w:val="00FA17CD"/>
    <w:rsid w:val="00FB0108"/>
    <w:rsid w:val="00FC2A50"/>
    <w:rsid w:val="00FC45CB"/>
    <w:rsid w:val="00FC61FE"/>
    <w:rsid w:val="00FD031C"/>
    <w:rsid w:val="00FF33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6B722"/>
  <w15:chartTrackingRefBased/>
  <w15:docId w15:val="{B78B9910-23B1-4924-BBB4-3D7A99825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24"/>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983123"/>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98312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312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312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312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312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312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983123"/>
    <w:rPr>
      <w:rFonts w:ascii="Times New Roman" w:eastAsiaTheme="majorEastAsia" w:hAnsi="Times New Roman" w:cstheme="majorBid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983123"/>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83123"/>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8312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8312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8312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8312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8312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1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8312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1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831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312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83123"/>
    <w:pPr>
      <w:ind w:left="720"/>
      <w:contextualSpacing/>
    </w:pPr>
  </w:style>
  <w:style w:type="character" w:styleId="IntenseEmphasis">
    <w:name w:val="Intense Emphasis"/>
    <w:basedOn w:val="DefaultParagraphFont"/>
    <w:uiPriority w:val="21"/>
    <w:qFormat/>
    <w:rsid w:val="00983123"/>
    <w:rPr>
      <w:i/>
      <w:iCs/>
      <w:color w:val="0F4761" w:themeColor="accent1" w:themeShade="BF"/>
    </w:rPr>
  </w:style>
  <w:style w:type="paragraph" w:styleId="IntenseQuote">
    <w:name w:val="Intense Quote"/>
    <w:basedOn w:val="Normal"/>
    <w:next w:val="Normal"/>
    <w:link w:val="IntenseQuoteChar"/>
    <w:uiPriority w:val="30"/>
    <w:qFormat/>
    <w:rsid w:val="00983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123"/>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83123"/>
    <w:rPr>
      <w:b/>
      <w:bCs/>
      <w:smallCaps/>
      <w:color w:val="0F4761" w:themeColor="accent1" w:themeShade="BF"/>
      <w:spacing w:val="5"/>
    </w:rPr>
  </w:style>
  <w:style w:type="paragraph" w:styleId="Header">
    <w:name w:val="header"/>
    <w:basedOn w:val="Normal"/>
    <w:link w:val="HeaderChar"/>
    <w:uiPriority w:val="99"/>
    <w:unhideWhenUsed/>
    <w:rsid w:val="0098312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83123"/>
    <w:rPr>
      <w:rFonts w:ascii="Times New Roman" w:hAnsi="Times New Roman"/>
      <w:sz w:val="24"/>
      <w:lang w:val="en-GB"/>
    </w:rPr>
  </w:style>
  <w:style w:type="paragraph" w:styleId="Footer">
    <w:name w:val="footer"/>
    <w:basedOn w:val="Normal"/>
    <w:link w:val="FooterChar"/>
    <w:uiPriority w:val="99"/>
    <w:unhideWhenUsed/>
    <w:rsid w:val="0098312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83123"/>
    <w:rPr>
      <w:rFonts w:ascii="Times New Roman" w:hAnsi="Times New Roman"/>
      <w:sz w:val="24"/>
      <w:lang w:val="en-GB"/>
    </w:rPr>
  </w:style>
  <w:style w:type="paragraph" w:styleId="TOCHeading">
    <w:name w:val="TOC Heading"/>
    <w:basedOn w:val="Heading1"/>
    <w:next w:val="Normal"/>
    <w:uiPriority w:val="39"/>
    <w:unhideWhenUsed/>
    <w:qFormat/>
    <w:rsid w:val="00576934"/>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576934"/>
    <w:pPr>
      <w:spacing w:after="100"/>
    </w:pPr>
  </w:style>
  <w:style w:type="paragraph" w:styleId="TOC2">
    <w:name w:val="toc 2"/>
    <w:basedOn w:val="Normal"/>
    <w:next w:val="Normal"/>
    <w:autoRedefine/>
    <w:uiPriority w:val="39"/>
    <w:unhideWhenUsed/>
    <w:rsid w:val="00576934"/>
    <w:pPr>
      <w:spacing w:after="100"/>
      <w:ind w:left="240"/>
    </w:pPr>
  </w:style>
  <w:style w:type="character" w:styleId="Hyperlink">
    <w:name w:val="Hyperlink"/>
    <w:basedOn w:val="DefaultParagraphFont"/>
    <w:uiPriority w:val="99"/>
    <w:unhideWhenUsed/>
    <w:rsid w:val="00576934"/>
    <w:rPr>
      <w:color w:val="467886" w:themeColor="hyperlink"/>
      <w:u w:val="single"/>
    </w:rPr>
  </w:style>
  <w:style w:type="paragraph" w:styleId="TOC3">
    <w:name w:val="toc 3"/>
    <w:basedOn w:val="Normal"/>
    <w:next w:val="Normal"/>
    <w:autoRedefine/>
    <w:uiPriority w:val="39"/>
    <w:unhideWhenUsed/>
    <w:rsid w:val="00411B1B"/>
    <w:pPr>
      <w:spacing w:after="100"/>
      <w:ind w:left="480"/>
    </w:pPr>
  </w:style>
  <w:style w:type="character" w:styleId="UnresolvedMention">
    <w:name w:val="Unresolved Mention"/>
    <w:basedOn w:val="DefaultParagraphFont"/>
    <w:uiPriority w:val="99"/>
    <w:semiHidden/>
    <w:unhideWhenUsed/>
    <w:rsid w:val="004C18B1"/>
    <w:rPr>
      <w:color w:val="605E5C"/>
      <w:shd w:val="clear" w:color="auto" w:fill="E1DFDD"/>
    </w:rPr>
  </w:style>
  <w:style w:type="character" w:styleId="FollowedHyperlink">
    <w:name w:val="FollowedHyperlink"/>
    <w:basedOn w:val="DefaultParagraphFont"/>
    <w:uiPriority w:val="99"/>
    <w:semiHidden/>
    <w:unhideWhenUsed/>
    <w:rsid w:val="00B949C8"/>
    <w:rPr>
      <w:color w:val="96607D" w:themeColor="followedHyperlink"/>
      <w:u w:val="single"/>
    </w:rPr>
  </w:style>
  <w:style w:type="paragraph" w:styleId="Caption">
    <w:name w:val="caption"/>
    <w:basedOn w:val="Normal"/>
    <w:next w:val="Normal"/>
    <w:uiPriority w:val="35"/>
    <w:unhideWhenUsed/>
    <w:qFormat/>
    <w:rsid w:val="00972B16"/>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57486"/>
    <w:pPr>
      <w:spacing w:after="0"/>
    </w:pPr>
  </w:style>
  <w:style w:type="table" w:styleId="ListTable3-Accent6">
    <w:name w:val="List Table 3 Accent 6"/>
    <w:basedOn w:val="TableNormal"/>
    <w:uiPriority w:val="48"/>
    <w:rsid w:val="0018210F"/>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3-Accent5">
    <w:name w:val="List Table 3 Accent 5"/>
    <w:basedOn w:val="TableNormal"/>
    <w:uiPriority w:val="48"/>
    <w:rsid w:val="00522B17"/>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paragraph" w:styleId="NormalWeb">
    <w:name w:val="Normal (Web)"/>
    <w:basedOn w:val="Normal"/>
    <w:uiPriority w:val="99"/>
    <w:semiHidden/>
    <w:unhideWhenUsed/>
    <w:rsid w:val="00121569"/>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olkswagen-group.com/en/about-us-16013"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volkswagen-group.com/en/annual-report-and-full-year-results-2024-19005"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lkswagen-group.com/en/annual-report-and-full-year-results-2024-19005"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www.volkswagen-group.com/en/annual-report-and-full-year-results-2022-16098"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volkswagen-group.com/en/publications/more/annual-report-2021-1791" TargetMode="External"/><Relationship Id="rId14" Type="http://schemas.openxmlformats.org/officeDocument/2006/relationships/hyperlink" Target="https://www.volkswagen-group.com/en/annual-report-and-full-year-results-2025-20174"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C798C-3C88-4545-A822-DAB215736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29</Pages>
  <Words>7552</Words>
  <Characters>43047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harshsuthar988@gmail.com</cp:lastModifiedBy>
  <cp:revision>2</cp:revision>
  <dcterms:created xsi:type="dcterms:W3CDTF">2026-04-23T15:08:00Z</dcterms:created>
  <dcterms:modified xsi:type="dcterms:W3CDTF">2026-04-24T07:24:00Z</dcterms:modified>
</cp:coreProperties>
</file>