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List Paragraph"/>
        <w:numPr>
          <w:ilvl w:val="0"/>
          <w:numId w:val="2"/>
        </w:numPr>
        <w:bidi w:val="0"/>
        <w:spacing w:before="120" w:after="120"/>
        <w:ind w:right="0"/>
        <w:jc w:val="left"/>
        <w:rPr>
          <w:rFonts w:ascii="Times New Roman" w:hAnsi="Times New Roman"/>
          <w:b w:val="1"/>
          <w:bCs w:val="1"/>
          <w:rtl w:val="0"/>
          <w:lang w:val="en-US"/>
        </w:rPr>
      </w:pPr>
      <w:r>
        <w:rPr>
          <w:rFonts w:ascii="Times New Roman" w:hAnsi="Times New Roman"/>
          <w:b w:val="1"/>
          <w:bCs w:val="1"/>
          <w:outline w:val="0"/>
          <w:color w:val="000000"/>
          <w:u w:color="000000"/>
          <w:rtl w:val="0"/>
          <w:lang w:val="en-US"/>
          <w14:textFill>
            <w14:solidFill>
              <w14:srgbClr w14:val="000000"/>
            </w14:solidFill>
          </w14:textFill>
        </w:rPr>
        <w:t>Discuss if the right to freedom of assembly and association has been breached [750 words].</w:t>
      </w:r>
    </w:p>
    <w:p>
      <w:pPr>
        <w:pStyle w:val="Body"/>
        <w:spacing w:before="120" w:after="120"/>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Freedom of association and assembly is protected under Article 11 of the ECHR, which provides the right as a qualified right only. Restrictions are permitted if these are provided by the law and are necessary for the democratic society. However, action should be taken against members of an association only if there is an association of criminal purposes.</w:t>
      </w:r>
      <w:r>
        <w:rPr>
          <w:outline w:val="0"/>
          <w:color w:val="000000"/>
          <w:u w:color="000000"/>
          <w:vertAlign w:val="superscript"/>
          <w14:textFill>
            <w14:solidFill>
              <w14:srgbClr w14:val="000000"/>
            </w14:solidFill>
          </w14:textFill>
        </w:rPr>
        <w:footnoteReference w:id="1"/>
      </w:r>
      <w:r>
        <w:rPr>
          <w:outline w:val="0"/>
          <w:color w:val="000000"/>
          <w:u w:color="000000"/>
          <w:rtl w:val="0"/>
          <w:lang w:val="en-US"/>
          <w14:textFill>
            <w14:solidFill>
              <w14:srgbClr w14:val="000000"/>
            </w14:solidFill>
          </w14:textFill>
        </w:rPr>
        <w:t xml:space="preserve"> Article 11(2) specifically permits restrictions that are prescribed by law and are necessary in a democratic society in the interests of inter alia, public safety. There are three requirements for the state to interfere with a qualified right: (i) legitimate aim or good reason for the interference; (ii) necessary in a democratic society; (iii) permitted under the national law. Therefore, there is no absolute right of freedom of assembly and association.</w:t>
      </w:r>
    </w:p>
    <w:p>
      <w:pPr>
        <w:pStyle w:val="Body"/>
        <w:spacing w:before="120" w:after="120"/>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A march organised by the association would come within the definition of assembly under Article 11 of the ECHR.</w:t>
      </w:r>
      <w:r>
        <w:rPr>
          <w:outline w:val="0"/>
          <w:color w:val="000000"/>
          <w:u w:color="000000"/>
          <w:vertAlign w:val="superscript"/>
          <w14:textFill>
            <w14:solidFill>
              <w14:srgbClr w14:val="000000"/>
            </w14:solidFill>
          </w14:textFill>
        </w:rPr>
        <w:footnoteReference w:id="2"/>
      </w:r>
      <w:r>
        <w:rPr>
          <w:outline w:val="0"/>
          <w:color w:val="000000"/>
          <w:u w:color="000000"/>
          <w:rtl w:val="0"/>
          <w:lang w:val="en-US"/>
          <w14:textFill>
            <w14:solidFill>
              <w14:srgbClr w14:val="000000"/>
            </w14:solidFill>
          </w14:textFill>
        </w:rPr>
        <w:t xml:space="preserve"> However, there is no unrestricted right to enter premises both public and private for the exercise of the right.</w:t>
      </w:r>
      <w:r>
        <w:rPr>
          <w:outline w:val="0"/>
          <w:color w:val="000000"/>
          <w:u w:color="000000"/>
          <w:vertAlign w:val="superscript"/>
          <w14:textFill>
            <w14:solidFill>
              <w14:srgbClr w14:val="000000"/>
            </w14:solidFill>
          </w14:textFill>
        </w:rPr>
        <w:footnoteReference w:id="3"/>
      </w:r>
      <w:r>
        <w:rPr>
          <w:outline w:val="0"/>
          <w:color w:val="000000"/>
          <w:u w:color="000000"/>
          <w:rtl w:val="0"/>
          <w:lang w:val="en-US"/>
          <w14:textFill>
            <w14:solidFill>
              <w14:srgbClr w14:val="000000"/>
            </w14:solidFill>
          </w14:textFill>
        </w:rPr>
        <w:t xml:space="preserve"> Restriction in the nature of </w:t>
      </w:r>
      <w:r>
        <w:rPr>
          <w:rStyle w:val="apple-converted-space"/>
          <w:rtl w:val="0"/>
          <w:lang w:val="en-US"/>
        </w:rPr>
        <w:t>prohibition on holding public events at certain locations may be permitted by Article 11 when security reasons are involved.</w:t>
      </w:r>
      <w:r>
        <w:rPr>
          <w:rStyle w:val="footnote reference"/>
        </w:rPr>
        <w:footnoteReference w:id="4"/>
      </w:r>
      <w:r>
        <w:rPr>
          <w:outline w:val="0"/>
          <w:color w:val="000000"/>
          <w:u w:color="000000"/>
          <w:rtl w:val="0"/>
          <w:lang w:val="en-US"/>
          <w14:textFill>
            <w14:solidFill>
              <w14:srgbClr w14:val="000000"/>
            </w14:solidFill>
          </w14:textFill>
        </w:rPr>
        <w:t xml:space="preserve"> In the UK, there are restrictions that can be reasonably put on right of assembly and association, which are provided under the Public Order Acts of 1936 and 1986. The Public Order Act 1986 allows members of the public to take protest marches provided that they have given a notice to the police (Section 11). At the same time, police are given powers to disrupt or ban assembly in the event that there is potential for disruption of public order. </w:t>
      </w:r>
    </w:p>
    <w:p>
      <w:pPr>
        <w:pStyle w:val="Body"/>
        <w:spacing w:before="120" w:after="120"/>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 xml:space="preserve">In this case, </w:t>
      </w:r>
      <w:r>
        <w:rPr>
          <w:outline w:val="0"/>
          <w:color w:val="000000"/>
          <w:u w:color="000000"/>
          <w:rtl w:val="1"/>
          <w14:textFill>
            <w14:solidFill>
              <w14:srgbClr w14:val="000000"/>
            </w14:solidFill>
          </w14:textFill>
        </w:rPr>
        <w:t>‘</w:t>
      </w:r>
      <w:r>
        <w:rPr>
          <w:outline w:val="0"/>
          <w:color w:val="000000"/>
          <w:u w:color="000000"/>
          <w:rtl w:val="0"/>
          <w:lang w:val="en-US"/>
          <w14:textFill>
            <w14:solidFill>
              <w14:srgbClr w14:val="000000"/>
            </w14:solidFill>
          </w14:textFill>
        </w:rPr>
        <w:t>Third World Britain</w:t>
      </w:r>
      <w:r>
        <w:rPr>
          <w:outline w:val="0"/>
          <w:color w:val="000000"/>
          <w:u w:color="000000"/>
          <w:rtl w:val="1"/>
          <w14:textFill>
            <w14:solidFill>
              <w14:srgbClr w14:val="000000"/>
            </w14:solidFill>
          </w14:textFill>
        </w:rPr>
        <w:t xml:space="preserve">’ </w:t>
      </w:r>
      <w:r>
        <w:rPr>
          <w:outline w:val="0"/>
          <w:color w:val="000000"/>
          <w:u w:color="000000"/>
          <w:rtl w:val="0"/>
          <w:lang w:val="en-US"/>
          <w14:textFill>
            <w14:solidFill>
              <w14:srgbClr w14:val="000000"/>
            </w14:solidFill>
          </w14:textFill>
        </w:rPr>
        <w:t xml:space="preserve">is a pressure group that aims to drive changes to ensure that the cost of living in Britain decreases. The march was organised to protest peacefully and information about the march was given by Mary to the police three weeks before the planned protest march (1st of July 2022 at 11am- 5pm). Therefore, as per the requirements of Section 11, notice was provided to the police two weeks before the event. On the day of the protest, 400 members of the public joined </w:t>
      </w:r>
      <w:r>
        <w:rPr>
          <w:outline w:val="0"/>
          <w:color w:val="000000"/>
          <w:u w:color="000000"/>
          <w:rtl w:val="1"/>
          <w14:textFill>
            <w14:solidFill>
              <w14:srgbClr w14:val="000000"/>
            </w14:solidFill>
          </w14:textFill>
        </w:rPr>
        <w:t>‘</w:t>
      </w:r>
      <w:r>
        <w:rPr>
          <w:outline w:val="0"/>
          <w:color w:val="000000"/>
          <w:u w:color="000000"/>
          <w:rtl w:val="0"/>
          <w:lang w:val="en-US"/>
          <w14:textFill>
            <w14:solidFill>
              <w14:srgbClr w14:val="000000"/>
            </w14:solidFill>
          </w14:textFill>
        </w:rPr>
        <w:t>Third World Britain</w:t>
      </w:r>
      <w:r>
        <w:rPr>
          <w:outline w:val="0"/>
          <w:color w:val="000000"/>
          <w:u w:color="000000"/>
          <w:rtl w:val="1"/>
          <w14:textFill>
            <w14:solidFill>
              <w14:srgbClr w14:val="000000"/>
            </w14:solidFill>
          </w14:textFill>
        </w:rPr>
        <w:t xml:space="preserve">’ </w:t>
      </w:r>
      <w:r>
        <w:rPr>
          <w:outline w:val="0"/>
          <w:color w:val="000000"/>
          <w:u w:color="000000"/>
          <w:rtl w:val="0"/>
          <w:lang w:val="en-US"/>
          <w14:textFill>
            <w14:solidFill>
              <w14:srgbClr w14:val="000000"/>
            </w14:solidFill>
          </w14:textFill>
        </w:rPr>
        <w:t xml:space="preserve">to take part in the protest. The Public Order Act 1936 is not applicable in this situation because the Act bans the organising of </w:t>
      </w:r>
      <w:r>
        <w:rPr>
          <w:outline w:val="0"/>
          <w:color w:val="000000"/>
          <w:u w:color="000000"/>
          <w:shd w:val="clear" w:color="auto" w:fill="ffffff"/>
          <w:rtl w:val="0"/>
          <w:lang w:val="en-US"/>
          <w14:textFill>
            <w14:solidFill>
              <w14:srgbClr w14:val="000000"/>
            </w14:solidFill>
          </w14:textFill>
        </w:rPr>
        <w:t>association for the purpose of enabling them, inter alia, to use or display of physical force in promoting any political object. In this situation, the association had organised a peaceful protest and was not involved in the use of physical force although the purpose behind the association is to promote a political object. However, since there is potential for disruption, the police are allowed to make decisions to stop the public demonstration under the</w:t>
      </w:r>
      <w:r>
        <w:rPr>
          <w:outline w:val="0"/>
          <w:color w:val="000000"/>
          <w:u w:color="000000"/>
          <w:rtl w:val="0"/>
          <w:lang w:val="en-US"/>
          <w14:textFill>
            <w14:solidFill>
              <w14:srgbClr w14:val="000000"/>
            </w14:solidFill>
          </w14:textFill>
        </w:rPr>
        <w:t xml:space="preserve"> Public Order Act 1986.</w:t>
      </w:r>
      <w:r>
        <w:rPr>
          <w:outline w:val="0"/>
          <w:color w:val="000000"/>
          <w:u w:color="000000"/>
          <w:shd w:val="clear" w:color="auto" w:fill="ffffff"/>
          <w:rtl w:val="0"/>
          <w:lang w:val="en-US"/>
          <w14:textFill>
            <w14:solidFill>
              <w14:srgbClr w14:val="000000"/>
            </w14:solidFill>
          </w14:textFill>
        </w:rPr>
        <w:t xml:space="preserve"> However, the legality of such decisions are open to review. </w:t>
      </w:r>
    </w:p>
    <w:p>
      <w:pPr>
        <w:pStyle w:val="Body"/>
        <w:spacing w:before="120" w:after="120"/>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 xml:space="preserve">In refusing permission for public demonstrations, the police must show that the refusal is based on the belief that the demonstration poses a </w:t>
      </w:r>
      <w:r>
        <w:rPr>
          <w:outline w:val="0"/>
          <w:color w:val="000000"/>
          <w:u w:color="000000"/>
          <w:shd w:val="clear" w:color="auto" w:fill="ffffff"/>
          <w:rtl w:val="0"/>
          <w:lang w:val="en-US"/>
          <w14:textFill>
            <w14:solidFill>
              <w14:srgbClr w14:val="000000"/>
            </w14:solidFill>
          </w14:textFill>
        </w:rPr>
        <w:t>risk of serious public disorder, damage, or serious disruption, or is being conducted with the intention to intimidate.</w:t>
      </w:r>
      <w:r>
        <w:rPr>
          <w:outline w:val="0"/>
          <w:color w:val="000000"/>
          <w:u w:color="000000"/>
          <w:vertAlign w:val="superscript"/>
          <w14:textFill>
            <w14:solidFill>
              <w14:srgbClr w14:val="000000"/>
            </w14:solidFill>
          </w14:textFill>
        </w:rPr>
        <w:footnoteReference w:id="5"/>
      </w:r>
      <w:r>
        <w:rPr>
          <w:outline w:val="0"/>
          <w:color w:val="000000"/>
          <w:u w:color="000000"/>
          <w:shd w:val="clear" w:color="auto" w:fill="ffffff"/>
          <w:rtl w:val="0"/>
          <w:lang w:val="en-US"/>
          <w14:textFill>
            <w14:solidFill>
              <w14:srgbClr w14:val="000000"/>
            </w14:solidFill>
          </w14:textFill>
        </w:rPr>
        <w:t xml:space="preserve"> Thus, where the police refused permission to allow applicant to demonstrate outside Marks and Spencer against the store</w:t>
      </w:r>
      <w:r>
        <w:rPr>
          <w:outline w:val="0"/>
          <w:color w:val="000000"/>
          <w:u w:color="000000"/>
          <w:shd w:val="clear" w:color="auto" w:fill="ffffff"/>
          <w:rtl w:val="1"/>
          <w14:textFill>
            <w14:solidFill>
              <w14:srgbClr w14:val="000000"/>
            </w14:solidFill>
          </w14:textFill>
        </w:rPr>
        <w:t>’</w:t>
      </w:r>
      <w:r>
        <w:rPr>
          <w:outline w:val="0"/>
          <w:color w:val="000000"/>
          <w:u w:color="000000"/>
          <w:shd w:val="clear" w:color="auto" w:fill="ffffff"/>
          <w:rtl w:val="0"/>
          <w:lang w:val="en-US"/>
          <w14:textFill>
            <w14:solidFill>
              <w14:srgbClr w14:val="000000"/>
            </w14:solidFill>
          </w14:textFill>
        </w:rPr>
        <w:t xml:space="preserve">s purported support for Israeli government against the Palestinians, this was held to be justified since the police explained that permission was being denied in view of the busy Christmas period. In other words, if the police have given the reasons to the applicant for refusing to allow public demonstration, this discharges the duty of the police. </w:t>
      </w:r>
      <w:r>
        <w:rPr>
          <w:outline w:val="0"/>
          <w:color w:val="000000"/>
          <w:u w:color="000000"/>
          <w:rtl w:val="0"/>
          <w:lang w:val="en-US"/>
          <w14:textFill>
            <w14:solidFill>
              <w14:srgbClr w14:val="000000"/>
            </w14:solidFill>
          </w14:textFill>
        </w:rPr>
        <w:t>Since the police have a duty to ensure that peace is not disrupted and to make sure that they are able to prevent reasonably apprehended breaches of peace, they can make reasonable decisions on whether a public meeting or demonstration may disrupt peace and to take necessary action.</w:t>
      </w:r>
      <w:r>
        <w:rPr>
          <w:outline w:val="0"/>
          <w:color w:val="000000"/>
          <w:u w:color="000000"/>
          <w:vertAlign w:val="superscript"/>
          <w14:textFill>
            <w14:solidFill>
              <w14:srgbClr w14:val="000000"/>
            </w14:solidFill>
          </w14:textFill>
        </w:rPr>
        <w:footnoteReference w:id="6"/>
      </w:r>
      <w:r>
        <w:rPr>
          <w:outline w:val="0"/>
          <w:color w:val="000000"/>
          <w:u w:color="000000"/>
          <w:rtl w:val="0"/>
          <w:lang w:val="en-US"/>
          <w14:textFill>
            <w14:solidFill>
              <w14:srgbClr w14:val="000000"/>
            </w14:solidFill>
          </w14:textFill>
        </w:rPr>
        <w:t xml:space="preserve"> Individuals can use social media to call others to the assembly.</w:t>
      </w:r>
      <w:r>
        <w:rPr>
          <w:outline w:val="0"/>
          <w:color w:val="000000"/>
          <w:u w:color="000000"/>
          <w:vertAlign w:val="superscript"/>
          <w14:textFill>
            <w14:solidFill>
              <w14:srgbClr w14:val="000000"/>
            </w14:solidFill>
          </w14:textFill>
        </w:rPr>
        <w:footnoteReference w:id="7"/>
      </w:r>
      <w:r>
        <w:rPr>
          <w:outline w:val="0"/>
          <w:color w:val="000000"/>
          <w:u w:color="000000"/>
          <w:rtl w:val="0"/>
          <w:lang w:val="en-US"/>
          <w14:textFill>
            <w14:solidFill>
              <w14:srgbClr w14:val="000000"/>
            </w14:solidFill>
          </w14:textFill>
        </w:rPr>
        <w:t xml:space="preserve"> As such, Mary has not done something wrong by calling protestors to the site. Furthermore, since the </w:t>
      </w:r>
      <w:r>
        <w:rPr>
          <w:rStyle w:val="apple-converted-space"/>
          <w:rtl w:val="0"/>
          <w:lang w:val="en-US"/>
        </w:rPr>
        <w:t>assembly became risky in terms of disorder, restrictions could be placed so long as these restrictions satisfy the conditions of legal restriction and necessary for democratic society.</w:t>
      </w:r>
      <w:r>
        <w:rPr>
          <w:rStyle w:val="footnote reference"/>
        </w:rPr>
        <w:footnoteReference w:id="8"/>
      </w:r>
      <w:r>
        <w:rPr>
          <w:outline w:val="0"/>
          <w:color w:val="000000"/>
          <w:u w:color="000000"/>
          <w:rtl w:val="0"/>
          <w:lang w:val="en-US"/>
          <w14:textFill>
            <w14:solidFill>
              <w14:srgbClr w14:val="000000"/>
            </w14:solidFill>
          </w14:textFill>
        </w:rPr>
        <w:t xml:space="preserve"> In this case, since the number of protestors had significantly increased, the police could reasonably make an assessment that continuance of the protest would disrupt public order. Doing so would not violate Article 11 of the ECHR since this is permitted under Public Order Act 1986.</w:t>
      </w:r>
    </w:p>
    <w:p>
      <w:pPr>
        <w:pStyle w:val="List Paragraph"/>
        <w:numPr>
          <w:ilvl w:val="0"/>
          <w:numId w:val="2"/>
        </w:numPr>
        <w:bidi w:val="0"/>
        <w:spacing w:before="120" w:after="120"/>
        <w:ind w:right="0"/>
        <w:jc w:val="left"/>
        <w:rPr>
          <w:rFonts w:ascii="Times New Roman" w:hAnsi="Times New Roman"/>
          <w:b w:val="1"/>
          <w:bCs w:val="1"/>
          <w:rtl w:val="0"/>
          <w:lang w:val="en-US"/>
        </w:rPr>
      </w:pPr>
      <w:r>
        <w:rPr>
          <w:rFonts w:ascii="Times New Roman" w:hAnsi="Times New Roman"/>
          <w:b w:val="1"/>
          <w:bCs w:val="1"/>
          <w:outline w:val="0"/>
          <w:color w:val="000000"/>
          <w:u w:color="000000"/>
          <w:rtl w:val="0"/>
          <w:lang w:val="en-US"/>
          <w14:textFill>
            <w14:solidFill>
              <w14:srgbClr w14:val="000000"/>
            </w14:solidFill>
          </w14:textFill>
        </w:rPr>
        <w:t>Advise Mary if the police have breached their police powers under the Police and Criminal Evidence Act 1984 [750 words].</w:t>
      </w:r>
    </w:p>
    <w:p>
      <w:pPr>
        <w:pStyle w:val="Body"/>
        <w:spacing w:before="120" w:after="120"/>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Mary was handcuffed and placed in the back of a police car after she refused to call of the protest. She was not informed that she was under arrest and she was not given a caution. She was informed of her rights whilst she was detained upon arrival at the police station. She was informed that she would need to arrange a solicitor herself, if she required one to be present during her interview. The question is if the police breached their powers and violated the rights of Mary under the PACE 1984. In particular, the questions are, whether the detainee have the right to a duty solicitor or whether the detainee have the right to be cautioned.</w:t>
      </w:r>
    </w:p>
    <w:p>
      <w:pPr>
        <w:pStyle w:val="Body"/>
        <w:spacing w:before="120" w:after="120"/>
        <w:rPr>
          <w:outline w:val="0"/>
          <w:color w:val="000000"/>
          <w:u w:color="000000"/>
          <w14:textFill>
            <w14:solidFill>
              <w14:srgbClr w14:val="000000"/>
            </w14:solidFill>
          </w14:textFill>
        </w:rPr>
      </w:pPr>
      <w:r>
        <w:rPr>
          <w:outline w:val="0"/>
          <w:color w:val="000000"/>
          <w:u w:color="000000"/>
          <w:shd w:val="clear" w:color="auto" w:fill="ffffff"/>
          <w:rtl w:val="0"/>
          <w:lang w:val="en-US"/>
          <w14:textFill>
            <w14:solidFill>
              <w14:srgbClr w14:val="000000"/>
            </w14:solidFill>
          </w14:textFill>
        </w:rPr>
        <w:t>The PACE Codes of Practice include safeguards for arrested and detained persons, including the</w:t>
      </w:r>
      <w:r>
        <w:rPr>
          <w:outline w:val="0"/>
          <w:color w:val="000000"/>
          <w:u w:color="000000"/>
          <w:rtl w:val="0"/>
          <w:lang w:val="en-US"/>
          <w14:textFill>
            <w14:solidFill>
              <w14:srgbClr w14:val="000000"/>
            </w14:solidFill>
          </w14:textFill>
        </w:rPr>
        <w:t xml:space="preserve"> right to legal counsel while they are in custody of the police.</w:t>
      </w:r>
      <w:r>
        <w:rPr>
          <w:outline w:val="0"/>
          <w:color w:val="000000"/>
          <w:u w:color="000000"/>
          <w:vertAlign w:val="superscript"/>
          <w14:textFill>
            <w14:solidFill>
              <w14:srgbClr w14:val="000000"/>
            </w14:solidFill>
          </w14:textFill>
        </w:rPr>
        <w:footnoteReference w:id="9"/>
      </w:r>
      <w:r>
        <w:rPr>
          <w:outline w:val="0"/>
          <w:color w:val="000000"/>
          <w:u w:color="000000"/>
          <w:rtl w:val="0"/>
          <w14:textFill>
            <w14:solidFill>
              <w14:srgbClr w14:val="000000"/>
            </w14:solidFill>
          </w14:textFill>
        </w:rPr>
        <w:t xml:space="preserve"> </w:t>
      </w:r>
      <w:r>
        <w:rPr>
          <w:outline w:val="0"/>
          <w:color w:val="000000"/>
          <w:u w:color="000000"/>
          <w:rtl w:val="0"/>
          <w:lang w:val="en-US"/>
          <w14:textFill>
            <w14:solidFill>
              <w14:srgbClr w14:val="000000"/>
            </w14:solidFill>
          </w14:textFill>
        </w:rPr>
        <w:t>The right to have a solicitor present at the time of questioning is an important right of the arrested person.</w:t>
      </w:r>
      <w:r>
        <w:rPr>
          <w:outline w:val="0"/>
          <w:color w:val="000000"/>
          <w:u w:color="000000"/>
          <w:vertAlign w:val="superscript"/>
          <w:lang w:val="en-US"/>
          <w14:textFill>
            <w14:solidFill>
              <w14:srgbClr w14:val="000000"/>
            </w14:solidFill>
          </w14:textFill>
        </w:rPr>
        <w:footnoteReference w:id="10"/>
      </w:r>
      <w:r>
        <w:rPr>
          <w:outline w:val="0"/>
          <w:color w:val="000000"/>
          <w:u w:color="000000"/>
          <w:rtl w:val="0"/>
          <w:lang w:val="en-US"/>
          <w14:textFill>
            <w14:solidFill>
              <w14:srgbClr w14:val="000000"/>
            </w14:solidFill>
          </w14:textFill>
        </w:rPr>
        <w:t xml:space="preserve"> In the event that the police wish to interview a suspect or an arrested person, then </w:t>
      </w:r>
      <w:r>
        <w:rPr>
          <w:outline w:val="0"/>
          <w:color w:val="000000"/>
          <w:u w:color="000000"/>
          <w:rtl w:val="0"/>
          <w:lang w:val="en-US"/>
          <w14:textFill>
            <w14:solidFill>
              <w14:srgbClr w14:val="000000"/>
            </w14:solidFill>
          </w14:textFill>
        </w:rPr>
        <w:t>Section 11 of Code C of the PACE 1984 and the PACE (NI) Codes of Practice read with paragraph 10.1 of Code C provides that an interview should only be carried out under caution.</w:t>
      </w:r>
      <w:r>
        <w:rPr>
          <w:outline w:val="0"/>
          <w:color w:val="000000"/>
          <w:u w:color="000000"/>
          <w:vertAlign w:val="superscript"/>
          <w14:textFill>
            <w14:solidFill>
              <w14:srgbClr w14:val="000000"/>
            </w14:solidFill>
          </w14:textFill>
        </w:rPr>
        <w:footnoteReference w:id="11"/>
      </w:r>
      <w:r>
        <w:rPr>
          <w:outline w:val="0"/>
          <w:color w:val="000000"/>
          <w:u w:color="000000"/>
          <w:rtl w:val="0"/>
          <w:lang w:val="en-US"/>
          <w14:textFill>
            <w14:solidFill>
              <w14:srgbClr w14:val="000000"/>
            </w14:solidFill>
          </w14:textFill>
        </w:rPr>
        <w:t xml:space="preserve"> Furthermore, the arrested person has the right to free legal advice if they ask for such right.</w:t>
      </w:r>
      <w:r>
        <w:rPr>
          <w:outline w:val="0"/>
          <w:color w:val="000000"/>
          <w:u w:color="000000"/>
          <w:vertAlign w:val="superscript"/>
          <w14:textFill>
            <w14:solidFill>
              <w14:srgbClr w14:val="000000"/>
            </w14:solidFill>
          </w14:textFill>
        </w:rPr>
        <w:footnoteReference w:id="12"/>
      </w:r>
      <w:r>
        <w:rPr>
          <w:outline w:val="0"/>
          <w:color w:val="000000"/>
          <w:u w:color="000000"/>
          <w:rtl w:val="0"/>
          <w:lang w:val="en-US"/>
          <w14:textFill>
            <w14:solidFill>
              <w14:srgbClr w14:val="000000"/>
            </w14:solidFill>
          </w14:textFill>
        </w:rPr>
        <w:t xml:space="preserve"> It is the legal duty of the custody officer to inform the arrested person that he has the right to legal advice.</w:t>
      </w:r>
      <w:r>
        <w:rPr>
          <w:outline w:val="0"/>
          <w:color w:val="000000"/>
          <w:u w:color="000000"/>
          <w:vertAlign w:val="superscript"/>
          <w14:textFill>
            <w14:solidFill>
              <w14:srgbClr w14:val="000000"/>
            </w14:solidFill>
          </w14:textFill>
        </w:rPr>
        <w:footnoteReference w:id="13"/>
      </w:r>
      <w:r>
        <w:rPr>
          <w:outline w:val="0"/>
          <w:color w:val="000000"/>
          <w:u w:color="000000"/>
          <w:rtl w:val="0"/>
          <w14:textFill>
            <w14:solidFill>
              <w14:srgbClr w14:val="000000"/>
            </w14:solidFill>
          </w14:textFill>
        </w:rPr>
        <w:t xml:space="preserve"> If the arrested person asks for access to solicitor and legal advice, such request cannot be out rightly denied by the officer.</w:t>
      </w:r>
      <w:r>
        <w:rPr>
          <w:outline w:val="0"/>
          <w:color w:val="000000"/>
          <w:u w:color="000000"/>
          <w:vertAlign w:val="superscript"/>
          <w14:textFill>
            <w14:solidFill>
              <w14:srgbClr w14:val="000000"/>
            </w14:solidFill>
          </w14:textFill>
        </w:rPr>
        <w:footnoteReference w:id="14"/>
      </w:r>
      <w:r>
        <w:rPr>
          <w:outline w:val="0"/>
          <w:color w:val="000000"/>
          <w:u w:color="000000"/>
          <w:rtl w:val="0"/>
          <w:lang w:val="en-US"/>
          <w14:textFill>
            <w14:solidFill>
              <w14:srgbClr w14:val="000000"/>
            </w14:solidFill>
          </w14:textFill>
        </w:rPr>
        <w:t xml:space="preserve"> The implications of such denial are not just related to the PACE 1984 but also Human Rights Act 1998 since the right to fair trial under Article 6 of the ECHR has been interpreted to include right to fair pre-trial procedures, so that if the police obtain evidence without following PACE 1984 rules and the court admits such evidence, this would have violated the right of the accused person under the ECHR.</w:t>
      </w:r>
      <w:r>
        <w:rPr>
          <w:outline w:val="0"/>
          <w:color w:val="000000"/>
          <w:u w:color="000000"/>
          <w:vertAlign w:val="superscript"/>
          <w14:textFill>
            <w14:solidFill>
              <w14:srgbClr w14:val="000000"/>
            </w14:solidFill>
          </w14:textFill>
        </w:rPr>
        <w:footnoteReference w:id="15"/>
      </w:r>
      <w:r>
        <w:rPr>
          <w:outline w:val="0"/>
          <w:color w:val="000000"/>
          <w:u w:color="000000"/>
          <w:rtl w:val="0"/>
          <w:lang w:val="en-US"/>
          <w14:textFill>
            <w14:solidFill>
              <w14:srgbClr w14:val="000000"/>
            </w14:solidFill>
          </w14:textFill>
        </w:rPr>
        <w:t xml:space="preserve"> Thus, the PACE 1984 safeguards of caution and access to lawyer, are part of procedural due process rights linked to human rights under the ECHR</w:t>
      </w:r>
      <w:r>
        <w:rPr>
          <w:outline w:val="0"/>
          <w:color w:val="000000"/>
          <w:u w:color="000000"/>
          <w:rtl w:val="0"/>
          <w:lang w:val="en-US"/>
          <w14:textFill>
            <w14:solidFill>
              <w14:srgbClr w14:val="000000"/>
            </w14:solidFill>
          </w14:textFill>
        </w:rPr>
        <w:t>.</w:t>
      </w:r>
      <w:r>
        <w:rPr>
          <w:outline w:val="0"/>
          <w:color w:val="000000"/>
          <w:u w:color="000000"/>
          <w:vertAlign w:val="superscript"/>
          <w:lang w:val="en-US"/>
          <w14:textFill>
            <w14:solidFill>
              <w14:srgbClr w14:val="000000"/>
            </w14:solidFill>
          </w14:textFill>
        </w:rPr>
        <w:footnoteReference w:id="16"/>
      </w:r>
      <w:r>
        <w:rPr>
          <w:outline w:val="0"/>
          <w:color w:val="000000"/>
          <w:u w:color="000000"/>
          <w:rtl w:val="0"/>
          <w:lang w:val="en-US"/>
          <w14:textFill>
            <w14:solidFill>
              <w14:srgbClr w14:val="000000"/>
            </w14:solidFill>
          </w14:textFill>
        </w:rPr>
        <w:t xml:space="preserve"> ECtHR jurisprudence already shows that denial of access to solicitor at the time of the first interrogation or interview would violate the rights of the accused.</w:t>
      </w:r>
      <w:r>
        <w:rPr>
          <w:outline w:val="0"/>
          <w:color w:val="000000"/>
          <w:u w:color="000000"/>
          <w:shd w:val="clear" w:color="auto" w:fill="ffffff"/>
          <w:vertAlign w:val="superscript"/>
          <w14:textFill>
            <w14:solidFill>
              <w14:srgbClr w14:val="000000"/>
            </w14:solidFill>
          </w14:textFill>
        </w:rPr>
        <w:footnoteReference w:id="17"/>
      </w:r>
      <w:r>
        <w:rPr>
          <w:outline w:val="0"/>
          <w:color w:val="000000"/>
          <w:u w:color="000000"/>
          <w:shd w:val="clear" w:color="auto" w:fill="ffffff"/>
          <w:rtl w:val="0"/>
          <w:lang w:val="en-US"/>
          <w14:textFill>
            <w14:solidFill>
              <w14:srgbClr w14:val="000000"/>
            </w14:solidFill>
          </w14:textFill>
        </w:rPr>
        <w:t xml:space="preserve"> In the same vein, failure to caution the person that they have the right to remain silent will lead to the possibility of the person </w:t>
      </w:r>
      <w:r>
        <w:rPr>
          <w:outline w:val="0"/>
          <w:color w:val="000000"/>
          <w:u w:color="000000"/>
          <w:rtl w:val="0"/>
          <w:lang w:val="en-US"/>
          <w14:textFill>
            <w14:solidFill>
              <w14:srgbClr w14:val="000000"/>
            </w14:solidFill>
          </w14:textFill>
        </w:rPr>
        <w:t>incriminating themselves without caution and this would violate their rights under the ECHR.</w:t>
      </w:r>
      <w:r>
        <w:rPr>
          <w:outline w:val="0"/>
          <w:color w:val="000000"/>
          <w:u w:color="000000"/>
          <w:vertAlign w:val="superscript"/>
          <w14:textFill>
            <w14:solidFill>
              <w14:srgbClr w14:val="000000"/>
            </w14:solidFill>
          </w14:textFill>
        </w:rPr>
        <w:footnoteReference w:id="18"/>
      </w:r>
      <w:r>
        <w:rPr>
          <w:outline w:val="0"/>
          <w:color w:val="000000"/>
          <w:u w:color="000000"/>
          <w:rtl w:val="0"/>
          <w14:textFill>
            <w14:solidFill>
              <w14:srgbClr w14:val="000000"/>
            </w14:solidFill>
          </w14:textFill>
        </w:rPr>
        <w:t xml:space="preserve"> </w:t>
      </w:r>
    </w:p>
    <w:p>
      <w:pPr>
        <w:pStyle w:val="Body"/>
        <w:spacing w:before="120" w:after="120"/>
        <w:rPr>
          <w:outline w:val="0"/>
          <w:color w:val="000000"/>
          <w:u w:color="000000"/>
          <w:shd w:val="clear" w:color="auto" w:fill="ffffff"/>
          <w14:textFill>
            <w14:solidFill>
              <w14:srgbClr w14:val="000000"/>
            </w14:solidFill>
          </w14:textFill>
        </w:rPr>
      </w:pPr>
      <w:r>
        <w:rPr>
          <w:outline w:val="0"/>
          <w:color w:val="000000"/>
          <w:u w:color="000000"/>
          <w:rtl w:val="0"/>
          <w:lang w:val="en-US"/>
          <w14:textFill>
            <w14:solidFill>
              <w14:srgbClr w14:val="000000"/>
            </w14:solidFill>
          </w14:textFill>
        </w:rPr>
        <w:t>The question also is the stage when the right to solicitor arises. The Supreme Court has held that the right to see the solicitor is a right that arises at the very initial stage of the arrest process and evidence cannot be gathered from the person without allowing access to solicitor.</w:t>
      </w:r>
      <w:r>
        <w:rPr>
          <w:outline w:val="0"/>
          <w:color w:val="000000"/>
          <w:u w:color="000000"/>
          <w:vertAlign w:val="superscript"/>
          <w14:textFill>
            <w14:solidFill>
              <w14:srgbClr w14:val="000000"/>
            </w14:solidFill>
          </w14:textFill>
        </w:rPr>
        <w:footnoteReference w:id="19"/>
      </w:r>
      <w:r>
        <w:rPr>
          <w:outline w:val="0"/>
          <w:color w:val="000000"/>
          <w:u w:color="000000"/>
          <w:rtl w:val="0"/>
          <w:lang w:val="en-US"/>
          <w14:textFill>
            <w14:solidFill>
              <w14:srgbClr w14:val="000000"/>
            </w14:solidFill>
          </w14:textFill>
        </w:rPr>
        <w:t xml:space="preserve"> However, the important point to be noted is that while</w:t>
      </w:r>
      <w:r>
        <w:rPr>
          <w:outline w:val="0"/>
          <w:color w:val="000000"/>
          <w:u w:color="000000"/>
          <w:shd w:val="clear" w:color="auto" w:fill="ffffff"/>
          <w:rtl w:val="0"/>
          <w:lang w:val="en-US"/>
          <w14:textFill>
            <w14:solidFill>
              <w14:srgbClr w14:val="000000"/>
            </w14:solidFill>
          </w14:textFill>
        </w:rPr>
        <w:t xml:space="preserve"> there is no absolute rule that evidence cannot be obtained from the suspect through questioning without access to a lawyer, the court will consider at the time of admitting the evidence whether it would be a violation of ECHR right.</w:t>
      </w:r>
      <w:r>
        <w:rPr>
          <w:outline w:val="0"/>
          <w:color w:val="000000"/>
          <w:u w:color="000000"/>
          <w:shd w:val="clear" w:color="auto" w:fill="ffffff"/>
          <w:vertAlign w:val="superscript"/>
          <w14:textFill>
            <w14:solidFill>
              <w14:srgbClr w14:val="000000"/>
            </w14:solidFill>
          </w14:textFill>
        </w:rPr>
        <w:footnoteReference w:id="20"/>
      </w:r>
      <w:r>
        <w:rPr>
          <w:outline w:val="0"/>
          <w:color w:val="000000"/>
          <w:u w:color="000000"/>
          <w:shd w:val="clear" w:color="auto" w:fill="ffffff"/>
          <w:rtl w:val="0"/>
          <w14:textFill>
            <w14:solidFill>
              <w14:srgbClr w14:val="000000"/>
            </w14:solidFill>
          </w14:textFill>
        </w:rPr>
        <w:t> </w:t>
      </w:r>
      <w:r>
        <w:rPr>
          <w:outline w:val="0"/>
          <w:color w:val="000000"/>
          <w:u w:color="000000"/>
          <w:shd w:val="clear" w:color="auto" w:fill="ffffff"/>
          <w:rtl w:val="0"/>
          <w:lang w:val="en-US"/>
          <w14:textFill>
            <w14:solidFill>
              <w14:srgbClr w14:val="000000"/>
            </w14:solidFill>
          </w14:textFill>
        </w:rPr>
        <w:t xml:space="preserve">Therefore, while Mary has the right to a solicitor, she can be asked to sit for an interview even in the absence of a solicitor. </w:t>
      </w:r>
    </w:p>
    <w:p>
      <w:pPr>
        <w:pStyle w:val="Body"/>
        <w:spacing w:before="120" w:after="120"/>
        <w:rPr>
          <w:outline w:val="0"/>
          <w:color w:val="000000"/>
          <w:u w:color="000000"/>
          <w:shd w:val="clear" w:color="auto" w:fill="ffffff"/>
          <w14:textFill>
            <w14:solidFill>
              <w14:srgbClr w14:val="000000"/>
            </w14:solidFill>
          </w14:textFill>
        </w:rPr>
      </w:pPr>
      <w:r>
        <w:rPr>
          <w:outline w:val="0"/>
          <w:color w:val="000000"/>
          <w:u w:color="000000"/>
          <w:shd w:val="clear" w:color="auto" w:fill="ffffff"/>
          <w:rtl w:val="0"/>
          <w:lang w:val="en-US"/>
          <w14:textFill>
            <w14:solidFill>
              <w14:srgbClr w14:val="000000"/>
            </w14:solidFill>
          </w14:textFill>
        </w:rPr>
        <w:t>However, at this point an important question would be whether the absence of caution would make it problematic for the police. Caution is not required under PACE 1984 unless interview is for the purpose of gathering evidence against the suspect. Thus, questions related to facts that are not likely to be incriminating can be asked without caution. Any question that can lead to incriminating answers have to be asked under caution.</w:t>
      </w:r>
      <w:r>
        <w:rPr>
          <w:outline w:val="0"/>
          <w:color w:val="000000"/>
          <w:u w:color="000000"/>
          <w:shd w:val="clear" w:color="auto" w:fill="ffffff"/>
          <w:vertAlign w:val="superscript"/>
          <w14:textFill>
            <w14:solidFill>
              <w14:srgbClr w14:val="000000"/>
            </w14:solidFill>
          </w14:textFill>
        </w:rPr>
        <w:footnoteReference w:id="21"/>
      </w:r>
      <w:r>
        <w:rPr>
          <w:outline w:val="0"/>
          <w:color w:val="000000"/>
          <w:u w:color="000000"/>
          <w:shd w:val="clear" w:color="auto" w:fill="ffffff"/>
          <w:rtl w:val="0"/>
          <w:lang w:val="en-US"/>
          <w14:textFill>
            <w14:solidFill>
              <w14:srgbClr w14:val="000000"/>
            </w14:solidFill>
          </w14:textFill>
        </w:rPr>
        <w:t xml:space="preserve"> In this case, Mary has been arrested, which means that she is to be charged with an offence, possibly under Public Order Act 1986. Therefore, if the police interview is for the purpose of gaining any information from her which may be used as evidence, she has to be given a caution before such interview can take place. </w:t>
      </w:r>
    </w:p>
    <w:p>
      <w:pPr>
        <w:pStyle w:val="Body"/>
        <w:spacing w:before="120" w:after="120"/>
        <w:rPr>
          <w:outline w:val="0"/>
          <w:color w:val="000000"/>
          <w:u w:color="000000"/>
          <w:shd w:val="clear" w:color="auto" w:fill="ffffff"/>
          <w14:textFill>
            <w14:solidFill>
              <w14:srgbClr w14:val="000000"/>
            </w14:solidFill>
          </w14:textFill>
        </w:rPr>
      </w:pPr>
      <w:r>
        <w:rPr>
          <w:outline w:val="0"/>
          <w:color w:val="000000"/>
          <w:u w:color="000000"/>
          <w:shd w:val="clear" w:color="auto" w:fill="ffffff"/>
          <w:rtl w:val="0"/>
          <w:lang w:val="en-US"/>
          <w14:textFill>
            <w14:solidFill>
              <w14:srgbClr w14:val="000000"/>
            </w14:solidFill>
          </w14:textFill>
        </w:rPr>
        <w:t xml:space="preserve">To conclude, Mary can claim that her right of legal representation and right to caution have been breached by the police in this case if there is an outright refusal of solicitor by the police or the police say that she has to arrange for solicitor at cost since she has been arrested by the police. </w:t>
      </w:r>
    </w:p>
    <w:p>
      <w:pPr>
        <w:pStyle w:val="Body"/>
        <w:spacing w:before="120" w:after="120"/>
        <w:rPr>
          <w:outline w:val="0"/>
          <w:color w:val="000000"/>
          <w:u w:color="000000"/>
          <w:shd w:val="clear" w:color="auto" w:fill="ffffff"/>
          <w14:textFill>
            <w14:solidFill>
              <w14:srgbClr w14:val="000000"/>
            </w14:solidFill>
          </w14:textFill>
        </w:rPr>
      </w:pPr>
      <w:r>
        <w:rPr>
          <w:outline w:val="0"/>
          <w:color w:val="000000"/>
          <w:u w:color="000000"/>
          <w:shd w:val="clear" w:color="auto" w:fill="ffffff"/>
          <w:rtl w:val="0"/>
          <w14:textFill>
            <w14:solidFill>
              <w14:srgbClr w14:val="000000"/>
            </w14:solidFill>
          </w14:textFill>
        </w:rPr>
        <w:t xml:space="preserve">  </w:t>
      </w:r>
    </w:p>
    <w:p>
      <w:pPr>
        <w:pStyle w:val="Body"/>
        <w:spacing w:before="120" w:after="120"/>
        <w:rPr>
          <w:outline w:val="0"/>
          <w:color w:val="000000"/>
          <w:u w:color="000000"/>
          <w14:textFill>
            <w14:solidFill>
              <w14:srgbClr w14:val="000000"/>
            </w14:solidFill>
          </w14:textFill>
        </w:rPr>
      </w:pPr>
    </w:p>
    <w:p>
      <w:pPr>
        <w:pStyle w:val="Body"/>
        <w:spacing w:before="120" w:after="120"/>
        <w:rPr>
          <w:outline w:val="0"/>
          <w:color w:val="000000"/>
          <w:u w:color="000000"/>
          <w14:textFill>
            <w14:solidFill>
              <w14:srgbClr w14:val="000000"/>
            </w14:solidFill>
          </w14:textFill>
        </w:rPr>
      </w:pPr>
    </w:p>
    <w:p>
      <w:pPr>
        <w:pStyle w:val="Body"/>
        <w:spacing w:before="120" w:after="120"/>
        <w:rPr>
          <w:outline w:val="0"/>
          <w:color w:val="000000"/>
          <w:u w:color="000000"/>
          <w14:textFill>
            <w14:solidFill>
              <w14:srgbClr w14:val="000000"/>
            </w14:solidFill>
          </w14:textFill>
        </w:rPr>
      </w:pPr>
    </w:p>
    <w:p>
      <w:pPr>
        <w:pStyle w:val="Body"/>
        <w:spacing w:before="120" w:after="120"/>
        <w:rPr>
          <w:outline w:val="0"/>
          <w:color w:val="000000"/>
          <w:u w:color="000000"/>
          <w14:textFill>
            <w14:solidFill>
              <w14:srgbClr w14:val="000000"/>
            </w14:solidFill>
          </w14:textFill>
        </w:rPr>
      </w:pPr>
    </w:p>
    <w:p>
      <w:pPr>
        <w:pStyle w:val="Body"/>
        <w:spacing w:before="120" w:after="120"/>
        <w:rPr>
          <w:outline w:val="0"/>
          <w:color w:val="000000"/>
          <w:u w:color="000000"/>
          <w14:textFill>
            <w14:solidFill>
              <w14:srgbClr w14:val="000000"/>
            </w14:solidFill>
          </w14:textFill>
        </w:rPr>
      </w:pPr>
    </w:p>
    <w:p>
      <w:pPr>
        <w:pStyle w:val="Body"/>
        <w:spacing w:before="120" w:after="120"/>
        <w:rPr>
          <w:outline w:val="0"/>
          <w:color w:val="000000"/>
          <w:u w:color="000000"/>
          <w14:textFill>
            <w14:solidFill>
              <w14:srgbClr w14:val="000000"/>
            </w14:solidFill>
          </w14:textFill>
        </w:rPr>
      </w:pPr>
    </w:p>
    <w:p>
      <w:pPr>
        <w:pStyle w:val="Body"/>
        <w:spacing w:before="120" w:after="120"/>
        <w:rPr>
          <w:outline w:val="0"/>
          <w:color w:val="000000"/>
          <w:u w:color="000000"/>
          <w14:textFill>
            <w14:solidFill>
              <w14:srgbClr w14:val="000000"/>
            </w14:solidFill>
          </w14:textFill>
        </w:rPr>
      </w:pPr>
    </w:p>
    <w:p>
      <w:pPr>
        <w:pStyle w:val="Body"/>
        <w:spacing w:before="120" w:after="120"/>
        <w:rPr>
          <w:outline w:val="0"/>
          <w:color w:val="000000"/>
          <w:u w:color="000000"/>
          <w14:textFill>
            <w14:solidFill>
              <w14:srgbClr w14:val="000000"/>
            </w14:solidFill>
          </w14:textFill>
        </w:rPr>
      </w:pPr>
    </w:p>
    <w:p>
      <w:pPr>
        <w:pStyle w:val="Body"/>
        <w:spacing w:before="120" w:after="120"/>
        <w:rPr>
          <w:outline w:val="0"/>
          <w:color w:val="000000"/>
          <w:u w:color="000000"/>
          <w14:textFill>
            <w14:solidFill>
              <w14:srgbClr w14:val="000000"/>
            </w14:solidFill>
          </w14:textFill>
        </w:rPr>
      </w:pPr>
    </w:p>
    <w:p>
      <w:pPr>
        <w:pStyle w:val="Body"/>
        <w:spacing w:before="120" w:after="120"/>
        <w:rPr>
          <w:outline w:val="0"/>
          <w:color w:val="000000"/>
          <w:u w:color="000000"/>
          <w14:textFill>
            <w14:solidFill>
              <w14:srgbClr w14:val="000000"/>
            </w14:solidFill>
          </w14:textFill>
        </w:rPr>
      </w:pPr>
    </w:p>
    <w:p>
      <w:pPr>
        <w:pStyle w:val="Body"/>
        <w:spacing w:before="120" w:after="120"/>
        <w:rPr>
          <w:outline w:val="0"/>
          <w:color w:val="000000"/>
          <w:u w:color="000000"/>
          <w14:textFill>
            <w14:solidFill>
              <w14:srgbClr w14:val="000000"/>
            </w14:solidFill>
          </w14:textFill>
        </w:rPr>
      </w:pPr>
    </w:p>
    <w:p>
      <w:pPr>
        <w:pStyle w:val="Body"/>
        <w:spacing w:before="120" w:after="120"/>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Cases</w:t>
      </w:r>
    </w:p>
    <w:p>
      <w:pPr>
        <w:pStyle w:val="Body"/>
        <w:spacing w:before="120" w:after="120"/>
        <w:rPr>
          <w:outline w:val="0"/>
          <w:color w:val="000000"/>
          <w:u w:color="000000"/>
          <w14:textFill>
            <w14:solidFill>
              <w14:srgbClr w14:val="000000"/>
            </w14:solidFill>
          </w14:textFill>
        </w:rPr>
      </w:pPr>
      <w:r>
        <w:rPr>
          <w:outline w:val="0"/>
          <w:color w:val="000000"/>
          <w:spacing w:val="-1"/>
          <w:u w:color="000000"/>
          <w:rtl w:val="0"/>
          <w:lang w:val="it-IT"/>
          <w14:textFill>
            <w14:solidFill>
              <w14:srgbClr w14:val="000000"/>
            </w14:solidFill>
          </w14:textFill>
        </w:rPr>
        <w:t>Ambrose v Harris, Procurator Fiscal, Oban</w:t>
      </w:r>
      <w:r>
        <w:rPr>
          <w:outline w:val="0"/>
          <w:color w:val="000000"/>
          <w:u w:color="000000"/>
          <w:shd w:val="clear" w:color="auto" w:fill="ffffff"/>
          <w:rtl w:val="0"/>
          <w:lang w:val="pt-PT"/>
          <w14:textFill>
            <w14:solidFill>
              <w14:srgbClr w14:val="000000"/>
            </w14:solidFill>
          </w14:textFill>
        </w:rPr>
        <w:t xml:space="preserve"> [2011] UKSC 43.</w:t>
      </w:r>
    </w:p>
    <w:p>
      <w:pPr>
        <w:pStyle w:val="Body"/>
        <w:spacing w:before="120" w:after="120"/>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 xml:space="preserve">Appleby and others v. the United Kingdom </w:t>
      </w:r>
      <w:r>
        <w:rPr>
          <w:outline w:val="0"/>
          <w:color w:val="000000"/>
          <w:u w:color="000000"/>
          <w:shd w:val="clear" w:color="auto" w:fill="ffffff"/>
          <w:rtl w:val="0"/>
          <w:lang w:val="pt-PT"/>
          <w14:textFill>
            <w14:solidFill>
              <w14:srgbClr w14:val="000000"/>
            </w14:solidFill>
          </w14:textFill>
        </w:rPr>
        <w:t>[2003] ECHR 222</w:t>
      </w:r>
      <w:r>
        <w:rPr>
          <w:outline w:val="0"/>
          <w:color w:val="000000"/>
          <w:u w:color="000000"/>
          <w:rtl w:val="0"/>
          <w14:textFill>
            <w14:solidFill>
              <w14:srgbClr w14:val="000000"/>
            </w14:solidFill>
          </w14:textFill>
        </w:rPr>
        <w:t>.</w:t>
      </w:r>
    </w:p>
    <w:p>
      <w:pPr>
        <w:pStyle w:val="Body"/>
        <w:spacing w:before="120" w:after="120"/>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Chief Constable of Greater Manchester (Brehony) [2005] QBD.</w:t>
      </w:r>
    </w:p>
    <w:p>
      <w:pPr>
        <w:pStyle w:val="footnote text"/>
        <w:spacing w:before="120" w:after="1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Elvira Dmitriyeva v. Russia, </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ECHR 159 (2019).</w:t>
      </w:r>
    </w:p>
    <w:p>
      <w:pPr>
        <w:pStyle w:val="Body"/>
        <w:spacing w:before="120" w:after="120"/>
        <w:rPr>
          <w:outline w:val="0"/>
          <w:color w:val="000000"/>
          <w:u w:color="000000"/>
          <w14:textFill>
            <w14:solidFill>
              <w14:srgbClr w14:val="000000"/>
            </w14:solidFill>
          </w14:textFill>
        </w:rPr>
      </w:pPr>
      <w:r>
        <w:rPr>
          <w:outline w:val="0"/>
          <w:color w:val="000000"/>
          <w:spacing w:val="-1"/>
          <w:u w:color="000000"/>
          <w:rtl w:val="0"/>
          <w14:textFill>
            <w14:solidFill>
              <w14:srgbClr w14:val="000000"/>
            </w14:solidFill>
          </w14:textFill>
        </w:rPr>
        <w:t>Her Majesty</w:t>
      </w:r>
      <w:r>
        <w:rPr>
          <w:outline w:val="0"/>
          <w:color w:val="000000"/>
          <w:spacing w:val="-1"/>
          <w:u w:color="000000"/>
          <w:rtl w:val="1"/>
          <w14:textFill>
            <w14:solidFill>
              <w14:srgbClr w14:val="000000"/>
            </w14:solidFill>
          </w14:textFill>
        </w:rPr>
        <w:t>’</w:t>
      </w:r>
      <w:r>
        <w:rPr>
          <w:outline w:val="0"/>
          <w:color w:val="000000"/>
          <w:spacing w:val="-1"/>
          <w:u w:color="000000"/>
          <w:rtl w:val="0"/>
          <w14:textFill>
            <w14:solidFill>
              <w14:srgbClr w14:val="000000"/>
            </w14:solidFill>
          </w14:textFill>
        </w:rPr>
        <w:t>s Advocate v P</w:t>
      </w:r>
      <w:r>
        <w:rPr>
          <w:outline w:val="0"/>
          <w:color w:val="000000"/>
          <w:u w:color="000000"/>
          <w:shd w:val="clear" w:color="auto" w:fill="ffffff"/>
          <w:rtl w:val="0"/>
          <w14:textFill>
            <w14:solidFill>
              <w14:srgbClr w14:val="000000"/>
            </w14:solidFill>
          </w14:textFill>
        </w:rPr>
        <w:t xml:space="preserve"> 2012 SC (UKSC) 108.</w:t>
      </w:r>
    </w:p>
    <w:p>
      <w:pPr>
        <w:pStyle w:val="Body"/>
        <w:spacing w:before="120" w:after="120"/>
        <w:rPr>
          <w:outline w:val="0"/>
          <w:color w:val="000000"/>
          <w:u w:color="000000"/>
          <w:shd w:val="clear" w:color="auto" w:fill="ffffff"/>
          <w14:textFill>
            <w14:solidFill>
              <w14:srgbClr w14:val="000000"/>
            </w14:solidFill>
          </w14:textFill>
        </w:rPr>
      </w:pPr>
      <w:r>
        <w:rPr>
          <w:outline w:val="0"/>
          <w:color w:val="000000"/>
          <w:u w:color="000000"/>
          <w:shd w:val="clear" w:color="auto" w:fill="ffffff"/>
          <w:rtl w:val="0"/>
          <w14:textFill>
            <w14:solidFill>
              <w14:srgbClr w14:val="000000"/>
            </w14:solidFill>
          </w14:textFill>
        </w:rPr>
        <w:t>Kudrevi</w:t>
      </w:r>
      <w:r>
        <w:rPr>
          <w:outline w:val="0"/>
          <w:color w:val="000000"/>
          <w:u w:color="000000"/>
          <w:shd w:val="clear" w:color="auto" w:fill="ffffff"/>
          <w:rtl w:val="0"/>
          <w14:textFill>
            <w14:solidFill>
              <w14:srgbClr w14:val="000000"/>
            </w14:solidFill>
          </w14:textFill>
        </w:rPr>
        <w:t>č</w:t>
      </w:r>
      <w:r>
        <w:rPr>
          <w:outline w:val="0"/>
          <w:color w:val="000000"/>
          <w:u w:color="000000"/>
          <w:shd w:val="clear" w:color="auto" w:fill="ffffff"/>
          <w:rtl w:val="0"/>
          <w:lang w:val="en-US"/>
          <w14:textFill>
            <w14:solidFill>
              <w14:srgbClr w14:val="000000"/>
            </w14:solidFill>
          </w14:textFill>
        </w:rPr>
        <w:t>ius and Others v</w:t>
      </w:r>
      <w:r>
        <w:rPr>
          <w:outline w:val="0"/>
          <w:color w:val="000000"/>
          <w:u w:color="000000"/>
          <w:shd w:val="clear" w:color="auto" w:fill="ffffff"/>
          <w:rtl w:val="0"/>
          <w14:textFill>
            <w14:solidFill>
              <w14:srgbClr w14:val="000000"/>
            </w14:solidFill>
          </w14:textFill>
        </w:rPr>
        <w:t>.</w:t>
      </w:r>
      <w:r>
        <w:rPr>
          <w:outline w:val="0"/>
          <w:color w:val="000000"/>
          <w:u w:color="000000"/>
          <w:shd w:val="clear" w:color="auto" w:fill="ffffff"/>
          <w:rtl w:val="0"/>
          <w14:textFill>
            <w14:solidFill>
              <w14:srgbClr w14:val="000000"/>
            </w14:solidFill>
          </w14:textFill>
        </w:rPr>
        <w:t> </w:t>
      </w:r>
      <w:r>
        <w:rPr>
          <w:outline w:val="0"/>
          <w:color w:val="000000"/>
          <w:u w:color="000000"/>
          <w:shd w:val="clear" w:color="auto" w:fill="ffffff"/>
          <w:rtl w:val="0"/>
          <w14:textFill>
            <w14:solidFill>
              <w14:srgbClr w14:val="000000"/>
            </w14:solidFill>
          </w14:textFill>
        </w:rPr>
        <w:t>Lithuania</w:t>
      </w:r>
      <w:r>
        <w:rPr>
          <w:outline w:val="0"/>
          <w:color w:val="000000"/>
          <w:u w:color="000000"/>
          <w:shd w:val="clear" w:color="auto" w:fill="ffffff"/>
          <w:rtl w:val="0"/>
          <w14:textFill>
            <w14:solidFill>
              <w14:srgbClr w14:val="000000"/>
            </w14:solidFill>
          </w14:textFill>
        </w:rPr>
        <w:t> </w:t>
      </w:r>
      <w:r>
        <w:rPr>
          <w:outline w:val="0"/>
          <w:color w:val="000000"/>
          <w:u w:color="000000"/>
          <w:shd w:val="clear" w:color="auto" w:fill="ffffff"/>
          <w:rtl w:val="0"/>
          <w:lang w:val="en-US"/>
          <w14:textFill>
            <w14:solidFill>
              <w14:srgbClr w14:val="000000"/>
            </w14:solidFill>
          </w14:textFill>
        </w:rPr>
        <w:t>(App. No. 37553/05) (Judgment of 15 October</w:t>
      </w:r>
      <w:r>
        <w:rPr>
          <w:outline w:val="0"/>
          <w:color w:val="000000"/>
          <w:u w:color="000000"/>
          <w:shd w:val="clear" w:color="auto" w:fill="ffffff"/>
          <w:rtl w:val="0"/>
          <w14:textFill>
            <w14:solidFill>
              <w14:srgbClr w14:val="000000"/>
            </w14:solidFill>
          </w14:textFill>
        </w:rPr>
        <w:t> </w:t>
      </w:r>
      <w:r>
        <w:rPr>
          <w:outline w:val="0"/>
          <w:color w:val="000000"/>
          <w:u w:color="000000"/>
          <w:shd w:val="clear" w:color="auto" w:fill="ffffff"/>
          <w:rtl w:val="0"/>
          <w14:textFill>
            <w14:solidFill>
              <w14:srgbClr w14:val="000000"/>
            </w14:solidFill>
          </w14:textFill>
        </w:rPr>
        <w:t>2015</w:t>
      </w:r>
      <w:r>
        <w:rPr>
          <w:outline w:val="0"/>
          <w:color w:val="000000"/>
          <w:u w:color="000000"/>
          <w:shd w:val="clear" w:color="auto" w:fill="ffffff"/>
          <w:rtl w:val="0"/>
          <w:lang w:val="en-US"/>
          <w14:textFill>
            <w14:solidFill>
              <w14:srgbClr w14:val="000000"/>
            </w14:solidFill>
          </w14:textFill>
        </w:rPr>
        <w:t>) ECtHR (</w:t>
      </w:r>
      <w:r>
        <w:rPr>
          <w:outline w:val="0"/>
          <w:color w:val="000000"/>
          <w:u w:color="000000"/>
          <w:shd w:val="clear" w:color="auto" w:fill="ffffff"/>
          <w:rtl w:val="0"/>
          <w14:textFill>
            <w14:solidFill>
              <w14:srgbClr w14:val="000000"/>
            </w14:solidFill>
          </w14:textFill>
        </w:rPr>
        <w:t>GC</w:t>
      </w:r>
      <w:r>
        <w:rPr>
          <w:outline w:val="0"/>
          <w:color w:val="000000"/>
          <w:u w:color="000000"/>
          <w:shd w:val="clear" w:color="auto" w:fill="ffffff"/>
          <w:rtl w:val="0"/>
          <w14:textFill>
            <w14:solidFill>
              <w14:srgbClr w14:val="000000"/>
            </w14:solidFill>
          </w14:textFill>
        </w:rPr>
        <w:t>).</w:t>
      </w:r>
    </w:p>
    <w:p>
      <w:pPr>
        <w:pStyle w:val="Body"/>
        <w:spacing w:before="120" w:after="120"/>
        <w:rPr>
          <w:outline w:val="0"/>
          <w:color w:val="000000"/>
          <w:u w:color="000000"/>
          <w:shd w:val="clear" w:color="auto" w:fill="ffffff"/>
          <w14:textFill>
            <w14:solidFill>
              <w14:srgbClr w14:val="000000"/>
            </w14:solidFill>
          </w14:textFill>
        </w:rPr>
      </w:pPr>
      <w:r>
        <w:rPr>
          <w:outline w:val="0"/>
          <w:color w:val="000000"/>
          <w:u w:color="000000"/>
          <w:rtl w:val="0"/>
          <w:lang w:val="en-US"/>
          <w14:textFill>
            <w14:solidFill>
              <w14:srgbClr w14:val="000000"/>
            </w14:solidFill>
          </w14:textFill>
        </w:rPr>
        <w:t>Ibrahim and Others v. the United Kingdom</w:t>
      </w:r>
      <w:r>
        <w:rPr>
          <w:outline w:val="0"/>
          <w:color w:val="000000"/>
          <w:u w:color="000000"/>
          <w:shd w:val="clear" w:color="auto" w:fill="ffffff"/>
          <w:rtl w:val="0"/>
          <w14:textFill>
            <w14:solidFill>
              <w14:srgbClr w14:val="000000"/>
            </w14:solidFill>
          </w14:textFill>
        </w:rPr>
        <w:t> </w:t>
      </w:r>
      <w:r>
        <w:rPr>
          <w:outline w:val="0"/>
          <w:color w:val="000000"/>
          <w:u w:color="000000"/>
          <w:shd w:val="clear" w:color="auto" w:fill="ffffff"/>
          <w:rtl w:val="0"/>
          <w:lang w:val="en-US"/>
          <w14:textFill>
            <w14:solidFill>
              <w14:srgbClr w14:val="000000"/>
            </w14:solidFill>
          </w14:textFill>
        </w:rPr>
        <w:t>[GC], nos. 50541/08, 50571/08, 50573/08 and 40351/09, ECHR 2016, Judgment of 13 September 2016.</w:t>
      </w:r>
    </w:p>
    <w:p>
      <w:pPr>
        <w:pStyle w:val="Body"/>
        <w:spacing w:before="120" w:after="120"/>
        <w:rPr>
          <w:outline w:val="0"/>
          <w:color w:val="000000"/>
          <w:u w:color="000000"/>
          <w:shd w:val="clear" w:color="auto" w:fill="ffffff"/>
          <w14:textFill>
            <w14:solidFill>
              <w14:srgbClr w14:val="000000"/>
            </w14:solidFill>
          </w14:textFill>
        </w:rPr>
      </w:pPr>
      <w:r>
        <w:rPr>
          <w:outline w:val="0"/>
          <w:color w:val="000000"/>
          <w:u w:color="000000"/>
          <w:shd w:val="clear" w:color="auto" w:fill="ffffff"/>
          <w:rtl w:val="0"/>
          <w14:textFill>
            <w14:solidFill>
              <w14:srgbClr w14:val="000000"/>
            </w14:solidFill>
          </w14:textFill>
        </w:rPr>
        <w:t>O</w:t>
      </w:r>
      <w:r>
        <w:rPr>
          <w:outline w:val="0"/>
          <w:color w:val="000000"/>
          <w:u w:color="000000"/>
          <w:shd w:val="clear" w:color="auto" w:fill="ffffff"/>
          <w:rtl w:val="1"/>
          <w14:textFill>
            <w14:solidFill>
              <w14:srgbClr w14:val="000000"/>
            </w14:solidFill>
          </w14:textFill>
        </w:rPr>
        <w:t>’</w:t>
      </w:r>
      <w:r>
        <w:rPr>
          <w:outline w:val="0"/>
          <w:color w:val="000000"/>
          <w:u w:color="000000"/>
          <w:shd w:val="clear" w:color="auto" w:fill="ffffff"/>
          <w:rtl w:val="0"/>
          <w:lang w:val="en-US"/>
          <w14:textFill>
            <w14:solidFill>
              <w14:srgbClr w14:val="000000"/>
            </w14:solidFill>
          </w14:textFill>
        </w:rPr>
        <w:t>Moran v DPP [1975] QB 864.</w:t>
      </w:r>
    </w:p>
    <w:p>
      <w:pPr>
        <w:pStyle w:val="Body"/>
        <w:spacing w:before="120" w:after="120"/>
        <w:rPr>
          <w:outline w:val="0"/>
          <w:color w:val="000000"/>
          <w:u w:color="000000"/>
          <w:shd w:val="clear" w:color="auto" w:fill="ffffff"/>
          <w14:textFill>
            <w14:solidFill>
              <w14:srgbClr w14:val="000000"/>
            </w14:solidFill>
          </w14:textFill>
        </w:rPr>
      </w:pPr>
      <w:r>
        <w:rPr>
          <w:outline w:val="0"/>
          <w:color w:val="000000"/>
          <w:u w:color="000000"/>
          <w:rtl w:val="0"/>
          <w:lang w:val="en-US"/>
          <w14:textFill>
            <w14:solidFill>
              <w14:srgbClr w14:val="000000"/>
            </w14:solidFill>
          </w14:textFill>
        </w:rPr>
        <w:t>Rai and Evans v. the United Kingdom</w:t>
      </w:r>
      <w:r>
        <w:rPr>
          <w:outline w:val="0"/>
          <w:color w:val="000000"/>
          <w:u w:color="000000"/>
          <w:shd w:val="clear" w:color="auto" w:fill="ffffff"/>
          <w:rtl w:val="0"/>
          <w:lang w:val="pt-PT"/>
          <w14:textFill>
            <w14:solidFill>
              <w14:srgbClr w14:val="000000"/>
            </w14:solidFill>
          </w14:textFill>
        </w:rPr>
        <w:t xml:space="preserve"> [2009] ECHR 1269.</w:t>
      </w:r>
    </w:p>
    <w:p>
      <w:pPr>
        <w:pStyle w:val="Body"/>
        <w:spacing w:before="120" w:after="120"/>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R (Commissioners of HM Revenue and Customs) v Pisciotto [2009] EWHC 1991 (Admin)</w:t>
      </w:r>
      <w:r>
        <w:rPr>
          <w:outline w:val="0"/>
          <w:color w:val="000000"/>
          <w:u w:color="000000"/>
          <w:shd w:val="clear" w:color="auto" w:fill="ffffff"/>
          <w:rtl w:val="0"/>
          <w14:textFill>
            <w14:solidFill>
              <w14:srgbClr w14:val="000000"/>
            </w14:solidFill>
          </w14:textFill>
        </w:rPr>
        <w:t>.</w:t>
      </w:r>
    </w:p>
    <w:p>
      <w:pPr>
        <w:pStyle w:val="footnote text"/>
        <w:spacing w:before="120" w:after="1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R v Samuel [1988] 2 All ER 135.</w:t>
      </w:r>
    </w:p>
    <w:p>
      <w:pPr>
        <w:pStyle w:val="Body"/>
        <w:spacing w:before="120" w:after="120"/>
        <w:rPr>
          <w:outline w:val="0"/>
          <w:color w:val="000000"/>
          <w:u w:color="000000"/>
          <w14:textFill>
            <w14:solidFill>
              <w14:srgbClr w14:val="000000"/>
            </w14:solidFill>
          </w14:textFill>
        </w:rPr>
      </w:pPr>
      <w:r>
        <w:rPr>
          <w:outline w:val="0"/>
          <w:color w:val="000000"/>
          <w:u w:color="000000"/>
          <w:rtl w:val="0"/>
          <w14:textFill>
            <w14:solidFill>
              <w14:srgbClr w14:val="000000"/>
            </w14:solidFill>
          </w14:textFill>
        </w:rPr>
        <w:t>Salduz v Turkey [2008] ECHR 1542.</w:t>
      </w:r>
    </w:p>
    <w:p>
      <w:pPr>
        <w:pStyle w:val="Body"/>
        <w:spacing w:before="120" w:after="120"/>
        <w:rPr>
          <w:outline w:val="0"/>
          <w:color w:val="000000"/>
          <w:u w:color="000000"/>
          <w:shd w:val="clear" w:color="auto" w:fill="ffffff"/>
          <w14:textFill>
            <w14:solidFill>
              <w14:srgbClr w14:val="000000"/>
            </w14:solidFill>
          </w14:textFill>
        </w:rPr>
      </w:pPr>
      <w:r>
        <w:rPr>
          <w:outline w:val="0"/>
          <w:color w:val="000000"/>
          <w:u w:color="000000"/>
          <w:rtl w:val="0"/>
          <w:lang w:val="en-US"/>
          <w14:textFill>
            <w14:solidFill>
              <w14:srgbClr w14:val="000000"/>
            </w14:solidFill>
          </w14:textFill>
        </w:rPr>
        <w:t xml:space="preserve">Schwabe and M.G. v. Germany </w:t>
      </w:r>
      <w:r>
        <w:rPr>
          <w:outline w:val="0"/>
          <w:color w:val="000000"/>
          <w:u w:color="000000"/>
          <w:shd w:val="clear" w:color="auto" w:fill="ffffff"/>
          <w:rtl w:val="0"/>
          <w:lang w:val="pt-PT"/>
          <w14:textFill>
            <w14:solidFill>
              <w14:srgbClr w14:val="000000"/>
            </w14:solidFill>
          </w14:textFill>
        </w:rPr>
        <w:t>[2011] ECHR 1986.</w:t>
      </w:r>
    </w:p>
    <w:p>
      <w:pPr>
        <w:pStyle w:val="Body"/>
        <w:widowControl w:val="0"/>
        <w:spacing w:before="120" w:after="120"/>
        <w:jc w:val="both"/>
        <w:rPr>
          <w:outline w:val="0"/>
          <w:color w:val="000000"/>
          <w:u w:color="000000"/>
          <w14:textFill>
            <w14:solidFill>
              <w14:srgbClr w14:val="000000"/>
            </w14:solidFill>
          </w14:textFill>
        </w:rPr>
      </w:pPr>
      <w:r>
        <w:rPr>
          <w:outline w:val="0"/>
          <w:color w:val="000000"/>
          <w:u w:color="000000"/>
          <w:rtl w:val="0"/>
          <w:lang w:val="pt-PT"/>
          <w14:textFill>
            <w14:solidFill>
              <w14:srgbClr w14:val="000000"/>
            </w14:solidFill>
          </w14:textFill>
        </w:rPr>
        <w:t>Teixeira de Castro v Portugal (1998) 28 EHRR 101.</w:t>
      </w:r>
    </w:p>
    <w:p>
      <w:pPr>
        <w:pStyle w:val="footnote text"/>
        <w:spacing w:before="120" w:after="1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Thomas v Sawkins [1935] KBD.</w:t>
      </w:r>
    </w:p>
    <w:p>
      <w:pPr>
        <w:pStyle w:val="Body"/>
        <w:spacing w:before="120" w:after="120"/>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Books</w:t>
      </w:r>
    </w:p>
    <w:p>
      <w:pPr>
        <w:pStyle w:val="footnote text"/>
        <w:spacing w:before="120" w:after="1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Masferrer A and Clive Walker, </w:t>
      </w:r>
      <w:r>
        <w:rPr>
          <w:rFonts w:ascii="Times New Roman" w:hAnsi="Times New Roman"/>
          <w:i w:val="1"/>
          <w:iCs w:val="1"/>
          <w:outline w:val="0"/>
          <w:color w:val="000000"/>
          <w:sz w:val="24"/>
          <w:szCs w:val="24"/>
          <w:u w:color="000000"/>
          <w:rtl w:val="0"/>
          <w:lang w:val="en-US"/>
          <w14:textFill>
            <w14:solidFill>
              <w14:srgbClr w14:val="000000"/>
            </w14:solidFill>
          </w14:textFill>
        </w:rPr>
        <w:t>Counter-Terrorism, Human Rights and the Rule of Law: Crossing Legal Boundaries in Defence of the State</w:t>
      </w:r>
      <w:r>
        <w:rPr>
          <w:rFonts w:ascii="Times New Roman" w:hAnsi="Times New Roman"/>
          <w:outline w:val="0"/>
          <w:color w:val="000000"/>
          <w:sz w:val="24"/>
          <w:szCs w:val="24"/>
          <w:u w:color="000000"/>
          <w:rtl w:val="0"/>
          <w:lang w:val="en-US"/>
          <w14:textFill>
            <w14:solidFill>
              <w14:srgbClr w14:val="000000"/>
            </w14:solidFill>
          </w14:textFill>
        </w:rPr>
        <w:t xml:space="preserve"> (Edward Elgar Publishing 2013).</w:t>
      </w:r>
    </w:p>
    <w:p>
      <w:pPr>
        <w:pStyle w:val="Normal (Web)"/>
        <w:spacing w:before="120" w:after="120"/>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Saunders A and Richard Young,</w:t>
      </w:r>
      <w:r>
        <w:rPr>
          <w:outline w:val="0"/>
          <w:color w:val="000000"/>
          <w:u w:color="000000"/>
          <w:rtl w:val="0"/>
          <w:lang w:val="en-US"/>
          <w14:textFill>
            <w14:solidFill>
              <w14:srgbClr w14:val="000000"/>
            </w14:solidFill>
          </w14:textFill>
        </w:rPr>
        <w:t xml:space="preserve">’ </w:t>
      </w:r>
      <w:r>
        <w:rPr>
          <w:outline w:val="0"/>
          <w:color w:val="000000"/>
          <w:u w:color="000000"/>
          <w:rtl w:val="0"/>
          <w:lang w:val="en-US"/>
          <w14:textFill>
            <w14:solidFill>
              <w14:srgbClr w14:val="000000"/>
            </w14:solidFill>
          </w14:textFill>
        </w:rPr>
        <w:t>From Suspect to Trial</w:t>
      </w:r>
      <w:r>
        <w:rPr>
          <w:outline w:val="0"/>
          <w:color w:val="000000"/>
          <w:u w:color="000000"/>
          <w:rtl w:val="0"/>
          <w:lang w:val="en-US"/>
          <w14:textFill>
            <w14:solidFill>
              <w14:srgbClr w14:val="000000"/>
            </w14:solidFill>
          </w14:textFill>
        </w:rPr>
        <w:t xml:space="preserve">’ </w:t>
      </w:r>
      <w:r>
        <w:rPr>
          <w:outline w:val="0"/>
          <w:color w:val="000000"/>
          <w:u w:color="000000"/>
          <w:rtl w:val="0"/>
          <w:lang w:val="en-US"/>
          <w14:textFill>
            <w14:solidFill>
              <w14:srgbClr w14:val="000000"/>
            </w14:solidFill>
          </w14:textFill>
        </w:rPr>
        <w:t xml:space="preserve">in Mike MacGuire, Rod Morgan and Robert Reiner (eds.), </w:t>
      </w:r>
      <w:r>
        <w:rPr>
          <w:i w:val="1"/>
          <w:iCs w:val="1"/>
          <w:outline w:val="0"/>
          <w:color w:val="000000"/>
          <w:u w:color="000000"/>
          <w:rtl w:val="0"/>
          <w:lang w:val="en-US"/>
          <w14:textFill>
            <w14:solidFill>
              <w14:srgbClr w14:val="000000"/>
            </w14:solidFill>
          </w14:textFill>
        </w:rPr>
        <w:t>The Oxford Handbook of Criminology</w:t>
      </w:r>
      <w:r>
        <w:rPr>
          <w:outline w:val="0"/>
          <w:color w:val="000000"/>
          <w:u w:color="000000"/>
          <w:rtl w:val="0"/>
          <w:lang w:val="en-US"/>
          <w14:textFill>
            <w14:solidFill>
              <w14:srgbClr w14:val="000000"/>
            </w14:solidFill>
          </w14:textFill>
        </w:rPr>
        <w:t xml:space="preserve"> (Oxford University Press 2002).</w:t>
      </w:r>
    </w:p>
    <w:p>
      <w:pPr>
        <w:pStyle w:val="footnote text"/>
        <w:spacing w:before="120" w:after="1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Slapper G and D Kelly, </w:t>
      </w:r>
      <w:r>
        <w:rPr>
          <w:rFonts w:ascii="Times New Roman" w:hAnsi="Times New Roman"/>
          <w:i w:val="1"/>
          <w:iCs w:val="1"/>
          <w:outline w:val="0"/>
          <w:color w:val="000000"/>
          <w:sz w:val="24"/>
          <w:szCs w:val="24"/>
          <w:u w:color="000000"/>
          <w:rtl w:val="0"/>
          <w:lang w:val="en-US"/>
          <w14:textFill>
            <w14:solidFill>
              <w14:srgbClr w14:val="000000"/>
            </w14:solidFill>
          </w14:textFill>
        </w:rPr>
        <w:t xml:space="preserve">The English Legal System </w:t>
      </w:r>
      <w:r>
        <w:rPr>
          <w:rFonts w:ascii="Times New Roman" w:hAnsi="Times New Roman"/>
          <w:outline w:val="0"/>
          <w:color w:val="000000"/>
          <w:sz w:val="24"/>
          <w:szCs w:val="24"/>
          <w:u w:color="000000"/>
          <w:rtl w:val="0"/>
          <w:lang w:val="en-US"/>
          <w14:textFill>
            <w14:solidFill>
              <w14:srgbClr w14:val="000000"/>
            </w14:solidFill>
          </w14:textFill>
        </w:rPr>
        <w:t>(Routledge 2020).</w:t>
      </w:r>
    </w:p>
    <w:p>
      <w:pPr>
        <w:pStyle w:val="Normal (Web)"/>
        <w:spacing w:before="120" w:after="120"/>
        <w:rPr>
          <w:outline w:val="0"/>
          <w:color w:val="000000"/>
          <w:u w:color="000000"/>
          <w14:textFill>
            <w14:solidFill>
              <w14:srgbClr w14:val="000000"/>
            </w14:solidFill>
          </w14:textFill>
        </w:rPr>
      </w:pPr>
    </w:p>
    <w:p>
      <w:pPr>
        <w:pStyle w:val="Body"/>
        <w:spacing w:before="120" w:after="120"/>
        <w:rPr>
          <w:outline w:val="0"/>
          <w:color w:val="000000"/>
          <w:u w:color="000000"/>
          <w14:textFill>
            <w14:solidFill>
              <w14:srgbClr w14:val="000000"/>
            </w14:solidFill>
          </w14:textFill>
        </w:rPr>
      </w:pPr>
    </w:p>
    <w:p>
      <w:pPr>
        <w:pStyle w:val="Body"/>
        <w:spacing w:before="120" w:after="120"/>
      </w:pPr>
      <w:r>
        <w:rPr>
          <w:outline w:val="0"/>
          <w:color w:val="000000"/>
          <w:u w:color="000000"/>
          <w14:textFill>
            <w14:solidFill>
              <w14:srgbClr w14:val="000000"/>
            </w14:solidFill>
          </w14:textFill>
        </w:rPr>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Body"/>
      </w:pPr>
      <w:r>
        <w:rPr>
          <w:outline w:val="0"/>
          <w:color w:val="000000"/>
          <w:u w:color="000000"/>
          <w:vertAlign w:val="superscript"/>
          <w14:textFill>
            <w14:solidFill>
              <w14:srgbClr w14:val="000000"/>
            </w14:solidFill>
          </w14:textFill>
        </w:rPr>
        <w:footnoteRef/>
      </w:r>
      <w:r>
        <w:rPr>
          <w:outline w:val="0"/>
          <w:color w:val="000000"/>
          <w:sz w:val="21"/>
          <w:szCs w:val="21"/>
          <w:u w:color="000000"/>
          <w:rtl w:val="0"/>
          <w14:textFill>
            <w14:solidFill>
              <w14:srgbClr w14:val="000000"/>
            </w14:solidFill>
          </w14:textFill>
        </w:rPr>
        <w:t xml:space="preserve"> </w:t>
      </w:r>
      <w:r>
        <w:rPr>
          <w:i w:val="1"/>
          <w:iCs w:val="1"/>
          <w:outline w:val="0"/>
          <w:color w:val="000000"/>
          <w:sz w:val="21"/>
          <w:szCs w:val="21"/>
          <w:u w:color="000000"/>
          <w:shd w:val="clear" w:color="auto" w:fill="ffffff"/>
          <w:rtl w:val="0"/>
          <w14:textFill>
            <w14:solidFill>
              <w14:srgbClr w14:val="000000"/>
            </w14:solidFill>
          </w14:textFill>
        </w:rPr>
        <w:t>O</w:t>
      </w:r>
      <w:r>
        <w:rPr>
          <w:i w:val="1"/>
          <w:iCs w:val="1"/>
          <w:outline w:val="0"/>
          <w:color w:val="000000"/>
          <w:sz w:val="21"/>
          <w:szCs w:val="21"/>
          <w:u w:color="000000"/>
          <w:shd w:val="clear" w:color="auto" w:fill="ffffff"/>
          <w:rtl w:val="1"/>
          <w14:textFill>
            <w14:solidFill>
              <w14:srgbClr w14:val="000000"/>
            </w14:solidFill>
          </w14:textFill>
        </w:rPr>
        <w:t>’</w:t>
      </w:r>
      <w:r>
        <w:rPr>
          <w:i w:val="1"/>
          <w:iCs w:val="1"/>
          <w:outline w:val="0"/>
          <w:color w:val="000000"/>
          <w:sz w:val="21"/>
          <w:szCs w:val="21"/>
          <w:u w:color="000000"/>
          <w:shd w:val="clear" w:color="auto" w:fill="ffffff"/>
          <w:rtl w:val="0"/>
          <w14:textFill>
            <w14:solidFill>
              <w14:srgbClr w14:val="000000"/>
            </w14:solidFill>
          </w14:textFill>
        </w:rPr>
        <w:t>Moran v DPP</w:t>
      </w:r>
      <w:r>
        <w:rPr>
          <w:outline w:val="0"/>
          <w:color w:val="000000"/>
          <w:sz w:val="21"/>
          <w:szCs w:val="21"/>
          <w:u w:color="000000"/>
          <w:shd w:val="clear" w:color="auto" w:fill="ffffff"/>
          <w:rtl w:val="0"/>
          <w:lang w:val="en-US"/>
          <w14:textFill>
            <w14:solidFill>
              <w14:srgbClr w14:val="000000"/>
            </w14:solidFill>
          </w14:textFill>
        </w:rPr>
        <w:t xml:space="preserve"> [1975] QB 864.</w:t>
      </w:r>
    </w:p>
  </w:footnote>
  <w:footnote w:id="2">
    <w:p>
      <w:pPr>
        <w:pStyle w:val="Body"/>
      </w:pPr>
      <w:r>
        <w:rPr>
          <w:outline w:val="0"/>
          <w:color w:val="000000"/>
          <w:u w:color="000000"/>
          <w:vertAlign w:val="superscript"/>
          <w14:textFill>
            <w14:solidFill>
              <w14:srgbClr w14:val="000000"/>
            </w14:solidFill>
          </w14:textFill>
        </w:rPr>
        <w:footnoteRef/>
      </w:r>
      <w:r>
        <w:rPr>
          <w:outline w:val="0"/>
          <w:color w:val="000000"/>
          <w:sz w:val="21"/>
          <w:szCs w:val="21"/>
          <w:u w:color="000000"/>
          <w:rtl w:val="0"/>
          <w14:textFill>
            <w14:solidFill>
              <w14:srgbClr w14:val="000000"/>
            </w14:solidFill>
          </w14:textFill>
        </w:rPr>
        <w:t xml:space="preserve"> </w:t>
      </w:r>
      <w:r>
        <w:rPr>
          <w:i w:val="1"/>
          <w:iCs w:val="1"/>
          <w:outline w:val="0"/>
          <w:color w:val="000000"/>
          <w:sz w:val="21"/>
          <w:szCs w:val="21"/>
          <w:u w:color="000000"/>
          <w:shd w:val="clear" w:color="auto" w:fill="ffffff"/>
          <w:rtl w:val="0"/>
          <w14:textFill>
            <w14:solidFill>
              <w14:srgbClr w14:val="000000"/>
            </w14:solidFill>
          </w14:textFill>
        </w:rPr>
        <w:t>Kudrevi</w:t>
      </w:r>
      <w:r>
        <w:rPr>
          <w:i w:val="1"/>
          <w:iCs w:val="1"/>
          <w:outline w:val="0"/>
          <w:color w:val="000000"/>
          <w:sz w:val="21"/>
          <w:szCs w:val="21"/>
          <w:u w:color="000000"/>
          <w:shd w:val="clear" w:color="auto" w:fill="ffffff"/>
          <w:rtl w:val="0"/>
          <w14:textFill>
            <w14:solidFill>
              <w14:srgbClr w14:val="000000"/>
            </w14:solidFill>
          </w14:textFill>
        </w:rPr>
        <w:t>č</w:t>
      </w:r>
      <w:r>
        <w:rPr>
          <w:i w:val="1"/>
          <w:iCs w:val="1"/>
          <w:outline w:val="0"/>
          <w:color w:val="000000"/>
          <w:sz w:val="21"/>
          <w:szCs w:val="21"/>
          <w:u w:color="000000"/>
          <w:shd w:val="clear" w:color="auto" w:fill="ffffff"/>
          <w:rtl w:val="0"/>
          <w:lang w:val="en-US"/>
          <w14:textFill>
            <w14:solidFill>
              <w14:srgbClr w14:val="000000"/>
            </w14:solidFill>
          </w14:textFill>
        </w:rPr>
        <w:t>ius and Others v</w:t>
      </w:r>
      <w:r>
        <w:rPr>
          <w:outline w:val="0"/>
          <w:color w:val="000000"/>
          <w:sz w:val="21"/>
          <w:szCs w:val="21"/>
          <w:u w:color="000000"/>
          <w:shd w:val="clear" w:color="auto" w:fill="ffffff"/>
          <w:rtl w:val="0"/>
          <w14:textFill>
            <w14:solidFill>
              <w14:srgbClr w14:val="000000"/>
            </w14:solidFill>
          </w14:textFill>
        </w:rPr>
        <w:t>.</w:t>
      </w:r>
      <w:r>
        <w:rPr>
          <w:outline w:val="0"/>
          <w:color w:val="000000"/>
          <w:sz w:val="21"/>
          <w:szCs w:val="21"/>
          <w:u w:color="000000"/>
          <w:shd w:val="clear" w:color="auto" w:fill="ffffff"/>
          <w:rtl w:val="0"/>
          <w14:textFill>
            <w14:solidFill>
              <w14:srgbClr w14:val="000000"/>
            </w14:solidFill>
          </w14:textFill>
        </w:rPr>
        <w:t> </w:t>
      </w:r>
      <w:r>
        <w:rPr>
          <w:i w:val="1"/>
          <w:iCs w:val="1"/>
          <w:outline w:val="0"/>
          <w:color w:val="000000"/>
          <w:sz w:val="21"/>
          <w:szCs w:val="21"/>
          <w:u w:color="000000"/>
          <w:shd w:val="clear" w:color="auto" w:fill="ffffff"/>
          <w:rtl w:val="0"/>
          <w14:textFill>
            <w14:solidFill>
              <w14:srgbClr w14:val="000000"/>
            </w14:solidFill>
          </w14:textFill>
        </w:rPr>
        <w:t>Lithuania</w:t>
      </w:r>
      <w:r>
        <w:rPr>
          <w:outline w:val="0"/>
          <w:color w:val="000000"/>
          <w:sz w:val="21"/>
          <w:szCs w:val="21"/>
          <w:u w:color="000000"/>
          <w:shd w:val="clear" w:color="auto" w:fill="ffffff"/>
          <w:rtl w:val="0"/>
          <w14:textFill>
            <w14:solidFill>
              <w14:srgbClr w14:val="000000"/>
            </w14:solidFill>
          </w14:textFill>
        </w:rPr>
        <w:t> </w:t>
      </w:r>
      <w:r>
        <w:rPr>
          <w:outline w:val="0"/>
          <w:color w:val="000000"/>
          <w:sz w:val="21"/>
          <w:szCs w:val="21"/>
          <w:u w:color="000000"/>
          <w:shd w:val="clear" w:color="auto" w:fill="ffffff"/>
          <w:rtl w:val="0"/>
          <w:lang w:val="en-US"/>
          <w14:textFill>
            <w14:solidFill>
              <w14:srgbClr w14:val="000000"/>
            </w14:solidFill>
          </w14:textFill>
        </w:rPr>
        <w:t>(App. No. 37553/05) (Judgment of 15 October</w:t>
      </w:r>
      <w:r>
        <w:rPr>
          <w:outline w:val="0"/>
          <w:color w:val="000000"/>
          <w:sz w:val="21"/>
          <w:szCs w:val="21"/>
          <w:u w:color="000000"/>
          <w:shd w:val="clear" w:color="auto" w:fill="ffffff"/>
          <w:rtl w:val="0"/>
          <w14:textFill>
            <w14:solidFill>
              <w14:srgbClr w14:val="000000"/>
            </w14:solidFill>
          </w14:textFill>
        </w:rPr>
        <w:t> </w:t>
      </w:r>
      <w:r>
        <w:rPr>
          <w:outline w:val="0"/>
          <w:color w:val="000000"/>
          <w:sz w:val="21"/>
          <w:szCs w:val="21"/>
          <w:u w:color="000000"/>
          <w:shd w:val="clear" w:color="auto" w:fill="ffffff"/>
          <w:rtl w:val="0"/>
          <w14:textFill>
            <w14:solidFill>
              <w14:srgbClr w14:val="000000"/>
            </w14:solidFill>
          </w14:textFill>
        </w:rPr>
        <w:t>2015</w:t>
      </w:r>
      <w:r>
        <w:rPr>
          <w:outline w:val="0"/>
          <w:color w:val="000000"/>
          <w:sz w:val="21"/>
          <w:szCs w:val="21"/>
          <w:u w:color="000000"/>
          <w:shd w:val="clear" w:color="auto" w:fill="ffffff"/>
          <w:rtl w:val="0"/>
          <w:lang w:val="en-US"/>
          <w14:textFill>
            <w14:solidFill>
              <w14:srgbClr w14:val="000000"/>
            </w14:solidFill>
          </w14:textFill>
        </w:rPr>
        <w:t>) ECtHR (</w:t>
      </w:r>
      <w:r>
        <w:rPr>
          <w:outline w:val="0"/>
          <w:color w:val="000000"/>
          <w:sz w:val="21"/>
          <w:szCs w:val="21"/>
          <w:u w:color="000000"/>
          <w:shd w:val="clear" w:color="auto" w:fill="ffffff"/>
          <w:rtl w:val="0"/>
          <w14:textFill>
            <w14:solidFill>
              <w14:srgbClr w14:val="000000"/>
            </w14:solidFill>
          </w14:textFill>
        </w:rPr>
        <w:t>GC</w:t>
      </w:r>
      <w:r>
        <w:rPr>
          <w:outline w:val="0"/>
          <w:color w:val="000000"/>
          <w:sz w:val="21"/>
          <w:szCs w:val="21"/>
          <w:u w:color="000000"/>
          <w:shd w:val="clear" w:color="auto" w:fill="ffffff"/>
          <w:rtl w:val="0"/>
          <w14:textFill>
            <w14:solidFill>
              <w14:srgbClr w14:val="000000"/>
            </w14:solidFill>
          </w14:textFill>
        </w:rPr>
        <w:t>).</w:t>
      </w:r>
    </w:p>
  </w:footnote>
  <w:footnote w:id="3">
    <w:p>
      <w:pPr>
        <w:pStyle w:val="Body"/>
      </w:pPr>
      <w:r>
        <w:rPr>
          <w:outline w:val="0"/>
          <w:color w:val="000000"/>
          <w:u w:color="000000"/>
          <w:vertAlign w:val="superscript"/>
          <w14:textFill>
            <w14:solidFill>
              <w14:srgbClr w14:val="000000"/>
            </w14:solidFill>
          </w14:textFill>
        </w:rPr>
        <w:footnoteRef/>
      </w:r>
      <w:r>
        <w:rPr>
          <w:outline w:val="0"/>
          <w:color w:val="000000"/>
          <w:sz w:val="21"/>
          <w:szCs w:val="21"/>
          <w:u w:color="000000"/>
          <w:rtl w:val="0"/>
          <w14:textFill>
            <w14:solidFill>
              <w14:srgbClr w14:val="000000"/>
            </w14:solidFill>
          </w14:textFill>
        </w:rPr>
        <w:t xml:space="preserve"> </w:t>
      </w:r>
      <w:r>
        <w:rPr>
          <w:i w:val="1"/>
          <w:iCs w:val="1"/>
          <w:outline w:val="0"/>
          <w:color w:val="000000"/>
          <w:sz w:val="21"/>
          <w:szCs w:val="21"/>
          <w:u w:color="000000"/>
          <w:rtl w:val="0"/>
          <w:lang w:val="en-US"/>
          <w14:textFill>
            <w14:solidFill>
              <w14:srgbClr w14:val="000000"/>
            </w14:solidFill>
          </w14:textFill>
        </w:rPr>
        <w:t>Appleby and others v. the United Kingdom</w:t>
      </w:r>
      <w:r>
        <w:rPr>
          <w:outline w:val="0"/>
          <w:color w:val="000000"/>
          <w:sz w:val="21"/>
          <w:szCs w:val="21"/>
          <w:u w:color="000000"/>
          <w:rtl w:val="0"/>
          <w14:textFill>
            <w14:solidFill>
              <w14:srgbClr w14:val="000000"/>
            </w14:solidFill>
          </w14:textFill>
        </w:rPr>
        <w:t xml:space="preserve"> </w:t>
      </w:r>
      <w:r>
        <w:rPr>
          <w:outline w:val="0"/>
          <w:color w:val="000000"/>
          <w:sz w:val="21"/>
          <w:szCs w:val="21"/>
          <w:u w:color="000000"/>
          <w:shd w:val="clear" w:color="auto" w:fill="ffffff"/>
          <w:rtl w:val="0"/>
          <w:lang w:val="pt-PT"/>
          <w14:textFill>
            <w14:solidFill>
              <w14:srgbClr w14:val="000000"/>
            </w14:solidFill>
          </w14:textFill>
        </w:rPr>
        <w:t>[2003] ECHR 222</w:t>
      </w:r>
      <w:r>
        <w:rPr>
          <w:outline w:val="0"/>
          <w:color w:val="000000"/>
          <w:sz w:val="21"/>
          <w:szCs w:val="21"/>
          <w:u w:color="000000"/>
          <w:rtl w:val="0"/>
          <w14:textFill>
            <w14:solidFill>
              <w14:srgbClr w14:val="000000"/>
            </w14:solidFill>
          </w14:textFill>
        </w:rPr>
        <w:t>.</w:t>
      </w:r>
    </w:p>
  </w:footnote>
  <w:footnote w:id="4">
    <w:p>
      <w:pPr>
        <w:pStyle w:val="Body"/>
      </w:pPr>
      <w:r>
        <w:rPr>
          <w:rStyle w:val="footnote reference"/>
        </w:rPr>
        <w:footnoteRef/>
      </w:r>
      <w:r>
        <w:rPr>
          <w:outline w:val="0"/>
          <w:color w:val="000000"/>
          <w:sz w:val="21"/>
          <w:szCs w:val="21"/>
          <w:u w:color="000000"/>
          <w:rtl w:val="0"/>
          <w14:textFill>
            <w14:solidFill>
              <w14:srgbClr w14:val="000000"/>
            </w14:solidFill>
          </w14:textFill>
        </w:rPr>
        <w:t xml:space="preserve"> </w:t>
      </w:r>
      <w:r>
        <w:rPr>
          <w:i w:val="1"/>
          <w:iCs w:val="1"/>
          <w:outline w:val="0"/>
          <w:color w:val="000000"/>
          <w:sz w:val="21"/>
          <w:szCs w:val="21"/>
          <w:u w:color="000000"/>
          <w:rtl w:val="0"/>
          <w:lang w:val="en-US"/>
          <w14:textFill>
            <w14:solidFill>
              <w14:srgbClr w14:val="000000"/>
            </w14:solidFill>
          </w14:textFill>
        </w:rPr>
        <w:t>Rai and Evans v. the United Kingdom</w:t>
      </w:r>
      <w:r>
        <w:rPr>
          <w:outline w:val="0"/>
          <w:color w:val="000000"/>
          <w:sz w:val="21"/>
          <w:szCs w:val="21"/>
          <w:u w:color="000000"/>
          <w:shd w:val="clear" w:color="auto" w:fill="ffffff"/>
          <w:rtl w:val="0"/>
          <w:lang w:val="pt-PT"/>
          <w14:textFill>
            <w14:solidFill>
              <w14:srgbClr w14:val="000000"/>
            </w14:solidFill>
          </w14:textFill>
        </w:rPr>
        <w:t xml:space="preserve"> [2009] ECHR 1269.</w:t>
      </w:r>
    </w:p>
  </w:footnote>
  <w:footnote w:id="5">
    <w:p>
      <w:pPr>
        <w:pStyle w:val="Body"/>
      </w:pPr>
      <w:r>
        <w:rPr>
          <w:outline w:val="0"/>
          <w:color w:val="000000"/>
          <w:u w:color="000000"/>
          <w:vertAlign w:val="superscript"/>
          <w14:textFill>
            <w14:solidFill>
              <w14:srgbClr w14:val="000000"/>
            </w14:solidFill>
          </w14:textFill>
        </w:rPr>
        <w:footnoteRef/>
      </w:r>
      <w:r>
        <w:rPr>
          <w:outline w:val="0"/>
          <w:color w:val="000000"/>
          <w:sz w:val="21"/>
          <w:szCs w:val="21"/>
          <w:u w:color="000000"/>
          <w:rtl w:val="0"/>
          <w14:textFill>
            <w14:solidFill>
              <w14:srgbClr w14:val="000000"/>
            </w14:solidFill>
          </w14:textFill>
        </w:rPr>
        <w:t xml:space="preserve"> </w:t>
      </w:r>
      <w:r>
        <w:rPr>
          <w:i w:val="1"/>
          <w:iCs w:val="1"/>
          <w:outline w:val="0"/>
          <w:color w:val="000000"/>
          <w:sz w:val="21"/>
          <w:szCs w:val="21"/>
          <w:u w:color="000000"/>
          <w:rtl w:val="0"/>
          <w:lang w:val="en-US"/>
          <w14:textFill>
            <w14:solidFill>
              <w14:srgbClr w14:val="000000"/>
            </w14:solidFill>
          </w14:textFill>
        </w:rPr>
        <w:t>Chief Constable of Greater Manchester (Brehony)</w:t>
      </w:r>
      <w:r>
        <w:rPr>
          <w:outline w:val="0"/>
          <w:color w:val="000000"/>
          <w:sz w:val="21"/>
          <w:szCs w:val="21"/>
          <w:u w:color="000000"/>
          <w:rtl w:val="0"/>
          <w:lang w:val="en-US"/>
          <w14:textFill>
            <w14:solidFill>
              <w14:srgbClr w14:val="000000"/>
            </w14:solidFill>
          </w14:textFill>
        </w:rPr>
        <w:t xml:space="preserve"> [2005] QBD.</w:t>
      </w:r>
    </w:p>
  </w:footnote>
  <w:footnote w:id="6">
    <w:p>
      <w:pPr>
        <w:pStyle w:val="footnote text"/>
      </w:pPr>
      <w:r>
        <w:rPr>
          <w:outline w:val="0"/>
          <w:color w:val="000000"/>
          <w:u w:color="000000"/>
          <w:vertAlign w:val="superscript"/>
          <w14:textFill>
            <w14:solidFill>
              <w14:srgbClr w14:val="000000"/>
            </w14:solidFill>
          </w14:textFill>
        </w:rPr>
        <w:footnoteRef/>
      </w:r>
      <w:r>
        <w:rPr>
          <w:rFonts w:ascii="Times New Roman" w:hAnsi="Times New Roman"/>
          <w:outline w:val="0"/>
          <w:color w:val="000000"/>
          <w:sz w:val="21"/>
          <w:szCs w:val="21"/>
          <w:u w:color="000000"/>
          <w:rtl w:val="0"/>
          <w:lang w:val="en-US"/>
          <w14:textFill>
            <w14:solidFill>
              <w14:srgbClr w14:val="000000"/>
            </w14:solidFill>
          </w14:textFill>
        </w:rPr>
        <w:t xml:space="preserve"> </w:t>
      </w:r>
      <w:r>
        <w:rPr>
          <w:rFonts w:ascii="Times New Roman" w:hAnsi="Times New Roman"/>
          <w:i w:val="1"/>
          <w:iCs w:val="1"/>
          <w:outline w:val="0"/>
          <w:color w:val="000000"/>
          <w:sz w:val="21"/>
          <w:szCs w:val="21"/>
          <w:u w:color="000000"/>
          <w:rtl w:val="0"/>
          <w:lang w:val="en-US"/>
          <w14:textFill>
            <w14:solidFill>
              <w14:srgbClr w14:val="000000"/>
            </w14:solidFill>
          </w14:textFill>
        </w:rPr>
        <w:t>Thomas v Sawkins</w:t>
      </w:r>
      <w:r>
        <w:rPr>
          <w:rFonts w:ascii="Times New Roman" w:hAnsi="Times New Roman"/>
          <w:outline w:val="0"/>
          <w:color w:val="000000"/>
          <w:sz w:val="21"/>
          <w:szCs w:val="21"/>
          <w:u w:color="000000"/>
          <w:rtl w:val="0"/>
          <w:lang w:val="en-US"/>
          <w14:textFill>
            <w14:solidFill>
              <w14:srgbClr w14:val="000000"/>
            </w14:solidFill>
          </w14:textFill>
        </w:rPr>
        <w:t xml:space="preserve"> [1935] KBD.</w:t>
      </w:r>
    </w:p>
  </w:footnote>
  <w:footnote w:id="7">
    <w:p>
      <w:pPr>
        <w:pStyle w:val="footnote text"/>
      </w:pPr>
      <w:r>
        <w:rPr>
          <w:outline w:val="0"/>
          <w:color w:val="000000"/>
          <w:u w:color="000000"/>
          <w:vertAlign w:val="superscript"/>
          <w14:textFill>
            <w14:solidFill>
              <w14:srgbClr w14:val="000000"/>
            </w14:solidFill>
          </w14:textFill>
        </w:rPr>
        <w:footnoteRef/>
      </w:r>
      <w:r>
        <w:rPr>
          <w:rFonts w:ascii="Times New Roman" w:hAnsi="Times New Roman"/>
          <w:outline w:val="0"/>
          <w:color w:val="000000"/>
          <w:sz w:val="21"/>
          <w:szCs w:val="21"/>
          <w:u w:color="000000"/>
          <w:rtl w:val="0"/>
          <w:lang w:val="en-US"/>
          <w14:textFill>
            <w14:solidFill>
              <w14:srgbClr w14:val="000000"/>
            </w14:solidFill>
          </w14:textFill>
        </w:rPr>
        <w:t xml:space="preserve"> </w:t>
      </w:r>
      <w:r>
        <w:rPr>
          <w:rFonts w:ascii="Times New Roman" w:hAnsi="Times New Roman"/>
          <w:i w:val="1"/>
          <w:iCs w:val="1"/>
          <w:outline w:val="0"/>
          <w:color w:val="000000"/>
          <w:sz w:val="21"/>
          <w:szCs w:val="21"/>
          <w:u w:color="000000"/>
          <w:rtl w:val="0"/>
          <w:lang w:val="en-US"/>
          <w14:textFill>
            <w14:solidFill>
              <w14:srgbClr w14:val="000000"/>
            </w14:solidFill>
          </w14:textFill>
        </w:rPr>
        <w:t>Elvira Dmitriyeva v. Russia</w:t>
      </w:r>
      <w:r>
        <w:rPr>
          <w:rFonts w:ascii="Times New Roman" w:hAnsi="Times New Roman"/>
          <w:outline w:val="0"/>
          <w:color w:val="000000"/>
          <w:sz w:val="21"/>
          <w:szCs w:val="21"/>
          <w:u w:color="000000"/>
          <w:rtl w:val="0"/>
          <w:lang w:val="en-US"/>
          <w14:textFill>
            <w14:solidFill>
              <w14:srgbClr w14:val="000000"/>
            </w14:solidFill>
          </w14:textFill>
        </w:rPr>
        <w:t xml:space="preserve">, </w:t>
      </w:r>
      <w:r>
        <w:rPr>
          <w:rFonts w:ascii="Times New Roman" w:hAnsi="Times New Roman"/>
          <w:outline w:val="0"/>
          <w:color w:val="000000"/>
          <w:sz w:val="21"/>
          <w:szCs w:val="21"/>
          <w:u w:color="000000"/>
          <w:shd w:val="clear" w:color="auto" w:fill="ffffff"/>
          <w:rtl w:val="0"/>
          <w:lang w:val="en-US"/>
          <w14:textFill>
            <w14:solidFill>
              <w14:srgbClr w14:val="000000"/>
            </w14:solidFill>
          </w14:textFill>
        </w:rPr>
        <w:t>ECHR 159 (</w:t>
      </w:r>
      <w:r>
        <w:rPr>
          <w:rFonts w:ascii="Times New Roman" w:hAnsi="Times New Roman"/>
          <w:b w:val="1"/>
          <w:bCs w:val="1"/>
          <w:outline w:val="0"/>
          <w:color w:val="000000"/>
          <w:sz w:val="21"/>
          <w:szCs w:val="21"/>
          <w:u w:color="000000"/>
          <w:shd w:val="clear" w:color="auto" w:fill="ffffff"/>
          <w:rtl w:val="0"/>
          <w:lang w:val="en-US"/>
          <w14:textFill>
            <w14:solidFill>
              <w14:srgbClr w14:val="000000"/>
            </w14:solidFill>
          </w14:textFill>
        </w:rPr>
        <w:t>2019</w:t>
      </w:r>
      <w:r>
        <w:rPr>
          <w:rFonts w:ascii="Times New Roman" w:hAnsi="Times New Roman"/>
          <w:outline w:val="0"/>
          <w:color w:val="000000"/>
          <w:sz w:val="21"/>
          <w:szCs w:val="21"/>
          <w:u w:color="000000"/>
          <w:shd w:val="clear" w:color="auto" w:fill="ffffff"/>
          <w:rtl w:val="0"/>
          <w:lang w:val="en-US"/>
          <w14:textFill>
            <w14:solidFill>
              <w14:srgbClr w14:val="000000"/>
            </w14:solidFill>
          </w14:textFill>
        </w:rPr>
        <w:t>).</w:t>
      </w:r>
    </w:p>
  </w:footnote>
  <w:footnote w:id="8">
    <w:p>
      <w:pPr>
        <w:pStyle w:val="footnote text"/>
      </w:pPr>
      <w:r>
        <w:rPr>
          <w:rStyle w:val="footnote reference"/>
        </w:rPr>
        <w:footnoteRef/>
      </w:r>
      <w:r>
        <w:rPr>
          <w:rFonts w:ascii="Times New Roman" w:hAnsi="Times New Roman"/>
          <w:outline w:val="0"/>
          <w:color w:val="000000"/>
          <w:sz w:val="21"/>
          <w:szCs w:val="21"/>
          <w:u w:color="000000"/>
          <w:rtl w:val="0"/>
          <w:lang w:val="en-US"/>
          <w14:textFill>
            <w14:solidFill>
              <w14:srgbClr w14:val="000000"/>
            </w14:solidFill>
          </w14:textFill>
        </w:rPr>
        <w:t xml:space="preserve"> </w:t>
      </w:r>
      <w:r>
        <w:rPr>
          <w:rFonts w:ascii="Times New Roman" w:hAnsi="Times New Roman"/>
          <w:i w:val="1"/>
          <w:iCs w:val="1"/>
          <w:outline w:val="0"/>
          <w:color w:val="000000"/>
          <w:sz w:val="21"/>
          <w:szCs w:val="21"/>
          <w:u w:color="000000"/>
          <w:rtl w:val="0"/>
          <w:lang w:val="en-US"/>
          <w14:textFill>
            <w14:solidFill>
              <w14:srgbClr w14:val="000000"/>
            </w14:solidFill>
          </w14:textFill>
        </w:rPr>
        <w:t>Schwabe and M.G. v. Germany</w:t>
      </w:r>
      <w:r>
        <w:rPr>
          <w:rFonts w:ascii="Times New Roman" w:hAnsi="Times New Roman"/>
          <w:outline w:val="0"/>
          <w:color w:val="000000"/>
          <w:sz w:val="21"/>
          <w:szCs w:val="21"/>
          <w:u w:color="000000"/>
          <w:rtl w:val="0"/>
          <w:lang w:val="en-US"/>
          <w14:textFill>
            <w14:solidFill>
              <w14:srgbClr w14:val="000000"/>
            </w14:solidFill>
          </w14:textFill>
        </w:rPr>
        <w:t xml:space="preserve"> </w:t>
      </w:r>
      <w:r>
        <w:rPr>
          <w:rFonts w:ascii="Times New Roman" w:hAnsi="Times New Roman"/>
          <w:outline w:val="0"/>
          <w:color w:val="000000"/>
          <w:sz w:val="21"/>
          <w:szCs w:val="21"/>
          <w:u w:color="000000"/>
          <w:shd w:val="clear" w:color="auto" w:fill="ffffff"/>
          <w:rtl w:val="0"/>
          <w:lang w:val="en-US"/>
          <w14:textFill>
            <w14:solidFill>
              <w14:srgbClr w14:val="000000"/>
            </w14:solidFill>
          </w14:textFill>
        </w:rPr>
        <w:t>[2011] ECHR 1986.</w:t>
      </w:r>
    </w:p>
  </w:footnote>
  <w:footnote w:id="9">
    <w:p>
      <w:pPr>
        <w:pStyle w:val="footnote text"/>
      </w:pPr>
      <w:r>
        <w:rPr>
          <w:outline w:val="0"/>
          <w:color w:val="000000"/>
          <w:u w:color="000000"/>
          <w:vertAlign w:val="superscript"/>
          <w14:textFill>
            <w14:solidFill>
              <w14:srgbClr w14:val="000000"/>
            </w14:solidFill>
          </w14:textFill>
        </w:rPr>
        <w:footnoteRef/>
      </w:r>
      <w:r>
        <w:rPr>
          <w:rFonts w:ascii="Times New Roman" w:hAnsi="Times New Roman"/>
          <w:outline w:val="0"/>
          <w:color w:val="000000"/>
          <w:sz w:val="21"/>
          <w:szCs w:val="21"/>
          <w:u w:color="000000"/>
          <w:rtl w:val="0"/>
          <w:lang w:val="en-US"/>
          <w14:textFill>
            <w14:solidFill>
              <w14:srgbClr w14:val="000000"/>
            </w14:solidFill>
          </w14:textFill>
        </w:rPr>
        <w:t xml:space="preserve"> Aniceto Masferrer and Clive Walker, </w:t>
      </w:r>
      <w:r>
        <w:rPr>
          <w:rFonts w:ascii="Times New Roman" w:hAnsi="Times New Roman"/>
          <w:i w:val="1"/>
          <w:iCs w:val="1"/>
          <w:outline w:val="0"/>
          <w:color w:val="000000"/>
          <w:sz w:val="21"/>
          <w:szCs w:val="21"/>
          <w:u w:color="000000"/>
          <w:rtl w:val="0"/>
          <w:lang w:val="en-US"/>
          <w14:textFill>
            <w14:solidFill>
              <w14:srgbClr w14:val="000000"/>
            </w14:solidFill>
          </w14:textFill>
        </w:rPr>
        <w:t>Counter-Terrorism, Human Rights and the Rule of Law: Crossing Legal Boundaries in Defence of the State</w:t>
      </w:r>
      <w:r>
        <w:rPr>
          <w:rFonts w:ascii="Times New Roman" w:hAnsi="Times New Roman"/>
          <w:outline w:val="0"/>
          <w:color w:val="000000"/>
          <w:sz w:val="21"/>
          <w:szCs w:val="21"/>
          <w:u w:color="000000"/>
          <w:rtl w:val="0"/>
          <w:lang w:val="en-US"/>
          <w14:textFill>
            <w14:solidFill>
              <w14:srgbClr w14:val="000000"/>
            </w14:solidFill>
          </w14:textFill>
        </w:rPr>
        <w:t xml:space="preserve"> (Edward Elgar Publishing 2013).</w:t>
      </w:r>
    </w:p>
  </w:footnote>
  <w:footnote w:id="10">
    <w:p>
      <w:pPr>
        <w:pStyle w:val="footnote text"/>
      </w:pPr>
      <w:r>
        <w:rPr>
          <w:outline w:val="0"/>
          <w:color w:val="000000"/>
          <w:u w:color="000000"/>
          <w:vertAlign w:val="superscript"/>
          <w:lang w:val="en-US"/>
          <w14:textFill>
            <w14:solidFill>
              <w14:srgbClr w14:val="000000"/>
            </w14:solidFill>
          </w14:textFill>
        </w:rPr>
        <w:footnoteRef/>
      </w:r>
      <w:r>
        <w:rPr>
          <w:rFonts w:ascii="Times New Roman" w:hAnsi="Times New Roman"/>
          <w:outline w:val="0"/>
          <w:color w:val="000000"/>
          <w:sz w:val="21"/>
          <w:szCs w:val="21"/>
          <w:u w:color="000000"/>
          <w:rtl w:val="0"/>
          <w:lang w:val="en-US"/>
          <w14:textFill>
            <w14:solidFill>
              <w14:srgbClr w14:val="000000"/>
            </w14:solidFill>
          </w14:textFill>
        </w:rPr>
        <w:t xml:space="preserve"> </w:t>
      </w:r>
      <w:r>
        <w:rPr>
          <w:rFonts w:ascii="Times New Roman" w:hAnsi="Times New Roman"/>
          <w:i w:val="1"/>
          <w:iCs w:val="1"/>
          <w:outline w:val="0"/>
          <w:color w:val="000000"/>
          <w:sz w:val="21"/>
          <w:szCs w:val="21"/>
          <w:u w:color="000000"/>
          <w:rtl w:val="0"/>
          <w:lang w:val="en-US"/>
          <w14:textFill>
            <w14:solidFill>
              <w14:srgbClr w14:val="000000"/>
            </w14:solidFill>
          </w14:textFill>
        </w:rPr>
        <w:t>R v Samuel</w:t>
      </w:r>
      <w:r>
        <w:rPr>
          <w:rFonts w:ascii="Times New Roman" w:hAnsi="Times New Roman"/>
          <w:outline w:val="0"/>
          <w:color w:val="000000"/>
          <w:sz w:val="21"/>
          <w:szCs w:val="21"/>
          <w:u w:color="000000"/>
          <w:rtl w:val="0"/>
          <w:lang w:val="en-US"/>
          <w14:textFill>
            <w14:solidFill>
              <w14:srgbClr w14:val="000000"/>
            </w14:solidFill>
          </w14:textFill>
        </w:rPr>
        <w:t xml:space="preserve"> [1988] 2 All ER 135.</w:t>
      </w:r>
    </w:p>
  </w:footnote>
  <w:footnote w:id="11">
    <w:p>
      <w:pPr>
        <w:pStyle w:val="footnote text"/>
      </w:pPr>
      <w:r>
        <w:rPr>
          <w:outline w:val="0"/>
          <w:color w:val="000000"/>
          <w:u w:color="000000"/>
          <w:vertAlign w:val="superscript"/>
          <w14:textFill>
            <w14:solidFill>
              <w14:srgbClr w14:val="000000"/>
            </w14:solidFill>
          </w14:textFill>
        </w:rPr>
        <w:footnoteRef/>
      </w:r>
      <w:r>
        <w:rPr>
          <w:rFonts w:ascii="Times New Roman" w:hAnsi="Times New Roman"/>
          <w:outline w:val="0"/>
          <w:color w:val="000000"/>
          <w:sz w:val="21"/>
          <w:szCs w:val="21"/>
          <w:u w:color="000000"/>
          <w:rtl w:val="0"/>
          <w:lang w:val="en-US"/>
          <w14:textFill>
            <w14:solidFill>
              <w14:srgbClr w14:val="000000"/>
            </w14:solidFill>
          </w14:textFill>
        </w:rPr>
        <w:t xml:space="preserve"> PACE 1984, Code C, Section 11. </w:t>
      </w:r>
    </w:p>
  </w:footnote>
  <w:footnote w:id="12">
    <w:p>
      <w:pPr>
        <w:pStyle w:val="footnote text"/>
      </w:pPr>
      <w:r>
        <w:rPr>
          <w:outline w:val="0"/>
          <w:color w:val="000000"/>
          <w:u w:color="000000"/>
          <w:vertAlign w:val="superscript"/>
          <w14:textFill>
            <w14:solidFill>
              <w14:srgbClr w14:val="000000"/>
            </w14:solidFill>
          </w14:textFill>
        </w:rPr>
        <w:footnoteRef/>
      </w:r>
      <w:r>
        <w:rPr>
          <w:rFonts w:ascii="Times New Roman" w:hAnsi="Times New Roman"/>
          <w:outline w:val="0"/>
          <w:color w:val="000000"/>
          <w:sz w:val="21"/>
          <w:szCs w:val="21"/>
          <w:u w:color="000000"/>
          <w:rtl w:val="0"/>
          <w:lang w:val="en-US"/>
          <w14:textFill>
            <w14:solidFill>
              <w14:srgbClr w14:val="000000"/>
            </w14:solidFill>
          </w14:textFill>
        </w:rPr>
        <w:t xml:space="preserve"> </w:t>
      </w:r>
      <w:r>
        <w:rPr>
          <w:rFonts w:ascii="Times New Roman" w:hAnsi="Times New Roman"/>
          <w:outline w:val="0"/>
          <w:color w:val="000000"/>
          <w:sz w:val="21"/>
          <w:szCs w:val="21"/>
          <w:u w:color="000000"/>
          <w:rtl w:val="0"/>
          <w:lang w:val="en-US"/>
          <w14:textFill>
            <w14:solidFill>
              <w14:srgbClr w14:val="000000"/>
            </w14:solidFill>
          </w14:textFill>
        </w:rPr>
        <w:t>PACE 1984, Code C, Sections 58-59.</w:t>
      </w:r>
    </w:p>
  </w:footnote>
  <w:footnote w:id="13">
    <w:p>
      <w:pPr>
        <w:pStyle w:val="Normal (Web)"/>
        <w:spacing w:before="0" w:after="0"/>
      </w:pPr>
      <w:r>
        <w:rPr>
          <w:outline w:val="0"/>
          <w:color w:val="000000"/>
          <w:u w:color="000000"/>
          <w:vertAlign w:val="superscript"/>
          <w14:textFill>
            <w14:solidFill>
              <w14:srgbClr w14:val="000000"/>
            </w14:solidFill>
          </w14:textFill>
        </w:rPr>
        <w:footnoteRef/>
      </w:r>
      <w:r>
        <w:rPr>
          <w:outline w:val="0"/>
          <w:color w:val="000000"/>
          <w:sz w:val="21"/>
          <w:szCs w:val="21"/>
          <w:u w:color="000000"/>
          <w:rtl w:val="0"/>
          <w:lang w:val="en-US"/>
          <w14:textFill>
            <w14:solidFill>
              <w14:srgbClr w14:val="000000"/>
            </w14:solidFill>
          </w14:textFill>
        </w:rPr>
        <w:t xml:space="preserve"> Andrew Saunders and Richard Young,</w:t>
      </w:r>
      <w:r>
        <w:rPr>
          <w:outline w:val="0"/>
          <w:color w:val="000000"/>
          <w:sz w:val="21"/>
          <w:szCs w:val="21"/>
          <w:u w:color="000000"/>
          <w:rtl w:val="0"/>
          <w:lang w:val="en-US"/>
          <w14:textFill>
            <w14:solidFill>
              <w14:srgbClr w14:val="000000"/>
            </w14:solidFill>
          </w14:textFill>
        </w:rPr>
        <w:t xml:space="preserve">’ </w:t>
      </w:r>
      <w:r>
        <w:rPr>
          <w:outline w:val="0"/>
          <w:color w:val="000000"/>
          <w:sz w:val="21"/>
          <w:szCs w:val="21"/>
          <w:u w:color="000000"/>
          <w:rtl w:val="0"/>
          <w:lang w:val="en-US"/>
          <w14:textFill>
            <w14:solidFill>
              <w14:srgbClr w14:val="000000"/>
            </w14:solidFill>
          </w14:textFill>
        </w:rPr>
        <w:t>From Suspect to Trial</w:t>
      </w:r>
      <w:r>
        <w:rPr>
          <w:outline w:val="0"/>
          <w:color w:val="000000"/>
          <w:sz w:val="21"/>
          <w:szCs w:val="21"/>
          <w:u w:color="000000"/>
          <w:rtl w:val="0"/>
          <w:lang w:val="en-US"/>
          <w14:textFill>
            <w14:solidFill>
              <w14:srgbClr w14:val="000000"/>
            </w14:solidFill>
          </w14:textFill>
        </w:rPr>
        <w:t xml:space="preserve">’ </w:t>
      </w:r>
      <w:r>
        <w:rPr>
          <w:outline w:val="0"/>
          <w:color w:val="000000"/>
          <w:sz w:val="21"/>
          <w:szCs w:val="21"/>
          <w:u w:color="000000"/>
          <w:rtl w:val="0"/>
          <w:lang w:val="en-US"/>
          <w14:textFill>
            <w14:solidFill>
              <w14:srgbClr w14:val="000000"/>
            </w14:solidFill>
          </w14:textFill>
        </w:rPr>
        <w:t xml:space="preserve">in Mike MacGuire, Rod Morgan and Robert Reiner (eds.), </w:t>
      </w:r>
      <w:r>
        <w:rPr>
          <w:i w:val="1"/>
          <w:iCs w:val="1"/>
          <w:outline w:val="0"/>
          <w:color w:val="000000"/>
          <w:sz w:val="21"/>
          <w:szCs w:val="21"/>
          <w:u w:color="000000"/>
          <w:rtl w:val="0"/>
          <w:lang w:val="en-US"/>
          <w14:textFill>
            <w14:solidFill>
              <w14:srgbClr w14:val="000000"/>
            </w14:solidFill>
          </w14:textFill>
        </w:rPr>
        <w:t>The Oxford Handbook of Criminology</w:t>
      </w:r>
      <w:r>
        <w:rPr>
          <w:outline w:val="0"/>
          <w:color w:val="000000"/>
          <w:sz w:val="21"/>
          <w:szCs w:val="21"/>
          <w:u w:color="000000"/>
          <w:rtl w:val="0"/>
          <w:lang w:val="en-US"/>
          <w14:textFill>
            <w14:solidFill>
              <w14:srgbClr w14:val="000000"/>
            </w14:solidFill>
          </w14:textFill>
        </w:rPr>
        <w:t xml:space="preserve"> (Oxford University Press 2002) 846.</w:t>
      </w:r>
    </w:p>
  </w:footnote>
  <w:footnote w:id="14">
    <w:p>
      <w:pPr>
        <w:pStyle w:val="footnote text"/>
      </w:pPr>
      <w:r>
        <w:rPr>
          <w:outline w:val="0"/>
          <w:color w:val="000000"/>
          <w:u w:color="000000"/>
          <w:vertAlign w:val="superscript"/>
          <w14:textFill>
            <w14:solidFill>
              <w14:srgbClr w14:val="000000"/>
            </w14:solidFill>
          </w14:textFill>
        </w:rPr>
        <w:footnoteRef/>
      </w:r>
      <w:r>
        <w:rPr>
          <w:rFonts w:ascii="Times New Roman" w:hAnsi="Times New Roman"/>
          <w:outline w:val="0"/>
          <w:color w:val="000000"/>
          <w:sz w:val="21"/>
          <w:szCs w:val="21"/>
          <w:u w:color="000000"/>
          <w:rtl w:val="0"/>
          <w:lang w:val="en-US"/>
          <w14:textFill>
            <w14:solidFill>
              <w14:srgbClr w14:val="000000"/>
            </w14:solidFill>
          </w14:textFill>
        </w:rPr>
        <w:t xml:space="preserve"> </w:t>
      </w:r>
      <w:r>
        <w:rPr>
          <w:rFonts w:ascii="Times New Roman" w:hAnsi="Times New Roman"/>
          <w:outline w:val="0"/>
          <w:color w:val="000000"/>
          <w:sz w:val="21"/>
          <w:szCs w:val="21"/>
          <w:u w:color="000000"/>
          <w:rtl w:val="0"/>
          <w:lang w:val="en-US"/>
          <w14:textFill>
            <w14:solidFill>
              <w14:srgbClr w14:val="000000"/>
            </w14:solidFill>
          </w14:textFill>
        </w:rPr>
        <w:t>Ibid 847.</w:t>
      </w:r>
    </w:p>
  </w:footnote>
  <w:footnote w:id="15">
    <w:p>
      <w:pPr>
        <w:pStyle w:val="Body"/>
        <w:widowControl w:val="0"/>
        <w:jc w:val="both"/>
      </w:pPr>
      <w:r>
        <w:rPr>
          <w:outline w:val="0"/>
          <w:color w:val="000000"/>
          <w:u w:color="000000"/>
          <w:vertAlign w:val="superscript"/>
          <w14:textFill>
            <w14:solidFill>
              <w14:srgbClr w14:val="000000"/>
            </w14:solidFill>
          </w14:textFill>
        </w:rPr>
        <w:footnoteRef/>
      </w:r>
      <w:r>
        <w:rPr>
          <w:outline w:val="0"/>
          <w:color w:val="000000"/>
          <w:sz w:val="21"/>
          <w:szCs w:val="21"/>
          <w:u w:color="000000"/>
          <w:rtl w:val="0"/>
          <w14:textFill>
            <w14:solidFill>
              <w14:srgbClr w14:val="000000"/>
            </w14:solidFill>
          </w14:textFill>
        </w:rPr>
        <w:t xml:space="preserve"> </w:t>
      </w:r>
      <w:r>
        <w:rPr>
          <w:i w:val="1"/>
          <w:iCs w:val="1"/>
          <w:outline w:val="0"/>
          <w:color w:val="000000"/>
          <w:sz w:val="21"/>
          <w:szCs w:val="21"/>
          <w:u w:color="000000"/>
          <w:rtl w:val="0"/>
          <w:lang w:val="pt-PT"/>
          <w14:textFill>
            <w14:solidFill>
              <w14:srgbClr w14:val="000000"/>
            </w14:solidFill>
          </w14:textFill>
        </w:rPr>
        <w:t xml:space="preserve">Teixeira de Castro v Portugal </w:t>
      </w:r>
      <w:r>
        <w:rPr>
          <w:outline w:val="0"/>
          <w:color w:val="000000"/>
          <w:sz w:val="21"/>
          <w:szCs w:val="21"/>
          <w:u w:color="000000"/>
          <w:rtl w:val="0"/>
          <w14:textFill>
            <w14:solidFill>
              <w14:srgbClr w14:val="000000"/>
            </w14:solidFill>
          </w14:textFill>
        </w:rPr>
        <w:t>(1998) 28 EHRR 101.</w:t>
      </w:r>
    </w:p>
  </w:footnote>
  <w:footnote w:id="16">
    <w:p>
      <w:pPr>
        <w:pStyle w:val="footnote text"/>
      </w:pPr>
      <w:r>
        <w:rPr>
          <w:outline w:val="0"/>
          <w:color w:val="000000"/>
          <w:u w:color="000000"/>
          <w:vertAlign w:val="superscript"/>
          <w:lang w:val="en-US"/>
          <w14:textFill>
            <w14:solidFill>
              <w14:srgbClr w14:val="000000"/>
            </w14:solidFill>
          </w14:textFill>
        </w:rPr>
        <w:footnoteRef/>
      </w:r>
      <w:r>
        <w:rPr>
          <w:rFonts w:ascii="Times New Roman" w:hAnsi="Times New Roman"/>
          <w:outline w:val="0"/>
          <w:color w:val="000000"/>
          <w:sz w:val="21"/>
          <w:szCs w:val="21"/>
          <w:u w:color="000000"/>
          <w:rtl w:val="0"/>
          <w:lang w:val="en-US"/>
          <w14:textFill>
            <w14:solidFill>
              <w14:srgbClr w14:val="000000"/>
            </w14:solidFill>
          </w14:textFill>
        </w:rPr>
        <w:t xml:space="preserve"> G Slapper and D Kelly, </w:t>
      </w:r>
      <w:r>
        <w:rPr>
          <w:rFonts w:ascii="Times New Roman" w:hAnsi="Times New Roman"/>
          <w:i w:val="1"/>
          <w:iCs w:val="1"/>
          <w:outline w:val="0"/>
          <w:color w:val="000000"/>
          <w:sz w:val="21"/>
          <w:szCs w:val="21"/>
          <w:u w:color="000000"/>
          <w:rtl w:val="0"/>
          <w:lang w:val="en-US"/>
          <w14:textFill>
            <w14:solidFill>
              <w14:srgbClr w14:val="000000"/>
            </w14:solidFill>
          </w14:textFill>
        </w:rPr>
        <w:t xml:space="preserve">The English Legal System </w:t>
      </w:r>
      <w:r>
        <w:rPr>
          <w:rFonts w:ascii="Times New Roman" w:hAnsi="Times New Roman"/>
          <w:outline w:val="0"/>
          <w:color w:val="000000"/>
          <w:sz w:val="21"/>
          <w:szCs w:val="21"/>
          <w:u w:color="000000"/>
          <w:rtl w:val="0"/>
          <w:lang w:val="en-US"/>
          <w14:textFill>
            <w14:solidFill>
              <w14:srgbClr w14:val="000000"/>
            </w14:solidFill>
          </w14:textFill>
        </w:rPr>
        <w:t>(Routledge 2020).</w:t>
      </w:r>
    </w:p>
  </w:footnote>
  <w:footnote w:id="17">
    <w:p>
      <w:pPr>
        <w:pStyle w:val="footnote text"/>
      </w:pPr>
      <w:r>
        <w:rPr>
          <w:outline w:val="0"/>
          <w:color w:val="000000"/>
          <w:u w:color="000000"/>
          <w:shd w:val="clear" w:color="auto" w:fill="ffffff"/>
          <w:vertAlign w:val="superscript"/>
          <w14:textFill>
            <w14:solidFill>
              <w14:srgbClr w14:val="000000"/>
            </w14:solidFill>
          </w14:textFill>
        </w:rPr>
        <w:footnoteRef/>
      </w:r>
      <w:r>
        <w:rPr>
          <w:rFonts w:ascii="Times New Roman" w:hAnsi="Times New Roman"/>
          <w:outline w:val="0"/>
          <w:color w:val="000000"/>
          <w:sz w:val="21"/>
          <w:szCs w:val="21"/>
          <w:u w:color="000000"/>
          <w:rtl w:val="0"/>
          <w:lang w:val="en-US"/>
          <w14:textFill>
            <w14:solidFill>
              <w14:srgbClr w14:val="000000"/>
            </w14:solidFill>
          </w14:textFill>
        </w:rPr>
        <w:t xml:space="preserve"> </w:t>
      </w:r>
      <w:r>
        <w:rPr>
          <w:rFonts w:ascii="Times New Roman" w:hAnsi="Times New Roman"/>
          <w:i w:val="1"/>
          <w:iCs w:val="1"/>
          <w:outline w:val="0"/>
          <w:color w:val="000000"/>
          <w:sz w:val="21"/>
          <w:szCs w:val="21"/>
          <w:u w:color="000000"/>
          <w:rtl w:val="0"/>
          <w:lang w:val="en-US"/>
          <w14:textFill>
            <w14:solidFill>
              <w14:srgbClr w14:val="000000"/>
            </w14:solidFill>
          </w14:textFill>
        </w:rPr>
        <w:t>Salduz v Turkey</w:t>
      </w:r>
      <w:r>
        <w:rPr>
          <w:rFonts w:ascii="Times New Roman" w:hAnsi="Times New Roman"/>
          <w:outline w:val="0"/>
          <w:color w:val="000000"/>
          <w:sz w:val="21"/>
          <w:szCs w:val="21"/>
          <w:u w:color="000000"/>
          <w:rtl w:val="0"/>
          <w:lang w:val="en-US"/>
          <w14:textFill>
            <w14:solidFill>
              <w14:srgbClr w14:val="000000"/>
            </w14:solidFill>
          </w14:textFill>
        </w:rPr>
        <w:t xml:space="preserve"> [2008] ECHR 1542.</w:t>
      </w:r>
    </w:p>
  </w:footnote>
  <w:footnote w:id="18">
    <w:p>
      <w:pPr>
        <w:pStyle w:val="footnote text"/>
      </w:pPr>
      <w:r>
        <w:rPr>
          <w:outline w:val="0"/>
          <w:color w:val="000000"/>
          <w:u w:color="000000"/>
          <w:vertAlign w:val="superscript"/>
          <w14:textFill>
            <w14:solidFill>
              <w14:srgbClr w14:val="000000"/>
            </w14:solidFill>
          </w14:textFill>
        </w:rPr>
        <w:footnoteRef/>
      </w:r>
      <w:r>
        <w:rPr>
          <w:rFonts w:ascii="Times New Roman" w:hAnsi="Times New Roman"/>
          <w:outline w:val="0"/>
          <w:color w:val="000000"/>
          <w:sz w:val="21"/>
          <w:szCs w:val="21"/>
          <w:u w:color="000000"/>
          <w:rtl w:val="0"/>
          <w:lang w:val="en-US"/>
          <w14:textFill>
            <w14:solidFill>
              <w14:srgbClr w14:val="000000"/>
            </w14:solidFill>
          </w14:textFill>
        </w:rPr>
        <w:t xml:space="preserve"> </w:t>
      </w:r>
      <w:r>
        <w:rPr>
          <w:rFonts w:ascii="Times New Roman" w:hAnsi="Times New Roman"/>
          <w:i w:val="1"/>
          <w:iCs w:val="1"/>
          <w:outline w:val="0"/>
          <w:color w:val="000000"/>
          <w:sz w:val="21"/>
          <w:szCs w:val="21"/>
          <w:u w:color="000000"/>
          <w:rtl w:val="0"/>
          <w:lang w:val="en-US"/>
          <w14:textFill>
            <w14:solidFill>
              <w14:srgbClr w14:val="000000"/>
            </w14:solidFill>
          </w14:textFill>
        </w:rPr>
        <w:t>I</w:t>
      </w:r>
      <w:r>
        <w:rPr>
          <w:rFonts w:ascii="Times New Roman" w:hAnsi="Times New Roman"/>
          <w:i w:val="1"/>
          <w:iCs w:val="1"/>
          <w:outline w:val="0"/>
          <w:color w:val="000000"/>
          <w:sz w:val="21"/>
          <w:szCs w:val="21"/>
          <w:u w:color="000000"/>
          <w:rtl w:val="0"/>
          <w:lang w:val="en-US"/>
          <w14:textFill>
            <w14:solidFill>
              <w14:srgbClr w14:val="000000"/>
            </w14:solidFill>
          </w14:textFill>
        </w:rPr>
        <w:t>brahim and Others v. the United Kingdom</w:t>
      </w:r>
      <w:r>
        <w:rPr>
          <w:rFonts w:ascii="Times New Roman" w:hAnsi="Times New Roman" w:hint="default"/>
          <w:outline w:val="0"/>
          <w:color w:val="000000"/>
          <w:sz w:val="21"/>
          <w:szCs w:val="21"/>
          <w:u w:color="000000"/>
          <w:shd w:val="clear" w:color="auto" w:fill="ffffff"/>
          <w:rtl w:val="0"/>
          <w:lang w:val="en-US"/>
          <w14:textFill>
            <w14:solidFill>
              <w14:srgbClr w14:val="000000"/>
            </w14:solidFill>
          </w14:textFill>
        </w:rPr>
        <w:t> </w:t>
      </w:r>
      <w:r>
        <w:rPr>
          <w:rFonts w:ascii="Times New Roman" w:hAnsi="Times New Roman"/>
          <w:outline w:val="0"/>
          <w:color w:val="000000"/>
          <w:sz w:val="21"/>
          <w:szCs w:val="21"/>
          <w:u w:color="000000"/>
          <w:shd w:val="clear" w:color="auto" w:fill="ffffff"/>
          <w:rtl w:val="0"/>
          <w:lang w:val="en-US"/>
          <w14:textFill>
            <w14:solidFill>
              <w14:srgbClr w14:val="000000"/>
            </w14:solidFill>
          </w14:textFill>
        </w:rPr>
        <w:t>[GC], nos. 50541/08, 50571/08, 50573/08 and 40351/09, ECHR 2016, Judgment of 13 September 2016.</w:t>
      </w:r>
    </w:p>
  </w:footnote>
  <w:footnote w:id="19">
    <w:p>
      <w:pPr>
        <w:pStyle w:val="Body"/>
      </w:pPr>
      <w:r>
        <w:rPr>
          <w:outline w:val="0"/>
          <w:color w:val="000000"/>
          <w:u w:color="000000"/>
          <w:vertAlign w:val="superscript"/>
          <w14:textFill>
            <w14:solidFill>
              <w14:srgbClr w14:val="000000"/>
            </w14:solidFill>
          </w14:textFill>
        </w:rPr>
        <w:footnoteRef/>
      </w:r>
      <w:r>
        <w:rPr>
          <w:outline w:val="0"/>
          <w:color w:val="000000"/>
          <w:sz w:val="21"/>
          <w:szCs w:val="21"/>
          <w:u w:color="000000"/>
          <w:rtl w:val="0"/>
          <w14:textFill>
            <w14:solidFill>
              <w14:srgbClr w14:val="000000"/>
            </w14:solidFill>
          </w14:textFill>
        </w:rPr>
        <w:t xml:space="preserve"> </w:t>
      </w:r>
      <w:r>
        <w:rPr>
          <w:i w:val="1"/>
          <w:iCs w:val="1"/>
          <w:outline w:val="0"/>
          <w:color w:val="000000"/>
          <w:spacing w:val="30"/>
          <w:sz w:val="21"/>
          <w:szCs w:val="21"/>
          <w:u w:color="000000"/>
          <w:rtl w:val="0"/>
          <w:lang w:val="it-IT"/>
          <w14:textFill>
            <w14:solidFill>
              <w14:srgbClr w14:val="000000"/>
            </w14:solidFill>
          </w14:textFill>
        </w:rPr>
        <w:t>Ambrose v Harris, Procurator Fiscal, Oban</w:t>
      </w:r>
      <w:r>
        <w:rPr>
          <w:outline w:val="0"/>
          <w:color w:val="000000"/>
          <w:sz w:val="21"/>
          <w:szCs w:val="21"/>
          <w:u w:color="000000"/>
          <w:shd w:val="clear" w:color="auto" w:fill="ffffff"/>
          <w:rtl w:val="0"/>
          <w:lang w:val="pt-PT"/>
          <w14:textFill>
            <w14:solidFill>
              <w14:srgbClr w14:val="000000"/>
            </w14:solidFill>
          </w14:textFill>
        </w:rPr>
        <w:t xml:space="preserve"> [2011] UKSC 43.</w:t>
      </w:r>
    </w:p>
  </w:footnote>
  <w:footnote w:id="20">
    <w:p>
      <w:pPr>
        <w:pStyle w:val="Body"/>
      </w:pPr>
      <w:r>
        <w:rPr>
          <w:outline w:val="0"/>
          <w:color w:val="000000"/>
          <w:u w:color="000000"/>
          <w:shd w:val="clear" w:color="auto" w:fill="ffffff"/>
          <w:vertAlign w:val="superscript"/>
          <w14:textFill>
            <w14:solidFill>
              <w14:srgbClr w14:val="000000"/>
            </w14:solidFill>
          </w14:textFill>
        </w:rPr>
        <w:footnoteRef/>
      </w:r>
      <w:r>
        <w:rPr>
          <w:outline w:val="0"/>
          <w:color w:val="000000"/>
          <w:sz w:val="21"/>
          <w:szCs w:val="21"/>
          <w:u w:color="000000"/>
          <w:rtl w:val="0"/>
          <w14:textFill>
            <w14:solidFill>
              <w14:srgbClr w14:val="000000"/>
            </w14:solidFill>
          </w14:textFill>
        </w:rPr>
        <w:t xml:space="preserve"> </w:t>
      </w:r>
      <w:r>
        <w:rPr>
          <w:i w:val="1"/>
          <w:iCs w:val="1"/>
          <w:outline w:val="0"/>
          <w:color w:val="000000"/>
          <w:spacing w:val="30"/>
          <w:sz w:val="21"/>
          <w:szCs w:val="21"/>
          <w:u w:color="000000"/>
          <w:rtl w:val="0"/>
          <w14:textFill>
            <w14:solidFill>
              <w14:srgbClr w14:val="000000"/>
            </w14:solidFill>
          </w14:textFill>
        </w:rPr>
        <w:t>Her Majesty</w:t>
      </w:r>
      <w:r>
        <w:rPr>
          <w:i w:val="1"/>
          <w:iCs w:val="1"/>
          <w:outline w:val="0"/>
          <w:color w:val="000000"/>
          <w:spacing w:val="30"/>
          <w:sz w:val="21"/>
          <w:szCs w:val="21"/>
          <w:u w:color="000000"/>
          <w:rtl w:val="1"/>
          <w14:textFill>
            <w14:solidFill>
              <w14:srgbClr w14:val="000000"/>
            </w14:solidFill>
          </w14:textFill>
        </w:rPr>
        <w:t>’</w:t>
      </w:r>
      <w:r>
        <w:rPr>
          <w:i w:val="1"/>
          <w:iCs w:val="1"/>
          <w:outline w:val="0"/>
          <w:color w:val="000000"/>
          <w:spacing w:val="30"/>
          <w:sz w:val="21"/>
          <w:szCs w:val="21"/>
          <w:u w:color="000000"/>
          <w:rtl w:val="0"/>
          <w14:textFill>
            <w14:solidFill>
              <w14:srgbClr w14:val="000000"/>
            </w14:solidFill>
          </w14:textFill>
        </w:rPr>
        <w:t>s Advocate v P</w:t>
      </w:r>
      <w:r>
        <w:rPr>
          <w:outline w:val="0"/>
          <w:color w:val="000000"/>
          <w:sz w:val="21"/>
          <w:szCs w:val="21"/>
          <w:u w:color="000000"/>
          <w:shd w:val="clear" w:color="auto" w:fill="ffffff"/>
          <w:rtl w:val="0"/>
          <w14:textFill>
            <w14:solidFill>
              <w14:srgbClr w14:val="000000"/>
            </w14:solidFill>
          </w14:textFill>
        </w:rPr>
        <w:t xml:space="preserve"> 2012 SC (UKSC) 108.</w:t>
      </w:r>
    </w:p>
  </w:footnote>
  <w:footnote w:id="21">
    <w:p>
      <w:pPr>
        <w:pStyle w:val="Body"/>
      </w:pPr>
      <w:r>
        <w:rPr>
          <w:outline w:val="0"/>
          <w:color w:val="000000"/>
          <w:u w:color="000000"/>
          <w:shd w:val="clear" w:color="auto" w:fill="ffffff"/>
          <w:vertAlign w:val="superscript"/>
          <w14:textFill>
            <w14:solidFill>
              <w14:srgbClr w14:val="000000"/>
            </w14:solidFill>
          </w14:textFill>
        </w:rPr>
        <w:footnoteRef/>
      </w:r>
      <w:r>
        <w:rPr>
          <w:outline w:val="0"/>
          <w:color w:val="000000"/>
          <w:sz w:val="21"/>
          <w:szCs w:val="21"/>
          <w:u w:color="000000"/>
          <w:rtl w:val="0"/>
          <w14:textFill>
            <w14:solidFill>
              <w14:srgbClr w14:val="000000"/>
            </w14:solidFill>
          </w14:textFill>
        </w:rPr>
        <w:t xml:space="preserve"> </w:t>
      </w:r>
      <w:r>
        <w:rPr>
          <w:i w:val="1"/>
          <w:iCs w:val="1"/>
          <w:outline w:val="0"/>
          <w:color w:val="000000"/>
          <w:sz w:val="21"/>
          <w:szCs w:val="21"/>
          <w:u w:color="000000"/>
          <w:rtl w:val="0"/>
          <w:lang w:val="en-US"/>
          <w14:textFill>
            <w14:solidFill>
              <w14:srgbClr w14:val="000000"/>
            </w14:solidFill>
          </w14:textFill>
        </w:rPr>
        <w:t>R (Commissioners of HM Revenue and Customs) v Pisciotto [2009] EWHC 1991 (Admin)</w:t>
      </w:r>
      <w:r>
        <w:rPr>
          <w:outline w:val="0"/>
          <w:color w:val="000000"/>
          <w:sz w:val="21"/>
          <w:szCs w:val="21"/>
          <w:u w:color="000000"/>
          <w:shd w:val="clear" w:color="auto" w:fill="ffffff"/>
          <w:rtl w:val="0"/>
          <w14:textFill>
            <w14:solidFill>
              <w14:srgbClr w14:val="000000"/>
            </w14:solidFill>
          </w14:textFill>
        </w:rPr>
        <w:t>.</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lowerLetter"/>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0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0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00"/>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character" w:styleId="apple-converted-space">
    <w:name w:val="apple-converted-space"/>
    <w:rPr>
      <w:lang w:val="en-US"/>
    </w:rPr>
  </w:style>
  <w:style w:type="character" w:styleId="footnote reference">
    <w:name w:val="footnote reference"/>
    <w:rPr>
      <w:vertAlign w:val="superscript"/>
    </w:rPr>
  </w:style>
  <w:style w:type="paragraph" w:styleId="footnote text">
    <w:name w:val="footnote text"/>
    <w:next w:val="footnote tex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