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62D19" w14:textId="77777777" w:rsidR="007B25A1" w:rsidRDefault="007B25A1">
      <w:pPr>
        <w:rPr>
          <w:rFonts w:ascii="Arial" w:eastAsia="Times New Roman" w:hAnsi="Arial" w:cs="Arial"/>
          <w:b/>
          <w:bCs/>
        </w:rPr>
      </w:pPr>
    </w:p>
    <w:p w14:paraId="3B90626A" w14:textId="77777777" w:rsidR="008E3170" w:rsidRDefault="008E3170" w:rsidP="00D420B5">
      <w:pPr>
        <w:jc w:val="center"/>
        <w:rPr>
          <w:rFonts w:ascii="Arial" w:hAnsi="Arial" w:cs="Arial"/>
          <w:b/>
          <w:i/>
          <w:iCs/>
          <w:sz w:val="40"/>
          <w:szCs w:val="40"/>
        </w:rPr>
      </w:pPr>
      <w:r>
        <w:rPr>
          <w:i/>
          <w:iCs/>
          <w:noProof/>
          <w:sz w:val="52"/>
          <w:szCs w:val="52"/>
        </w:rPr>
        <w:drawing>
          <wp:anchor distT="0" distB="0" distL="114300" distR="114300" simplePos="0" relativeHeight="251658240" behindDoc="0" locked="0" layoutInCell="1" allowOverlap="1" wp14:anchorId="3AA7BAF7" wp14:editId="4FBC753A">
            <wp:simplePos x="0" y="0"/>
            <wp:positionH relativeFrom="margin">
              <wp:posOffset>-365760</wp:posOffset>
            </wp:positionH>
            <wp:positionV relativeFrom="paragraph">
              <wp:posOffset>0</wp:posOffset>
            </wp:positionV>
            <wp:extent cx="2217420" cy="731520"/>
            <wp:effectExtent l="0" t="0" r="0" b="0"/>
            <wp:wrapThrough wrapText="bothSides">
              <wp:wrapPolygon edited="0">
                <wp:start x="0" y="0"/>
                <wp:lineTo x="0" y="13500"/>
                <wp:lineTo x="928" y="18000"/>
                <wp:lineTo x="928" y="20250"/>
                <wp:lineTo x="3155" y="20813"/>
                <wp:lineTo x="8536" y="20813"/>
                <wp:lineTo x="15402" y="20813"/>
                <wp:lineTo x="17258" y="20813"/>
                <wp:lineTo x="17814" y="20250"/>
                <wp:lineTo x="17629" y="18000"/>
                <wp:lineTo x="21340" y="16313"/>
                <wp:lineTo x="21340" y="11813"/>
                <wp:lineTo x="19299" y="0"/>
                <wp:lineTo x="15216" y="0"/>
                <wp:lineTo x="0" y="0"/>
              </wp:wrapPolygon>
            </wp:wrapThrough>
            <wp:docPr id="898065996" name="Picture 2" descr="A black background with white text&#10;&#10;Description automatically generated">
              <a:extLst xmlns:a="http://schemas.openxmlformats.org/drawingml/2006/main">
                <a:ext uri="{FF2B5EF4-FFF2-40B4-BE49-F238E27FC236}">
                  <a16:creationId xmlns:a16="http://schemas.microsoft.com/office/drawing/2014/main" id="{BC2492AD-2649-4C99-9166-9E2577C12A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65996" name="Picture 2"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17420" cy="731520"/>
                    </a:xfrm>
                    <a:prstGeom prst="rect">
                      <a:avLst/>
                    </a:prstGeom>
                  </pic:spPr>
                </pic:pic>
              </a:graphicData>
            </a:graphic>
            <wp14:sizeRelH relativeFrom="margin">
              <wp14:pctWidth>0</wp14:pctWidth>
            </wp14:sizeRelH>
            <wp14:sizeRelV relativeFrom="margin">
              <wp14:pctHeight>0</wp14:pctHeight>
            </wp14:sizeRelV>
          </wp:anchor>
        </w:drawing>
      </w:r>
    </w:p>
    <w:p w14:paraId="2D1C5453" w14:textId="77777777" w:rsidR="008E3170" w:rsidRDefault="008E3170" w:rsidP="00D420B5">
      <w:pPr>
        <w:jc w:val="center"/>
        <w:rPr>
          <w:rFonts w:ascii="Arial" w:hAnsi="Arial" w:cs="Arial"/>
          <w:b/>
          <w:i/>
          <w:iCs/>
          <w:sz w:val="40"/>
          <w:szCs w:val="40"/>
        </w:rPr>
      </w:pPr>
    </w:p>
    <w:p w14:paraId="32DBC97F" w14:textId="77777777" w:rsidR="008E3170" w:rsidRDefault="008E3170" w:rsidP="00D420B5">
      <w:pPr>
        <w:jc w:val="center"/>
        <w:rPr>
          <w:rFonts w:ascii="Arial" w:hAnsi="Arial" w:cs="Arial"/>
          <w:b/>
          <w:i/>
          <w:iCs/>
          <w:sz w:val="40"/>
          <w:szCs w:val="40"/>
        </w:rPr>
      </w:pPr>
    </w:p>
    <w:p w14:paraId="34CDE2B5" w14:textId="77777777" w:rsidR="008E3170" w:rsidRDefault="008E3170" w:rsidP="00D420B5">
      <w:pPr>
        <w:jc w:val="center"/>
        <w:rPr>
          <w:rFonts w:ascii="Arial" w:hAnsi="Arial" w:cs="Arial"/>
          <w:b/>
          <w:i/>
          <w:iCs/>
          <w:sz w:val="40"/>
          <w:szCs w:val="40"/>
        </w:rPr>
      </w:pPr>
    </w:p>
    <w:p w14:paraId="597EFDDD" w14:textId="77777777" w:rsidR="008E3170" w:rsidRDefault="008E3170" w:rsidP="00D420B5">
      <w:pPr>
        <w:jc w:val="center"/>
        <w:rPr>
          <w:rFonts w:ascii="Arial" w:hAnsi="Arial" w:cs="Arial"/>
          <w:b/>
          <w:i/>
          <w:iCs/>
          <w:sz w:val="40"/>
          <w:szCs w:val="40"/>
        </w:rPr>
      </w:pPr>
    </w:p>
    <w:p w14:paraId="5A85D18F" w14:textId="66FF0187" w:rsidR="00570E5D" w:rsidRPr="0031332C" w:rsidRDefault="004E7B2C" w:rsidP="7D9962E8">
      <w:pPr>
        <w:jc w:val="center"/>
        <w:rPr>
          <w:rFonts w:ascii="Arial" w:hAnsi="Arial" w:cs="Arial"/>
          <w:b/>
          <w:bCs/>
          <w:sz w:val="40"/>
          <w:szCs w:val="40"/>
        </w:rPr>
      </w:pPr>
      <w:r>
        <w:rPr>
          <w:rFonts w:ascii="Arial" w:hAnsi="Arial" w:cs="Arial"/>
          <w:b/>
          <w:bCs/>
          <w:sz w:val="40"/>
          <w:szCs w:val="40"/>
        </w:rPr>
        <w:t>Psychopathological Classifications and Provisions</w:t>
      </w:r>
    </w:p>
    <w:p w14:paraId="194F49B8" w14:textId="77777777" w:rsidR="00BF3188" w:rsidRDefault="00BF3188" w:rsidP="7D9962E8">
      <w:pPr>
        <w:jc w:val="center"/>
        <w:rPr>
          <w:rFonts w:ascii="Arial" w:hAnsi="Arial" w:cs="Arial"/>
          <w:b/>
          <w:bCs/>
          <w:i/>
          <w:iCs/>
          <w:sz w:val="40"/>
          <w:szCs w:val="40"/>
        </w:rPr>
      </w:pPr>
    </w:p>
    <w:p w14:paraId="66CC82D7" w14:textId="0F0BD9FA" w:rsidR="008E3170" w:rsidRPr="00BF3188" w:rsidRDefault="00B63634" w:rsidP="00BF3188">
      <w:pPr>
        <w:jc w:val="center"/>
        <w:rPr>
          <w:rFonts w:ascii="Arial" w:hAnsi="Arial" w:cs="Arial"/>
          <w:b/>
          <w:bCs/>
          <w:sz w:val="40"/>
          <w:szCs w:val="40"/>
        </w:rPr>
      </w:pPr>
      <w:r>
        <w:rPr>
          <w:rFonts w:ascii="Arial" w:hAnsi="Arial" w:cs="Arial"/>
          <w:b/>
          <w:bCs/>
          <w:sz w:val="40"/>
          <w:szCs w:val="40"/>
        </w:rPr>
        <w:t>BMHP</w:t>
      </w:r>
      <w:r w:rsidR="00BF3188">
        <w:rPr>
          <w:rFonts w:ascii="Arial" w:hAnsi="Arial" w:cs="Arial"/>
          <w:b/>
          <w:bCs/>
          <w:sz w:val="40"/>
          <w:szCs w:val="40"/>
        </w:rPr>
        <w:t>60</w:t>
      </w:r>
      <w:r w:rsidR="007B4F44">
        <w:rPr>
          <w:rFonts w:ascii="Arial" w:hAnsi="Arial" w:cs="Arial"/>
          <w:b/>
          <w:bCs/>
          <w:sz w:val="40"/>
          <w:szCs w:val="40"/>
        </w:rPr>
        <w:t>29</w:t>
      </w:r>
    </w:p>
    <w:p w14:paraId="4EC45CA7" w14:textId="77777777" w:rsidR="008E3170" w:rsidRPr="00AC2024" w:rsidRDefault="008E3170" w:rsidP="00D420B5">
      <w:pPr>
        <w:jc w:val="center"/>
        <w:rPr>
          <w:rFonts w:ascii="Arial" w:hAnsi="Arial" w:cs="Arial"/>
          <w:b/>
          <w:sz w:val="40"/>
          <w:szCs w:val="40"/>
        </w:rPr>
      </w:pPr>
      <w:r>
        <w:rPr>
          <w:rFonts w:ascii="Arial" w:hAnsi="Arial" w:cs="Arial"/>
          <w:b/>
          <w:sz w:val="40"/>
          <w:szCs w:val="40"/>
        </w:rPr>
        <w:t xml:space="preserve">Mohammed </w:t>
      </w:r>
      <w:proofErr w:type="spellStart"/>
      <w:r>
        <w:rPr>
          <w:rFonts w:ascii="Arial" w:hAnsi="Arial" w:cs="Arial"/>
          <w:b/>
          <w:sz w:val="40"/>
          <w:szCs w:val="40"/>
        </w:rPr>
        <w:t>Ashfaq</w:t>
      </w:r>
      <w:proofErr w:type="spellEnd"/>
    </w:p>
    <w:p w14:paraId="5E2357BF" w14:textId="77777777" w:rsidR="008E3170" w:rsidRPr="00AC2024" w:rsidRDefault="008E3170" w:rsidP="00D420B5">
      <w:pPr>
        <w:jc w:val="center"/>
        <w:rPr>
          <w:rFonts w:ascii="Arial" w:hAnsi="Arial" w:cs="Arial"/>
          <w:b/>
          <w:sz w:val="40"/>
          <w:szCs w:val="40"/>
        </w:rPr>
      </w:pPr>
      <w:r w:rsidRPr="00AC2024">
        <w:rPr>
          <w:rFonts w:ascii="Arial" w:hAnsi="Arial" w:cs="Arial"/>
          <w:b/>
          <w:sz w:val="40"/>
          <w:szCs w:val="40"/>
        </w:rPr>
        <w:t>2315557</w:t>
      </w:r>
    </w:p>
    <w:p w14:paraId="0CEA1581" w14:textId="77777777" w:rsidR="008E3170" w:rsidRDefault="008E3170" w:rsidP="00D420B5">
      <w:pPr>
        <w:jc w:val="center"/>
        <w:rPr>
          <w:rFonts w:ascii="Arial" w:hAnsi="Arial" w:cs="Arial"/>
          <w:b/>
          <w:sz w:val="40"/>
          <w:szCs w:val="40"/>
        </w:rPr>
      </w:pPr>
      <w:r>
        <w:rPr>
          <w:rFonts w:ascii="Arial" w:hAnsi="Arial" w:cs="Arial"/>
          <w:b/>
          <w:noProof/>
          <w:sz w:val="40"/>
          <w:szCs w:val="40"/>
        </w:rPr>
        <mc:AlternateContent>
          <mc:Choice Requires="wps">
            <w:drawing>
              <wp:anchor distT="0" distB="0" distL="114300" distR="114300" simplePos="0" relativeHeight="251658241" behindDoc="0" locked="0" layoutInCell="1" allowOverlap="1" wp14:anchorId="0BEA0BFD" wp14:editId="2CDA9B30">
                <wp:simplePos x="0" y="0"/>
                <wp:positionH relativeFrom="column">
                  <wp:posOffset>-571500</wp:posOffset>
                </wp:positionH>
                <wp:positionV relativeFrom="paragraph">
                  <wp:posOffset>97155</wp:posOffset>
                </wp:positionV>
                <wp:extent cx="6880860" cy="0"/>
                <wp:effectExtent l="0" t="38100" r="53340" b="38100"/>
                <wp:wrapNone/>
                <wp:docPr id="1193707386" name="Straight Connector 3">
                  <a:extLst xmlns:a="http://schemas.openxmlformats.org/drawingml/2006/main">
                    <a:ext uri="{FF2B5EF4-FFF2-40B4-BE49-F238E27FC236}">
                      <a16:creationId xmlns:a16="http://schemas.microsoft.com/office/drawing/2014/main" id="{95BEE826-2C43-4F6C-A6EC-21B1E082DFDC}"/>
                    </a:ext>
                  </a:extLst>
                </wp:docPr>
                <wp:cNvGraphicFramePr/>
                <a:graphic xmlns:a="http://schemas.openxmlformats.org/drawingml/2006/main">
                  <a:graphicData uri="http://schemas.microsoft.com/office/word/2010/wordprocessingShape">
                    <wps:wsp>
                      <wps:cNvCnPr/>
                      <wps:spPr>
                        <a:xfrm flipV="1">
                          <a:off x="0" y="0"/>
                          <a:ext cx="6880860"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2FFB2B2" id="Straight Connector 3" o:spid="_x0000_s1026" style="position:absolute;flip:y;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5pt,7.65pt" to="496.8pt,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" strokecolor="black [3200]" strokeweight="6pt">
                <v:stroke joinstyle="miter"/>
              </v:line>
            </w:pict>
          </mc:Fallback>
        </mc:AlternateContent>
      </w:r>
    </w:p>
    <w:p w14:paraId="0B47A48C" w14:textId="64B0FC8C" w:rsidR="008E3170" w:rsidRPr="00AC2024" w:rsidRDefault="00BF3188" w:rsidP="7D9962E8">
      <w:pPr>
        <w:jc w:val="center"/>
        <w:rPr>
          <w:rFonts w:ascii="Arial" w:hAnsi="Arial" w:cs="Arial"/>
          <w:b/>
          <w:bCs/>
          <w:sz w:val="52"/>
          <w:szCs w:val="52"/>
        </w:rPr>
      </w:pPr>
      <w:r>
        <w:rPr>
          <w:rFonts w:ascii="Arial" w:hAnsi="Arial" w:cs="Arial"/>
          <w:b/>
          <w:bCs/>
          <w:sz w:val="52"/>
          <w:szCs w:val="52"/>
        </w:rPr>
        <w:t>Assignment</w:t>
      </w:r>
      <w:r w:rsidR="008E3170" w:rsidRPr="7D9962E8">
        <w:rPr>
          <w:rFonts w:ascii="Arial" w:hAnsi="Arial" w:cs="Arial"/>
          <w:b/>
          <w:bCs/>
          <w:sz w:val="52"/>
          <w:szCs w:val="52"/>
        </w:rPr>
        <w:t xml:space="preserve"> </w:t>
      </w:r>
      <w:r w:rsidR="007B4F44">
        <w:rPr>
          <w:rFonts w:ascii="Arial" w:hAnsi="Arial" w:cs="Arial"/>
          <w:b/>
          <w:bCs/>
          <w:sz w:val="52"/>
          <w:szCs w:val="52"/>
        </w:rPr>
        <w:t>2</w:t>
      </w:r>
      <w:r w:rsidR="006C9710" w:rsidRPr="7D9962E8">
        <w:rPr>
          <w:rFonts w:ascii="Arial" w:hAnsi="Arial" w:cs="Arial"/>
          <w:b/>
          <w:bCs/>
          <w:sz w:val="52"/>
          <w:szCs w:val="52"/>
        </w:rPr>
        <w:t xml:space="preserve"> </w:t>
      </w:r>
    </w:p>
    <w:p w14:paraId="126C442F" w14:textId="77777777" w:rsidR="008E3170" w:rsidRDefault="008E3170" w:rsidP="00D420B5">
      <w:pPr>
        <w:jc w:val="center"/>
        <w:rPr>
          <w:rFonts w:ascii="Arial" w:hAnsi="Arial" w:cs="Arial"/>
          <w:b/>
          <w:i/>
          <w:iCs/>
          <w:sz w:val="52"/>
          <w:szCs w:val="52"/>
        </w:rPr>
      </w:pPr>
      <w:r>
        <w:rPr>
          <w:rFonts w:ascii="Arial" w:hAnsi="Arial" w:cs="Arial"/>
          <w:b/>
          <w:noProof/>
          <w:sz w:val="40"/>
          <w:szCs w:val="40"/>
        </w:rPr>
        <mc:AlternateContent>
          <mc:Choice Requires="wps">
            <w:drawing>
              <wp:anchor distT="0" distB="0" distL="114300" distR="114300" simplePos="0" relativeHeight="251658242" behindDoc="0" locked="0" layoutInCell="1" allowOverlap="1" wp14:anchorId="598055B4" wp14:editId="2B64CF5B">
                <wp:simplePos x="0" y="0"/>
                <wp:positionH relativeFrom="margin">
                  <wp:align>center</wp:align>
                </wp:positionH>
                <wp:positionV relativeFrom="paragraph">
                  <wp:posOffset>187411</wp:posOffset>
                </wp:positionV>
                <wp:extent cx="6880860" cy="0"/>
                <wp:effectExtent l="0" t="38100" r="53340" b="38100"/>
                <wp:wrapNone/>
                <wp:docPr id="1142728431" name="Straight Connector 3">
                  <a:extLst xmlns:a="http://schemas.openxmlformats.org/drawingml/2006/main">
                    <a:ext uri="{FF2B5EF4-FFF2-40B4-BE49-F238E27FC236}">
                      <a16:creationId xmlns:a16="http://schemas.microsoft.com/office/drawing/2014/main" id="{4ECBA3C4-E760-4E54-A5EA-158B59D98267}"/>
                    </a:ext>
                  </a:extLst>
                </wp:docPr>
                <wp:cNvGraphicFramePr/>
                <a:graphic xmlns:a="http://schemas.openxmlformats.org/drawingml/2006/main">
                  <a:graphicData uri="http://schemas.microsoft.com/office/word/2010/wordprocessingShape">
                    <wps:wsp>
                      <wps:cNvCnPr/>
                      <wps:spPr>
                        <a:xfrm flipV="1">
                          <a:off x="0" y="0"/>
                          <a:ext cx="6880860" cy="0"/>
                        </a:xfrm>
                        <a:prstGeom prst="line">
                          <a:avLst/>
                        </a:prstGeom>
                        <a:ln w="7620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69046214" id="Straight Connector 3" o:spid="_x0000_s1026" style="position:absolute;flip:y;z-index:25165824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 from="0,14.75pt" to="541.8pt,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" strokecolor="black [3200]" strokeweight="6pt">
                <v:stroke joinstyle="miter"/>
                <w10:wrap anchorx="margin"/>
              </v:line>
            </w:pict>
          </mc:Fallback>
        </mc:AlternateContent>
      </w:r>
    </w:p>
    <w:p w14:paraId="5E807552" w14:textId="77777777" w:rsidR="008E3170" w:rsidRDefault="008E3170" w:rsidP="00D420B5">
      <w:pPr>
        <w:jc w:val="center"/>
        <w:rPr>
          <w:rFonts w:ascii="Arial" w:hAnsi="Arial" w:cs="Arial"/>
          <w:b/>
          <w:i/>
          <w:iCs/>
          <w:sz w:val="52"/>
          <w:szCs w:val="52"/>
        </w:rPr>
      </w:pPr>
    </w:p>
    <w:p w14:paraId="0121B81D" w14:textId="155BDC39" w:rsidR="008E3170" w:rsidRPr="003554C8" w:rsidRDefault="00CB48F8" w:rsidP="00D420B5">
      <w:pPr>
        <w:jc w:val="center"/>
        <w:rPr>
          <w:rFonts w:ascii="Arial" w:hAnsi="Arial" w:cs="Arial"/>
          <w:b/>
          <w:sz w:val="40"/>
          <w:szCs w:val="40"/>
        </w:rPr>
      </w:pPr>
      <w:r w:rsidRPr="003554C8">
        <w:rPr>
          <w:rFonts w:ascii="Arial" w:hAnsi="Arial" w:cs="Arial"/>
          <w:b/>
          <w:sz w:val="40"/>
          <w:szCs w:val="40"/>
        </w:rPr>
        <w:t xml:space="preserve">Lecturer: </w:t>
      </w:r>
      <w:proofErr w:type="spellStart"/>
      <w:r w:rsidR="00BE1822">
        <w:rPr>
          <w:rFonts w:ascii="Arial" w:hAnsi="Arial" w:cs="Arial"/>
          <w:b/>
          <w:sz w:val="40"/>
          <w:szCs w:val="40"/>
        </w:rPr>
        <w:t>Tomy</w:t>
      </w:r>
      <w:proofErr w:type="spellEnd"/>
      <w:r w:rsidR="00E85ED7">
        <w:rPr>
          <w:rFonts w:ascii="Arial" w:hAnsi="Arial" w:cs="Arial"/>
          <w:b/>
          <w:sz w:val="40"/>
          <w:szCs w:val="40"/>
        </w:rPr>
        <w:t xml:space="preserve"> </w:t>
      </w:r>
      <w:proofErr w:type="spellStart"/>
      <w:r w:rsidR="00E85ED7">
        <w:rPr>
          <w:rFonts w:ascii="Arial" w:hAnsi="Arial" w:cs="Arial"/>
          <w:b/>
          <w:sz w:val="40"/>
          <w:szCs w:val="40"/>
        </w:rPr>
        <w:t>Adattu</w:t>
      </w:r>
      <w:proofErr w:type="spellEnd"/>
      <w:r w:rsidR="005B6524">
        <w:rPr>
          <w:rFonts w:ascii="Arial" w:hAnsi="Arial" w:cs="Arial"/>
          <w:b/>
          <w:sz w:val="40"/>
          <w:szCs w:val="40"/>
        </w:rPr>
        <w:t xml:space="preserve"> Chacko</w:t>
      </w:r>
    </w:p>
    <w:p w14:paraId="05A0E48A" w14:textId="77777777" w:rsidR="008E3170" w:rsidRPr="003554C8" w:rsidRDefault="008E3170" w:rsidP="00D420B5">
      <w:pPr>
        <w:jc w:val="center"/>
        <w:rPr>
          <w:rFonts w:ascii="Arial" w:hAnsi="Arial" w:cs="Arial"/>
          <w:b/>
          <w:sz w:val="52"/>
          <w:szCs w:val="52"/>
        </w:rPr>
      </w:pPr>
    </w:p>
    <w:p w14:paraId="086C37DC" w14:textId="5A51DCE2" w:rsidR="008E3170" w:rsidRPr="003554C8" w:rsidRDefault="008E3170" w:rsidP="7D9962E8">
      <w:pPr>
        <w:jc w:val="right"/>
        <w:rPr>
          <w:rFonts w:ascii="Arial" w:hAnsi="Arial" w:cs="Arial"/>
          <w:b/>
          <w:bCs/>
          <w:sz w:val="40"/>
          <w:szCs w:val="40"/>
        </w:rPr>
      </w:pPr>
      <w:r w:rsidRPr="003554C8">
        <w:rPr>
          <w:rFonts w:ascii="Arial" w:hAnsi="Arial" w:cs="Arial"/>
          <w:b/>
          <w:bCs/>
          <w:sz w:val="40"/>
          <w:szCs w:val="40"/>
        </w:rPr>
        <w:t xml:space="preserve">DATE: </w:t>
      </w:r>
      <w:r w:rsidR="00BE1822">
        <w:rPr>
          <w:rFonts w:ascii="Arial" w:hAnsi="Arial" w:cs="Arial"/>
          <w:b/>
          <w:bCs/>
          <w:sz w:val="40"/>
          <w:szCs w:val="40"/>
        </w:rPr>
        <w:t>12</w:t>
      </w:r>
      <w:r w:rsidR="00B63634" w:rsidRPr="003554C8">
        <w:rPr>
          <w:rFonts w:ascii="Arial" w:hAnsi="Arial" w:cs="Arial"/>
          <w:b/>
          <w:bCs/>
          <w:sz w:val="40"/>
          <w:szCs w:val="40"/>
        </w:rPr>
        <w:t xml:space="preserve"> </w:t>
      </w:r>
      <w:r w:rsidR="00BF3188" w:rsidRPr="003554C8">
        <w:rPr>
          <w:rFonts w:ascii="Arial" w:hAnsi="Arial" w:cs="Arial"/>
          <w:b/>
          <w:bCs/>
          <w:sz w:val="40"/>
          <w:szCs w:val="40"/>
        </w:rPr>
        <w:t>November</w:t>
      </w:r>
      <w:r w:rsidR="00B63634" w:rsidRPr="003554C8">
        <w:rPr>
          <w:rFonts w:ascii="Arial" w:hAnsi="Arial" w:cs="Arial"/>
          <w:b/>
          <w:bCs/>
          <w:sz w:val="40"/>
          <w:szCs w:val="40"/>
        </w:rPr>
        <w:t xml:space="preserve"> 202</w:t>
      </w:r>
      <w:r w:rsidR="00BF3188" w:rsidRPr="003554C8">
        <w:rPr>
          <w:rFonts w:ascii="Arial" w:hAnsi="Arial" w:cs="Arial"/>
          <w:b/>
          <w:bCs/>
          <w:sz w:val="40"/>
          <w:szCs w:val="40"/>
        </w:rPr>
        <w:t>5</w:t>
      </w:r>
    </w:p>
    <w:p w14:paraId="206AC83C" w14:textId="77777777" w:rsidR="008E3170" w:rsidRDefault="008E3170">
      <w:pPr>
        <w:rPr>
          <w:rFonts w:ascii="Arial" w:eastAsia="Times New Roman" w:hAnsi="Arial" w:cs="Arial"/>
          <w:b/>
          <w:bCs/>
        </w:rPr>
      </w:pPr>
    </w:p>
    <w:p w14:paraId="118CBAC5" w14:textId="77777777" w:rsidR="0085167E" w:rsidRDefault="0085167E" w:rsidP="7D9962E8">
      <w:pPr>
        <w:rPr>
          <w:rFonts w:ascii="Arial" w:eastAsia="Times New Roman" w:hAnsi="Arial" w:cs="Arial"/>
        </w:rPr>
      </w:pPr>
    </w:p>
    <w:p w14:paraId="33E4318D" w14:textId="77777777" w:rsidR="0085167E" w:rsidRDefault="0085167E" w:rsidP="7D9962E8">
      <w:pPr>
        <w:rPr>
          <w:rFonts w:ascii="Arial" w:eastAsia="Times New Roman" w:hAnsi="Arial" w:cs="Arial"/>
        </w:rPr>
      </w:pPr>
    </w:p>
    <w:p w14:paraId="11B9117D" w14:textId="72FC158D" w:rsidR="00DE025B" w:rsidRDefault="00DE025B" w:rsidP="009403AF">
      <w:pPr>
        <w:spacing w:line="360" w:lineRule="auto"/>
        <w:jc w:val="both"/>
        <w:rPr>
          <w:rFonts w:ascii="Arial" w:eastAsia="Times New Roman" w:hAnsi="Arial" w:cs="Arial"/>
        </w:rPr>
      </w:pPr>
    </w:p>
    <w:p w14:paraId="4AC8AA2C" w14:textId="77777777" w:rsidR="00822F9E" w:rsidRPr="00822F9E" w:rsidRDefault="00822F9E" w:rsidP="006B32E5">
      <w:pPr>
        <w:spacing w:line="360" w:lineRule="auto"/>
        <w:jc w:val="both"/>
        <w:rPr>
          <w:rFonts w:ascii="Arial" w:eastAsia="Times New Roman" w:hAnsi="Arial" w:cs="Arial"/>
          <w:b/>
          <w:bCs/>
        </w:rPr>
      </w:pPr>
      <w:r w:rsidRPr="00822F9E">
        <w:rPr>
          <w:rFonts w:ascii="Arial" w:eastAsia="Times New Roman" w:hAnsi="Arial" w:cs="Arial"/>
          <w:b/>
          <w:bCs/>
        </w:rPr>
        <w:t>Introduction</w:t>
      </w:r>
    </w:p>
    <w:p w14:paraId="0F352FA1" w14:textId="77777777" w:rsidR="00822F9E" w:rsidRDefault="00822F9E" w:rsidP="006B32E5">
      <w:pPr>
        <w:spacing w:line="360" w:lineRule="auto"/>
        <w:jc w:val="both"/>
        <w:rPr>
          <w:rFonts w:ascii="Arial" w:eastAsia="Times New Roman" w:hAnsi="Arial" w:cs="Arial"/>
        </w:rPr>
      </w:pPr>
    </w:p>
    <w:p w14:paraId="0670FE92" w14:textId="7EC87E8F" w:rsidR="00822F9E" w:rsidRDefault="00822F9E" w:rsidP="006B32E5">
      <w:pPr>
        <w:spacing w:line="360" w:lineRule="auto"/>
        <w:jc w:val="both"/>
        <w:rPr>
          <w:rFonts w:ascii="Arial" w:eastAsia="Times New Roman" w:hAnsi="Arial" w:cs="Arial"/>
        </w:rPr>
      </w:pPr>
      <w:r>
        <w:rPr>
          <w:rFonts w:ascii="Arial" w:eastAsia="Times New Roman" w:hAnsi="Arial" w:cs="Arial"/>
        </w:rPr>
        <w:t>This report provides a critical examination of Autism Spectrum Disorder (ASD), a complex neurodevelopmental condition classified as 6A02 within the World Health Organization’s (WHO) 11</w:t>
      </w:r>
      <w:r w:rsidRPr="00822F9E">
        <w:rPr>
          <w:rFonts w:ascii="Arial" w:eastAsia="Times New Roman" w:hAnsi="Arial" w:cs="Arial"/>
          <w:vertAlign w:val="superscript"/>
        </w:rPr>
        <w:t>th</w:t>
      </w:r>
      <w:r>
        <w:rPr>
          <w:rFonts w:ascii="Arial" w:eastAsia="Times New Roman" w:hAnsi="Arial" w:cs="Arial"/>
        </w:rPr>
        <w:t xml:space="preserve"> Revision of the International Classification of Diseases (ICD-11) (WHO, 2019). ASD is selected not only for its contemporary clinical relevance but also for its central position within the ongoing philosophical clash between the traditional medical model of disability and the burgeoning neurodiversity paradigm (Singer, 1998; Milton, 2012). This tension fundamentally challenges current conceptualizations of diagnosis, intervention, and societal accommodation.</w:t>
      </w:r>
    </w:p>
    <w:p w14:paraId="37E2DAAA" w14:textId="77777777" w:rsidR="00822F9E" w:rsidRDefault="00822F9E" w:rsidP="006B32E5">
      <w:pPr>
        <w:spacing w:line="360" w:lineRule="auto"/>
        <w:jc w:val="both"/>
        <w:rPr>
          <w:rFonts w:ascii="Arial" w:eastAsia="Times New Roman" w:hAnsi="Arial" w:cs="Arial"/>
        </w:rPr>
      </w:pPr>
    </w:p>
    <w:p w14:paraId="14EB8B5F"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The shift to a singular, unified spectrum in ICD-11, while aiming to reduce diagnostic confusion, inadvertently highlights core systemic issues, particularly regarding the identification of subtle presentations, such as those in females and adults (Lai &amp; Baron-Cohen, 2015). Interventions, historically rooted in behaviourism, now face ethical critiques regarding their potential to cause psychological harm through enforcing conformity (</w:t>
      </w:r>
      <w:proofErr w:type="spellStart"/>
      <w:r>
        <w:rPr>
          <w:rFonts w:ascii="Arial" w:eastAsia="Times New Roman" w:hAnsi="Arial" w:cs="Arial"/>
        </w:rPr>
        <w:t>Kupferstein</w:t>
      </w:r>
      <w:proofErr w:type="spellEnd"/>
      <w:r>
        <w:rPr>
          <w:rFonts w:ascii="Arial" w:eastAsia="Times New Roman" w:hAnsi="Arial" w:cs="Arial"/>
        </w:rPr>
        <w:t>, 2018; Russell et al., 2022).</w:t>
      </w:r>
    </w:p>
    <w:p w14:paraId="2B4E664C" w14:textId="77777777" w:rsidR="00822F9E" w:rsidRDefault="00822F9E" w:rsidP="006B32E5">
      <w:pPr>
        <w:spacing w:line="360" w:lineRule="auto"/>
        <w:jc w:val="both"/>
        <w:rPr>
          <w:rFonts w:ascii="Arial" w:eastAsia="Times New Roman" w:hAnsi="Arial" w:cs="Arial"/>
        </w:rPr>
      </w:pPr>
    </w:p>
    <w:p w14:paraId="79B74095" w14:textId="2203D440"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This analysis will critically dissect the ICD-11’s classification and diagnostic criteria. It will then evaluate standard treatment and rehabilitation protocols, assessing their efficacy and ethical limitations. Finally, the report will synthesise contemporary scholarly debate, particularly concerning </w:t>
      </w:r>
      <w:proofErr w:type="spellStart"/>
      <w:r>
        <w:rPr>
          <w:rFonts w:ascii="Arial" w:eastAsia="Times New Roman" w:hAnsi="Arial" w:cs="Arial"/>
        </w:rPr>
        <w:t>neurodivergence</w:t>
      </w:r>
      <w:proofErr w:type="spellEnd"/>
      <w:r>
        <w:rPr>
          <w:rFonts w:ascii="Arial" w:eastAsia="Times New Roman" w:hAnsi="Arial" w:cs="Arial"/>
        </w:rPr>
        <w:t xml:space="preserve"> and its policy implications, before delivering targeted recommendations to advance UK clinical practice and policy towards a more inclusive and evidence-based framework. The report maintains a focus on recent and UK-relevant academic literature.</w:t>
      </w:r>
    </w:p>
    <w:p w14:paraId="06357F35" w14:textId="77777777" w:rsidR="00822F9E" w:rsidRDefault="00822F9E" w:rsidP="006B32E5">
      <w:pPr>
        <w:spacing w:line="360" w:lineRule="auto"/>
        <w:jc w:val="both"/>
        <w:rPr>
          <w:rFonts w:ascii="Arial" w:eastAsia="Times New Roman" w:hAnsi="Arial" w:cs="Arial"/>
        </w:rPr>
      </w:pPr>
    </w:p>
    <w:p w14:paraId="4D5DB718" w14:textId="77777777" w:rsidR="00822F9E" w:rsidRPr="00822F9E" w:rsidRDefault="00822F9E" w:rsidP="006B32E5">
      <w:pPr>
        <w:spacing w:line="360" w:lineRule="auto"/>
        <w:jc w:val="both"/>
        <w:rPr>
          <w:rFonts w:ascii="Arial" w:eastAsia="Times New Roman" w:hAnsi="Arial" w:cs="Arial"/>
          <w:b/>
          <w:bCs/>
        </w:rPr>
      </w:pPr>
      <w:r w:rsidRPr="00822F9E">
        <w:rPr>
          <w:rFonts w:ascii="Arial" w:eastAsia="Times New Roman" w:hAnsi="Arial" w:cs="Arial"/>
          <w:b/>
          <w:bCs/>
        </w:rPr>
        <w:t>Classification and Diagnosis: A Critical Dissection</w:t>
      </w:r>
    </w:p>
    <w:p w14:paraId="1F45FF51" w14:textId="77777777" w:rsidR="00822F9E" w:rsidRDefault="00822F9E" w:rsidP="006B32E5">
      <w:pPr>
        <w:spacing w:line="360" w:lineRule="auto"/>
        <w:jc w:val="both"/>
        <w:rPr>
          <w:rFonts w:ascii="Arial" w:eastAsia="Times New Roman" w:hAnsi="Arial" w:cs="Arial"/>
        </w:rPr>
      </w:pPr>
    </w:p>
    <w:p w14:paraId="5B6099F8"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The classification of ASD under ICD-11 (6A02) as a ‘disorder’ within the Mental, Behavioural or Neurodevelopmental Disorders chapter is itself a subject of critical debate. While the code provides the necessary label for statutory funding and access to health services within the UK (NICE, 2021), the term ‘disorder’ </w:t>
      </w:r>
      <w:proofErr w:type="spellStart"/>
      <w:r>
        <w:rPr>
          <w:rFonts w:ascii="Arial" w:eastAsia="Times New Roman" w:hAnsi="Arial" w:cs="Arial"/>
        </w:rPr>
        <w:t>pathologizes</w:t>
      </w:r>
      <w:proofErr w:type="spellEnd"/>
      <w:r>
        <w:rPr>
          <w:rFonts w:ascii="Arial" w:eastAsia="Times New Roman" w:hAnsi="Arial" w:cs="Arial"/>
        </w:rPr>
        <w:t xml:space="preserve"> a difference in neurological function, clashing with the advocacy-led position that autism is a </w:t>
      </w:r>
      <w:proofErr w:type="spellStart"/>
      <w:r>
        <w:rPr>
          <w:rFonts w:ascii="Arial" w:eastAsia="Times New Roman" w:hAnsi="Arial" w:cs="Arial"/>
        </w:rPr>
        <w:t>neurotype</w:t>
      </w:r>
      <w:proofErr w:type="spellEnd"/>
      <w:r>
        <w:rPr>
          <w:rFonts w:ascii="Arial" w:eastAsia="Times New Roman" w:hAnsi="Arial" w:cs="Arial"/>
        </w:rPr>
        <w:t>—a natural, albeit sometimes disabling, variation in human biology (Sinclair, 1993).</w:t>
      </w:r>
    </w:p>
    <w:p w14:paraId="23FFAD3E" w14:textId="77777777" w:rsidR="00822F9E" w:rsidRDefault="00822F9E" w:rsidP="006B32E5">
      <w:pPr>
        <w:spacing w:line="360" w:lineRule="auto"/>
        <w:jc w:val="both"/>
        <w:rPr>
          <w:rFonts w:ascii="Arial" w:eastAsia="Times New Roman" w:hAnsi="Arial" w:cs="Arial"/>
        </w:rPr>
      </w:pPr>
    </w:p>
    <w:p w14:paraId="22A5D773" w14:textId="4D3F922D" w:rsidR="00822F9E" w:rsidRDefault="00822F9E" w:rsidP="006B32E5">
      <w:pPr>
        <w:spacing w:line="360" w:lineRule="auto"/>
        <w:jc w:val="both"/>
        <w:rPr>
          <w:rFonts w:ascii="Arial" w:eastAsia="Times New Roman" w:hAnsi="Arial" w:cs="Arial"/>
        </w:rPr>
      </w:pPr>
      <w:r>
        <w:rPr>
          <w:rFonts w:ascii="Arial" w:eastAsia="Times New Roman" w:hAnsi="Arial" w:cs="Arial"/>
        </w:rPr>
        <w:t>The ICD-11’s key structural change is the abandonment of distinct categories like Asperger Syndrome, unifying them under a single spectrum. This move was intended to increase clinical utility and reduce the problematic hierarchy implied by previous diagnoses (Lord et al., 2020). However, this simplification has been criticized for potentially obscuring important clinical and support differences, particularly for individuals who previously identified with the Asperger’s label and feel a loss of identity and a lack of recognition for their specific communication styles (</w:t>
      </w:r>
      <w:proofErr w:type="spellStart"/>
      <w:r>
        <w:rPr>
          <w:rFonts w:ascii="Arial" w:eastAsia="Times New Roman" w:hAnsi="Arial" w:cs="Arial"/>
        </w:rPr>
        <w:t>Giarelli</w:t>
      </w:r>
      <w:proofErr w:type="spellEnd"/>
      <w:r>
        <w:rPr>
          <w:rFonts w:ascii="Arial" w:eastAsia="Times New Roman" w:hAnsi="Arial" w:cs="Arial"/>
        </w:rPr>
        <w:t xml:space="preserve">, 2020). The ICD-11 attempts to manage this through necessary </w:t>
      </w:r>
      <w:proofErr w:type="spellStart"/>
      <w:r>
        <w:rPr>
          <w:rFonts w:ascii="Arial" w:eastAsia="Times New Roman" w:hAnsi="Arial" w:cs="Arial"/>
        </w:rPr>
        <w:t>specifiers</w:t>
      </w:r>
      <w:proofErr w:type="spellEnd"/>
      <w:r>
        <w:rPr>
          <w:rFonts w:ascii="Arial" w:eastAsia="Times New Roman" w:hAnsi="Arial" w:cs="Arial"/>
        </w:rPr>
        <w:t xml:space="preserve"> regarding accompanying intellectual and language function, but critics argue this falls short of capturing the functional complexity and diverse support needs across the spectrum.</w:t>
      </w:r>
    </w:p>
    <w:p w14:paraId="4F472BE5" w14:textId="77777777" w:rsidR="00822F9E" w:rsidRDefault="00822F9E" w:rsidP="006B32E5">
      <w:pPr>
        <w:spacing w:line="360" w:lineRule="auto"/>
        <w:jc w:val="both"/>
        <w:rPr>
          <w:rFonts w:ascii="Arial" w:eastAsia="Times New Roman" w:hAnsi="Arial" w:cs="Arial"/>
        </w:rPr>
      </w:pPr>
    </w:p>
    <w:p w14:paraId="786BD737"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The ICD-11 criteria focus on the dual presentation of deficits in social interaction/communication and restricted, repetitive patterns of behaviour (RRBs), which must result in significant impairment in functioning (WHO, 2019). The emphasis on impairment is crucial for establishing clinical need.</w:t>
      </w:r>
    </w:p>
    <w:p w14:paraId="5C2C4FD1" w14:textId="77777777" w:rsidR="00822F9E" w:rsidRDefault="00822F9E" w:rsidP="006B32E5">
      <w:pPr>
        <w:spacing w:line="360" w:lineRule="auto"/>
        <w:jc w:val="both"/>
        <w:rPr>
          <w:rFonts w:ascii="Arial" w:eastAsia="Times New Roman" w:hAnsi="Arial" w:cs="Arial"/>
        </w:rPr>
      </w:pPr>
    </w:p>
    <w:p w14:paraId="2AFEE1EA"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However, the diagnostic process in the UK, often following NICE guidelines, is frequently criticized for being based on protocols (such as ADOS-2 and ADI-R) that were largely developed on samples of young, cisgender males (Gould, 2021). This introduces a systematic gender bias, contributing to the under- and misdiagnosis of females and non-binary individuals who often exhibit a more nuanced presentation. Their traits are frequently masked through elaborate social camouflaging strategies—a compensatory behaviour that hides autistic traits to fit into a </w:t>
      </w:r>
      <w:proofErr w:type="spellStart"/>
      <w:r>
        <w:rPr>
          <w:rFonts w:ascii="Arial" w:eastAsia="Times New Roman" w:hAnsi="Arial" w:cs="Arial"/>
        </w:rPr>
        <w:t>neurotypical</w:t>
      </w:r>
      <w:proofErr w:type="spellEnd"/>
      <w:r>
        <w:rPr>
          <w:rFonts w:ascii="Arial" w:eastAsia="Times New Roman" w:hAnsi="Arial" w:cs="Arial"/>
        </w:rPr>
        <w:t xml:space="preserve"> environment—which increases the risk of mental health crises later in life (Lai &amp; Baron-Cohen, 2015).</w:t>
      </w:r>
    </w:p>
    <w:p w14:paraId="0F2D9172" w14:textId="77777777" w:rsidR="00822F9E" w:rsidRDefault="00822F9E" w:rsidP="006B32E5">
      <w:pPr>
        <w:spacing w:line="360" w:lineRule="auto"/>
        <w:jc w:val="both"/>
        <w:rPr>
          <w:rFonts w:ascii="Arial" w:eastAsia="Times New Roman" w:hAnsi="Arial" w:cs="Arial"/>
        </w:rPr>
      </w:pPr>
    </w:p>
    <w:p w14:paraId="6231882C"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Furthermore, the process is susceptible to diagnostic overshadowing, where the complex emotional and mental health needs of autistic individuals—who are highly susceptible to anxiety, depression, and trauma due to lifelong difficulties in reciprocal communication and sensory distress—are misattributed as core features of autism rather than distinct, treatable comorbidities (Sinha et al., 2020). This systemic failure in diagnosis highlights a need for UK clinicians to adopt a more trauma-informed and neurodiversity-aware approach.</w:t>
      </w:r>
    </w:p>
    <w:p w14:paraId="2141DDF2" w14:textId="77777777" w:rsidR="00822F9E" w:rsidRDefault="00822F9E" w:rsidP="006B32E5">
      <w:pPr>
        <w:spacing w:line="360" w:lineRule="auto"/>
        <w:jc w:val="both"/>
        <w:rPr>
          <w:rFonts w:ascii="Arial" w:eastAsia="Times New Roman" w:hAnsi="Arial" w:cs="Arial"/>
        </w:rPr>
      </w:pPr>
    </w:p>
    <w:p w14:paraId="76EC5E35" w14:textId="77777777" w:rsidR="00822F9E" w:rsidRPr="00822F9E" w:rsidRDefault="00822F9E" w:rsidP="006B32E5">
      <w:pPr>
        <w:spacing w:line="360" w:lineRule="auto"/>
        <w:jc w:val="both"/>
        <w:rPr>
          <w:rFonts w:ascii="Arial" w:eastAsia="Times New Roman" w:hAnsi="Arial" w:cs="Arial"/>
          <w:b/>
          <w:bCs/>
        </w:rPr>
      </w:pPr>
      <w:r w:rsidRPr="00822F9E">
        <w:rPr>
          <w:rFonts w:ascii="Arial" w:eastAsia="Times New Roman" w:hAnsi="Arial" w:cs="Arial"/>
          <w:b/>
          <w:bCs/>
        </w:rPr>
        <w:t>Treatment and Rehabilitation: Ethical and Efficacy Challenges</w:t>
      </w:r>
    </w:p>
    <w:p w14:paraId="64E71A87" w14:textId="77777777" w:rsidR="00822F9E" w:rsidRDefault="00822F9E" w:rsidP="006B32E5">
      <w:pPr>
        <w:spacing w:line="360" w:lineRule="auto"/>
        <w:jc w:val="both"/>
        <w:rPr>
          <w:rFonts w:ascii="Arial" w:eastAsia="Times New Roman" w:hAnsi="Arial" w:cs="Arial"/>
        </w:rPr>
      </w:pPr>
    </w:p>
    <w:p w14:paraId="10F18FE0"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Contemporary interventions for ASD must be critically evaluated not solely on measurable behavioural outcomes, but also on their ethical adherence to promoting autonomy and psychological well-being.</w:t>
      </w:r>
    </w:p>
    <w:p w14:paraId="1E294E42" w14:textId="77777777" w:rsidR="00822F9E" w:rsidRDefault="00822F9E" w:rsidP="006B32E5">
      <w:pPr>
        <w:spacing w:line="360" w:lineRule="auto"/>
        <w:jc w:val="both"/>
        <w:rPr>
          <w:rFonts w:ascii="Arial" w:eastAsia="Times New Roman" w:hAnsi="Arial" w:cs="Arial"/>
        </w:rPr>
      </w:pPr>
    </w:p>
    <w:p w14:paraId="31ABF133"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The most controversial intervention remains Applied Behaviour Analysis (ABA). Proponents argue for its evidence base in teaching specific skills and reducing challenging behaviours in early childhood (NICE, 2013). However, this analysis must engage with the profound counter-argument from the autistic community: that ABA, particularly older, rigid models, prioritizes compliance and extinction of autistic behaviours (</w:t>
      </w:r>
      <w:proofErr w:type="spellStart"/>
      <w:r>
        <w:rPr>
          <w:rFonts w:ascii="Arial" w:eastAsia="Times New Roman" w:hAnsi="Arial" w:cs="Arial"/>
        </w:rPr>
        <w:t>stimming</w:t>
      </w:r>
      <w:proofErr w:type="spellEnd"/>
      <w:r>
        <w:rPr>
          <w:rFonts w:ascii="Arial" w:eastAsia="Times New Roman" w:hAnsi="Arial" w:cs="Arial"/>
        </w:rPr>
        <w:t>, sensory seeking) over genuine emotional health (</w:t>
      </w:r>
      <w:proofErr w:type="spellStart"/>
      <w:r>
        <w:rPr>
          <w:rFonts w:ascii="Arial" w:eastAsia="Times New Roman" w:hAnsi="Arial" w:cs="Arial"/>
        </w:rPr>
        <w:t>Kupferstein</w:t>
      </w:r>
      <w:proofErr w:type="spellEnd"/>
      <w:r>
        <w:rPr>
          <w:rFonts w:ascii="Arial" w:eastAsia="Times New Roman" w:hAnsi="Arial" w:cs="Arial"/>
        </w:rPr>
        <w:t xml:space="preserve">, 2018). The core criticism is that by forcing </w:t>
      </w:r>
      <w:proofErr w:type="spellStart"/>
      <w:r>
        <w:rPr>
          <w:rFonts w:ascii="Arial" w:eastAsia="Times New Roman" w:hAnsi="Arial" w:cs="Arial"/>
        </w:rPr>
        <w:t>neurotypical</w:t>
      </w:r>
      <w:proofErr w:type="spellEnd"/>
      <w:r>
        <w:rPr>
          <w:rFonts w:ascii="Arial" w:eastAsia="Times New Roman" w:hAnsi="Arial" w:cs="Arial"/>
        </w:rPr>
        <w:t xml:space="preserve"> behaviours, ABA can inflict psychological trauma, leading to extensive masking and the development of severe autistic burnout—a debilitating state of physical and mental exhaustion (</w:t>
      </w:r>
      <w:proofErr w:type="spellStart"/>
      <w:r>
        <w:rPr>
          <w:rFonts w:ascii="Arial" w:eastAsia="Times New Roman" w:hAnsi="Arial" w:cs="Arial"/>
        </w:rPr>
        <w:t>Raymaker</w:t>
      </w:r>
      <w:proofErr w:type="spellEnd"/>
      <w:r>
        <w:rPr>
          <w:rFonts w:ascii="Arial" w:eastAsia="Times New Roman" w:hAnsi="Arial" w:cs="Arial"/>
        </w:rPr>
        <w:t xml:space="preserve"> et al., 2020). This critique has significantly boosted the adoption of newer, more child-led and respectful models like Naturalistic Developmental Behavioural Interventions (NDBIs).</w:t>
      </w:r>
    </w:p>
    <w:p w14:paraId="2C510659" w14:textId="77777777" w:rsidR="00822F9E" w:rsidRDefault="00822F9E" w:rsidP="006B32E5">
      <w:pPr>
        <w:spacing w:line="360" w:lineRule="auto"/>
        <w:jc w:val="both"/>
        <w:rPr>
          <w:rFonts w:ascii="Arial" w:eastAsia="Times New Roman" w:hAnsi="Arial" w:cs="Arial"/>
        </w:rPr>
      </w:pPr>
    </w:p>
    <w:p w14:paraId="3B6D4F7C"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Other key supports, such as Speech and Language Therapy (SLT) and Occupational Therapy (OT), are less contentious but require critical framing. SLT must move beyond promoting verbal fluency to facilitate authentic communication across all modalities, including AAC (</w:t>
      </w:r>
      <w:proofErr w:type="spellStart"/>
      <w:r>
        <w:rPr>
          <w:rFonts w:ascii="Arial" w:eastAsia="Times New Roman" w:hAnsi="Arial" w:cs="Arial"/>
        </w:rPr>
        <w:t>Trevarthen</w:t>
      </w:r>
      <w:proofErr w:type="spellEnd"/>
      <w:r>
        <w:rPr>
          <w:rFonts w:ascii="Arial" w:eastAsia="Times New Roman" w:hAnsi="Arial" w:cs="Arial"/>
        </w:rPr>
        <w:t xml:space="preserve"> &amp; Aitken, 2001). OT interventions must prioritize environmental modification and sensory regulation strategies to maximize functional comfort, rather than focusing solely on demanding adaptation from the individual (Case-Smith &amp; O’Brien, 2015).</w:t>
      </w:r>
    </w:p>
    <w:p w14:paraId="6B8F2900" w14:textId="77777777" w:rsidR="00822F9E" w:rsidRDefault="00822F9E" w:rsidP="006B32E5">
      <w:pPr>
        <w:spacing w:line="360" w:lineRule="auto"/>
        <w:jc w:val="both"/>
        <w:rPr>
          <w:rFonts w:ascii="Arial" w:eastAsia="Times New Roman" w:hAnsi="Arial" w:cs="Arial"/>
        </w:rPr>
      </w:pPr>
    </w:p>
    <w:p w14:paraId="6E24E6D9"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Rehabilitation measures in the UK often fail to account for the lifespan nature of ASD.</w:t>
      </w:r>
    </w:p>
    <w:p w14:paraId="18B90ACC" w14:textId="77777777" w:rsidR="00822F9E" w:rsidRDefault="00822F9E" w:rsidP="006B32E5">
      <w:pPr>
        <w:spacing w:line="360" w:lineRule="auto"/>
        <w:jc w:val="both"/>
        <w:rPr>
          <w:rFonts w:ascii="Arial" w:eastAsia="Times New Roman" w:hAnsi="Arial" w:cs="Arial"/>
        </w:rPr>
      </w:pPr>
    </w:p>
    <w:p w14:paraId="0DDFE03F"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Social Skills Training (SST) is often evaluated as having mixed efficacy. This is explained by Milton’s (2012) concept of the double empathy problem: the communication breakdown is a reciprocal failure of understanding between </w:t>
      </w:r>
      <w:proofErr w:type="spellStart"/>
      <w:r>
        <w:rPr>
          <w:rFonts w:ascii="Arial" w:eastAsia="Times New Roman" w:hAnsi="Arial" w:cs="Arial"/>
        </w:rPr>
        <w:t>neurotypes</w:t>
      </w:r>
      <w:proofErr w:type="spellEnd"/>
      <w:r>
        <w:rPr>
          <w:rFonts w:ascii="Arial" w:eastAsia="Times New Roman" w:hAnsi="Arial" w:cs="Arial"/>
        </w:rPr>
        <w:t xml:space="preserve">, not simply a deficit in the autistic person. Therefore, SST often fails because it demands that the autistic person adopt a difficult and inauthentic </w:t>
      </w:r>
      <w:proofErr w:type="spellStart"/>
      <w:r>
        <w:rPr>
          <w:rFonts w:ascii="Arial" w:eastAsia="Times New Roman" w:hAnsi="Arial" w:cs="Arial"/>
        </w:rPr>
        <w:t>neurotypical</w:t>
      </w:r>
      <w:proofErr w:type="spellEnd"/>
      <w:r>
        <w:rPr>
          <w:rFonts w:ascii="Arial" w:eastAsia="Times New Roman" w:hAnsi="Arial" w:cs="Arial"/>
        </w:rPr>
        <w:t xml:space="preserve"> script, rather than encouraging mutual accommodation.</w:t>
      </w:r>
    </w:p>
    <w:p w14:paraId="60AA83D6" w14:textId="77777777" w:rsidR="00822F9E" w:rsidRDefault="00822F9E" w:rsidP="006B32E5">
      <w:pPr>
        <w:spacing w:line="360" w:lineRule="auto"/>
        <w:jc w:val="both"/>
        <w:rPr>
          <w:rFonts w:ascii="Arial" w:eastAsia="Times New Roman" w:hAnsi="Arial" w:cs="Arial"/>
        </w:rPr>
      </w:pPr>
    </w:p>
    <w:p w14:paraId="0890965E"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Furthermore, a critical limitation in the UK system is the abrupt transition from child to adult services, often resulting in a significant loss of support infrastructure (Crane et al., 2018). This gap in provision exacerbates difficulties in vocational rehabilitation, contributing to the alarmingly high unemployment rate among autistic adults, even those with high academic qualifications (</w:t>
      </w:r>
      <w:proofErr w:type="spellStart"/>
      <w:r>
        <w:rPr>
          <w:rFonts w:ascii="Arial" w:eastAsia="Times New Roman" w:hAnsi="Arial" w:cs="Arial"/>
        </w:rPr>
        <w:t>O’Nions</w:t>
      </w:r>
      <w:proofErr w:type="spellEnd"/>
      <w:r>
        <w:rPr>
          <w:rFonts w:ascii="Arial" w:eastAsia="Times New Roman" w:hAnsi="Arial" w:cs="Arial"/>
        </w:rPr>
        <w:t xml:space="preserve"> et al., 2018). Current rehabilitation is insufficiently tailored to the workplace accommodations (e.g., sensory environment, communication style) necessary for sustained autistic employment.</w:t>
      </w:r>
    </w:p>
    <w:p w14:paraId="2DE53DA9" w14:textId="77777777" w:rsidR="00822F9E" w:rsidRDefault="00822F9E" w:rsidP="006B32E5">
      <w:pPr>
        <w:spacing w:line="360" w:lineRule="auto"/>
        <w:jc w:val="both"/>
        <w:rPr>
          <w:rFonts w:ascii="Arial" w:eastAsia="Times New Roman" w:hAnsi="Arial" w:cs="Arial"/>
        </w:rPr>
      </w:pPr>
    </w:p>
    <w:p w14:paraId="4E7B47FF" w14:textId="77777777" w:rsidR="00822F9E" w:rsidRPr="00822F9E" w:rsidRDefault="00822F9E" w:rsidP="006B32E5">
      <w:pPr>
        <w:spacing w:line="360" w:lineRule="auto"/>
        <w:jc w:val="both"/>
        <w:rPr>
          <w:rFonts w:ascii="Arial" w:eastAsia="Times New Roman" w:hAnsi="Arial" w:cs="Arial"/>
          <w:b/>
          <w:bCs/>
        </w:rPr>
      </w:pPr>
      <w:r w:rsidRPr="00822F9E">
        <w:rPr>
          <w:rFonts w:ascii="Arial" w:eastAsia="Times New Roman" w:hAnsi="Arial" w:cs="Arial"/>
          <w:b/>
          <w:bCs/>
        </w:rPr>
        <w:t>Current Debates and Emerging Issues</w:t>
      </w:r>
    </w:p>
    <w:p w14:paraId="2DD6F6C2" w14:textId="77777777" w:rsidR="00822F9E" w:rsidRDefault="00822F9E" w:rsidP="006B32E5">
      <w:pPr>
        <w:spacing w:line="360" w:lineRule="auto"/>
        <w:jc w:val="both"/>
        <w:rPr>
          <w:rFonts w:ascii="Arial" w:eastAsia="Times New Roman" w:hAnsi="Arial" w:cs="Arial"/>
        </w:rPr>
      </w:pPr>
    </w:p>
    <w:p w14:paraId="2AC5443F" w14:textId="3EC83ED0" w:rsidR="00822F9E" w:rsidRDefault="00822F9E" w:rsidP="006B32E5">
      <w:pPr>
        <w:spacing w:line="360" w:lineRule="auto"/>
        <w:jc w:val="both"/>
        <w:rPr>
          <w:rFonts w:ascii="Arial" w:eastAsia="Times New Roman" w:hAnsi="Arial" w:cs="Arial"/>
        </w:rPr>
      </w:pPr>
      <w:r>
        <w:rPr>
          <w:rFonts w:ascii="Arial" w:eastAsia="Times New Roman" w:hAnsi="Arial" w:cs="Arial"/>
        </w:rPr>
        <w:t>The most enduring and consequential academic debate concerns whether autism should be classified as a pathology (requiring treatment) or a form of neurodiversity (requiring social accommodation). The persistence of the ‘disorder’ terminology in ICD-11 signals the dominance of the medical model, which is essential for funding and defining clinical scope.</w:t>
      </w:r>
    </w:p>
    <w:p w14:paraId="6CD80192" w14:textId="77777777" w:rsidR="00822F9E" w:rsidRDefault="00822F9E" w:rsidP="006B32E5">
      <w:pPr>
        <w:spacing w:line="360" w:lineRule="auto"/>
        <w:jc w:val="both"/>
        <w:rPr>
          <w:rFonts w:ascii="Arial" w:eastAsia="Times New Roman" w:hAnsi="Arial" w:cs="Arial"/>
        </w:rPr>
      </w:pPr>
    </w:p>
    <w:p w14:paraId="35C13254"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However, the neurodiversity movement, rooted in the social model of disability, argues that the most significant impairment is imposed by a society designed exclusively for a </w:t>
      </w:r>
      <w:proofErr w:type="spellStart"/>
      <w:r>
        <w:rPr>
          <w:rFonts w:ascii="Arial" w:eastAsia="Times New Roman" w:hAnsi="Arial" w:cs="Arial"/>
        </w:rPr>
        <w:t>neurotypical</w:t>
      </w:r>
      <w:proofErr w:type="spellEnd"/>
      <w:r>
        <w:rPr>
          <w:rFonts w:ascii="Arial" w:eastAsia="Times New Roman" w:hAnsi="Arial" w:cs="Arial"/>
        </w:rPr>
        <w:t xml:space="preserve"> majority (Singer, 1998; Milton, 2012). This philosophical framework informs the critique that resources should be shifted from individual remediation (e.g., teaching eye contact) to systemic accommodation (e.g., making sensory environments safe, flexible workplace policies).</w:t>
      </w:r>
    </w:p>
    <w:p w14:paraId="4FB496C2" w14:textId="77777777" w:rsidR="00822F9E" w:rsidRDefault="00822F9E" w:rsidP="006B32E5">
      <w:pPr>
        <w:spacing w:line="360" w:lineRule="auto"/>
        <w:jc w:val="both"/>
        <w:rPr>
          <w:rFonts w:ascii="Arial" w:eastAsia="Times New Roman" w:hAnsi="Arial" w:cs="Arial"/>
        </w:rPr>
      </w:pPr>
    </w:p>
    <w:p w14:paraId="5E086CF0"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This debate directly impacts the assessment of quality of life. Where the medical model measures success by the reduction of autistic traits and increased social conformity, the neurodiversity model measures success by enhanced well-being, reduced stress, and the ability to live authentically without the emotional toll of masking (Russell et al., 2022).</w:t>
      </w:r>
    </w:p>
    <w:p w14:paraId="04481293" w14:textId="77777777" w:rsidR="00822F9E" w:rsidRDefault="00822F9E" w:rsidP="006B32E5">
      <w:pPr>
        <w:spacing w:line="360" w:lineRule="auto"/>
        <w:jc w:val="both"/>
        <w:rPr>
          <w:rFonts w:ascii="Arial" w:eastAsia="Times New Roman" w:hAnsi="Arial" w:cs="Arial"/>
        </w:rPr>
      </w:pPr>
    </w:p>
    <w:p w14:paraId="5BFD4DA5"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A major emerging issue, directly stemming from the pressure to conform, is the recognition and management of autistic burnout. Defined as an intense, pervasive, and prolonged state of exhaustion, often accompanied by a temporary or permanent loss of skills and functioning, burnout is a clear consequence of cumulative stress from lifelong masking and coping with sensory overload (</w:t>
      </w:r>
      <w:proofErr w:type="spellStart"/>
      <w:r>
        <w:rPr>
          <w:rFonts w:ascii="Arial" w:eastAsia="Times New Roman" w:hAnsi="Arial" w:cs="Arial"/>
        </w:rPr>
        <w:t>Raymaker</w:t>
      </w:r>
      <w:proofErr w:type="spellEnd"/>
      <w:r>
        <w:rPr>
          <w:rFonts w:ascii="Arial" w:eastAsia="Times New Roman" w:hAnsi="Arial" w:cs="Arial"/>
        </w:rPr>
        <w:t xml:space="preserve"> et al., 2020).</w:t>
      </w:r>
    </w:p>
    <w:p w14:paraId="1F988E48"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 </w:t>
      </w:r>
    </w:p>
    <w:p w14:paraId="3A9723BE"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The failure of UK policy and practice to adequately recognize and screen for burnout represents a critical mental health risk. This is exacerbated by the phenomenon of diagnostic overshadowing (Sinha et al., 2020), where burnout is often misdiagnosed as major depression or chronic fatigue, leading to ineffective treatment.</w:t>
      </w:r>
    </w:p>
    <w:p w14:paraId="534303B8" w14:textId="77777777" w:rsidR="00822F9E" w:rsidRDefault="00822F9E" w:rsidP="006B32E5">
      <w:pPr>
        <w:spacing w:line="360" w:lineRule="auto"/>
        <w:jc w:val="both"/>
        <w:rPr>
          <w:rFonts w:ascii="Arial" w:eastAsia="Times New Roman" w:hAnsi="Arial" w:cs="Arial"/>
        </w:rPr>
      </w:pPr>
    </w:p>
    <w:p w14:paraId="4CF27F90"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A definitive trend in contemporary UK research is the move toward participatory research models, where autistic individuals are included as co-producers of knowledge, rather than mere subjects of study (</w:t>
      </w:r>
      <w:proofErr w:type="spellStart"/>
      <w:r>
        <w:rPr>
          <w:rFonts w:ascii="Arial" w:eastAsia="Times New Roman" w:hAnsi="Arial" w:cs="Arial"/>
        </w:rPr>
        <w:t>Pellicano</w:t>
      </w:r>
      <w:proofErr w:type="spellEnd"/>
      <w:r>
        <w:rPr>
          <w:rFonts w:ascii="Arial" w:eastAsia="Times New Roman" w:hAnsi="Arial" w:cs="Arial"/>
        </w:rPr>
        <w:t xml:space="preserve"> et al., 2014). This shift is necessary because </w:t>
      </w:r>
      <w:proofErr w:type="spellStart"/>
      <w:r>
        <w:rPr>
          <w:rFonts w:ascii="Arial" w:eastAsia="Times New Roman" w:hAnsi="Arial" w:cs="Arial"/>
        </w:rPr>
        <w:t>neurotypical</w:t>
      </w:r>
      <w:proofErr w:type="spellEnd"/>
      <w:r>
        <w:rPr>
          <w:rFonts w:ascii="Arial" w:eastAsia="Times New Roman" w:hAnsi="Arial" w:cs="Arial"/>
        </w:rPr>
        <w:t xml:space="preserve"> researchers may inadvertently prioritize questions and outcomes that align with the medical model, missing the priorities that truly impact the quality of life, such as sensory safety and reduction of anxiety.</w:t>
      </w:r>
    </w:p>
    <w:p w14:paraId="0E14895D" w14:textId="77777777" w:rsidR="00822F9E" w:rsidRDefault="00822F9E" w:rsidP="006B32E5">
      <w:pPr>
        <w:spacing w:line="360" w:lineRule="auto"/>
        <w:jc w:val="both"/>
        <w:rPr>
          <w:rFonts w:ascii="Arial" w:eastAsia="Times New Roman" w:hAnsi="Arial" w:cs="Arial"/>
        </w:rPr>
      </w:pPr>
    </w:p>
    <w:p w14:paraId="44E6644A"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The integration of autistic expertise into the revision of clinical guidelines, such as those published by NICE, is essential for ensuring that support recommendations are ethical, authentic, and effective. This co-production model is the only robust mechanism for bridging the gap between clinical theory and lived reality, moving beyond paternalistic models of care to a true partnership.</w:t>
      </w:r>
    </w:p>
    <w:p w14:paraId="55A24ADD" w14:textId="77777777" w:rsidR="00822F9E" w:rsidRDefault="00822F9E" w:rsidP="006B32E5">
      <w:pPr>
        <w:spacing w:line="360" w:lineRule="auto"/>
        <w:jc w:val="both"/>
        <w:rPr>
          <w:rFonts w:ascii="Arial" w:eastAsia="Times New Roman" w:hAnsi="Arial" w:cs="Arial"/>
        </w:rPr>
      </w:pPr>
    </w:p>
    <w:p w14:paraId="4E1EF446" w14:textId="77777777" w:rsidR="00822F9E" w:rsidRPr="00822F9E" w:rsidRDefault="00822F9E" w:rsidP="006B32E5">
      <w:pPr>
        <w:spacing w:line="360" w:lineRule="auto"/>
        <w:jc w:val="both"/>
        <w:rPr>
          <w:rFonts w:ascii="Arial" w:eastAsia="Times New Roman" w:hAnsi="Arial" w:cs="Arial"/>
          <w:b/>
          <w:bCs/>
        </w:rPr>
      </w:pPr>
      <w:r w:rsidRPr="00822F9E">
        <w:rPr>
          <w:rFonts w:ascii="Arial" w:eastAsia="Times New Roman" w:hAnsi="Arial" w:cs="Arial"/>
          <w:b/>
          <w:bCs/>
        </w:rPr>
        <w:t>Recommendations</w:t>
      </w:r>
    </w:p>
    <w:p w14:paraId="148E022A" w14:textId="77777777" w:rsidR="00822F9E" w:rsidRDefault="00822F9E" w:rsidP="006B32E5">
      <w:pPr>
        <w:spacing w:line="360" w:lineRule="auto"/>
        <w:jc w:val="both"/>
        <w:rPr>
          <w:rFonts w:ascii="Arial" w:eastAsia="Times New Roman" w:hAnsi="Arial" w:cs="Arial"/>
        </w:rPr>
      </w:pPr>
    </w:p>
    <w:p w14:paraId="26F5CBD8"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The following well-reasoned recommendations are provided to improve the classification, diagnosis, treatment, and rehabilitation of ASD, informed by the critical analysis of current academic literature and UK policy context.</w:t>
      </w:r>
    </w:p>
    <w:p w14:paraId="3E99D4FE" w14:textId="77777777" w:rsidR="00822F9E" w:rsidRDefault="00822F9E" w:rsidP="006B32E5">
      <w:pPr>
        <w:spacing w:line="360" w:lineRule="auto"/>
        <w:jc w:val="both"/>
        <w:rPr>
          <w:rFonts w:ascii="Arial" w:eastAsia="Times New Roman" w:hAnsi="Arial" w:cs="Arial"/>
        </w:rPr>
      </w:pPr>
    </w:p>
    <w:p w14:paraId="2E8CDE9B"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Recommendation 1: Policy Shift to ‘Autism Spectrum Condition’ (ASC). UK government bodies (</w:t>
      </w:r>
      <w:proofErr w:type="spellStart"/>
      <w:r>
        <w:rPr>
          <w:rFonts w:ascii="Arial" w:eastAsia="Times New Roman" w:hAnsi="Arial" w:cs="Arial"/>
        </w:rPr>
        <w:t>DoH</w:t>
      </w:r>
      <w:proofErr w:type="spellEnd"/>
      <w:r>
        <w:rPr>
          <w:rFonts w:ascii="Arial" w:eastAsia="Times New Roman" w:hAnsi="Arial" w:cs="Arial"/>
        </w:rPr>
        <w:t xml:space="preserve">, </w:t>
      </w:r>
      <w:proofErr w:type="spellStart"/>
      <w:r>
        <w:rPr>
          <w:rFonts w:ascii="Arial" w:eastAsia="Times New Roman" w:hAnsi="Arial" w:cs="Arial"/>
        </w:rPr>
        <w:t>DfE</w:t>
      </w:r>
      <w:proofErr w:type="spellEnd"/>
      <w:r>
        <w:rPr>
          <w:rFonts w:ascii="Arial" w:eastAsia="Times New Roman" w:hAnsi="Arial" w:cs="Arial"/>
        </w:rPr>
        <w:t>) and the NHS must mandate the use of ‘Autism Spectrum Condition’ or ‘Autistic Person’ in all non-statutory guidance and patient communication.</w:t>
      </w:r>
    </w:p>
    <w:p w14:paraId="6D449AFA" w14:textId="77777777" w:rsidR="00822F9E" w:rsidRDefault="00822F9E" w:rsidP="006B32E5">
      <w:pPr>
        <w:spacing w:line="360" w:lineRule="auto"/>
        <w:jc w:val="both"/>
        <w:rPr>
          <w:rFonts w:ascii="Arial" w:eastAsia="Times New Roman" w:hAnsi="Arial" w:cs="Arial"/>
        </w:rPr>
      </w:pPr>
    </w:p>
    <w:p w14:paraId="7BFA4B46"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This linguistic shift acknowledges the neurodiversity paradigm, reduces stigma associated with the term ‘disorder,’ and fosters a more positive self-identity, which is crucial for mental well-being (Milton, 2012). It promotes therapeutic rapport.</w:t>
      </w:r>
    </w:p>
    <w:p w14:paraId="4C26B032" w14:textId="77777777" w:rsidR="00822F9E" w:rsidRDefault="00822F9E" w:rsidP="006B32E5">
      <w:pPr>
        <w:spacing w:line="360" w:lineRule="auto"/>
        <w:jc w:val="both"/>
        <w:rPr>
          <w:rFonts w:ascii="Arial" w:eastAsia="Times New Roman" w:hAnsi="Arial" w:cs="Arial"/>
        </w:rPr>
      </w:pPr>
    </w:p>
    <w:p w14:paraId="03423A12"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Recommendation 2: Mandatory Neurodiversity-Affirming Training and MDT Restructuring. All UK diagnostic services must implement mandatory training focused on identifying camouflaging and the female/adult autistic phenotype (Lai &amp; Baron-Cohen, 2015). Furthermore, all Multidisciplinary Teams (MDTs) for ASD assessment should be required to consult with, or employ, autistic clinical consultants to validate the ecological validity of the diagnostic findings.</w:t>
      </w:r>
    </w:p>
    <w:p w14:paraId="1EBA7818"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 </w:t>
      </w:r>
    </w:p>
    <w:p w14:paraId="729DE2FF"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Implications of this, it reduces the rates of late and missed diagnoses, particularly among high-masking individuals, ensuring earlier access to statutory support and potentially reducing the incidence of burnout.</w:t>
      </w:r>
    </w:p>
    <w:p w14:paraId="2E1A3CE9" w14:textId="77777777" w:rsidR="00822F9E" w:rsidRDefault="00822F9E" w:rsidP="006B32E5">
      <w:pPr>
        <w:spacing w:line="360" w:lineRule="auto"/>
        <w:jc w:val="both"/>
        <w:rPr>
          <w:rFonts w:ascii="Arial" w:eastAsia="Times New Roman" w:hAnsi="Arial" w:cs="Arial"/>
        </w:rPr>
      </w:pPr>
    </w:p>
    <w:p w14:paraId="3F9F7C41"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Recommendation 3: Implement Autistic Burnout Screening. The NICE guidelines and local NHS protocols for mental health assessment of autistic individuals must be amended to include mandatory, validated screening tools for autistic burnout and Post-Traumatic Stress Disorder (PTSD) (</w:t>
      </w:r>
      <w:proofErr w:type="spellStart"/>
      <w:r>
        <w:rPr>
          <w:rFonts w:ascii="Arial" w:eastAsia="Times New Roman" w:hAnsi="Arial" w:cs="Arial"/>
        </w:rPr>
        <w:t>Raymaker</w:t>
      </w:r>
      <w:proofErr w:type="spellEnd"/>
      <w:r>
        <w:rPr>
          <w:rFonts w:ascii="Arial" w:eastAsia="Times New Roman" w:hAnsi="Arial" w:cs="Arial"/>
        </w:rPr>
        <w:t xml:space="preserve"> et al., 2020).</w:t>
      </w:r>
    </w:p>
    <w:p w14:paraId="646E99A3"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 </w:t>
      </w:r>
    </w:p>
    <w:p w14:paraId="0208DBC2"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Implications are that it prevents diagnostic overshadowing and ensures that the root cause of mental health deterioration is correctly identified and treated, moving beyond symptom management.</w:t>
      </w:r>
    </w:p>
    <w:p w14:paraId="28E35747" w14:textId="77777777" w:rsidR="00822F9E" w:rsidRDefault="00822F9E" w:rsidP="006B32E5">
      <w:pPr>
        <w:spacing w:line="360" w:lineRule="auto"/>
        <w:jc w:val="both"/>
        <w:rPr>
          <w:rFonts w:ascii="Arial" w:eastAsia="Times New Roman" w:hAnsi="Arial" w:cs="Arial"/>
        </w:rPr>
      </w:pPr>
    </w:p>
    <w:p w14:paraId="3498024F"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 xml:space="preserve"> Recommendation 4: Prioritize Strengths-Based Interventions and Accommodation Funding. UK commissioners must shift funding away from older, compliance-focused ABA models toward Naturalistic Developmental Behavioural Interventions (NDBIs) and interventions focused on environmental and social accommodation (NICE, 2021). Furthermore, dedicated funding must be allocated to transition and adult vocational services focused on supported employment and workplace sensory profiling.</w:t>
      </w:r>
    </w:p>
    <w:p w14:paraId="469D4E11" w14:textId="77777777" w:rsidR="00822F9E" w:rsidRDefault="00822F9E" w:rsidP="006B32E5">
      <w:pPr>
        <w:spacing w:line="360" w:lineRule="auto"/>
        <w:jc w:val="both"/>
        <w:rPr>
          <w:rFonts w:ascii="Arial" w:eastAsia="Times New Roman" w:hAnsi="Arial" w:cs="Arial"/>
        </w:rPr>
      </w:pPr>
    </w:p>
    <w:p w14:paraId="1BC8B2F3"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Implications are, it supports the human rights and autonomy of autistic individuals, leading to more sustainable, positive functional outcomes by maximizing comfort and reducing the burden of accommodation on the individual.</w:t>
      </w:r>
    </w:p>
    <w:p w14:paraId="7D85E6C5" w14:textId="77777777" w:rsidR="00822F9E" w:rsidRDefault="00822F9E" w:rsidP="006B32E5">
      <w:pPr>
        <w:spacing w:line="360" w:lineRule="auto"/>
        <w:jc w:val="both"/>
        <w:rPr>
          <w:rFonts w:ascii="Arial" w:eastAsia="Times New Roman" w:hAnsi="Arial" w:cs="Arial"/>
        </w:rPr>
      </w:pPr>
    </w:p>
    <w:p w14:paraId="14F3133F"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Recommendation 5: Increase and Mandate Participatory Research. Funding bodies (e.g., UKRI, NIHR) must increase the percentage of research funding ring-fenced for participatory research where autistic adults are co-investigators and decision-makers (</w:t>
      </w:r>
      <w:proofErr w:type="spellStart"/>
      <w:r>
        <w:rPr>
          <w:rFonts w:ascii="Arial" w:eastAsia="Times New Roman" w:hAnsi="Arial" w:cs="Arial"/>
        </w:rPr>
        <w:t>Pellicano</w:t>
      </w:r>
      <w:proofErr w:type="spellEnd"/>
      <w:r>
        <w:rPr>
          <w:rFonts w:ascii="Arial" w:eastAsia="Times New Roman" w:hAnsi="Arial" w:cs="Arial"/>
        </w:rPr>
        <w:t xml:space="preserve"> et al., 2014). Research should prioritize closing the knowledge gap on adult quality of life, intersectional autistic identities, and long-term consequences of masking.</w:t>
      </w:r>
    </w:p>
    <w:p w14:paraId="4C361F25" w14:textId="77777777" w:rsidR="00822F9E" w:rsidRDefault="00822F9E" w:rsidP="006B32E5">
      <w:pPr>
        <w:spacing w:line="360" w:lineRule="auto"/>
        <w:jc w:val="both"/>
        <w:rPr>
          <w:rFonts w:ascii="Arial" w:eastAsia="Times New Roman" w:hAnsi="Arial" w:cs="Arial"/>
        </w:rPr>
      </w:pPr>
    </w:p>
    <w:p w14:paraId="53559E50" w14:textId="77777777" w:rsidR="00822F9E" w:rsidRDefault="00822F9E" w:rsidP="006B32E5">
      <w:pPr>
        <w:spacing w:line="360" w:lineRule="auto"/>
        <w:jc w:val="both"/>
        <w:rPr>
          <w:rFonts w:ascii="Arial" w:eastAsia="Times New Roman" w:hAnsi="Arial" w:cs="Arial"/>
        </w:rPr>
      </w:pPr>
      <w:r>
        <w:rPr>
          <w:rFonts w:ascii="Arial" w:eastAsia="Times New Roman" w:hAnsi="Arial" w:cs="Arial"/>
        </w:rPr>
        <w:t>This ensures that future policy and clinical recommendations are based on research questions and outcomes that are deemed important and relevant by the community itself, ensuring accountability.</w:t>
      </w:r>
    </w:p>
    <w:p w14:paraId="16A75508" w14:textId="77777777" w:rsidR="00822F9E" w:rsidRDefault="00822F9E" w:rsidP="006B32E5">
      <w:pPr>
        <w:spacing w:line="360" w:lineRule="auto"/>
        <w:jc w:val="both"/>
        <w:rPr>
          <w:rFonts w:ascii="Arial" w:eastAsia="Times New Roman" w:hAnsi="Arial" w:cs="Arial"/>
        </w:rPr>
      </w:pPr>
    </w:p>
    <w:p w14:paraId="2C75D1F3" w14:textId="77777777" w:rsidR="00822F9E" w:rsidRPr="00822F9E" w:rsidRDefault="00822F9E" w:rsidP="006B32E5">
      <w:pPr>
        <w:spacing w:line="360" w:lineRule="auto"/>
        <w:jc w:val="both"/>
        <w:rPr>
          <w:rFonts w:ascii="Arial" w:eastAsia="Times New Roman" w:hAnsi="Arial" w:cs="Arial"/>
          <w:b/>
          <w:bCs/>
        </w:rPr>
      </w:pPr>
      <w:r w:rsidRPr="00822F9E">
        <w:rPr>
          <w:rFonts w:ascii="Arial" w:eastAsia="Times New Roman" w:hAnsi="Arial" w:cs="Arial"/>
          <w:b/>
          <w:bCs/>
        </w:rPr>
        <w:t>Conclusion</w:t>
      </w:r>
    </w:p>
    <w:p w14:paraId="3F041A0A" w14:textId="77777777" w:rsidR="00822F9E" w:rsidRDefault="00822F9E" w:rsidP="006B32E5">
      <w:pPr>
        <w:spacing w:line="360" w:lineRule="auto"/>
        <w:jc w:val="both"/>
        <w:rPr>
          <w:rFonts w:ascii="Arial" w:eastAsia="Times New Roman" w:hAnsi="Arial" w:cs="Arial"/>
        </w:rPr>
      </w:pPr>
    </w:p>
    <w:p w14:paraId="1B67C568" w14:textId="3A50927E" w:rsidR="00822F9E" w:rsidRDefault="00822F9E" w:rsidP="006B32E5">
      <w:pPr>
        <w:spacing w:line="360" w:lineRule="auto"/>
        <w:jc w:val="both"/>
        <w:rPr>
          <w:rFonts w:ascii="Arial" w:eastAsia="Times New Roman" w:hAnsi="Arial" w:cs="Arial"/>
        </w:rPr>
      </w:pPr>
      <w:r>
        <w:rPr>
          <w:rFonts w:ascii="Arial" w:eastAsia="Times New Roman" w:hAnsi="Arial" w:cs="Arial"/>
        </w:rPr>
        <w:t>The classification of ASD in ICD-11 provides a necessary but critically limited framework for clinical practice. The analysis reveals that the effectiveness of support is constrained by the persistent tension between the medical model’s need to define a ‘disorder’ and the ethical imperative to embrace neurodiversity. Future UK policy must fully integrate the perspectives of autistic individuals, prioritize social and environmental accommodation over individual remediation, and aggressively address the systemic failures in diagnosis and post-transition support. Only through this commitment to participatory, neurodiversity-affirming practice can the well-being and autonomy of autistic people be genuinely improved.</w:t>
      </w:r>
    </w:p>
    <w:p w14:paraId="770CDD1A" w14:textId="77777777" w:rsidR="00822F9E" w:rsidRDefault="00822F9E" w:rsidP="006B32E5">
      <w:pPr>
        <w:spacing w:line="360" w:lineRule="auto"/>
        <w:jc w:val="both"/>
        <w:rPr>
          <w:rFonts w:ascii="Arial" w:eastAsia="Times New Roman" w:hAnsi="Arial" w:cs="Arial"/>
        </w:rPr>
      </w:pPr>
    </w:p>
    <w:p w14:paraId="438B22BC" w14:textId="77777777" w:rsidR="00822F9E" w:rsidRDefault="00822F9E" w:rsidP="006B32E5">
      <w:pPr>
        <w:spacing w:line="360" w:lineRule="auto"/>
        <w:jc w:val="both"/>
        <w:rPr>
          <w:rFonts w:ascii="Arial" w:eastAsia="Times New Roman" w:hAnsi="Arial" w:cs="Arial"/>
        </w:rPr>
      </w:pPr>
    </w:p>
    <w:p w14:paraId="1D1799FB" w14:textId="77777777" w:rsidR="00413D8E" w:rsidRDefault="00822F9E" w:rsidP="00413D8E">
      <w:pPr>
        <w:spacing w:line="360" w:lineRule="auto"/>
        <w:jc w:val="both"/>
        <w:rPr>
          <w:rFonts w:ascii="Arial" w:eastAsia="Times New Roman" w:hAnsi="Arial" w:cs="Arial"/>
          <w:b/>
          <w:bCs/>
        </w:rPr>
      </w:pPr>
      <w:r w:rsidRPr="00822F9E">
        <w:rPr>
          <w:rFonts w:ascii="Arial" w:eastAsia="Times New Roman" w:hAnsi="Arial" w:cs="Arial"/>
          <w:b/>
          <w:bCs/>
        </w:rPr>
        <w:t>References</w:t>
      </w:r>
    </w:p>
    <w:p w14:paraId="63865F7D" w14:textId="77777777" w:rsidR="00413D8E" w:rsidRDefault="00413D8E" w:rsidP="00413D8E">
      <w:pPr>
        <w:spacing w:line="360" w:lineRule="auto"/>
        <w:jc w:val="both"/>
        <w:rPr>
          <w:rFonts w:ascii="Arial" w:eastAsia="Times New Roman" w:hAnsi="Arial" w:cs="Arial"/>
          <w:b/>
          <w:bCs/>
        </w:rPr>
      </w:pPr>
    </w:p>
    <w:p w14:paraId="2177AA1C" w14:textId="6316F577" w:rsidR="004D5658" w:rsidRPr="00413D8E" w:rsidRDefault="00413D8E" w:rsidP="00413D8E">
      <w:pPr>
        <w:spacing w:line="360" w:lineRule="auto"/>
        <w:jc w:val="both"/>
        <w:rPr>
          <w:rFonts w:ascii="Arial" w:eastAsia="Times New Roman" w:hAnsi="Arial" w:cs="Arial"/>
          <w:b/>
          <w:bCs/>
        </w:rPr>
      </w:pPr>
      <w:r>
        <w:rPr>
          <w:rFonts w:ascii="Arial" w:eastAsia="Times New Roman" w:hAnsi="Arial" w:cs="Arial"/>
          <w:b/>
          <w:bCs/>
        </w:rPr>
        <w:t>1.</w:t>
      </w:r>
      <w:r w:rsidR="004D5658" w:rsidRPr="00413D8E">
        <w:rPr>
          <w:rFonts w:ascii="Arial" w:eastAsia="Times New Roman" w:hAnsi="Arial" w:cs="Arial"/>
        </w:rPr>
        <w:t xml:space="preserve">Case-Smith, J. And O’Brien, J.C., 2015. </w:t>
      </w:r>
      <w:r w:rsidR="004D5658" w:rsidRPr="005A169F">
        <w:rPr>
          <w:rFonts w:ascii="Arial" w:eastAsia="Times New Roman" w:hAnsi="Arial" w:cs="Arial"/>
          <w:i/>
          <w:iCs/>
        </w:rPr>
        <w:t>Occupational therapy for children and adolescents.</w:t>
      </w:r>
      <w:r w:rsidR="004D5658" w:rsidRPr="00413D8E">
        <w:rPr>
          <w:rFonts w:ascii="Arial" w:eastAsia="Times New Roman" w:hAnsi="Arial" w:cs="Arial"/>
        </w:rPr>
        <w:t xml:space="preserve"> 7</w:t>
      </w:r>
      <w:r w:rsidR="004D5658" w:rsidRPr="00413D8E">
        <w:rPr>
          <w:rFonts w:ascii="Arial" w:eastAsia="Times New Roman" w:hAnsi="Arial" w:cs="Arial"/>
          <w:vertAlign w:val="superscript"/>
        </w:rPr>
        <w:t>th</w:t>
      </w:r>
      <w:r w:rsidR="004D5658" w:rsidRPr="00413D8E">
        <w:rPr>
          <w:rFonts w:ascii="Arial" w:eastAsia="Times New Roman" w:hAnsi="Arial" w:cs="Arial"/>
        </w:rPr>
        <w:t xml:space="preserve"> ed. Elsevier.</w:t>
      </w:r>
    </w:p>
    <w:p w14:paraId="06C5C433" w14:textId="77777777" w:rsidR="004D5658" w:rsidRDefault="004D5658" w:rsidP="006B32E5">
      <w:pPr>
        <w:spacing w:line="360" w:lineRule="auto"/>
        <w:jc w:val="both"/>
        <w:rPr>
          <w:rFonts w:ascii="Arial" w:eastAsia="Times New Roman" w:hAnsi="Arial" w:cs="Arial"/>
        </w:rPr>
      </w:pPr>
    </w:p>
    <w:p w14:paraId="6C048BB3" w14:textId="77777777" w:rsidR="004D5658" w:rsidRDefault="004D5658" w:rsidP="006B32E5">
      <w:pPr>
        <w:spacing w:line="360" w:lineRule="auto"/>
        <w:jc w:val="both"/>
        <w:rPr>
          <w:rFonts w:ascii="Arial" w:eastAsia="Times New Roman" w:hAnsi="Arial" w:cs="Arial"/>
        </w:rPr>
      </w:pPr>
    </w:p>
    <w:p w14:paraId="0570548E"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2. Crane, L., Mason, D., Williams, N., Davies, R.L. and </w:t>
      </w:r>
      <w:proofErr w:type="spellStart"/>
      <w:r>
        <w:rPr>
          <w:rFonts w:ascii="Arial" w:eastAsia="Times New Roman" w:hAnsi="Arial" w:cs="Arial"/>
        </w:rPr>
        <w:t>Pellicano</w:t>
      </w:r>
      <w:proofErr w:type="spellEnd"/>
      <w:r>
        <w:rPr>
          <w:rFonts w:ascii="Arial" w:eastAsia="Times New Roman" w:hAnsi="Arial" w:cs="Arial"/>
        </w:rPr>
        <w:t xml:space="preserve">, E., 2018. </w:t>
      </w:r>
      <w:r w:rsidRPr="00F15774">
        <w:rPr>
          <w:rFonts w:ascii="Arial" w:eastAsia="Times New Roman" w:hAnsi="Arial" w:cs="Arial"/>
          <w:i/>
          <w:iCs/>
        </w:rPr>
        <w:t>Autism and transition to adulthood: An analysis of qualitative research in the UK. Autism</w:t>
      </w:r>
      <w:r>
        <w:rPr>
          <w:rFonts w:ascii="Arial" w:eastAsia="Times New Roman" w:hAnsi="Arial" w:cs="Arial"/>
        </w:rPr>
        <w:t>, 22(5), pp.629–641.</w:t>
      </w:r>
    </w:p>
    <w:p w14:paraId="41688F19" w14:textId="77777777" w:rsidR="004D5658" w:rsidRDefault="004D5658" w:rsidP="006B32E5">
      <w:pPr>
        <w:spacing w:line="360" w:lineRule="auto"/>
        <w:jc w:val="both"/>
        <w:rPr>
          <w:rFonts w:ascii="Arial" w:eastAsia="Times New Roman" w:hAnsi="Arial" w:cs="Arial"/>
        </w:rPr>
      </w:pPr>
    </w:p>
    <w:p w14:paraId="63467ECF" w14:textId="77777777" w:rsidR="004D5658" w:rsidRDefault="004D5658" w:rsidP="006B32E5">
      <w:pPr>
        <w:spacing w:line="360" w:lineRule="auto"/>
        <w:jc w:val="both"/>
        <w:rPr>
          <w:rFonts w:ascii="Arial" w:eastAsia="Times New Roman" w:hAnsi="Arial" w:cs="Arial"/>
        </w:rPr>
      </w:pPr>
    </w:p>
    <w:p w14:paraId="227BA50A"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3. </w:t>
      </w:r>
      <w:proofErr w:type="spellStart"/>
      <w:r>
        <w:rPr>
          <w:rFonts w:ascii="Arial" w:eastAsia="Times New Roman" w:hAnsi="Arial" w:cs="Arial"/>
        </w:rPr>
        <w:t>Giarelli</w:t>
      </w:r>
      <w:proofErr w:type="spellEnd"/>
      <w:r>
        <w:rPr>
          <w:rFonts w:ascii="Arial" w:eastAsia="Times New Roman" w:hAnsi="Arial" w:cs="Arial"/>
        </w:rPr>
        <w:t xml:space="preserve">, E., 2020. The ICD-11 and the future of autism spectrum disorder diagnosis. </w:t>
      </w:r>
      <w:r w:rsidRPr="004C7515">
        <w:rPr>
          <w:rFonts w:ascii="Arial" w:eastAsia="Times New Roman" w:hAnsi="Arial" w:cs="Arial"/>
          <w:i/>
          <w:iCs/>
        </w:rPr>
        <w:t>The Psychiatric Clinics of North America</w:t>
      </w:r>
      <w:r>
        <w:rPr>
          <w:rFonts w:ascii="Arial" w:eastAsia="Times New Roman" w:hAnsi="Arial" w:cs="Arial"/>
        </w:rPr>
        <w:t>, 43(1), pp.1–10.</w:t>
      </w:r>
    </w:p>
    <w:p w14:paraId="7C77424D" w14:textId="77777777" w:rsidR="004D5658" w:rsidRDefault="004D5658" w:rsidP="006B32E5">
      <w:pPr>
        <w:spacing w:line="360" w:lineRule="auto"/>
        <w:jc w:val="both"/>
        <w:rPr>
          <w:rFonts w:ascii="Arial" w:eastAsia="Times New Roman" w:hAnsi="Arial" w:cs="Arial"/>
        </w:rPr>
      </w:pPr>
    </w:p>
    <w:p w14:paraId="063783BB" w14:textId="77777777" w:rsidR="004D5658" w:rsidRDefault="004D5658" w:rsidP="006B32E5">
      <w:pPr>
        <w:spacing w:line="360" w:lineRule="auto"/>
        <w:jc w:val="both"/>
        <w:rPr>
          <w:rFonts w:ascii="Arial" w:eastAsia="Times New Roman" w:hAnsi="Arial" w:cs="Arial"/>
        </w:rPr>
      </w:pPr>
    </w:p>
    <w:p w14:paraId="1AC544DF"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4. Gould, J., 2021. </w:t>
      </w:r>
      <w:r w:rsidRPr="009376A1">
        <w:rPr>
          <w:rFonts w:ascii="Arial" w:eastAsia="Times New Roman" w:hAnsi="Arial" w:cs="Arial"/>
          <w:i/>
          <w:iCs/>
        </w:rPr>
        <w:t>The ICD-11 and autism spectrum disorder: Clinical guidelines and implementation</w:t>
      </w:r>
      <w:r>
        <w:rPr>
          <w:rFonts w:ascii="Arial" w:eastAsia="Times New Roman" w:hAnsi="Arial" w:cs="Arial"/>
        </w:rPr>
        <w:t>. London: Pavilion Publishing.</w:t>
      </w:r>
    </w:p>
    <w:p w14:paraId="1CEFF1BC" w14:textId="77777777" w:rsidR="004D5658" w:rsidRDefault="004D5658" w:rsidP="006B32E5">
      <w:pPr>
        <w:spacing w:line="360" w:lineRule="auto"/>
        <w:jc w:val="both"/>
        <w:rPr>
          <w:rFonts w:ascii="Arial" w:eastAsia="Times New Roman" w:hAnsi="Arial" w:cs="Arial"/>
        </w:rPr>
      </w:pPr>
    </w:p>
    <w:p w14:paraId="3C198127" w14:textId="77777777" w:rsidR="004D5658" w:rsidRDefault="004D5658" w:rsidP="006B32E5">
      <w:pPr>
        <w:spacing w:line="360" w:lineRule="auto"/>
        <w:jc w:val="both"/>
        <w:rPr>
          <w:rFonts w:ascii="Arial" w:eastAsia="Times New Roman" w:hAnsi="Arial" w:cs="Arial"/>
        </w:rPr>
      </w:pPr>
    </w:p>
    <w:p w14:paraId="397C966D" w14:textId="4C41B76B"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5. Kenny, L., Hattersley, C., </w:t>
      </w:r>
      <w:proofErr w:type="spellStart"/>
      <w:r>
        <w:rPr>
          <w:rFonts w:ascii="Arial" w:eastAsia="Times New Roman" w:hAnsi="Arial" w:cs="Arial"/>
        </w:rPr>
        <w:t>Molins</w:t>
      </w:r>
      <w:proofErr w:type="spellEnd"/>
      <w:r>
        <w:rPr>
          <w:rFonts w:ascii="Arial" w:eastAsia="Times New Roman" w:hAnsi="Arial" w:cs="Arial"/>
        </w:rPr>
        <w:t xml:space="preserve">, N., Taylor, G., Mason, D. And </w:t>
      </w:r>
      <w:proofErr w:type="spellStart"/>
      <w:r>
        <w:rPr>
          <w:rFonts w:ascii="Arial" w:eastAsia="Times New Roman" w:hAnsi="Arial" w:cs="Arial"/>
        </w:rPr>
        <w:t>Pellicano</w:t>
      </w:r>
      <w:proofErr w:type="spellEnd"/>
      <w:r>
        <w:rPr>
          <w:rFonts w:ascii="Arial" w:eastAsia="Times New Roman" w:hAnsi="Arial" w:cs="Arial"/>
        </w:rPr>
        <w:t xml:space="preserve">, E., 2016. </w:t>
      </w:r>
      <w:r w:rsidRPr="000C3D58">
        <w:rPr>
          <w:rFonts w:ascii="Arial" w:eastAsia="Times New Roman" w:hAnsi="Arial" w:cs="Arial"/>
          <w:i/>
          <w:iCs/>
        </w:rPr>
        <w:t>The Autism Spectrum Quotient (AQ): A systematic review of its structure, psychometric properties, and diagnostic utility. Autism,</w:t>
      </w:r>
      <w:r>
        <w:rPr>
          <w:rFonts w:ascii="Arial" w:eastAsia="Times New Roman" w:hAnsi="Arial" w:cs="Arial"/>
        </w:rPr>
        <w:t xml:space="preserve"> 20(4), pp.403–415.</w:t>
      </w:r>
    </w:p>
    <w:p w14:paraId="7BA3A498" w14:textId="77777777" w:rsidR="004D5658" w:rsidRDefault="004D5658" w:rsidP="006B32E5">
      <w:pPr>
        <w:spacing w:line="360" w:lineRule="auto"/>
        <w:jc w:val="both"/>
        <w:rPr>
          <w:rFonts w:ascii="Arial" w:eastAsia="Times New Roman" w:hAnsi="Arial" w:cs="Arial"/>
        </w:rPr>
      </w:pPr>
    </w:p>
    <w:p w14:paraId="4FEE429F" w14:textId="77777777" w:rsidR="004D5658" w:rsidRDefault="004D5658" w:rsidP="006B32E5">
      <w:pPr>
        <w:spacing w:line="360" w:lineRule="auto"/>
        <w:jc w:val="both"/>
        <w:rPr>
          <w:rFonts w:ascii="Arial" w:eastAsia="Times New Roman" w:hAnsi="Arial" w:cs="Arial"/>
        </w:rPr>
      </w:pPr>
    </w:p>
    <w:p w14:paraId="027E9AB8"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6. </w:t>
      </w:r>
      <w:proofErr w:type="spellStart"/>
      <w:r>
        <w:rPr>
          <w:rFonts w:ascii="Arial" w:eastAsia="Times New Roman" w:hAnsi="Arial" w:cs="Arial"/>
        </w:rPr>
        <w:t>Kupferstein</w:t>
      </w:r>
      <w:proofErr w:type="spellEnd"/>
      <w:r>
        <w:rPr>
          <w:rFonts w:ascii="Arial" w:eastAsia="Times New Roman" w:hAnsi="Arial" w:cs="Arial"/>
        </w:rPr>
        <w:t xml:space="preserve">, H., 2018. </w:t>
      </w:r>
      <w:r w:rsidRPr="00FD6220">
        <w:rPr>
          <w:rFonts w:ascii="Arial" w:eastAsia="Times New Roman" w:hAnsi="Arial" w:cs="Arial"/>
        </w:rPr>
        <w:t xml:space="preserve">Evidence of increased PTSD symptoms in autistics exposed to applied </w:t>
      </w:r>
      <w:proofErr w:type="spellStart"/>
      <w:r w:rsidRPr="00FD6220">
        <w:rPr>
          <w:rFonts w:ascii="Arial" w:eastAsia="Times New Roman" w:hAnsi="Arial" w:cs="Arial"/>
        </w:rPr>
        <w:t>behavior</w:t>
      </w:r>
      <w:proofErr w:type="spellEnd"/>
      <w:r w:rsidRPr="00FD6220">
        <w:rPr>
          <w:rFonts w:ascii="Arial" w:eastAsia="Times New Roman" w:hAnsi="Arial" w:cs="Arial"/>
        </w:rPr>
        <w:t xml:space="preserve"> analysis</w:t>
      </w:r>
      <w:r w:rsidRPr="009376A1">
        <w:rPr>
          <w:rFonts w:ascii="Arial" w:eastAsia="Times New Roman" w:hAnsi="Arial" w:cs="Arial"/>
          <w:i/>
          <w:iCs/>
        </w:rPr>
        <w:t>.</w:t>
      </w:r>
      <w:r>
        <w:rPr>
          <w:rFonts w:ascii="Arial" w:eastAsia="Times New Roman" w:hAnsi="Arial" w:cs="Arial"/>
        </w:rPr>
        <w:t xml:space="preserve"> </w:t>
      </w:r>
      <w:r w:rsidRPr="000658BA">
        <w:rPr>
          <w:rFonts w:ascii="Arial" w:eastAsia="Times New Roman" w:hAnsi="Arial" w:cs="Arial"/>
          <w:i/>
          <w:iCs/>
        </w:rPr>
        <w:t>Advances in Autism, 4</w:t>
      </w:r>
      <w:r>
        <w:rPr>
          <w:rFonts w:ascii="Arial" w:eastAsia="Times New Roman" w:hAnsi="Arial" w:cs="Arial"/>
        </w:rPr>
        <w:t>(1), pp.19–29.</w:t>
      </w:r>
    </w:p>
    <w:p w14:paraId="4E0226DC" w14:textId="77777777" w:rsidR="004D5658" w:rsidRDefault="004D5658" w:rsidP="006B32E5">
      <w:pPr>
        <w:spacing w:line="360" w:lineRule="auto"/>
        <w:jc w:val="both"/>
        <w:rPr>
          <w:rFonts w:ascii="Arial" w:eastAsia="Times New Roman" w:hAnsi="Arial" w:cs="Arial"/>
        </w:rPr>
      </w:pPr>
    </w:p>
    <w:p w14:paraId="4399B199" w14:textId="77777777" w:rsidR="004D5658" w:rsidRDefault="004D5658" w:rsidP="006B32E5">
      <w:pPr>
        <w:spacing w:line="360" w:lineRule="auto"/>
        <w:jc w:val="both"/>
        <w:rPr>
          <w:rFonts w:ascii="Arial" w:eastAsia="Times New Roman" w:hAnsi="Arial" w:cs="Arial"/>
        </w:rPr>
      </w:pPr>
    </w:p>
    <w:p w14:paraId="7A3F05BB"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7. Lai, M.C. and Baron-Cohen, S., 2015. </w:t>
      </w:r>
      <w:r w:rsidRPr="005345D6">
        <w:rPr>
          <w:rFonts w:ascii="Arial" w:eastAsia="Times New Roman" w:hAnsi="Arial" w:cs="Arial"/>
          <w:i/>
          <w:iCs/>
        </w:rPr>
        <w:t>The female autism phenotype and camouflaging: A narrative review. Autism</w:t>
      </w:r>
      <w:r>
        <w:rPr>
          <w:rFonts w:ascii="Arial" w:eastAsia="Times New Roman" w:hAnsi="Arial" w:cs="Arial"/>
        </w:rPr>
        <w:t>, 19(3), pp.263–271.</w:t>
      </w:r>
    </w:p>
    <w:p w14:paraId="5ECBDE41" w14:textId="77777777" w:rsidR="004D5658" w:rsidRDefault="004D5658" w:rsidP="006B32E5">
      <w:pPr>
        <w:spacing w:line="360" w:lineRule="auto"/>
        <w:jc w:val="both"/>
        <w:rPr>
          <w:rFonts w:ascii="Arial" w:eastAsia="Times New Roman" w:hAnsi="Arial" w:cs="Arial"/>
        </w:rPr>
      </w:pPr>
    </w:p>
    <w:p w14:paraId="4E1A3F1A" w14:textId="77777777" w:rsidR="004D5658" w:rsidRDefault="004D5658" w:rsidP="006B32E5">
      <w:pPr>
        <w:spacing w:line="360" w:lineRule="auto"/>
        <w:jc w:val="both"/>
        <w:rPr>
          <w:rFonts w:ascii="Arial" w:eastAsia="Times New Roman" w:hAnsi="Arial" w:cs="Arial"/>
        </w:rPr>
      </w:pPr>
    </w:p>
    <w:p w14:paraId="5FF399F7" w14:textId="2CAC0C5B"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8. Lord, C., </w:t>
      </w:r>
      <w:proofErr w:type="spellStart"/>
      <w:r>
        <w:rPr>
          <w:rFonts w:ascii="Arial" w:eastAsia="Times New Roman" w:hAnsi="Arial" w:cs="Arial"/>
        </w:rPr>
        <w:t>Petkova</w:t>
      </w:r>
      <w:proofErr w:type="spellEnd"/>
      <w:r>
        <w:rPr>
          <w:rFonts w:ascii="Arial" w:eastAsia="Times New Roman" w:hAnsi="Arial" w:cs="Arial"/>
        </w:rPr>
        <w:t xml:space="preserve">, E., </w:t>
      </w:r>
      <w:proofErr w:type="spellStart"/>
      <w:r>
        <w:rPr>
          <w:rFonts w:ascii="Arial" w:eastAsia="Times New Roman" w:hAnsi="Arial" w:cs="Arial"/>
        </w:rPr>
        <w:t>Povinelli</w:t>
      </w:r>
      <w:proofErr w:type="spellEnd"/>
      <w:r>
        <w:rPr>
          <w:rFonts w:ascii="Arial" w:eastAsia="Times New Roman" w:hAnsi="Arial" w:cs="Arial"/>
        </w:rPr>
        <w:t xml:space="preserve">, D. And Shulman, S., 2020. ICD-11 autism spectrum disorder: A challenge to diagnostic continuity and the need for new research. </w:t>
      </w:r>
      <w:r w:rsidRPr="00AB23AD">
        <w:rPr>
          <w:rFonts w:ascii="Arial" w:eastAsia="Times New Roman" w:hAnsi="Arial" w:cs="Arial"/>
          <w:i/>
          <w:iCs/>
        </w:rPr>
        <w:t>Journal of Child Psychology and Psychiatry</w:t>
      </w:r>
      <w:r>
        <w:rPr>
          <w:rFonts w:ascii="Arial" w:eastAsia="Times New Roman" w:hAnsi="Arial" w:cs="Arial"/>
        </w:rPr>
        <w:t>, 61(4), pp.438–446.</w:t>
      </w:r>
    </w:p>
    <w:p w14:paraId="1F668A8D" w14:textId="77777777" w:rsidR="004D5658" w:rsidRDefault="004D5658" w:rsidP="006B32E5">
      <w:pPr>
        <w:spacing w:line="360" w:lineRule="auto"/>
        <w:jc w:val="both"/>
        <w:rPr>
          <w:rFonts w:ascii="Arial" w:eastAsia="Times New Roman" w:hAnsi="Arial" w:cs="Arial"/>
        </w:rPr>
      </w:pPr>
    </w:p>
    <w:p w14:paraId="3BDDF354" w14:textId="77777777" w:rsidR="004D5658" w:rsidRDefault="004D5658" w:rsidP="006B32E5">
      <w:pPr>
        <w:spacing w:line="360" w:lineRule="auto"/>
        <w:jc w:val="both"/>
        <w:rPr>
          <w:rFonts w:ascii="Arial" w:eastAsia="Times New Roman" w:hAnsi="Arial" w:cs="Arial"/>
        </w:rPr>
      </w:pPr>
    </w:p>
    <w:p w14:paraId="4CCCA885"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9. Milton, D.E.M., 2012. The double empathy problem: A source of social confusion? </w:t>
      </w:r>
      <w:r w:rsidRPr="00A35BBB">
        <w:rPr>
          <w:rFonts w:ascii="Arial" w:eastAsia="Times New Roman" w:hAnsi="Arial" w:cs="Arial"/>
          <w:i/>
          <w:iCs/>
        </w:rPr>
        <w:t>Autism in Adulthood</w:t>
      </w:r>
      <w:r>
        <w:rPr>
          <w:rFonts w:ascii="Arial" w:eastAsia="Times New Roman" w:hAnsi="Arial" w:cs="Arial"/>
        </w:rPr>
        <w:t>, 3(2), pp.177–192.</w:t>
      </w:r>
    </w:p>
    <w:p w14:paraId="6269C956" w14:textId="77777777" w:rsidR="004D5658" w:rsidRDefault="004D5658" w:rsidP="006B32E5">
      <w:pPr>
        <w:spacing w:line="360" w:lineRule="auto"/>
        <w:jc w:val="both"/>
        <w:rPr>
          <w:rFonts w:ascii="Arial" w:eastAsia="Times New Roman" w:hAnsi="Arial" w:cs="Arial"/>
        </w:rPr>
      </w:pPr>
    </w:p>
    <w:p w14:paraId="0F5DCBFA" w14:textId="77777777" w:rsidR="004D5658" w:rsidRDefault="004D5658" w:rsidP="006B32E5">
      <w:pPr>
        <w:spacing w:line="360" w:lineRule="auto"/>
        <w:jc w:val="both"/>
        <w:rPr>
          <w:rFonts w:ascii="Arial" w:eastAsia="Times New Roman" w:hAnsi="Arial" w:cs="Arial"/>
        </w:rPr>
      </w:pPr>
    </w:p>
    <w:p w14:paraId="1C66E03B"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10. National Institute for Health and Care Excellence (NICE), 2013. </w:t>
      </w:r>
      <w:r w:rsidRPr="008E007E">
        <w:rPr>
          <w:rFonts w:ascii="Arial" w:eastAsia="Times New Roman" w:hAnsi="Arial" w:cs="Arial"/>
          <w:i/>
          <w:iCs/>
        </w:rPr>
        <w:t>Autism spectrum disorder in adults: Diagnosis and management.</w:t>
      </w:r>
      <w:r>
        <w:rPr>
          <w:rFonts w:ascii="Arial" w:eastAsia="Times New Roman" w:hAnsi="Arial" w:cs="Arial"/>
        </w:rPr>
        <w:t xml:space="preserve"> NICE Guideline [CG142]. London: NICE.</w:t>
      </w:r>
    </w:p>
    <w:p w14:paraId="31B509EE" w14:textId="77777777" w:rsidR="004D5658" w:rsidRDefault="004D5658" w:rsidP="006B32E5">
      <w:pPr>
        <w:spacing w:line="360" w:lineRule="auto"/>
        <w:jc w:val="both"/>
        <w:rPr>
          <w:rFonts w:ascii="Arial" w:eastAsia="Times New Roman" w:hAnsi="Arial" w:cs="Arial"/>
        </w:rPr>
      </w:pPr>
    </w:p>
    <w:p w14:paraId="094AC8C7" w14:textId="77777777" w:rsidR="004D5658" w:rsidRDefault="004D5658" w:rsidP="006B32E5">
      <w:pPr>
        <w:spacing w:line="360" w:lineRule="auto"/>
        <w:jc w:val="both"/>
        <w:rPr>
          <w:rFonts w:ascii="Arial" w:eastAsia="Times New Roman" w:hAnsi="Arial" w:cs="Arial"/>
        </w:rPr>
      </w:pPr>
    </w:p>
    <w:p w14:paraId="1505418D"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11. National Institute for Health and Care Excellence (NICE), 2021. </w:t>
      </w:r>
      <w:r w:rsidRPr="003E1995">
        <w:rPr>
          <w:rFonts w:ascii="Arial" w:eastAsia="Times New Roman" w:hAnsi="Arial" w:cs="Arial"/>
          <w:i/>
          <w:iCs/>
        </w:rPr>
        <w:t>Autism spectrum disorder in under 19s: Recognition, referral and diagnosis</w:t>
      </w:r>
      <w:r>
        <w:rPr>
          <w:rFonts w:ascii="Arial" w:eastAsia="Times New Roman" w:hAnsi="Arial" w:cs="Arial"/>
        </w:rPr>
        <w:t>. NICE Guideline [NG130]. London: NICE.</w:t>
      </w:r>
    </w:p>
    <w:p w14:paraId="05B08E1A" w14:textId="77777777" w:rsidR="004D5658" w:rsidRDefault="004D5658" w:rsidP="006B32E5">
      <w:pPr>
        <w:spacing w:line="360" w:lineRule="auto"/>
        <w:jc w:val="both"/>
        <w:rPr>
          <w:rFonts w:ascii="Arial" w:eastAsia="Times New Roman" w:hAnsi="Arial" w:cs="Arial"/>
        </w:rPr>
      </w:pPr>
    </w:p>
    <w:p w14:paraId="614820AF" w14:textId="77777777" w:rsidR="004D5658" w:rsidRDefault="004D5658" w:rsidP="006B32E5">
      <w:pPr>
        <w:spacing w:line="360" w:lineRule="auto"/>
        <w:jc w:val="both"/>
        <w:rPr>
          <w:rFonts w:ascii="Arial" w:eastAsia="Times New Roman" w:hAnsi="Arial" w:cs="Arial"/>
        </w:rPr>
      </w:pPr>
    </w:p>
    <w:p w14:paraId="271ABDFB" w14:textId="6E3EC030"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12. </w:t>
      </w:r>
      <w:proofErr w:type="spellStart"/>
      <w:r>
        <w:rPr>
          <w:rFonts w:ascii="Arial" w:eastAsia="Times New Roman" w:hAnsi="Arial" w:cs="Arial"/>
        </w:rPr>
        <w:t>O’Nions</w:t>
      </w:r>
      <w:proofErr w:type="spellEnd"/>
      <w:r>
        <w:rPr>
          <w:rFonts w:ascii="Arial" w:eastAsia="Times New Roman" w:hAnsi="Arial" w:cs="Arial"/>
        </w:rPr>
        <w:t xml:space="preserve">, E., </w:t>
      </w:r>
      <w:proofErr w:type="spellStart"/>
      <w:r>
        <w:rPr>
          <w:rFonts w:ascii="Arial" w:eastAsia="Times New Roman" w:hAnsi="Arial" w:cs="Arial"/>
        </w:rPr>
        <w:t>Happé</w:t>
      </w:r>
      <w:proofErr w:type="spellEnd"/>
      <w:r>
        <w:rPr>
          <w:rFonts w:ascii="Arial" w:eastAsia="Times New Roman" w:hAnsi="Arial" w:cs="Arial"/>
        </w:rPr>
        <w:t xml:space="preserve">, F., Evers, K., Johnson, O. And O’Hare, A., 2018. Access to services and support for adults with autism spectrum disorder: The role of policy and practice in the UK. </w:t>
      </w:r>
      <w:r w:rsidRPr="00024011">
        <w:rPr>
          <w:rFonts w:ascii="Arial" w:eastAsia="Times New Roman" w:hAnsi="Arial" w:cs="Arial"/>
          <w:i/>
          <w:iCs/>
        </w:rPr>
        <w:t>Autism</w:t>
      </w:r>
      <w:r>
        <w:rPr>
          <w:rFonts w:ascii="Arial" w:eastAsia="Times New Roman" w:hAnsi="Arial" w:cs="Arial"/>
        </w:rPr>
        <w:t>, 22(2), pp.143–155.</w:t>
      </w:r>
    </w:p>
    <w:p w14:paraId="47F708F2" w14:textId="77777777" w:rsidR="004D5658" w:rsidRDefault="004D5658" w:rsidP="006B32E5">
      <w:pPr>
        <w:spacing w:line="360" w:lineRule="auto"/>
        <w:jc w:val="both"/>
        <w:rPr>
          <w:rFonts w:ascii="Arial" w:eastAsia="Times New Roman" w:hAnsi="Arial" w:cs="Arial"/>
        </w:rPr>
      </w:pPr>
    </w:p>
    <w:p w14:paraId="6B1EFFAE" w14:textId="77777777" w:rsidR="004D5658" w:rsidRDefault="004D5658" w:rsidP="006B32E5">
      <w:pPr>
        <w:spacing w:line="360" w:lineRule="auto"/>
        <w:jc w:val="both"/>
        <w:rPr>
          <w:rFonts w:ascii="Arial" w:eastAsia="Times New Roman" w:hAnsi="Arial" w:cs="Arial"/>
        </w:rPr>
      </w:pPr>
    </w:p>
    <w:p w14:paraId="1F43B943" w14:textId="1483A9CB"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13. </w:t>
      </w:r>
      <w:proofErr w:type="spellStart"/>
      <w:r>
        <w:rPr>
          <w:rFonts w:ascii="Arial" w:eastAsia="Times New Roman" w:hAnsi="Arial" w:cs="Arial"/>
        </w:rPr>
        <w:t>Pellicano</w:t>
      </w:r>
      <w:proofErr w:type="spellEnd"/>
      <w:r>
        <w:rPr>
          <w:rFonts w:ascii="Arial" w:eastAsia="Times New Roman" w:hAnsi="Arial" w:cs="Arial"/>
        </w:rPr>
        <w:t xml:space="preserve">, E., </w:t>
      </w:r>
      <w:proofErr w:type="spellStart"/>
      <w:r>
        <w:rPr>
          <w:rFonts w:ascii="Arial" w:eastAsia="Times New Roman" w:hAnsi="Arial" w:cs="Arial"/>
        </w:rPr>
        <w:t>Dinsmore</w:t>
      </w:r>
      <w:proofErr w:type="spellEnd"/>
      <w:r>
        <w:rPr>
          <w:rFonts w:ascii="Arial" w:eastAsia="Times New Roman" w:hAnsi="Arial" w:cs="Arial"/>
        </w:rPr>
        <w:t xml:space="preserve">, A. And </w:t>
      </w:r>
      <w:proofErr w:type="spellStart"/>
      <w:r>
        <w:rPr>
          <w:rFonts w:ascii="Arial" w:eastAsia="Times New Roman" w:hAnsi="Arial" w:cs="Arial"/>
        </w:rPr>
        <w:t>Charman</w:t>
      </w:r>
      <w:proofErr w:type="spellEnd"/>
      <w:r>
        <w:rPr>
          <w:rFonts w:ascii="Arial" w:eastAsia="Times New Roman" w:hAnsi="Arial" w:cs="Arial"/>
        </w:rPr>
        <w:t xml:space="preserve">, T., 2014. A future for autism research? </w:t>
      </w:r>
      <w:r w:rsidRPr="0060294B">
        <w:rPr>
          <w:rFonts w:ascii="Arial" w:eastAsia="Times New Roman" w:hAnsi="Arial" w:cs="Arial"/>
          <w:i/>
          <w:iCs/>
        </w:rPr>
        <w:t>The Lancet</w:t>
      </w:r>
      <w:r>
        <w:rPr>
          <w:rFonts w:ascii="Arial" w:eastAsia="Times New Roman" w:hAnsi="Arial" w:cs="Arial"/>
        </w:rPr>
        <w:t>, 383(9933), pp.1935–1937.</w:t>
      </w:r>
    </w:p>
    <w:p w14:paraId="04270D58" w14:textId="77777777" w:rsidR="004D5658" w:rsidRDefault="004D5658" w:rsidP="006B32E5">
      <w:pPr>
        <w:spacing w:line="360" w:lineRule="auto"/>
        <w:jc w:val="both"/>
        <w:rPr>
          <w:rFonts w:ascii="Arial" w:eastAsia="Times New Roman" w:hAnsi="Arial" w:cs="Arial"/>
        </w:rPr>
      </w:pPr>
    </w:p>
    <w:p w14:paraId="69379FD0" w14:textId="77777777" w:rsidR="004D5658" w:rsidRDefault="004D5658" w:rsidP="006B32E5">
      <w:pPr>
        <w:spacing w:line="360" w:lineRule="auto"/>
        <w:jc w:val="both"/>
        <w:rPr>
          <w:rFonts w:ascii="Arial" w:eastAsia="Times New Roman" w:hAnsi="Arial" w:cs="Arial"/>
        </w:rPr>
      </w:pPr>
    </w:p>
    <w:p w14:paraId="15FAED45"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14. </w:t>
      </w:r>
      <w:proofErr w:type="spellStart"/>
      <w:r>
        <w:rPr>
          <w:rFonts w:ascii="Arial" w:eastAsia="Times New Roman" w:hAnsi="Arial" w:cs="Arial"/>
        </w:rPr>
        <w:t>Raymaker</w:t>
      </w:r>
      <w:proofErr w:type="spellEnd"/>
      <w:r>
        <w:rPr>
          <w:rFonts w:ascii="Arial" w:eastAsia="Times New Roman" w:hAnsi="Arial" w:cs="Arial"/>
        </w:rPr>
        <w:t xml:space="preserve">, D.M., Teeters, L., Young, E.C. and </w:t>
      </w:r>
      <w:proofErr w:type="spellStart"/>
      <w:r>
        <w:rPr>
          <w:rFonts w:ascii="Arial" w:eastAsia="Times New Roman" w:hAnsi="Arial" w:cs="Arial"/>
        </w:rPr>
        <w:t>Nicolaidis</w:t>
      </w:r>
      <w:proofErr w:type="spellEnd"/>
      <w:r>
        <w:rPr>
          <w:rFonts w:ascii="Arial" w:eastAsia="Times New Roman" w:hAnsi="Arial" w:cs="Arial"/>
        </w:rPr>
        <w:t>, C., 2020. “Having to fight for everything”: Development of the Autistic Burnout Measure.</w:t>
      </w:r>
      <w:r w:rsidRPr="00C03820">
        <w:rPr>
          <w:rFonts w:ascii="Arial" w:eastAsia="Times New Roman" w:hAnsi="Arial" w:cs="Arial"/>
          <w:i/>
          <w:iCs/>
        </w:rPr>
        <w:t xml:space="preserve"> Autism in Adulthood</w:t>
      </w:r>
      <w:r>
        <w:rPr>
          <w:rFonts w:ascii="Arial" w:eastAsia="Times New Roman" w:hAnsi="Arial" w:cs="Arial"/>
        </w:rPr>
        <w:t>, 2(2), pp.132–143.</w:t>
      </w:r>
    </w:p>
    <w:p w14:paraId="566D2976" w14:textId="77777777" w:rsidR="004D5658" w:rsidRDefault="004D5658" w:rsidP="006B32E5">
      <w:pPr>
        <w:spacing w:line="360" w:lineRule="auto"/>
        <w:jc w:val="both"/>
        <w:rPr>
          <w:rFonts w:ascii="Arial" w:eastAsia="Times New Roman" w:hAnsi="Arial" w:cs="Arial"/>
        </w:rPr>
      </w:pPr>
    </w:p>
    <w:p w14:paraId="34DC72F4" w14:textId="77777777" w:rsidR="004D5658" w:rsidRDefault="004D5658" w:rsidP="006B32E5">
      <w:pPr>
        <w:spacing w:line="360" w:lineRule="auto"/>
        <w:jc w:val="both"/>
        <w:rPr>
          <w:rFonts w:ascii="Arial" w:eastAsia="Times New Roman" w:hAnsi="Arial" w:cs="Arial"/>
        </w:rPr>
      </w:pPr>
    </w:p>
    <w:p w14:paraId="0832C160"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15. Russell, G., </w:t>
      </w:r>
      <w:proofErr w:type="spellStart"/>
      <w:r>
        <w:rPr>
          <w:rFonts w:ascii="Arial" w:eastAsia="Times New Roman" w:hAnsi="Arial" w:cs="Arial"/>
        </w:rPr>
        <w:t>Kapp</w:t>
      </w:r>
      <w:proofErr w:type="spellEnd"/>
      <w:r>
        <w:rPr>
          <w:rFonts w:ascii="Arial" w:eastAsia="Times New Roman" w:hAnsi="Arial" w:cs="Arial"/>
        </w:rPr>
        <w:t xml:space="preserve">, S.K. and Milton, D., 2022. The ‘costs’ of camouflaging autistic traits. </w:t>
      </w:r>
      <w:r w:rsidRPr="00396DD7">
        <w:rPr>
          <w:rFonts w:ascii="Arial" w:eastAsia="Times New Roman" w:hAnsi="Arial" w:cs="Arial"/>
          <w:i/>
          <w:iCs/>
        </w:rPr>
        <w:t>Autism</w:t>
      </w:r>
      <w:r>
        <w:rPr>
          <w:rFonts w:ascii="Arial" w:eastAsia="Times New Roman" w:hAnsi="Arial" w:cs="Arial"/>
        </w:rPr>
        <w:t>, 26(1), pp.1–4.</w:t>
      </w:r>
    </w:p>
    <w:p w14:paraId="1E314556" w14:textId="77777777" w:rsidR="004D5658" w:rsidRDefault="004D5658" w:rsidP="006B32E5">
      <w:pPr>
        <w:spacing w:line="360" w:lineRule="auto"/>
        <w:jc w:val="both"/>
        <w:rPr>
          <w:rFonts w:ascii="Arial" w:eastAsia="Times New Roman" w:hAnsi="Arial" w:cs="Arial"/>
        </w:rPr>
      </w:pPr>
    </w:p>
    <w:p w14:paraId="633DB654" w14:textId="77777777" w:rsidR="004D5658" w:rsidRDefault="004D5658" w:rsidP="006B32E5">
      <w:pPr>
        <w:spacing w:line="360" w:lineRule="auto"/>
        <w:jc w:val="both"/>
        <w:rPr>
          <w:rFonts w:ascii="Arial" w:eastAsia="Times New Roman" w:hAnsi="Arial" w:cs="Arial"/>
        </w:rPr>
      </w:pPr>
    </w:p>
    <w:p w14:paraId="5188964C" w14:textId="46F70AF2"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16. Sinclair, J., 1993. </w:t>
      </w:r>
      <w:r w:rsidRPr="00DF3B21">
        <w:rPr>
          <w:rFonts w:ascii="Arial" w:eastAsia="Times New Roman" w:hAnsi="Arial" w:cs="Arial"/>
          <w:i/>
          <w:iCs/>
        </w:rPr>
        <w:t>Don’t mourn for us</w:t>
      </w:r>
      <w:r>
        <w:rPr>
          <w:rFonts w:ascii="Arial" w:eastAsia="Times New Roman" w:hAnsi="Arial" w:cs="Arial"/>
        </w:rPr>
        <w:t>. The Autism Network International.</w:t>
      </w:r>
    </w:p>
    <w:p w14:paraId="7FFABD05" w14:textId="77777777" w:rsidR="004D5658" w:rsidRDefault="004D5658" w:rsidP="006B32E5">
      <w:pPr>
        <w:spacing w:line="360" w:lineRule="auto"/>
        <w:jc w:val="both"/>
        <w:rPr>
          <w:rFonts w:ascii="Arial" w:eastAsia="Times New Roman" w:hAnsi="Arial" w:cs="Arial"/>
        </w:rPr>
      </w:pPr>
    </w:p>
    <w:p w14:paraId="513259BC" w14:textId="77777777" w:rsidR="004D5658" w:rsidRDefault="004D5658" w:rsidP="006B32E5">
      <w:pPr>
        <w:spacing w:line="360" w:lineRule="auto"/>
        <w:jc w:val="both"/>
        <w:rPr>
          <w:rFonts w:ascii="Arial" w:eastAsia="Times New Roman" w:hAnsi="Arial" w:cs="Arial"/>
        </w:rPr>
      </w:pPr>
    </w:p>
    <w:p w14:paraId="13A950F3" w14:textId="77777777"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17. Singer, J., 1998. </w:t>
      </w:r>
      <w:r w:rsidRPr="00EF56ED">
        <w:rPr>
          <w:rFonts w:ascii="Arial" w:eastAsia="Times New Roman" w:hAnsi="Arial" w:cs="Arial"/>
          <w:i/>
          <w:iCs/>
        </w:rPr>
        <w:t>Odd people in: The birth of community amongst people on the “autism spectrum”</w:t>
      </w:r>
      <w:r>
        <w:rPr>
          <w:rFonts w:ascii="Arial" w:eastAsia="Times New Roman" w:hAnsi="Arial" w:cs="Arial"/>
        </w:rPr>
        <w:t>. Dissertation (PhD). University of Technology, Sydney.</w:t>
      </w:r>
    </w:p>
    <w:p w14:paraId="619330F9" w14:textId="77777777" w:rsidR="004D5658" w:rsidRDefault="004D5658" w:rsidP="006B32E5">
      <w:pPr>
        <w:spacing w:line="360" w:lineRule="auto"/>
        <w:jc w:val="both"/>
        <w:rPr>
          <w:rFonts w:ascii="Arial" w:eastAsia="Times New Roman" w:hAnsi="Arial" w:cs="Arial"/>
        </w:rPr>
      </w:pPr>
    </w:p>
    <w:p w14:paraId="66CAB139" w14:textId="77777777" w:rsidR="004D5658" w:rsidRDefault="004D5658" w:rsidP="006B32E5">
      <w:pPr>
        <w:spacing w:line="360" w:lineRule="auto"/>
        <w:jc w:val="both"/>
        <w:rPr>
          <w:rFonts w:ascii="Arial" w:eastAsia="Times New Roman" w:hAnsi="Arial" w:cs="Arial"/>
        </w:rPr>
      </w:pPr>
    </w:p>
    <w:p w14:paraId="08FDBFB6" w14:textId="5965813A"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18. Sinha, S., O’Hanlon, C. And </w:t>
      </w:r>
      <w:proofErr w:type="spellStart"/>
      <w:r>
        <w:rPr>
          <w:rFonts w:ascii="Arial" w:eastAsia="Times New Roman" w:hAnsi="Arial" w:cs="Arial"/>
        </w:rPr>
        <w:t>Hirst</w:t>
      </w:r>
      <w:proofErr w:type="spellEnd"/>
      <w:r>
        <w:rPr>
          <w:rFonts w:ascii="Arial" w:eastAsia="Times New Roman" w:hAnsi="Arial" w:cs="Arial"/>
        </w:rPr>
        <w:t xml:space="preserve">, M., 2020. Diagnostic overshadowing and the mental health of adults with autism spectrum disorder. </w:t>
      </w:r>
      <w:r w:rsidRPr="00DB755E">
        <w:rPr>
          <w:rFonts w:ascii="Arial" w:eastAsia="Times New Roman" w:hAnsi="Arial" w:cs="Arial"/>
          <w:i/>
          <w:iCs/>
        </w:rPr>
        <w:t>Journal of Autism and Developmental Disorders,</w:t>
      </w:r>
      <w:r>
        <w:rPr>
          <w:rFonts w:ascii="Arial" w:eastAsia="Times New Roman" w:hAnsi="Arial" w:cs="Arial"/>
        </w:rPr>
        <w:t xml:space="preserve"> 50(6), pp.2133–2143.</w:t>
      </w:r>
    </w:p>
    <w:p w14:paraId="09B06118" w14:textId="77777777" w:rsidR="004D5658" w:rsidRDefault="004D5658" w:rsidP="006B32E5">
      <w:pPr>
        <w:spacing w:line="360" w:lineRule="auto"/>
        <w:jc w:val="both"/>
        <w:rPr>
          <w:rFonts w:ascii="Arial" w:eastAsia="Times New Roman" w:hAnsi="Arial" w:cs="Arial"/>
        </w:rPr>
      </w:pPr>
    </w:p>
    <w:p w14:paraId="4E897D21" w14:textId="77777777" w:rsidR="004D5658" w:rsidRDefault="004D5658" w:rsidP="006B32E5">
      <w:pPr>
        <w:spacing w:line="360" w:lineRule="auto"/>
        <w:jc w:val="both"/>
        <w:rPr>
          <w:rFonts w:ascii="Arial" w:eastAsia="Times New Roman" w:hAnsi="Arial" w:cs="Arial"/>
        </w:rPr>
      </w:pPr>
    </w:p>
    <w:p w14:paraId="0B9249A9" w14:textId="08E633D9"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19. </w:t>
      </w:r>
      <w:proofErr w:type="spellStart"/>
      <w:r>
        <w:rPr>
          <w:rFonts w:ascii="Arial" w:eastAsia="Times New Roman" w:hAnsi="Arial" w:cs="Arial"/>
        </w:rPr>
        <w:t>Trevarthen</w:t>
      </w:r>
      <w:proofErr w:type="spellEnd"/>
      <w:r>
        <w:rPr>
          <w:rFonts w:ascii="Arial" w:eastAsia="Times New Roman" w:hAnsi="Arial" w:cs="Arial"/>
        </w:rPr>
        <w:t xml:space="preserve">, C. And Aitken, K.J., 2001. Infant </w:t>
      </w:r>
      <w:proofErr w:type="spellStart"/>
      <w:r>
        <w:rPr>
          <w:rFonts w:ascii="Arial" w:eastAsia="Times New Roman" w:hAnsi="Arial" w:cs="Arial"/>
        </w:rPr>
        <w:t>intersubjectivity</w:t>
      </w:r>
      <w:proofErr w:type="spellEnd"/>
      <w:r>
        <w:rPr>
          <w:rFonts w:ascii="Arial" w:eastAsia="Times New Roman" w:hAnsi="Arial" w:cs="Arial"/>
        </w:rPr>
        <w:t xml:space="preserve">: Research, theory, and clinical applications. </w:t>
      </w:r>
      <w:r w:rsidRPr="00996942">
        <w:rPr>
          <w:rFonts w:ascii="Arial" w:eastAsia="Times New Roman" w:hAnsi="Arial" w:cs="Arial"/>
          <w:i/>
          <w:iCs/>
        </w:rPr>
        <w:t>Journal of Child Psychology and Psychiatry, 42</w:t>
      </w:r>
      <w:r>
        <w:rPr>
          <w:rFonts w:ascii="Arial" w:eastAsia="Times New Roman" w:hAnsi="Arial" w:cs="Arial"/>
        </w:rPr>
        <w:t>(1), pp.3–48.</w:t>
      </w:r>
    </w:p>
    <w:p w14:paraId="062096BD" w14:textId="77777777" w:rsidR="004D5658" w:rsidRDefault="004D5658" w:rsidP="006B32E5">
      <w:pPr>
        <w:spacing w:line="360" w:lineRule="auto"/>
        <w:jc w:val="both"/>
        <w:rPr>
          <w:rFonts w:ascii="Arial" w:eastAsia="Times New Roman" w:hAnsi="Arial" w:cs="Arial"/>
        </w:rPr>
      </w:pPr>
    </w:p>
    <w:p w14:paraId="2B4388EF" w14:textId="77777777" w:rsidR="004D5658" w:rsidRDefault="004D5658" w:rsidP="006B32E5">
      <w:pPr>
        <w:spacing w:line="360" w:lineRule="auto"/>
        <w:jc w:val="both"/>
        <w:rPr>
          <w:rFonts w:ascii="Arial" w:eastAsia="Times New Roman" w:hAnsi="Arial" w:cs="Arial"/>
        </w:rPr>
      </w:pPr>
    </w:p>
    <w:p w14:paraId="58E8FC1C" w14:textId="3CD89352" w:rsidR="004D5658" w:rsidRDefault="004D5658" w:rsidP="006B32E5">
      <w:pPr>
        <w:spacing w:line="360" w:lineRule="auto"/>
        <w:jc w:val="both"/>
        <w:rPr>
          <w:rFonts w:ascii="Arial" w:eastAsia="Times New Roman" w:hAnsi="Arial" w:cs="Arial"/>
        </w:rPr>
      </w:pPr>
      <w:r>
        <w:rPr>
          <w:rFonts w:ascii="Arial" w:eastAsia="Times New Roman" w:hAnsi="Arial" w:cs="Arial"/>
        </w:rPr>
        <w:t xml:space="preserve">20. World Health Organization (WHO), 2019. </w:t>
      </w:r>
      <w:r w:rsidRPr="00D63459">
        <w:rPr>
          <w:rFonts w:ascii="Arial" w:eastAsia="Times New Roman" w:hAnsi="Arial" w:cs="Arial"/>
          <w:i/>
          <w:iCs/>
        </w:rPr>
        <w:t>International classification of diseases 11</w:t>
      </w:r>
      <w:r w:rsidRPr="00D63459">
        <w:rPr>
          <w:rFonts w:ascii="Arial" w:eastAsia="Times New Roman" w:hAnsi="Arial" w:cs="Arial"/>
          <w:i/>
          <w:iCs/>
          <w:vertAlign w:val="superscript"/>
        </w:rPr>
        <w:t>th</w:t>
      </w:r>
      <w:r w:rsidRPr="00D63459">
        <w:rPr>
          <w:rFonts w:ascii="Arial" w:eastAsia="Times New Roman" w:hAnsi="Arial" w:cs="Arial"/>
          <w:i/>
          <w:iCs/>
        </w:rPr>
        <w:t xml:space="preserve"> revision (ICD-11): 6A02 Autism spectrum disorder.</w:t>
      </w:r>
      <w:r>
        <w:rPr>
          <w:rFonts w:ascii="Arial" w:eastAsia="Times New Roman" w:hAnsi="Arial" w:cs="Arial"/>
        </w:rPr>
        <w:t xml:space="preserve"> Available at: </w:t>
      </w:r>
      <w:hyperlink r:id="rId9" w:history="1">
        <w:r w:rsidRPr="00962AF3">
          <w:rPr>
            <w:rStyle w:val="Hyperlink"/>
            <w:rFonts w:ascii="Arial" w:eastAsia="Times New Roman" w:hAnsi="Arial" w:cs="Arial"/>
          </w:rPr>
          <w:t>https://icd.who.int/</w:t>
        </w:r>
      </w:hyperlink>
      <w:r>
        <w:rPr>
          <w:rFonts w:ascii="Arial" w:eastAsia="Times New Roman" w:hAnsi="Arial" w:cs="Arial"/>
        </w:rPr>
        <w:t xml:space="preserve"> [Accessed 1 November 2025].</w:t>
      </w:r>
    </w:p>
    <w:p w14:paraId="12C3049B" w14:textId="77777777" w:rsidR="00822F9E" w:rsidRDefault="00822F9E" w:rsidP="006B32E5">
      <w:pPr>
        <w:spacing w:line="360" w:lineRule="auto"/>
        <w:jc w:val="both"/>
        <w:rPr>
          <w:rFonts w:ascii="Arial" w:eastAsia="Times New Roman" w:hAnsi="Arial" w:cs="Arial"/>
        </w:rPr>
      </w:pPr>
    </w:p>
    <w:p w14:paraId="42D4E223" w14:textId="77777777" w:rsidR="009403AF" w:rsidRDefault="009403AF" w:rsidP="006B32E5">
      <w:pPr>
        <w:spacing w:line="360" w:lineRule="auto"/>
        <w:jc w:val="both"/>
        <w:rPr>
          <w:rFonts w:ascii="Arial" w:eastAsia="Times New Roman" w:hAnsi="Arial" w:cs="Arial"/>
        </w:rPr>
      </w:pPr>
    </w:p>
    <w:p w14:paraId="62D9BC88" w14:textId="77777777" w:rsidR="009403AF" w:rsidRDefault="009403AF" w:rsidP="006B32E5">
      <w:pPr>
        <w:spacing w:line="360" w:lineRule="auto"/>
        <w:jc w:val="both"/>
        <w:rPr>
          <w:rFonts w:ascii="Arial" w:eastAsia="Times New Roman" w:hAnsi="Arial" w:cs="Arial"/>
        </w:rPr>
      </w:pPr>
    </w:p>
    <w:p w14:paraId="07FB72EC" w14:textId="77777777" w:rsidR="009403AF" w:rsidRPr="009403AF" w:rsidRDefault="009403AF" w:rsidP="006B32E5">
      <w:pPr>
        <w:spacing w:line="360" w:lineRule="auto"/>
        <w:jc w:val="both"/>
        <w:rPr>
          <w:rFonts w:ascii="Arial" w:eastAsia="Times New Roman" w:hAnsi="Arial" w:cs="Arial"/>
        </w:rPr>
      </w:pPr>
    </w:p>
    <w:p w14:paraId="03E0AB53" w14:textId="77777777" w:rsidR="00DE025B" w:rsidRPr="000E6B66" w:rsidRDefault="00DE025B" w:rsidP="006B32E5">
      <w:pPr>
        <w:spacing w:line="360" w:lineRule="auto"/>
        <w:jc w:val="both"/>
        <w:rPr>
          <w:rFonts w:ascii="Arial" w:eastAsia="Times New Roman" w:hAnsi="Arial" w:cs="Arial"/>
        </w:rPr>
      </w:pPr>
    </w:p>
    <w:p w14:paraId="1B115BFC" w14:textId="0DA09E67" w:rsidR="00F07AFA" w:rsidRPr="000E6B66" w:rsidRDefault="00F07AFA" w:rsidP="006B32E5">
      <w:pPr>
        <w:spacing w:line="360" w:lineRule="auto"/>
        <w:jc w:val="both"/>
        <w:rPr>
          <w:rFonts w:ascii="Arial" w:eastAsia="Times New Roman" w:hAnsi="Arial" w:cs="Arial"/>
        </w:rPr>
      </w:pPr>
    </w:p>
    <w:sectPr w:rsidR="00F07AFA" w:rsidRPr="000E6B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18B4"/>
    <w:multiLevelType w:val="hybridMultilevel"/>
    <w:tmpl w:val="6864441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B8405A"/>
    <w:multiLevelType w:val="hybridMultilevel"/>
    <w:tmpl w:val="56FEE46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5F5AAD"/>
    <w:multiLevelType w:val="hybridMultilevel"/>
    <w:tmpl w:val="9B360A6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7221524">
    <w:abstractNumId w:val="1"/>
  </w:num>
  <w:num w:numId="2" w16cid:durableId="1847864704">
    <w:abstractNumId w:val="0"/>
  </w:num>
  <w:num w:numId="3" w16cid:durableId="19384406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864"/>
    <w:rsid w:val="00006D19"/>
    <w:rsid w:val="00024011"/>
    <w:rsid w:val="00034D4D"/>
    <w:rsid w:val="00043B75"/>
    <w:rsid w:val="000658BA"/>
    <w:rsid w:val="000668ED"/>
    <w:rsid w:val="00073659"/>
    <w:rsid w:val="000820C9"/>
    <w:rsid w:val="0008516E"/>
    <w:rsid w:val="00090835"/>
    <w:rsid w:val="000945FD"/>
    <w:rsid w:val="000A7A3F"/>
    <w:rsid w:val="000B7C7C"/>
    <w:rsid w:val="000C0675"/>
    <w:rsid w:val="000C3D58"/>
    <w:rsid w:val="000C5B8D"/>
    <w:rsid w:val="000C64CC"/>
    <w:rsid w:val="000D54CC"/>
    <w:rsid w:val="000E1B5A"/>
    <w:rsid w:val="000E325C"/>
    <w:rsid w:val="000E4FDF"/>
    <w:rsid w:val="000E6B66"/>
    <w:rsid w:val="000F2656"/>
    <w:rsid w:val="00100BD1"/>
    <w:rsid w:val="00125D0C"/>
    <w:rsid w:val="00126F53"/>
    <w:rsid w:val="00135E7E"/>
    <w:rsid w:val="00136972"/>
    <w:rsid w:val="0014420B"/>
    <w:rsid w:val="00150851"/>
    <w:rsid w:val="001517E6"/>
    <w:rsid w:val="00163243"/>
    <w:rsid w:val="001645E3"/>
    <w:rsid w:val="00167E32"/>
    <w:rsid w:val="001723BE"/>
    <w:rsid w:val="00192B5B"/>
    <w:rsid w:val="001936F9"/>
    <w:rsid w:val="00193AC0"/>
    <w:rsid w:val="001A1BD0"/>
    <w:rsid w:val="001A3607"/>
    <w:rsid w:val="001A479B"/>
    <w:rsid w:val="001C001D"/>
    <w:rsid w:val="001D12F6"/>
    <w:rsid w:val="001D6C65"/>
    <w:rsid w:val="001E3CDC"/>
    <w:rsid w:val="001F1123"/>
    <w:rsid w:val="001F3984"/>
    <w:rsid w:val="001F449C"/>
    <w:rsid w:val="0021334D"/>
    <w:rsid w:val="00227C4F"/>
    <w:rsid w:val="00230867"/>
    <w:rsid w:val="00233F05"/>
    <w:rsid w:val="00241ADB"/>
    <w:rsid w:val="00247D30"/>
    <w:rsid w:val="00263CF8"/>
    <w:rsid w:val="00281EF7"/>
    <w:rsid w:val="002904D1"/>
    <w:rsid w:val="002B59B1"/>
    <w:rsid w:val="002B6705"/>
    <w:rsid w:val="002C3608"/>
    <w:rsid w:val="002D2B9E"/>
    <w:rsid w:val="002E4FB3"/>
    <w:rsid w:val="00300C64"/>
    <w:rsid w:val="0031332C"/>
    <w:rsid w:val="003137BB"/>
    <w:rsid w:val="00321D6F"/>
    <w:rsid w:val="00323624"/>
    <w:rsid w:val="0033102B"/>
    <w:rsid w:val="00347B67"/>
    <w:rsid w:val="003554C8"/>
    <w:rsid w:val="0036035B"/>
    <w:rsid w:val="003714A5"/>
    <w:rsid w:val="00372F26"/>
    <w:rsid w:val="00374CBD"/>
    <w:rsid w:val="00382A4D"/>
    <w:rsid w:val="0038464B"/>
    <w:rsid w:val="00396DD7"/>
    <w:rsid w:val="003B1216"/>
    <w:rsid w:val="003B2CDA"/>
    <w:rsid w:val="003B5800"/>
    <w:rsid w:val="003C61A7"/>
    <w:rsid w:val="003D31B1"/>
    <w:rsid w:val="003E1995"/>
    <w:rsid w:val="003F1EAD"/>
    <w:rsid w:val="004017C6"/>
    <w:rsid w:val="00410874"/>
    <w:rsid w:val="00413D8E"/>
    <w:rsid w:val="004271FF"/>
    <w:rsid w:val="004355DA"/>
    <w:rsid w:val="00437192"/>
    <w:rsid w:val="00444F40"/>
    <w:rsid w:val="0044756E"/>
    <w:rsid w:val="00465BBB"/>
    <w:rsid w:val="004660B6"/>
    <w:rsid w:val="00470DE3"/>
    <w:rsid w:val="0047242A"/>
    <w:rsid w:val="00472899"/>
    <w:rsid w:val="004759CB"/>
    <w:rsid w:val="0047632C"/>
    <w:rsid w:val="004810D5"/>
    <w:rsid w:val="00490E4C"/>
    <w:rsid w:val="004937D9"/>
    <w:rsid w:val="004A0C15"/>
    <w:rsid w:val="004B395D"/>
    <w:rsid w:val="004B5659"/>
    <w:rsid w:val="004C0994"/>
    <w:rsid w:val="004C64E3"/>
    <w:rsid w:val="004C7515"/>
    <w:rsid w:val="004D0158"/>
    <w:rsid w:val="004D26CB"/>
    <w:rsid w:val="004D5658"/>
    <w:rsid w:val="004D690B"/>
    <w:rsid w:val="004E7720"/>
    <w:rsid w:val="004E7B2C"/>
    <w:rsid w:val="004F1C04"/>
    <w:rsid w:val="004F1D1C"/>
    <w:rsid w:val="00501258"/>
    <w:rsid w:val="0050327C"/>
    <w:rsid w:val="0050398F"/>
    <w:rsid w:val="0051325B"/>
    <w:rsid w:val="00517F7E"/>
    <w:rsid w:val="00531808"/>
    <w:rsid w:val="00533CAF"/>
    <w:rsid w:val="005345D6"/>
    <w:rsid w:val="00534A0D"/>
    <w:rsid w:val="005452A3"/>
    <w:rsid w:val="00552F6C"/>
    <w:rsid w:val="00561D40"/>
    <w:rsid w:val="00562858"/>
    <w:rsid w:val="005656B9"/>
    <w:rsid w:val="00570E5D"/>
    <w:rsid w:val="005714F9"/>
    <w:rsid w:val="005773AF"/>
    <w:rsid w:val="00596039"/>
    <w:rsid w:val="005A169F"/>
    <w:rsid w:val="005B00B5"/>
    <w:rsid w:val="005B2E55"/>
    <w:rsid w:val="005B6524"/>
    <w:rsid w:val="005D6F8F"/>
    <w:rsid w:val="005F7306"/>
    <w:rsid w:val="006028D6"/>
    <w:rsid w:val="0060292D"/>
    <w:rsid w:val="0060294B"/>
    <w:rsid w:val="00610A61"/>
    <w:rsid w:val="00610E14"/>
    <w:rsid w:val="00627F2B"/>
    <w:rsid w:val="00631BD3"/>
    <w:rsid w:val="00650540"/>
    <w:rsid w:val="0065665A"/>
    <w:rsid w:val="00656742"/>
    <w:rsid w:val="0066018B"/>
    <w:rsid w:val="00667518"/>
    <w:rsid w:val="00685239"/>
    <w:rsid w:val="0068626A"/>
    <w:rsid w:val="0069104A"/>
    <w:rsid w:val="0069211E"/>
    <w:rsid w:val="006963FE"/>
    <w:rsid w:val="006A0953"/>
    <w:rsid w:val="006B32E5"/>
    <w:rsid w:val="006B38FD"/>
    <w:rsid w:val="006B60B6"/>
    <w:rsid w:val="006B60DF"/>
    <w:rsid w:val="006C197D"/>
    <w:rsid w:val="006C2317"/>
    <w:rsid w:val="006C545C"/>
    <w:rsid w:val="006C9710"/>
    <w:rsid w:val="006E539C"/>
    <w:rsid w:val="006F3F91"/>
    <w:rsid w:val="006F7803"/>
    <w:rsid w:val="007038F1"/>
    <w:rsid w:val="007053A6"/>
    <w:rsid w:val="00712A39"/>
    <w:rsid w:val="00713D37"/>
    <w:rsid w:val="00714440"/>
    <w:rsid w:val="00717C68"/>
    <w:rsid w:val="00720800"/>
    <w:rsid w:val="00723433"/>
    <w:rsid w:val="0072680A"/>
    <w:rsid w:val="0073616B"/>
    <w:rsid w:val="0074046D"/>
    <w:rsid w:val="007624E8"/>
    <w:rsid w:val="007668B2"/>
    <w:rsid w:val="00767BE6"/>
    <w:rsid w:val="0077037A"/>
    <w:rsid w:val="007810AF"/>
    <w:rsid w:val="007865BD"/>
    <w:rsid w:val="00791B6E"/>
    <w:rsid w:val="00797B72"/>
    <w:rsid w:val="007A513A"/>
    <w:rsid w:val="007A6463"/>
    <w:rsid w:val="007B25A1"/>
    <w:rsid w:val="007B3317"/>
    <w:rsid w:val="007B4F44"/>
    <w:rsid w:val="007C3C87"/>
    <w:rsid w:val="007C5773"/>
    <w:rsid w:val="007C5A43"/>
    <w:rsid w:val="007D34B5"/>
    <w:rsid w:val="007D395B"/>
    <w:rsid w:val="007E1DF9"/>
    <w:rsid w:val="007F02D7"/>
    <w:rsid w:val="007F789B"/>
    <w:rsid w:val="00802D5A"/>
    <w:rsid w:val="00804073"/>
    <w:rsid w:val="00805147"/>
    <w:rsid w:val="008105B8"/>
    <w:rsid w:val="00822F9E"/>
    <w:rsid w:val="00824594"/>
    <w:rsid w:val="0082798F"/>
    <w:rsid w:val="00827D44"/>
    <w:rsid w:val="0085167E"/>
    <w:rsid w:val="008539CB"/>
    <w:rsid w:val="00854913"/>
    <w:rsid w:val="00865E4D"/>
    <w:rsid w:val="00871D65"/>
    <w:rsid w:val="008734E0"/>
    <w:rsid w:val="0087693A"/>
    <w:rsid w:val="00877E4A"/>
    <w:rsid w:val="008873CE"/>
    <w:rsid w:val="00891F57"/>
    <w:rsid w:val="0089674A"/>
    <w:rsid w:val="00897B5F"/>
    <w:rsid w:val="008B4941"/>
    <w:rsid w:val="008C68E6"/>
    <w:rsid w:val="008D026F"/>
    <w:rsid w:val="008D0A89"/>
    <w:rsid w:val="008D78FB"/>
    <w:rsid w:val="008E007E"/>
    <w:rsid w:val="008E3170"/>
    <w:rsid w:val="008E7C8E"/>
    <w:rsid w:val="00915CAF"/>
    <w:rsid w:val="00927B43"/>
    <w:rsid w:val="00936506"/>
    <w:rsid w:val="009367A7"/>
    <w:rsid w:val="009376A1"/>
    <w:rsid w:val="009403AF"/>
    <w:rsid w:val="00943531"/>
    <w:rsid w:val="0096576E"/>
    <w:rsid w:val="009726FC"/>
    <w:rsid w:val="0097389C"/>
    <w:rsid w:val="00974E83"/>
    <w:rsid w:val="00982774"/>
    <w:rsid w:val="00996942"/>
    <w:rsid w:val="009B7BD4"/>
    <w:rsid w:val="009C00CC"/>
    <w:rsid w:val="009C49B1"/>
    <w:rsid w:val="009D0958"/>
    <w:rsid w:val="009F4824"/>
    <w:rsid w:val="009F788D"/>
    <w:rsid w:val="009F7BFC"/>
    <w:rsid w:val="00A0221C"/>
    <w:rsid w:val="00A35BBB"/>
    <w:rsid w:val="00A42ED4"/>
    <w:rsid w:val="00A51BB6"/>
    <w:rsid w:val="00A64192"/>
    <w:rsid w:val="00A70C57"/>
    <w:rsid w:val="00A728F0"/>
    <w:rsid w:val="00A7692B"/>
    <w:rsid w:val="00A80A81"/>
    <w:rsid w:val="00A82D6B"/>
    <w:rsid w:val="00A85D49"/>
    <w:rsid w:val="00AB23AD"/>
    <w:rsid w:val="00AB4C27"/>
    <w:rsid w:val="00AC12D9"/>
    <w:rsid w:val="00AC3EE5"/>
    <w:rsid w:val="00AC70B3"/>
    <w:rsid w:val="00AC7F86"/>
    <w:rsid w:val="00AD1264"/>
    <w:rsid w:val="00AD628E"/>
    <w:rsid w:val="00AE3560"/>
    <w:rsid w:val="00AE3AF1"/>
    <w:rsid w:val="00AE6729"/>
    <w:rsid w:val="00AE7625"/>
    <w:rsid w:val="00AF3E48"/>
    <w:rsid w:val="00AF5BAF"/>
    <w:rsid w:val="00B016FA"/>
    <w:rsid w:val="00B058B4"/>
    <w:rsid w:val="00B05E69"/>
    <w:rsid w:val="00B06D4A"/>
    <w:rsid w:val="00B14057"/>
    <w:rsid w:val="00B1472E"/>
    <w:rsid w:val="00B16502"/>
    <w:rsid w:val="00B5286B"/>
    <w:rsid w:val="00B5549B"/>
    <w:rsid w:val="00B56B28"/>
    <w:rsid w:val="00B60EAE"/>
    <w:rsid w:val="00B63634"/>
    <w:rsid w:val="00B63AEA"/>
    <w:rsid w:val="00B81F32"/>
    <w:rsid w:val="00B9158A"/>
    <w:rsid w:val="00B926C9"/>
    <w:rsid w:val="00BB379E"/>
    <w:rsid w:val="00BB37DF"/>
    <w:rsid w:val="00BE1822"/>
    <w:rsid w:val="00BE2928"/>
    <w:rsid w:val="00BF0092"/>
    <w:rsid w:val="00BF3188"/>
    <w:rsid w:val="00C03624"/>
    <w:rsid w:val="00C03820"/>
    <w:rsid w:val="00C176C3"/>
    <w:rsid w:val="00C27657"/>
    <w:rsid w:val="00C33DE2"/>
    <w:rsid w:val="00C3588E"/>
    <w:rsid w:val="00C615E0"/>
    <w:rsid w:val="00C62392"/>
    <w:rsid w:val="00C7528A"/>
    <w:rsid w:val="00C761BD"/>
    <w:rsid w:val="00C92208"/>
    <w:rsid w:val="00CA1DA9"/>
    <w:rsid w:val="00CA49E3"/>
    <w:rsid w:val="00CA66D1"/>
    <w:rsid w:val="00CB48F8"/>
    <w:rsid w:val="00CC026A"/>
    <w:rsid w:val="00CC02DA"/>
    <w:rsid w:val="00CC0523"/>
    <w:rsid w:val="00CC6A64"/>
    <w:rsid w:val="00CC72A5"/>
    <w:rsid w:val="00CD3972"/>
    <w:rsid w:val="00CE2D7D"/>
    <w:rsid w:val="00CE707C"/>
    <w:rsid w:val="00CF1B1B"/>
    <w:rsid w:val="00CF7CC4"/>
    <w:rsid w:val="00D03226"/>
    <w:rsid w:val="00D07102"/>
    <w:rsid w:val="00D16E52"/>
    <w:rsid w:val="00D26C92"/>
    <w:rsid w:val="00D27A4B"/>
    <w:rsid w:val="00D33758"/>
    <w:rsid w:val="00D420B5"/>
    <w:rsid w:val="00D423BA"/>
    <w:rsid w:val="00D44EE8"/>
    <w:rsid w:val="00D474BF"/>
    <w:rsid w:val="00D624DA"/>
    <w:rsid w:val="00D63459"/>
    <w:rsid w:val="00D7341F"/>
    <w:rsid w:val="00D73C9A"/>
    <w:rsid w:val="00D836BF"/>
    <w:rsid w:val="00D91250"/>
    <w:rsid w:val="00D931D1"/>
    <w:rsid w:val="00D9436F"/>
    <w:rsid w:val="00D9532F"/>
    <w:rsid w:val="00D9756F"/>
    <w:rsid w:val="00DA0E9E"/>
    <w:rsid w:val="00DA3FE2"/>
    <w:rsid w:val="00DB20EA"/>
    <w:rsid w:val="00DB5EA9"/>
    <w:rsid w:val="00DB755E"/>
    <w:rsid w:val="00DE025B"/>
    <w:rsid w:val="00DE52D0"/>
    <w:rsid w:val="00DE6BFD"/>
    <w:rsid w:val="00DE78F8"/>
    <w:rsid w:val="00DF2267"/>
    <w:rsid w:val="00DF3B21"/>
    <w:rsid w:val="00E01963"/>
    <w:rsid w:val="00E15020"/>
    <w:rsid w:val="00E41362"/>
    <w:rsid w:val="00E572E8"/>
    <w:rsid w:val="00E61B13"/>
    <w:rsid w:val="00E70238"/>
    <w:rsid w:val="00E71BF9"/>
    <w:rsid w:val="00E85ED7"/>
    <w:rsid w:val="00E87991"/>
    <w:rsid w:val="00E952D6"/>
    <w:rsid w:val="00EA483C"/>
    <w:rsid w:val="00EA504E"/>
    <w:rsid w:val="00EB7D82"/>
    <w:rsid w:val="00ED1A27"/>
    <w:rsid w:val="00ED219C"/>
    <w:rsid w:val="00EE0415"/>
    <w:rsid w:val="00EF56ED"/>
    <w:rsid w:val="00EF653B"/>
    <w:rsid w:val="00F07AFA"/>
    <w:rsid w:val="00F15774"/>
    <w:rsid w:val="00F20864"/>
    <w:rsid w:val="00F2331C"/>
    <w:rsid w:val="00F36967"/>
    <w:rsid w:val="00F506E6"/>
    <w:rsid w:val="00F52B3F"/>
    <w:rsid w:val="00F971B7"/>
    <w:rsid w:val="00FA6E22"/>
    <w:rsid w:val="00FB3369"/>
    <w:rsid w:val="00FB584E"/>
    <w:rsid w:val="00FB61A5"/>
    <w:rsid w:val="00FC468A"/>
    <w:rsid w:val="00FC75BB"/>
    <w:rsid w:val="00FD00D7"/>
    <w:rsid w:val="00FD08EC"/>
    <w:rsid w:val="00FD6220"/>
    <w:rsid w:val="00FE6A7F"/>
    <w:rsid w:val="00FF62F1"/>
    <w:rsid w:val="0A155065"/>
    <w:rsid w:val="136F7B51"/>
    <w:rsid w:val="16BC332C"/>
    <w:rsid w:val="40C9D410"/>
    <w:rsid w:val="5577E6DE"/>
    <w:rsid w:val="6DDD9FA0"/>
    <w:rsid w:val="6FF29496"/>
    <w:rsid w:val="7A02FE58"/>
    <w:rsid w:val="7D9962E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CD45A05"/>
  <w15:chartTrackingRefBased/>
  <w15:docId w15:val="{2368C302-B879-45B3-835E-F1077DF90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250"/>
    <w:rPr>
      <w:color w:val="0563C1" w:themeColor="hyperlink"/>
      <w:u w:val="single"/>
    </w:rPr>
  </w:style>
  <w:style w:type="character" w:styleId="UnresolvedMention">
    <w:name w:val="Unresolved Mention"/>
    <w:basedOn w:val="DefaultParagraphFont"/>
    <w:uiPriority w:val="99"/>
    <w:semiHidden/>
    <w:unhideWhenUsed/>
    <w:rsid w:val="00D91250"/>
    <w:rPr>
      <w:color w:val="605E5C"/>
      <w:shd w:val="clear" w:color="auto" w:fill="E1DFDD"/>
    </w:rPr>
  </w:style>
  <w:style w:type="paragraph" w:styleId="ListParagraph">
    <w:name w:val="List Paragraph"/>
    <w:basedOn w:val="Normal"/>
    <w:uiPriority w:val="34"/>
    <w:qFormat/>
    <w:rsid w:val="006B38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theme" Target="theme/theme1.xml" /><Relationship Id="rId5" Type="http://schemas.openxmlformats.org/officeDocument/2006/relationships/styles" Target="styles.xml" /><Relationship Id="rId10" Type="http://schemas.openxmlformats.org/officeDocument/2006/relationships/fontTable" Target="fontTable.xml" /><Relationship Id="rId4" Type="http://schemas.openxmlformats.org/officeDocument/2006/relationships/numbering" Target="numbering.xml" /><Relationship Id="rId9" Type="http://schemas.openxmlformats.org/officeDocument/2006/relationships/hyperlink" Target="https://icd.who.i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2d8fa896bc82fa684b7d0e1ef8d94af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2f6297edca198effdf04425f1767047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E41C47-495F-4B1A-BE33-386D20FD4600}">
  <ds:schemaRefs>
    <ds:schemaRef ds:uri="http://schemas.microsoft.com/office/2006/metadata/properties"/>
    <ds:schemaRef ds:uri="http://www.w3.org/2000/xmlns/"/>
    <ds:schemaRef ds:uri="60ab93c2-c2e2-4a82-ab36-09e8ba3f753e"/>
    <ds:schemaRef ds:uri="http://www.w3.org/2001/XMLSchema-instance"/>
  </ds:schemaRefs>
</ds:datastoreItem>
</file>

<file path=customXml/itemProps2.xml><?xml version="1.0" encoding="utf-8"?>
<ds:datastoreItem xmlns:ds="http://schemas.openxmlformats.org/officeDocument/2006/customXml" ds:itemID="{6F742361-8678-4542-A52F-FA16E96F521A}">
  <ds:schemaRefs>
    <ds:schemaRef ds:uri="http://schemas.microsoft.com/office/2006/metadata/contentType"/>
    <ds:schemaRef ds:uri="http://schemas.microsoft.com/office/2006/metadata/properties/metaAttributes"/>
    <ds:schemaRef ds:uri="http://www.w3.org/2000/xmlns/"/>
    <ds:schemaRef ds:uri="http://www.w3.org/2001/XMLSchema"/>
    <ds:schemaRef ds:uri="60ab93c2-c2e2-4a82-ab36-09e8ba3f753e"/>
    <ds:schemaRef ds:uri="47a3e2db-67be-4841-b3a5-2f2fb1d7c7b3"/>
  </ds:schemaRefs>
</ds:datastoreItem>
</file>

<file path=customXml/itemProps3.xml><?xml version="1.0" encoding="utf-8"?>
<ds:datastoreItem xmlns:ds="http://schemas.openxmlformats.org/officeDocument/2006/customXml" ds:itemID="{A3B31B17-8C59-472C-B409-67E883D70F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2655</Words>
  <Characters>15137</Characters>
  <Application>Microsoft Office Word</Application>
  <DocSecurity>0</DocSecurity>
  <Lines>126</Lines>
  <Paragraphs>35</Paragraphs>
  <ScaleCrop>false</ScaleCrop>
  <Company/>
  <LinksUpToDate>false</LinksUpToDate>
  <CharactersWithSpaces>17757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Mohammed</dc:creator>
  <cp:keywords/>
  <dc:description/>
  <cp:lastModifiedBy>Mohammed Ashfaq (2315557)</cp:lastModifiedBy>
  <cp:revision>35</cp:revision>
  <dcterms:created xsi:type="dcterms:W3CDTF">2025-11-12T00:46:00Z</dcterms:created>
  <dcterms:modified xsi:type="dcterms:W3CDTF">2025-11-12T01:11:00Z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