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6ED548" w14:textId="0FD21619" w:rsidR="006732A0" w:rsidRDefault="002F1EA5" w:rsidP="0000011D">
      <w:pPr>
        <w:jc w:val="center"/>
        <w:rPr>
          <w:rFonts w:asciiTheme="majorHAnsi" w:hAnsiTheme="majorHAnsi" w:cstheme="majorHAnsi"/>
          <w:b/>
          <w:bCs/>
          <w:sz w:val="24"/>
          <w:szCs w:val="24"/>
          <w:u w:val="single"/>
        </w:rPr>
      </w:pPr>
      <w:r w:rsidRPr="00F968C7">
        <w:rPr>
          <w:rFonts w:asciiTheme="majorHAnsi" w:hAnsiTheme="majorHAnsi" w:cstheme="majorHAnsi"/>
          <w:b/>
          <w:bCs/>
          <w:sz w:val="24"/>
          <w:szCs w:val="24"/>
          <w:u w:val="single"/>
        </w:rPr>
        <w:t xml:space="preserve">Manual handling in </w:t>
      </w:r>
      <w:r w:rsidR="00A07C36" w:rsidRPr="00F968C7">
        <w:rPr>
          <w:rFonts w:asciiTheme="majorHAnsi" w:hAnsiTheme="majorHAnsi" w:cstheme="majorHAnsi"/>
          <w:b/>
          <w:bCs/>
          <w:sz w:val="24"/>
          <w:szCs w:val="24"/>
          <w:u w:val="single"/>
        </w:rPr>
        <w:t>the Healthcare sector and the Operating theatre</w:t>
      </w:r>
    </w:p>
    <w:p w14:paraId="09A67150" w14:textId="64599AE3" w:rsidR="00D32324" w:rsidRPr="00F968C7" w:rsidRDefault="00D32324" w:rsidP="00D32324">
      <w:pPr>
        <w:rPr>
          <w:rFonts w:asciiTheme="majorHAnsi" w:hAnsiTheme="majorHAnsi" w:cstheme="majorHAnsi"/>
          <w:b/>
          <w:bCs/>
          <w:sz w:val="24"/>
          <w:szCs w:val="24"/>
          <w:u w:val="single"/>
        </w:rPr>
      </w:pPr>
      <w:r>
        <w:rPr>
          <w:rFonts w:asciiTheme="majorHAnsi" w:hAnsiTheme="majorHAnsi" w:cstheme="majorHAnsi"/>
          <w:b/>
          <w:bCs/>
          <w:sz w:val="24"/>
          <w:szCs w:val="24"/>
          <w:u w:val="single"/>
        </w:rPr>
        <w:t>introduction</w:t>
      </w:r>
    </w:p>
    <w:p w14:paraId="21C4A107" w14:textId="4E13A494" w:rsidR="002F1EA5" w:rsidRDefault="002F1EA5">
      <w:pPr>
        <w:rPr>
          <w:rFonts w:asciiTheme="majorHAnsi" w:hAnsiTheme="majorHAnsi" w:cstheme="majorHAnsi"/>
          <w:b/>
          <w:bCs/>
          <w:sz w:val="24"/>
          <w:szCs w:val="24"/>
          <w:u w:val="single"/>
        </w:rPr>
      </w:pPr>
      <w:r w:rsidRPr="00670099">
        <w:rPr>
          <w:rFonts w:asciiTheme="majorHAnsi" w:hAnsiTheme="majorHAnsi" w:cstheme="majorHAnsi"/>
          <w:b/>
          <w:bCs/>
          <w:sz w:val="24"/>
          <w:szCs w:val="24"/>
          <w:u w:val="single"/>
        </w:rPr>
        <w:t>Slide 1</w:t>
      </w:r>
    </w:p>
    <w:p w14:paraId="629DA891" w14:textId="4E9FE0FD" w:rsidR="00974298" w:rsidRDefault="004B5719">
      <w:pPr>
        <w:rPr>
          <w:rFonts w:cstheme="minorHAnsi"/>
          <w:sz w:val="24"/>
          <w:szCs w:val="24"/>
        </w:rPr>
      </w:pPr>
      <w:r>
        <w:rPr>
          <w:rFonts w:cstheme="minorHAnsi"/>
          <w:sz w:val="24"/>
          <w:szCs w:val="24"/>
        </w:rPr>
        <w:t>T</w:t>
      </w:r>
      <w:r w:rsidR="00974298">
        <w:rPr>
          <w:rFonts w:cstheme="minorHAnsi"/>
          <w:sz w:val="24"/>
          <w:szCs w:val="24"/>
        </w:rPr>
        <w:t>his act dates back to as far as the 18</w:t>
      </w:r>
      <w:r>
        <w:rPr>
          <w:rFonts w:cstheme="minorHAnsi"/>
          <w:sz w:val="24"/>
          <w:szCs w:val="24"/>
        </w:rPr>
        <w:t>00</w:t>
      </w:r>
      <w:r w:rsidR="00E53DA1">
        <w:rPr>
          <w:rFonts w:cstheme="minorHAnsi"/>
          <w:sz w:val="24"/>
          <w:szCs w:val="24"/>
        </w:rPr>
        <w:t>’s</w:t>
      </w:r>
      <w:r>
        <w:rPr>
          <w:rFonts w:cstheme="minorHAnsi"/>
          <w:sz w:val="24"/>
          <w:szCs w:val="24"/>
        </w:rPr>
        <w:t xml:space="preserve"> when it was known a</w:t>
      </w:r>
      <w:r w:rsidR="0000011D">
        <w:rPr>
          <w:rFonts w:cstheme="minorHAnsi"/>
          <w:sz w:val="24"/>
          <w:szCs w:val="24"/>
        </w:rPr>
        <w:t>s</w:t>
      </w:r>
      <w:r>
        <w:rPr>
          <w:rFonts w:cstheme="minorHAnsi"/>
          <w:sz w:val="24"/>
          <w:szCs w:val="24"/>
        </w:rPr>
        <w:t xml:space="preserve"> the Factories Act in 1802. Although this actual Act was unsuccessful in its execution this opened the way for the Health </w:t>
      </w:r>
      <w:r w:rsidR="00E53DA1">
        <w:rPr>
          <w:rFonts w:cstheme="minorHAnsi"/>
          <w:sz w:val="24"/>
          <w:szCs w:val="24"/>
        </w:rPr>
        <w:t xml:space="preserve">and </w:t>
      </w:r>
      <w:r>
        <w:rPr>
          <w:rFonts w:cstheme="minorHAnsi"/>
          <w:sz w:val="24"/>
          <w:szCs w:val="24"/>
        </w:rPr>
        <w:t xml:space="preserve">Safety at Work etc Act 1974 to be introduced. This Act </w:t>
      </w:r>
      <w:r w:rsidR="00E53DA1">
        <w:rPr>
          <w:rFonts w:cstheme="minorHAnsi"/>
          <w:sz w:val="24"/>
          <w:szCs w:val="24"/>
        </w:rPr>
        <w:t xml:space="preserve">helped to combine a number of remaining pieces of legislation and was approved in a time where there had been a number of work-related accidents and deaths. </w:t>
      </w:r>
      <w:r w:rsidR="0025402A">
        <w:rPr>
          <w:rFonts w:cstheme="minorHAnsi"/>
          <w:sz w:val="24"/>
          <w:szCs w:val="24"/>
        </w:rPr>
        <w:t>This Act incorporates all of the Occupational Health and Safety in the United Kingdom today</w:t>
      </w:r>
      <w:r w:rsidR="0000011D">
        <w:rPr>
          <w:rFonts w:cstheme="minorHAnsi"/>
          <w:sz w:val="24"/>
          <w:szCs w:val="24"/>
        </w:rPr>
        <w:t xml:space="preserve">, and is one of the most important Acts within the UK’s history </w:t>
      </w:r>
      <w:r w:rsidR="0025402A">
        <w:rPr>
          <w:rFonts w:cstheme="minorHAnsi"/>
          <w:sz w:val="24"/>
          <w:szCs w:val="24"/>
        </w:rPr>
        <w:t>(White, 2017).</w:t>
      </w:r>
    </w:p>
    <w:p w14:paraId="4D5709DA" w14:textId="53630B18" w:rsidR="00912E94" w:rsidRDefault="0025402A">
      <w:pPr>
        <w:rPr>
          <w:rFonts w:cstheme="minorHAnsi"/>
          <w:sz w:val="24"/>
          <w:szCs w:val="24"/>
        </w:rPr>
      </w:pPr>
      <w:r>
        <w:rPr>
          <w:rFonts w:cstheme="minorHAnsi"/>
          <w:sz w:val="24"/>
          <w:szCs w:val="24"/>
        </w:rPr>
        <w:t>From this Act t</w:t>
      </w:r>
      <w:r w:rsidR="002F1EA5">
        <w:rPr>
          <w:rFonts w:cstheme="minorHAnsi"/>
          <w:sz w:val="24"/>
          <w:szCs w:val="24"/>
        </w:rPr>
        <w:t xml:space="preserve">he Manual Handling Operations Regulations came into effect in 1992, </w:t>
      </w:r>
      <w:r>
        <w:rPr>
          <w:rFonts w:cstheme="minorHAnsi"/>
          <w:sz w:val="24"/>
          <w:szCs w:val="24"/>
        </w:rPr>
        <w:t>which</w:t>
      </w:r>
      <w:r w:rsidR="002F1EA5">
        <w:rPr>
          <w:rFonts w:cstheme="minorHAnsi"/>
          <w:sz w:val="24"/>
          <w:szCs w:val="24"/>
        </w:rPr>
        <w:t xml:space="preserve"> was passed in law </w:t>
      </w:r>
      <w:r w:rsidR="00A07C36">
        <w:rPr>
          <w:rFonts w:cstheme="minorHAnsi"/>
          <w:sz w:val="24"/>
          <w:szCs w:val="24"/>
        </w:rPr>
        <w:t xml:space="preserve">in </w:t>
      </w:r>
      <w:r w:rsidR="002F1EA5">
        <w:rPr>
          <w:rFonts w:cstheme="minorHAnsi"/>
          <w:sz w:val="24"/>
          <w:szCs w:val="24"/>
        </w:rPr>
        <w:t xml:space="preserve">1992 </w:t>
      </w:r>
      <w:r w:rsidR="00A07C36">
        <w:rPr>
          <w:rFonts w:cstheme="minorHAnsi"/>
          <w:sz w:val="24"/>
          <w:szCs w:val="24"/>
        </w:rPr>
        <w:t>and i</w:t>
      </w:r>
      <w:r w:rsidR="002F1EA5">
        <w:rPr>
          <w:rFonts w:cstheme="minorHAnsi"/>
          <w:sz w:val="24"/>
          <w:szCs w:val="24"/>
        </w:rPr>
        <w:t xml:space="preserve">t was amended in 2002. However, this legislation </w:t>
      </w:r>
      <w:r>
        <w:rPr>
          <w:rFonts w:cstheme="minorHAnsi"/>
          <w:sz w:val="24"/>
          <w:szCs w:val="24"/>
        </w:rPr>
        <w:t xml:space="preserve">did </w:t>
      </w:r>
      <w:r w:rsidR="002F1EA5">
        <w:rPr>
          <w:rFonts w:cstheme="minorHAnsi"/>
          <w:sz w:val="24"/>
          <w:szCs w:val="24"/>
        </w:rPr>
        <w:t xml:space="preserve">originally </w:t>
      </w:r>
      <w:r w:rsidR="00912E94">
        <w:rPr>
          <w:rFonts w:cstheme="minorHAnsi"/>
          <w:sz w:val="24"/>
          <w:szCs w:val="24"/>
        </w:rPr>
        <w:t>come</w:t>
      </w:r>
      <w:r w:rsidR="002F1EA5">
        <w:rPr>
          <w:rFonts w:cstheme="minorHAnsi"/>
          <w:sz w:val="24"/>
          <w:szCs w:val="24"/>
        </w:rPr>
        <w:t xml:space="preserve"> in to force on the 1</w:t>
      </w:r>
      <w:r w:rsidR="002F1EA5" w:rsidRPr="002F1EA5">
        <w:rPr>
          <w:rFonts w:cstheme="minorHAnsi"/>
          <w:sz w:val="24"/>
          <w:szCs w:val="24"/>
          <w:vertAlign w:val="superscript"/>
        </w:rPr>
        <w:t>st</w:t>
      </w:r>
      <w:r w:rsidR="002F1EA5">
        <w:rPr>
          <w:rFonts w:cstheme="minorHAnsi"/>
          <w:sz w:val="24"/>
          <w:szCs w:val="24"/>
        </w:rPr>
        <w:t xml:space="preserve"> of January 1993 under the Health and Safety at Work Act (the HSW Act</w:t>
      </w:r>
      <w:r w:rsidR="00912E94">
        <w:rPr>
          <w:rFonts w:cstheme="minorHAnsi"/>
          <w:sz w:val="24"/>
          <w:szCs w:val="24"/>
        </w:rPr>
        <w:t>, 2021</w:t>
      </w:r>
      <w:r w:rsidR="002F1EA5">
        <w:rPr>
          <w:rFonts w:cstheme="minorHAnsi"/>
          <w:sz w:val="24"/>
          <w:szCs w:val="24"/>
        </w:rPr>
        <w:t>).</w:t>
      </w:r>
      <w:r>
        <w:rPr>
          <w:rFonts w:cstheme="minorHAnsi"/>
          <w:sz w:val="24"/>
          <w:szCs w:val="24"/>
        </w:rPr>
        <w:t xml:space="preserve"> </w:t>
      </w:r>
      <w:r w:rsidR="00912E94">
        <w:rPr>
          <w:rFonts w:cstheme="minorHAnsi"/>
          <w:sz w:val="24"/>
          <w:szCs w:val="24"/>
        </w:rPr>
        <w:t>All these Acts are implemented by The Health and Safety Executives, which help to keep both employers and employees safe from risks in the work place (the H</w:t>
      </w:r>
      <w:r w:rsidR="00172198">
        <w:rPr>
          <w:rFonts w:cstheme="minorHAnsi"/>
          <w:sz w:val="24"/>
          <w:szCs w:val="24"/>
        </w:rPr>
        <w:t xml:space="preserve">ealth and </w:t>
      </w:r>
      <w:r w:rsidR="00912E94">
        <w:rPr>
          <w:rFonts w:cstheme="minorHAnsi"/>
          <w:sz w:val="24"/>
          <w:szCs w:val="24"/>
        </w:rPr>
        <w:t>S</w:t>
      </w:r>
      <w:r w:rsidR="00172198">
        <w:rPr>
          <w:rFonts w:cstheme="minorHAnsi"/>
          <w:sz w:val="24"/>
          <w:szCs w:val="24"/>
        </w:rPr>
        <w:t xml:space="preserve">afety </w:t>
      </w:r>
      <w:r w:rsidR="00912E94">
        <w:rPr>
          <w:rFonts w:cstheme="minorHAnsi"/>
          <w:sz w:val="24"/>
          <w:szCs w:val="24"/>
        </w:rPr>
        <w:t>E</w:t>
      </w:r>
      <w:r w:rsidR="00172198">
        <w:rPr>
          <w:rFonts w:cstheme="minorHAnsi"/>
          <w:sz w:val="24"/>
          <w:szCs w:val="24"/>
        </w:rPr>
        <w:t>xecutives</w:t>
      </w:r>
      <w:r w:rsidR="00912E94">
        <w:rPr>
          <w:rFonts w:cstheme="minorHAnsi"/>
          <w:sz w:val="24"/>
          <w:szCs w:val="24"/>
        </w:rPr>
        <w:t>, 2021).</w:t>
      </w:r>
    </w:p>
    <w:p w14:paraId="68071139" w14:textId="19C39E7B" w:rsidR="00D251B4" w:rsidRPr="00670099" w:rsidRDefault="00FD073B">
      <w:pPr>
        <w:rPr>
          <w:rFonts w:asciiTheme="majorHAnsi" w:hAnsiTheme="majorHAnsi" w:cstheme="majorHAnsi"/>
          <w:b/>
          <w:bCs/>
          <w:sz w:val="24"/>
          <w:szCs w:val="24"/>
          <w:u w:val="single"/>
        </w:rPr>
      </w:pPr>
      <w:r w:rsidRPr="00670099">
        <w:rPr>
          <w:rFonts w:asciiTheme="majorHAnsi" w:hAnsiTheme="majorHAnsi" w:cstheme="majorHAnsi"/>
          <w:b/>
          <w:bCs/>
          <w:sz w:val="24"/>
          <w:szCs w:val="24"/>
          <w:u w:val="single"/>
        </w:rPr>
        <w:t>Slide 2</w:t>
      </w:r>
    </w:p>
    <w:p w14:paraId="040C192D" w14:textId="532E3A96" w:rsidR="00FD073B" w:rsidRDefault="002F1EA5">
      <w:pPr>
        <w:rPr>
          <w:rFonts w:cstheme="minorHAnsi"/>
          <w:sz w:val="24"/>
          <w:szCs w:val="24"/>
        </w:rPr>
      </w:pPr>
      <w:r>
        <w:rPr>
          <w:rFonts w:cstheme="minorHAnsi"/>
          <w:sz w:val="24"/>
          <w:szCs w:val="24"/>
        </w:rPr>
        <w:t xml:space="preserve">These regulations have been put into place as a necessary measure to protect employers and their employees and allows the employer to be able to evaluate any dangers to the employee’s health when having to use manual handling of any equipment or of patients at work. The employer will have different systems and technique’s that are applied in the work place to help them eliminate or lower the dangers that are involved from unsafe manual handling. </w:t>
      </w:r>
      <w:r w:rsidR="00FD073B">
        <w:rPr>
          <w:rFonts w:cstheme="minorHAnsi"/>
          <w:sz w:val="24"/>
          <w:szCs w:val="24"/>
        </w:rPr>
        <w:t xml:space="preserve">The measures that the employer puts in place for such risk assessments would be: </w:t>
      </w:r>
    </w:p>
    <w:p w14:paraId="5F3B22DC" w14:textId="76E32B96" w:rsidR="00CC69EC" w:rsidRDefault="00CC69EC">
      <w:pPr>
        <w:rPr>
          <w:rFonts w:cstheme="minorHAnsi"/>
          <w:sz w:val="24"/>
          <w:szCs w:val="24"/>
        </w:rPr>
      </w:pPr>
      <w:r w:rsidRPr="00670099">
        <w:rPr>
          <w:rFonts w:cstheme="minorHAnsi"/>
          <w:b/>
          <w:bCs/>
          <w:sz w:val="24"/>
          <w:szCs w:val="24"/>
        </w:rPr>
        <w:t xml:space="preserve">AVOID </w:t>
      </w:r>
      <w:r>
        <w:rPr>
          <w:rFonts w:cstheme="minorHAnsi"/>
          <w:sz w:val="24"/>
          <w:szCs w:val="24"/>
        </w:rPr>
        <w:t>– the use of unsafe manual handling operations “so far as reasonably practicable”</w:t>
      </w:r>
    </w:p>
    <w:p w14:paraId="3988876D" w14:textId="78962826" w:rsidR="00CC69EC" w:rsidRDefault="00CC69EC">
      <w:pPr>
        <w:rPr>
          <w:rFonts w:cstheme="minorHAnsi"/>
          <w:sz w:val="24"/>
          <w:szCs w:val="24"/>
        </w:rPr>
      </w:pPr>
      <w:r w:rsidRPr="00670099">
        <w:rPr>
          <w:rFonts w:cstheme="minorHAnsi"/>
          <w:b/>
          <w:bCs/>
          <w:sz w:val="24"/>
          <w:szCs w:val="24"/>
        </w:rPr>
        <w:t>ASSESS</w:t>
      </w:r>
      <w:r>
        <w:rPr>
          <w:rFonts w:cstheme="minorHAnsi"/>
          <w:sz w:val="24"/>
          <w:szCs w:val="24"/>
        </w:rPr>
        <w:t xml:space="preserve"> – the danger of any harm that could come to the workers through unsafe manual handling which cannot be prevented.</w:t>
      </w:r>
    </w:p>
    <w:p w14:paraId="338F2999" w14:textId="3167E7F3" w:rsidR="00CC69EC" w:rsidRDefault="00CC69EC">
      <w:pPr>
        <w:rPr>
          <w:rFonts w:cstheme="minorHAnsi"/>
          <w:sz w:val="24"/>
          <w:szCs w:val="24"/>
        </w:rPr>
      </w:pPr>
      <w:r w:rsidRPr="00670099">
        <w:rPr>
          <w:rFonts w:cstheme="minorHAnsi"/>
          <w:b/>
          <w:bCs/>
          <w:sz w:val="24"/>
          <w:szCs w:val="24"/>
        </w:rPr>
        <w:t>REDUCE</w:t>
      </w:r>
      <w:r>
        <w:rPr>
          <w:rFonts w:cstheme="minorHAnsi"/>
          <w:sz w:val="24"/>
          <w:szCs w:val="24"/>
        </w:rPr>
        <w:t xml:space="preserve"> – the danger of harm to the worker from unsafe manual handling to the lowest point as “reasonably Practicable”</w:t>
      </w:r>
      <w:r w:rsidR="00172198">
        <w:rPr>
          <w:rFonts w:cstheme="minorHAnsi"/>
          <w:sz w:val="24"/>
          <w:szCs w:val="24"/>
        </w:rPr>
        <w:t xml:space="preserve"> (the Health and Safety Executives, 2020). </w:t>
      </w:r>
    </w:p>
    <w:p w14:paraId="69A70C17" w14:textId="5D49F89E" w:rsidR="0000011D" w:rsidRPr="0000011D" w:rsidRDefault="0000011D">
      <w:pPr>
        <w:rPr>
          <w:rFonts w:asciiTheme="majorHAnsi" w:hAnsiTheme="majorHAnsi" w:cstheme="majorHAnsi"/>
          <w:b/>
          <w:bCs/>
          <w:sz w:val="24"/>
          <w:szCs w:val="24"/>
          <w:u w:val="single"/>
        </w:rPr>
      </w:pPr>
      <w:r w:rsidRPr="0000011D">
        <w:rPr>
          <w:rFonts w:asciiTheme="majorHAnsi" w:hAnsiTheme="majorHAnsi" w:cstheme="majorHAnsi"/>
          <w:b/>
          <w:bCs/>
          <w:sz w:val="24"/>
          <w:szCs w:val="24"/>
          <w:u w:val="single"/>
        </w:rPr>
        <w:t xml:space="preserve">Slide </w:t>
      </w:r>
      <w:r w:rsidR="00D32324">
        <w:rPr>
          <w:rFonts w:asciiTheme="majorHAnsi" w:hAnsiTheme="majorHAnsi" w:cstheme="majorHAnsi"/>
          <w:b/>
          <w:bCs/>
          <w:sz w:val="24"/>
          <w:szCs w:val="24"/>
          <w:u w:val="single"/>
        </w:rPr>
        <w:t>3</w:t>
      </w:r>
    </w:p>
    <w:p w14:paraId="240E3E51" w14:textId="66872519" w:rsidR="00CC69EC" w:rsidRDefault="00CC69EC">
      <w:pPr>
        <w:rPr>
          <w:rFonts w:cstheme="minorHAnsi"/>
          <w:sz w:val="24"/>
          <w:szCs w:val="24"/>
        </w:rPr>
      </w:pPr>
      <w:r>
        <w:rPr>
          <w:rFonts w:cstheme="minorHAnsi"/>
          <w:sz w:val="24"/>
          <w:szCs w:val="24"/>
        </w:rPr>
        <w:t xml:space="preserve">While employers have a duty to ensure the employees safety, the employee also has a duty to ensure their own safety by: - </w:t>
      </w:r>
    </w:p>
    <w:p w14:paraId="34FDE2EB" w14:textId="75D32CF3" w:rsidR="00CC69EC" w:rsidRPr="00670099" w:rsidRDefault="00CC69EC" w:rsidP="00670099">
      <w:pPr>
        <w:pStyle w:val="ListParagraph"/>
        <w:numPr>
          <w:ilvl w:val="0"/>
          <w:numId w:val="2"/>
        </w:numPr>
        <w:rPr>
          <w:rFonts w:cstheme="minorHAnsi"/>
          <w:sz w:val="24"/>
          <w:szCs w:val="24"/>
        </w:rPr>
      </w:pPr>
      <w:r w:rsidRPr="00670099">
        <w:rPr>
          <w:rFonts w:cstheme="minorHAnsi"/>
          <w:sz w:val="24"/>
          <w:szCs w:val="24"/>
        </w:rPr>
        <w:t xml:space="preserve">following </w:t>
      </w:r>
      <w:r w:rsidR="00D251B4" w:rsidRPr="00670099">
        <w:rPr>
          <w:rFonts w:cstheme="minorHAnsi"/>
          <w:sz w:val="24"/>
          <w:szCs w:val="24"/>
        </w:rPr>
        <w:t>procedure</w:t>
      </w:r>
      <w:r w:rsidRPr="00670099">
        <w:rPr>
          <w:rFonts w:cstheme="minorHAnsi"/>
          <w:sz w:val="24"/>
          <w:szCs w:val="24"/>
        </w:rPr>
        <w:t xml:space="preserve"> and polices that have been put in place for Health and Safety at their work place.</w:t>
      </w:r>
    </w:p>
    <w:p w14:paraId="2ACCD0C0" w14:textId="6EC29255" w:rsidR="00CC69EC" w:rsidRPr="00670099" w:rsidRDefault="00CC69EC" w:rsidP="00670099">
      <w:pPr>
        <w:pStyle w:val="ListParagraph"/>
        <w:numPr>
          <w:ilvl w:val="0"/>
          <w:numId w:val="2"/>
        </w:numPr>
        <w:rPr>
          <w:rFonts w:cstheme="minorHAnsi"/>
          <w:sz w:val="24"/>
          <w:szCs w:val="24"/>
        </w:rPr>
      </w:pPr>
      <w:r w:rsidRPr="00670099">
        <w:rPr>
          <w:rFonts w:cstheme="minorHAnsi"/>
          <w:sz w:val="24"/>
          <w:szCs w:val="24"/>
        </w:rPr>
        <w:t>following their policies and procedures on the correct use of equipment provided by their work.</w:t>
      </w:r>
    </w:p>
    <w:p w14:paraId="184D75E7" w14:textId="4FA486C6" w:rsidR="00CC69EC" w:rsidRPr="00670099" w:rsidRDefault="00CC69EC" w:rsidP="00670099">
      <w:pPr>
        <w:pStyle w:val="ListParagraph"/>
        <w:numPr>
          <w:ilvl w:val="0"/>
          <w:numId w:val="2"/>
        </w:numPr>
        <w:rPr>
          <w:rFonts w:cstheme="minorHAnsi"/>
          <w:sz w:val="24"/>
          <w:szCs w:val="24"/>
        </w:rPr>
      </w:pPr>
      <w:r w:rsidRPr="00670099">
        <w:rPr>
          <w:rFonts w:cstheme="minorHAnsi"/>
          <w:sz w:val="24"/>
          <w:szCs w:val="24"/>
        </w:rPr>
        <w:t xml:space="preserve">working together with them on Health </w:t>
      </w:r>
      <w:r w:rsidR="00D251B4" w:rsidRPr="00670099">
        <w:rPr>
          <w:rFonts w:cstheme="minorHAnsi"/>
          <w:sz w:val="24"/>
          <w:szCs w:val="24"/>
        </w:rPr>
        <w:t>and</w:t>
      </w:r>
      <w:r w:rsidRPr="00670099">
        <w:rPr>
          <w:rFonts w:cstheme="minorHAnsi"/>
          <w:sz w:val="24"/>
          <w:szCs w:val="24"/>
        </w:rPr>
        <w:t xml:space="preserve"> </w:t>
      </w:r>
      <w:r w:rsidR="00D251B4" w:rsidRPr="00670099">
        <w:rPr>
          <w:rFonts w:cstheme="minorHAnsi"/>
          <w:sz w:val="24"/>
          <w:szCs w:val="24"/>
        </w:rPr>
        <w:t>Safety</w:t>
      </w:r>
      <w:r w:rsidRPr="00670099">
        <w:rPr>
          <w:rFonts w:cstheme="minorHAnsi"/>
          <w:sz w:val="24"/>
          <w:szCs w:val="24"/>
        </w:rPr>
        <w:t xml:space="preserve"> matters.</w:t>
      </w:r>
    </w:p>
    <w:p w14:paraId="7D74C259" w14:textId="0BD3FF94" w:rsidR="00CC69EC" w:rsidRPr="00670099" w:rsidRDefault="00CC69EC" w:rsidP="00670099">
      <w:pPr>
        <w:pStyle w:val="ListParagraph"/>
        <w:numPr>
          <w:ilvl w:val="0"/>
          <w:numId w:val="2"/>
        </w:numPr>
        <w:rPr>
          <w:rFonts w:cstheme="minorHAnsi"/>
          <w:sz w:val="24"/>
          <w:szCs w:val="24"/>
        </w:rPr>
      </w:pPr>
      <w:r w:rsidRPr="00670099">
        <w:rPr>
          <w:rFonts w:cstheme="minorHAnsi"/>
          <w:sz w:val="24"/>
          <w:szCs w:val="24"/>
        </w:rPr>
        <w:lastRenderedPageBreak/>
        <w:t>being able to inform their employer of any changes they may notice as being unsafe Manual Handling practice</w:t>
      </w:r>
      <w:r w:rsidR="00D251B4" w:rsidRPr="00670099">
        <w:rPr>
          <w:rFonts w:cstheme="minorHAnsi"/>
          <w:sz w:val="24"/>
          <w:szCs w:val="24"/>
        </w:rPr>
        <w:t>.</w:t>
      </w:r>
    </w:p>
    <w:p w14:paraId="26688B79" w14:textId="01F6A15C" w:rsidR="00172198" w:rsidRPr="00172198" w:rsidRDefault="00D251B4" w:rsidP="00172198">
      <w:pPr>
        <w:pStyle w:val="ListParagraph"/>
        <w:numPr>
          <w:ilvl w:val="0"/>
          <w:numId w:val="2"/>
        </w:numPr>
        <w:spacing w:line="240" w:lineRule="auto"/>
        <w:rPr>
          <w:rFonts w:cstheme="minorHAnsi"/>
          <w:sz w:val="24"/>
          <w:szCs w:val="24"/>
        </w:rPr>
      </w:pPr>
      <w:r w:rsidRPr="00670099">
        <w:rPr>
          <w:rFonts w:cstheme="minorHAnsi"/>
          <w:sz w:val="24"/>
          <w:szCs w:val="24"/>
        </w:rPr>
        <w:t>making sure they do not put other colleagues or patients in danger when carrying out their tasks</w:t>
      </w:r>
      <w:r w:rsidR="00172198">
        <w:rPr>
          <w:rFonts w:cstheme="minorHAnsi"/>
          <w:sz w:val="24"/>
          <w:szCs w:val="24"/>
        </w:rPr>
        <w:t xml:space="preserve"> </w:t>
      </w:r>
      <w:r w:rsidR="00172198" w:rsidRPr="00172198">
        <w:rPr>
          <w:rFonts w:cstheme="minorHAnsi"/>
          <w:sz w:val="24"/>
          <w:szCs w:val="24"/>
        </w:rPr>
        <w:t>(the Health and Safety Executives, 2020).</w:t>
      </w:r>
    </w:p>
    <w:p w14:paraId="35E3767C" w14:textId="6F1CAFCB" w:rsidR="00D251B4" w:rsidRPr="00670099" w:rsidRDefault="00670099">
      <w:pPr>
        <w:rPr>
          <w:rFonts w:asciiTheme="majorHAnsi" w:hAnsiTheme="majorHAnsi" w:cstheme="majorHAnsi"/>
          <w:b/>
          <w:bCs/>
          <w:sz w:val="24"/>
          <w:szCs w:val="24"/>
          <w:u w:val="single"/>
        </w:rPr>
      </w:pPr>
      <w:r w:rsidRPr="00670099">
        <w:rPr>
          <w:rFonts w:asciiTheme="majorHAnsi" w:hAnsiTheme="majorHAnsi" w:cstheme="majorHAnsi"/>
          <w:b/>
          <w:bCs/>
          <w:sz w:val="24"/>
          <w:szCs w:val="24"/>
          <w:u w:val="single"/>
        </w:rPr>
        <w:t xml:space="preserve">Slide </w:t>
      </w:r>
      <w:r w:rsidR="0000011D">
        <w:rPr>
          <w:rFonts w:asciiTheme="majorHAnsi" w:hAnsiTheme="majorHAnsi" w:cstheme="majorHAnsi"/>
          <w:b/>
          <w:bCs/>
          <w:sz w:val="24"/>
          <w:szCs w:val="24"/>
          <w:u w:val="single"/>
        </w:rPr>
        <w:t>5</w:t>
      </w:r>
    </w:p>
    <w:p w14:paraId="07674248" w14:textId="7793BC86" w:rsidR="000D3EB2" w:rsidRDefault="00D251B4">
      <w:pPr>
        <w:rPr>
          <w:rFonts w:cstheme="minorHAnsi"/>
          <w:sz w:val="24"/>
          <w:szCs w:val="24"/>
        </w:rPr>
      </w:pPr>
      <w:r>
        <w:rPr>
          <w:rFonts w:cstheme="minorHAnsi"/>
          <w:sz w:val="24"/>
          <w:szCs w:val="24"/>
        </w:rPr>
        <w:t>Manual handling within the Healthcare sector covers a wide range of tasks that would involve having to push, pull, carry, lift, move, put down and support the transporting of a load</w:t>
      </w:r>
      <w:r w:rsidR="00682246">
        <w:rPr>
          <w:rFonts w:cstheme="minorHAnsi"/>
          <w:sz w:val="24"/>
          <w:szCs w:val="24"/>
        </w:rPr>
        <w:t xml:space="preserve"> which</w:t>
      </w:r>
      <w:r>
        <w:rPr>
          <w:rFonts w:cstheme="minorHAnsi"/>
          <w:sz w:val="24"/>
          <w:szCs w:val="24"/>
        </w:rPr>
        <w:t xml:space="preserve"> would also include repetitive tasks</w:t>
      </w:r>
      <w:r w:rsidR="00682246">
        <w:rPr>
          <w:rFonts w:cstheme="minorHAnsi"/>
          <w:sz w:val="24"/>
          <w:szCs w:val="24"/>
        </w:rPr>
        <w:t>.</w:t>
      </w:r>
      <w:r w:rsidR="00671DC2">
        <w:rPr>
          <w:rFonts w:cstheme="minorHAnsi"/>
          <w:sz w:val="24"/>
          <w:szCs w:val="24"/>
        </w:rPr>
        <w:t xml:space="preserve"> The Manual Handling of patients in theatres adds more risk due to most of their patients being unconscious</w:t>
      </w:r>
      <w:r w:rsidR="000D3EB2">
        <w:rPr>
          <w:rFonts w:cstheme="minorHAnsi"/>
          <w:sz w:val="24"/>
          <w:szCs w:val="24"/>
        </w:rPr>
        <w:t xml:space="preserve"> (Bromhead, 2019).</w:t>
      </w:r>
    </w:p>
    <w:p w14:paraId="492CE82F" w14:textId="0C894BCE" w:rsidR="000D3EB2" w:rsidRDefault="00671DC2">
      <w:pPr>
        <w:rPr>
          <w:rFonts w:cstheme="minorHAnsi"/>
          <w:sz w:val="24"/>
          <w:szCs w:val="24"/>
        </w:rPr>
      </w:pPr>
      <w:r>
        <w:rPr>
          <w:rFonts w:cstheme="minorHAnsi"/>
          <w:sz w:val="24"/>
          <w:szCs w:val="24"/>
        </w:rPr>
        <w:t>Because of this the staff are required to have a high level of understanding within a sufficient group of staff. This is due to the fact that the patient is unable to assist in their moving which makes it difficult for the staff to know if the patient is being hurt when they are carrying out th</w:t>
      </w:r>
      <w:r w:rsidR="000D3EB2">
        <w:rPr>
          <w:rFonts w:cstheme="minorHAnsi"/>
          <w:sz w:val="24"/>
          <w:szCs w:val="24"/>
        </w:rPr>
        <w:t>e</w:t>
      </w:r>
      <w:r>
        <w:rPr>
          <w:rFonts w:cstheme="minorHAnsi"/>
          <w:sz w:val="24"/>
          <w:szCs w:val="24"/>
        </w:rPr>
        <w:t xml:space="preserve"> task</w:t>
      </w:r>
      <w:r w:rsidR="00172198">
        <w:rPr>
          <w:rFonts w:cstheme="minorHAnsi"/>
          <w:sz w:val="24"/>
          <w:szCs w:val="24"/>
        </w:rPr>
        <w:t xml:space="preserve"> (Bromhead, 2019).</w:t>
      </w:r>
    </w:p>
    <w:p w14:paraId="66F13A27" w14:textId="17D94095" w:rsidR="00D251B4" w:rsidRDefault="00FD073B">
      <w:pPr>
        <w:rPr>
          <w:rFonts w:cstheme="minorHAnsi"/>
          <w:sz w:val="24"/>
          <w:szCs w:val="24"/>
        </w:rPr>
      </w:pPr>
      <w:r>
        <w:rPr>
          <w:rFonts w:cstheme="minorHAnsi"/>
          <w:sz w:val="24"/>
          <w:szCs w:val="24"/>
        </w:rPr>
        <w:t xml:space="preserve">When using Manual Handling in a theatre staff need to be aware of how the </w:t>
      </w:r>
      <w:r w:rsidR="00791A5F">
        <w:rPr>
          <w:rFonts w:cstheme="minorHAnsi"/>
          <w:sz w:val="24"/>
          <w:szCs w:val="24"/>
        </w:rPr>
        <w:t>patient’s</w:t>
      </w:r>
      <w:r>
        <w:rPr>
          <w:rFonts w:cstheme="minorHAnsi"/>
          <w:sz w:val="24"/>
          <w:szCs w:val="24"/>
        </w:rPr>
        <w:t xml:space="preserve"> body is being positioned and the implications that can come from incorrect </w:t>
      </w:r>
      <w:r w:rsidR="00791A5F">
        <w:rPr>
          <w:rFonts w:cstheme="minorHAnsi"/>
          <w:sz w:val="24"/>
          <w:szCs w:val="24"/>
        </w:rPr>
        <w:t>positioning</w:t>
      </w:r>
      <w:r w:rsidR="000D3EB2">
        <w:rPr>
          <w:rFonts w:cstheme="minorHAnsi"/>
          <w:sz w:val="24"/>
          <w:szCs w:val="24"/>
        </w:rPr>
        <w:t>,</w:t>
      </w:r>
      <w:r w:rsidR="001206D4">
        <w:rPr>
          <w:rFonts w:cstheme="minorHAnsi"/>
          <w:sz w:val="24"/>
          <w:szCs w:val="24"/>
        </w:rPr>
        <w:t xml:space="preserve"> </w:t>
      </w:r>
      <w:r w:rsidR="000D3EB2">
        <w:rPr>
          <w:rFonts w:cstheme="minorHAnsi"/>
          <w:sz w:val="24"/>
          <w:szCs w:val="24"/>
        </w:rPr>
        <w:t>a</w:t>
      </w:r>
      <w:r w:rsidR="001206D4">
        <w:rPr>
          <w:rFonts w:cstheme="minorHAnsi"/>
          <w:sz w:val="24"/>
          <w:szCs w:val="24"/>
        </w:rPr>
        <w:t xml:space="preserve">nd at all times staff must ensure they maintain the body’s natural shape </w:t>
      </w:r>
      <w:r w:rsidR="000D3EB2">
        <w:rPr>
          <w:rFonts w:cstheme="minorHAnsi"/>
          <w:sz w:val="24"/>
          <w:szCs w:val="24"/>
        </w:rPr>
        <w:t xml:space="preserve">while </w:t>
      </w:r>
      <w:r w:rsidR="001206D4">
        <w:rPr>
          <w:rFonts w:cstheme="minorHAnsi"/>
          <w:sz w:val="24"/>
          <w:szCs w:val="24"/>
        </w:rPr>
        <w:t xml:space="preserve">supporting their limbs where possible to prevent any injuries and that no one is put in danger through lifting or having to carry a heavy load (Bromhead, 2019). </w:t>
      </w:r>
    </w:p>
    <w:p w14:paraId="45100431" w14:textId="6EA475A8" w:rsidR="001206D4" w:rsidRDefault="001206D4">
      <w:pPr>
        <w:rPr>
          <w:rFonts w:cstheme="minorHAnsi"/>
          <w:sz w:val="24"/>
          <w:szCs w:val="24"/>
        </w:rPr>
      </w:pPr>
      <w:r>
        <w:rPr>
          <w:rFonts w:cstheme="minorHAnsi"/>
          <w:sz w:val="24"/>
          <w:szCs w:val="24"/>
        </w:rPr>
        <w:t>Theatres will use a number of specialist aids to allow them to carry out manual handling such as glide sheets and pat slides. Staff are also having to be more aware when moving a patient of other factors such as catheters and drip tubes as these can get ripped out or caught if staff are not paying attention when carrying out the task (Bromhead, 2019).</w:t>
      </w:r>
    </w:p>
    <w:p w14:paraId="32790373" w14:textId="6584A0C1" w:rsidR="00193A98" w:rsidRDefault="00193A98">
      <w:pPr>
        <w:rPr>
          <w:rFonts w:asciiTheme="majorHAnsi" w:hAnsiTheme="majorHAnsi" w:cstheme="majorHAnsi"/>
          <w:b/>
          <w:bCs/>
          <w:sz w:val="24"/>
          <w:szCs w:val="24"/>
          <w:u w:val="single"/>
        </w:rPr>
      </w:pPr>
      <w:r w:rsidRPr="00193A98">
        <w:rPr>
          <w:rFonts w:asciiTheme="majorHAnsi" w:hAnsiTheme="majorHAnsi" w:cstheme="majorHAnsi"/>
          <w:b/>
          <w:bCs/>
          <w:sz w:val="24"/>
          <w:szCs w:val="24"/>
          <w:u w:val="single"/>
        </w:rPr>
        <w:t xml:space="preserve">Slide </w:t>
      </w:r>
      <w:r w:rsidR="0000011D">
        <w:rPr>
          <w:rFonts w:asciiTheme="majorHAnsi" w:hAnsiTheme="majorHAnsi" w:cstheme="majorHAnsi"/>
          <w:b/>
          <w:bCs/>
          <w:sz w:val="24"/>
          <w:szCs w:val="24"/>
          <w:u w:val="single"/>
        </w:rPr>
        <w:t>6</w:t>
      </w:r>
    </w:p>
    <w:p w14:paraId="2C17FFBB" w14:textId="79D39E2F" w:rsidR="00CF1EC2" w:rsidRDefault="00CF1EC2">
      <w:pPr>
        <w:rPr>
          <w:rFonts w:cstheme="minorHAnsi"/>
          <w:sz w:val="24"/>
          <w:szCs w:val="24"/>
        </w:rPr>
      </w:pPr>
      <w:r>
        <w:rPr>
          <w:rFonts w:cstheme="minorHAnsi"/>
          <w:sz w:val="24"/>
          <w:szCs w:val="24"/>
        </w:rPr>
        <w:t xml:space="preserve">Manual Handling policies are in place to protect staff and patients and if it is not done correctly then it can have big repercussions for the employer and the employee. Manual Handling is still one of the biggest causes of injuries in the work place which are connected to musculoskeletal disorder (MSDs) </w:t>
      </w:r>
      <w:r w:rsidR="008C2FB8">
        <w:rPr>
          <w:rFonts w:cstheme="minorHAnsi"/>
          <w:sz w:val="24"/>
          <w:szCs w:val="24"/>
        </w:rPr>
        <w:t>theses types of</w:t>
      </w:r>
      <w:r>
        <w:rPr>
          <w:rFonts w:cstheme="minorHAnsi"/>
          <w:sz w:val="24"/>
          <w:szCs w:val="24"/>
        </w:rPr>
        <w:t xml:space="preserve"> injuries and conditions </w:t>
      </w:r>
      <w:r w:rsidR="008C2FB8">
        <w:rPr>
          <w:rFonts w:cstheme="minorHAnsi"/>
          <w:sz w:val="24"/>
          <w:szCs w:val="24"/>
        </w:rPr>
        <w:t>can cause</w:t>
      </w:r>
      <w:r>
        <w:rPr>
          <w:rFonts w:cstheme="minorHAnsi"/>
          <w:sz w:val="24"/>
          <w:szCs w:val="24"/>
        </w:rPr>
        <w:t xml:space="preserve"> pain to joints, arms, back, limbs and </w:t>
      </w:r>
      <w:r w:rsidR="008C2FB8">
        <w:rPr>
          <w:rFonts w:cstheme="minorHAnsi"/>
          <w:sz w:val="24"/>
          <w:szCs w:val="24"/>
        </w:rPr>
        <w:t>repetitive</w:t>
      </w:r>
      <w:r>
        <w:rPr>
          <w:rFonts w:cstheme="minorHAnsi"/>
          <w:sz w:val="24"/>
          <w:szCs w:val="24"/>
        </w:rPr>
        <w:t xml:space="preserve"> strain injuries </w:t>
      </w:r>
      <w:r w:rsidR="008C2FB8">
        <w:rPr>
          <w:rFonts w:cstheme="minorHAnsi"/>
          <w:sz w:val="24"/>
          <w:szCs w:val="24"/>
        </w:rPr>
        <w:t>from carrying out a range of moving and handling tasks every day</w:t>
      </w:r>
      <w:r w:rsidR="000D3EB2">
        <w:rPr>
          <w:rFonts w:cstheme="minorHAnsi"/>
          <w:sz w:val="24"/>
          <w:szCs w:val="24"/>
        </w:rPr>
        <w:t>, while</w:t>
      </w:r>
      <w:r w:rsidR="008C2FB8">
        <w:rPr>
          <w:rFonts w:cstheme="minorHAnsi"/>
          <w:sz w:val="24"/>
          <w:szCs w:val="24"/>
        </w:rPr>
        <w:t xml:space="preserve"> having an old or new injury can also help increase the risk of musculoskeletal disorders</w:t>
      </w:r>
      <w:r w:rsidR="000D3EB2">
        <w:rPr>
          <w:rFonts w:cstheme="minorHAnsi"/>
          <w:sz w:val="24"/>
          <w:szCs w:val="24"/>
        </w:rPr>
        <w:t xml:space="preserve"> </w:t>
      </w:r>
      <w:r w:rsidR="00D80C6C">
        <w:rPr>
          <w:rFonts w:cstheme="minorHAnsi"/>
          <w:sz w:val="24"/>
          <w:szCs w:val="24"/>
        </w:rPr>
        <w:t>(Warren, 2016).</w:t>
      </w:r>
    </w:p>
    <w:p w14:paraId="46687AA4" w14:textId="07EA20D3" w:rsidR="00D32324" w:rsidRPr="00D32324" w:rsidRDefault="00D32324">
      <w:pPr>
        <w:rPr>
          <w:rFonts w:asciiTheme="majorHAnsi" w:hAnsiTheme="majorHAnsi" w:cstheme="majorHAnsi"/>
          <w:b/>
          <w:bCs/>
          <w:sz w:val="24"/>
          <w:szCs w:val="24"/>
          <w:u w:val="single"/>
        </w:rPr>
      </w:pPr>
      <w:r w:rsidRPr="00D32324">
        <w:rPr>
          <w:rFonts w:asciiTheme="majorHAnsi" w:hAnsiTheme="majorHAnsi" w:cstheme="majorHAnsi"/>
          <w:b/>
          <w:bCs/>
          <w:sz w:val="24"/>
          <w:szCs w:val="24"/>
          <w:u w:val="single"/>
        </w:rPr>
        <w:t>Slide 7</w:t>
      </w:r>
    </w:p>
    <w:p w14:paraId="1B8B334E" w14:textId="42CD7CB0" w:rsidR="00C87A7B" w:rsidRDefault="00C87A7B">
      <w:pPr>
        <w:rPr>
          <w:rFonts w:cstheme="minorHAnsi"/>
          <w:sz w:val="24"/>
          <w:szCs w:val="24"/>
        </w:rPr>
      </w:pPr>
      <w:r>
        <w:rPr>
          <w:rFonts w:cstheme="minorHAnsi"/>
          <w:sz w:val="24"/>
          <w:szCs w:val="24"/>
        </w:rPr>
        <w:t xml:space="preserve">These types of injuries can be avoided by the employer carrying out risk assessments which should be carried out by a </w:t>
      </w:r>
      <w:r w:rsidR="00881E23">
        <w:rPr>
          <w:rFonts w:cstheme="minorHAnsi"/>
          <w:sz w:val="24"/>
          <w:szCs w:val="24"/>
        </w:rPr>
        <w:t>competent</w:t>
      </w:r>
      <w:r>
        <w:rPr>
          <w:rFonts w:cstheme="minorHAnsi"/>
          <w:sz w:val="24"/>
          <w:szCs w:val="24"/>
        </w:rPr>
        <w:t xml:space="preserve"> and qualified person within this field. The risk assessments should be an individual or generic risk assessment. </w:t>
      </w:r>
    </w:p>
    <w:p w14:paraId="402DD293" w14:textId="1909C6D9" w:rsidR="00C87A7B" w:rsidRDefault="00C87A7B">
      <w:pPr>
        <w:rPr>
          <w:rFonts w:cstheme="minorHAnsi"/>
          <w:sz w:val="24"/>
          <w:szCs w:val="24"/>
        </w:rPr>
      </w:pPr>
      <w:r>
        <w:rPr>
          <w:rFonts w:cstheme="minorHAnsi"/>
          <w:sz w:val="24"/>
          <w:szCs w:val="24"/>
        </w:rPr>
        <w:t xml:space="preserve">Having an individual risk assessment allows for particular moving and handling needs to be taken in to account such as: </w:t>
      </w:r>
    </w:p>
    <w:p w14:paraId="271E378B" w14:textId="75F97E04" w:rsidR="00C87A7B" w:rsidRDefault="00C87A7B">
      <w:pPr>
        <w:rPr>
          <w:rFonts w:cstheme="minorHAnsi"/>
          <w:sz w:val="24"/>
          <w:szCs w:val="24"/>
        </w:rPr>
      </w:pPr>
      <w:r>
        <w:rPr>
          <w:rFonts w:cstheme="minorHAnsi"/>
          <w:sz w:val="24"/>
          <w:szCs w:val="24"/>
        </w:rPr>
        <w:t xml:space="preserve">The </w:t>
      </w:r>
      <w:r w:rsidR="00881E23">
        <w:rPr>
          <w:rFonts w:cstheme="minorHAnsi"/>
          <w:sz w:val="24"/>
          <w:szCs w:val="24"/>
        </w:rPr>
        <w:t>number</w:t>
      </w:r>
      <w:r>
        <w:rPr>
          <w:rFonts w:cstheme="minorHAnsi"/>
          <w:sz w:val="24"/>
          <w:szCs w:val="24"/>
        </w:rPr>
        <w:t xml:space="preserve"> of staff needed to support the patient, the type of equipment needed for the task and what type of help is needed. </w:t>
      </w:r>
    </w:p>
    <w:p w14:paraId="7E5F7DC4" w14:textId="7B6BAF44" w:rsidR="00C87A7B" w:rsidRDefault="00C87A7B">
      <w:pPr>
        <w:rPr>
          <w:rFonts w:cstheme="minorHAnsi"/>
          <w:sz w:val="24"/>
          <w:szCs w:val="24"/>
        </w:rPr>
      </w:pPr>
      <w:r>
        <w:rPr>
          <w:rFonts w:cstheme="minorHAnsi"/>
          <w:sz w:val="24"/>
          <w:szCs w:val="24"/>
        </w:rPr>
        <w:lastRenderedPageBreak/>
        <w:t xml:space="preserve">A generic risk assessment allows for the employer to look at the work place and the environment </w:t>
      </w:r>
      <w:r w:rsidR="00881E23">
        <w:rPr>
          <w:rFonts w:cstheme="minorHAnsi"/>
          <w:sz w:val="24"/>
          <w:szCs w:val="24"/>
        </w:rPr>
        <w:t>risk and put into place a risk assessment that would include things like the staffing levels, the appropriateness of the physical surroundings the emergency procedures and the equipment needed (Royal College of Nursing, 2019).</w:t>
      </w:r>
    </w:p>
    <w:p w14:paraId="6D2FBDC2" w14:textId="1684A946" w:rsidR="00881E23" w:rsidRDefault="00127BB5">
      <w:pPr>
        <w:rPr>
          <w:rFonts w:asciiTheme="majorHAnsi" w:hAnsiTheme="majorHAnsi" w:cstheme="majorHAnsi"/>
          <w:b/>
          <w:bCs/>
          <w:sz w:val="24"/>
          <w:szCs w:val="24"/>
          <w:u w:val="single"/>
        </w:rPr>
      </w:pPr>
      <w:r w:rsidRPr="00127BB5">
        <w:rPr>
          <w:rFonts w:asciiTheme="majorHAnsi" w:hAnsiTheme="majorHAnsi" w:cstheme="majorHAnsi"/>
          <w:b/>
          <w:bCs/>
          <w:sz w:val="24"/>
          <w:szCs w:val="24"/>
          <w:u w:val="single"/>
        </w:rPr>
        <w:t xml:space="preserve">Slide </w:t>
      </w:r>
      <w:r w:rsidR="00D32324">
        <w:rPr>
          <w:rFonts w:asciiTheme="majorHAnsi" w:hAnsiTheme="majorHAnsi" w:cstheme="majorHAnsi"/>
          <w:b/>
          <w:bCs/>
          <w:sz w:val="24"/>
          <w:szCs w:val="24"/>
          <w:u w:val="single"/>
        </w:rPr>
        <w:t>8</w:t>
      </w:r>
    </w:p>
    <w:p w14:paraId="4DD157B9" w14:textId="5D9AA16B" w:rsidR="007D480D" w:rsidRPr="00127BB5" w:rsidRDefault="00127BB5" w:rsidP="007D480D">
      <w:pPr>
        <w:rPr>
          <w:rFonts w:cstheme="minorHAnsi"/>
          <w:sz w:val="24"/>
          <w:szCs w:val="24"/>
        </w:rPr>
      </w:pPr>
      <w:r>
        <w:rPr>
          <w:rFonts w:cstheme="minorHAnsi"/>
          <w:sz w:val="24"/>
          <w:szCs w:val="24"/>
        </w:rPr>
        <w:t xml:space="preserve">Even though there has been some criticism in the past </w:t>
      </w:r>
      <w:r w:rsidR="0099537F">
        <w:rPr>
          <w:rFonts w:cstheme="minorHAnsi"/>
          <w:sz w:val="24"/>
          <w:szCs w:val="24"/>
        </w:rPr>
        <w:t xml:space="preserve">it has shown to be one of the biggest changes to Health and Safety since the Factories Act. </w:t>
      </w:r>
      <w:r w:rsidR="007D480D">
        <w:rPr>
          <w:rFonts w:cstheme="minorHAnsi"/>
          <w:sz w:val="24"/>
          <w:szCs w:val="24"/>
        </w:rPr>
        <w:t>The Health and Safety at Work Act is still one of the longest pieces of legislation that was put in place to help improve Health, Safety and Welfare in all areas in the United Kingdom through one Act. Because of this is has been referred to on numerous occasions and is still relied upon today for how health and safety is determined and because of this it is used by countries all over the world (</w:t>
      </w:r>
      <w:r w:rsidR="007D480D" w:rsidRPr="007F1438">
        <w:rPr>
          <w:rStyle w:val="Emphasis"/>
          <w:rFonts w:cstheme="minorHAnsi"/>
          <w:i w:val="0"/>
          <w:iCs w:val="0"/>
          <w:color w:val="333333"/>
          <w:spacing w:val="3"/>
          <w:sz w:val="24"/>
          <w:szCs w:val="24"/>
          <w:shd w:val="clear" w:color="auto" w:fill="FFFFFF"/>
        </w:rPr>
        <w:t>Augustin</w:t>
      </w:r>
      <w:r w:rsidR="007D480D">
        <w:rPr>
          <w:rStyle w:val="Emphasis"/>
          <w:rFonts w:cstheme="minorHAnsi"/>
          <w:i w:val="0"/>
          <w:iCs w:val="0"/>
          <w:color w:val="333333"/>
          <w:spacing w:val="3"/>
          <w:sz w:val="24"/>
          <w:szCs w:val="24"/>
          <w:shd w:val="clear" w:color="auto" w:fill="FFFFFF"/>
        </w:rPr>
        <w:t>, 2015).</w:t>
      </w:r>
    </w:p>
    <w:p w14:paraId="2545628A" w14:textId="191E1C5C" w:rsidR="00172198" w:rsidRDefault="00172198">
      <w:pPr>
        <w:rPr>
          <w:rFonts w:cstheme="minorHAnsi"/>
          <w:sz w:val="24"/>
          <w:szCs w:val="24"/>
        </w:rPr>
      </w:pPr>
    </w:p>
    <w:p w14:paraId="3332C0E0" w14:textId="77777777" w:rsidR="007775E8" w:rsidRDefault="007775E8">
      <w:pPr>
        <w:rPr>
          <w:rFonts w:cstheme="minorHAnsi"/>
          <w:sz w:val="24"/>
          <w:szCs w:val="24"/>
        </w:rPr>
      </w:pPr>
    </w:p>
    <w:p w14:paraId="40089BA8" w14:textId="77777777" w:rsidR="0000011D" w:rsidRDefault="0000011D">
      <w:pPr>
        <w:rPr>
          <w:rFonts w:asciiTheme="majorHAnsi" w:hAnsiTheme="majorHAnsi" w:cstheme="majorHAnsi"/>
          <w:b/>
          <w:bCs/>
          <w:sz w:val="24"/>
          <w:szCs w:val="24"/>
          <w:u w:val="single"/>
        </w:rPr>
      </w:pPr>
    </w:p>
    <w:p w14:paraId="770F86B4" w14:textId="77777777" w:rsidR="00193A98" w:rsidRPr="00193A98" w:rsidRDefault="00193A98">
      <w:pPr>
        <w:rPr>
          <w:rFonts w:asciiTheme="majorHAnsi" w:hAnsiTheme="majorHAnsi" w:cstheme="majorHAnsi"/>
          <w:b/>
          <w:bCs/>
          <w:sz w:val="24"/>
          <w:szCs w:val="24"/>
          <w:u w:val="single"/>
        </w:rPr>
      </w:pPr>
    </w:p>
    <w:p w14:paraId="561E4ACC" w14:textId="63284EC5" w:rsidR="0000358F" w:rsidRDefault="0000358F">
      <w:pPr>
        <w:rPr>
          <w:rFonts w:cstheme="minorHAnsi"/>
          <w:sz w:val="24"/>
          <w:szCs w:val="24"/>
        </w:rPr>
      </w:pPr>
    </w:p>
    <w:p w14:paraId="1C62D387" w14:textId="77777777" w:rsidR="0000358F" w:rsidRDefault="0000358F">
      <w:pPr>
        <w:rPr>
          <w:rFonts w:cstheme="minorHAnsi"/>
          <w:sz w:val="24"/>
          <w:szCs w:val="24"/>
        </w:rPr>
      </w:pPr>
    </w:p>
    <w:p w14:paraId="7A34E1A8" w14:textId="77777777" w:rsidR="00670099" w:rsidRDefault="00670099" w:rsidP="00A07C36">
      <w:pPr>
        <w:spacing w:after="0" w:line="240" w:lineRule="auto"/>
        <w:textAlignment w:val="top"/>
        <w:rPr>
          <w:rFonts w:ascii="inherit" w:eastAsia="Times New Roman" w:hAnsi="inherit" w:cs="Arial"/>
          <w:b/>
          <w:bCs/>
          <w:color w:val="000000"/>
          <w:sz w:val="24"/>
          <w:szCs w:val="24"/>
          <w:bdr w:val="none" w:sz="0" w:space="0" w:color="auto" w:frame="1"/>
          <w:lang w:eastAsia="en-GB"/>
        </w:rPr>
      </w:pPr>
    </w:p>
    <w:p w14:paraId="7FF049C8" w14:textId="77777777" w:rsidR="00670099" w:rsidRDefault="00670099" w:rsidP="00A07C36">
      <w:pPr>
        <w:spacing w:after="0" w:line="240" w:lineRule="auto"/>
        <w:textAlignment w:val="top"/>
        <w:rPr>
          <w:rFonts w:ascii="inherit" w:eastAsia="Times New Roman" w:hAnsi="inherit" w:cs="Arial"/>
          <w:b/>
          <w:bCs/>
          <w:color w:val="000000"/>
          <w:sz w:val="24"/>
          <w:szCs w:val="24"/>
          <w:bdr w:val="none" w:sz="0" w:space="0" w:color="auto" w:frame="1"/>
          <w:lang w:eastAsia="en-GB"/>
        </w:rPr>
      </w:pPr>
    </w:p>
    <w:p w14:paraId="29D33817" w14:textId="77777777" w:rsidR="00670099" w:rsidRDefault="00670099" w:rsidP="00A07C36">
      <w:pPr>
        <w:spacing w:after="0" w:line="240" w:lineRule="auto"/>
        <w:textAlignment w:val="top"/>
        <w:rPr>
          <w:rFonts w:ascii="inherit" w:eastAsia="Times New Roman" w:hAnsi="inherit" w:cs="Arial"/>
          <w:b/>
          <w:bCs/>
          <w:color w:val="000000"/>
          <w:sz w:val="24"/>
          <w:szCs w:val="24"/>
          <w:bdr w:val="none" w:sz="0" w:space="0" w:color="auto" w:frame="1"/>
          <w:lang w:eastAsia="en-GB"/>
        </w:rPr>
      </w:pPr>
    </w:p>
    <w:p w14:paraId="1FD395AA" w14:textId="77777777" w:rsidR="00670099" w:rsidRDefault="00670099" w:rsidP="00A07C36">
      <w:pPr>
        <w:spacing w:after="0" w:line="240" w:lineRule="auto"/>
        <w:textAlignment w:val="top"/>
        <w:rPr>
          <w:rFonts w:ascii="inherit" w:eastAsia="Times New Roman" w:hAnsi="inherit" w:cs="Arial"/>
          <w:b/>
          <w:bCs/>
          <w:color w:val="000000"/>
          <w:sz w:val="24"/>
          <w:szCs w:val="24"/>
          <w:bdr w:val="none" w:sz="0" w:space="0" w:color="auto" w:frame="1"/>
          <w:lang w:eastAsia="en-GB"/>
        </w:rPr>
      </w:pPr>
    </w:p>
    <w:p w14:paraId="0033406E" w14:textId="77777777" w:rsidR="00670099" w:rsidRDefault="00670099" w:rsidP="00A07C36">
      <w:pPr>
        <w:spacing w:after="0" w:line="240" w:lineRule="auto"/>
        <w:textAlignment w:val="top"/>
        <w:rPr>
          <w:rFonts w:ascii="inherit" w:eastAsia="Times New Roman" w:hAnsi="inherit" w:cs="Arial"/>
          <w:b/>
          <w:bCs/>
          <w:color w:val="000000"/>
          <w:sz w:val="24"/>
          <w:szCs w:val="24"/>
          <w:bdr w:val="none" w:sz="0" w:space="0" w:color="auto" w:frame="1"/>
          <w:lang w:eastAsia="en-GB"/>
        </w:rPr>
      </w:pPr>
    </w:p>
    <w:p w14:paraId="0706DAAF" w14:textId="77777777" w:rsidR="00670099" w:rsidRDefault="00670099" w:rsidP="00A07C36">
      <w:pPr>
        <w:spacing w:after="0" w:line="240" w:lineRule="auto"/>
        <w:textAlignment w:val="top"/>
        <w:rPr>
          <w:rFonts w:ascii="inherit" w:eastAsia="Times New Roman" w:hAnsi="inherit" w:cs="Arial"/>
          <w:b/>
          <w:bCs/>
          <w:color w:val="000000"/>
          <w:sz w:val="24"/>
          <w:szCs w:val="24"/>
          <w:bdr w:val="none" w:sz="0" w:space="0" w:color="auto" w:frame="1"/>
          <w:lang w:eastAsia="en-GB"/>
        </w:rPr>
      </w:pPr>
    </w:p>
    <w:p w14:paraId="7B298B12" w14:textId="77777777" w:rsidR="00670099" w:rsidRDefault="00670099" w:rsidP="00A07C36">
      <w:pPr>
        <w:spacing w:after="0" w:line="240" w:lineRule="auto"/>
        <w:textAlignment w:val="top"/>
        <w:rPr>
          <w:rFonts w:ascii="inherit" w:eastAsia="Times New Roman" w:hAnsi="inherit" w:cs="Arial"/>
          <w:b/>
          <w:bCs/>
          <w:color w:val="000000"/>
          <w:sz w:val="24"/>
          <w:szCs w:val="24"/>
          <w:bdr w:val="none" w:sz="0" w:space="0" w:color="auto" w:frame="1"/>
          <w:lang w:eastAsia="en-GB"/>
        </w:rPr>
      </w:pPr>
    </w:p>
    <w:p w14:paraId="556F9B42" w14:textId="77777777" w:rsidR="00670099" w:rsidRDefault="00670099" w:rsidP="00A07C36">
      <w:pPr>
        <w:spacing w:after="0" w:line="240" w:lineRule="auto"/>
        <w:textAlignment w:val="top"/>
        <w:rPr>
          <w:rFonts w:ascii="inherit" w:eastAsia="Times New Roman" w:hAnsi="inherit" w:cs="Arial"/>
          <w:b/>
          <w:bCs/>
          <w:color w:val="000000"/>
          <w:sz w:val="24"/>
          <w:szCs w:val="24"/>
          <w:bdr w:val="none" w:sz="0" w:space="0" w:color="auto" w:frame="1"/>
          <w:lang w:eastAsia="en-GB"/>
        </w:rPr>
      </w:pPr>
    </w:p>
    <w:p w14:paraId="74977C8C" w14:textId="77777777" w:rsidR="00670099" w:rsidRDefault="00670099" w:rsidP="00A07C36">
      <w:pPr>
        <w:spacing w:after="0" w:line="240" w:lineRule="auto"/>
        <w:textAlignment w:val="top"/>
        <w:rPr>
          <w:rFonts w:ascii="inherit" w:eastAsia="Times New Roman" w:hAnsi="inherit" w:cs="Arial"/>
          <w:b/>
          <w:bCs/>
          <w:color w:val="000000"/>
          <w:sz w:val="24"/>
          <w:szCs w:val="24"/>
          <w:bdr w:val="none" w:sz="0" w:space="0" w:color="auto" w:frame="1"/>
          <w:lang w:eastAsia="en-GB"/>
        </w:rPr>
      </w:pPr>
    </w:p>
    <w:p w14:paraId="6670AAA1" w14:textId="77777777" w:rsidR="00670099" w:rsidRDefault="00670099" w:rsidP="00A07C36">
      <w:pPr>
        <w:spacing w:after="0" w:line="240" w:lineRule="auto"/>
        <w:textAlignment w:val="top"/>
        <w:rPr>
          <w:rFonts w:ascii="inherit" w:eastAsia="Times New Roman" w:hAnsi="inherit" w:cs="Arial"/>
          <w:b/>
          <w:bCs/>
          <w:color w:val="000000"/>
          <w:sz w:val="24"/>
          <w:szCs w:val="24"/>
          <w:bdr w:val="none" w:sz="0" w:space="0" w:color="auto" w:frame="1"/>
          <w:lang w:eastAsia="en-GB"/>
        </w:rPr>
      </w:pPr>
    </w:p>
    <w:p w14:paraId="6AF70202" w14:textId="77777777" w:rsidR="00670099" w:rsidRDefault="00670099" w:rsidP="00A07C36">
      <w:pPr>
        <w:spacing w:after="0" w:line="240" w:lineRule="auto"/>
        <w:textAlignment w:val="top"/>
        <w:rPr>
          <w:rFonts w:ascii="inherit" w:eastAsia="Times New Roman" w:hAnsi="inherit" w:cs="Arial"/>
          <w:b/>
          <w:bCs/>
          <w:color w:val="000000"/>
          <w:sz w:val="24"/>
          <w:szCs w:val="24"/>
          <w:bdr w:val="none" w:sz="0" w:space="0" w:color="auto" w:frame="1"/>
          <w:lang w:eastAsia="en-GB"/>
        </w:rPr>
      </w:pPr>
    </w:p>
    <w:p w14:paraId="3ABE17FD" w14:textId="77777777" w:rsidR="00670099" w:rsidRDefault="00670099" w:rsidP="00A07C36">
      <w:pPr>
        <w:spacing w:after="0" w:line="240" w:lineRule="auto"/>
        <w:textAlignment w:val="top"/>
        <w:rPr>
          <w:rFonts w:ascii="inherit" w:eastAsia="Times New Roman" w:hAnsi="inherit" w:cs="Arial"/>
          <w:b/>
          <w:bCs/>
          <w:color w:val="000000"/>
          <w:sz w:val="24"/>
          <w:szCs w:val="24"/>
          <w:bdr w:val="none" w:sz="0" w:space="0" w:color="auto" w:frame="1"/>
          <w:lang w:eastAsia="en-GB"/>
        </w:rPr>
      </w:pPr>
    </w:p>
    <w:p w14:paraId="25E9D05D" w14:textId="77777777" w:rsidR="00670099" w:rsidRDefault="00670099" w:rsidP="00A07C36">
      <w:pPr>
        <w:spacing w:after="0" w:line="240" w:lineRule="auto"/>
        <w:textAlignment w:val="top"/>
        <w:rPr>
          <w:rFonts w:ascii="inherit" w:eastAsia="Times New Roman" w:hAnsi="inherit" w:cs="Arial"/>
          <w:b/>
          <w:bCs/>
          <w:color w:val="000000"/>
          <w:sz w:val="24"/>
          <w:szCs w:val="24"/>
          <w:bdr w:val="none" w:sz="0" w:space="0" w:color="auto" w:frame="1"/>
          <w:lang w:eastAsia="en-GB"/>
        </w:rPr>
      </w:pPr>
    </w:p>
    <w:p w14:paraId="7BE679D4" w14:textId="77777777" w:rsidR="00670099" w:rsidRDefault="00670099" w:rsidP="00A07C36">
      <w:pPr>
        <w:spacing w:after="0" w:line="240" w:lineRule="auto"/>
        <w:textAlignment w:val="top"/>
        <w:rPr>
          <w:rFonts w:ascii="inherit" w:eastAsia="Times New Roman" w:hAnsi="inherit" w:cs="Arial"/>
          <w:b/>
          <w:bCs/>
          <w:color w:val="000000"/>
          <w:sz w:val="24"/>
          <w:szCs w:val="24"/>
          <w:bdr w:val="none" w:sz="0" w:space="0" w:color="auto" w:frame="1"/>
          <w:lang w:eastAsia="en-GB"/>
        </w:rPr>
      </w:pPr>
    </w:p>
    <w:p w14:paraId="5234D24E" w14:textId="77777777" w:rsidR="00670099" w:rsidRDefault="00670099" w:rsidP="00A07C36">
      <w:pPr>
        <w:spacing w:after="0" w:line="240" w:lineRule="auto"/>
        <w:textAlignment w:val="top"/>
        <w:rPr>
          <w:rFonts w:ascii="inherit" w:eastAsia="Times New Roman" w:hAnsi="inherit" w:cs="Arial"/>
          <w:b/>
          <w:bCs/>
          <w:color w:val="000000"/>
          <w:sz w:val="24"/>
          <w:szCs w:val="24"/>
          <w:bdr w:val="none" w:sz="0" w:space="0" w:color="auto" w:frame="1"/>
          <w:lang w:eastAsia="en-GB"/>
        </w:rPr>
      </w:pPr>
    </w:p>
    <w:p w14:paraId="50A62C63" w14:textId="77777777" w:rsidR="00670099" w:rsidRDefault="00670099" w:rsidP="00A07C36">
      <w:pPr>
        <w:spacing w:after="0" w:line="240" w:lineRule="auto"/>
        <w:textAlignment w:val="top"/>
        <w:rPr>
          <w:rFonts w:ascii="inherit" w:eastAsia="Times New Roman" w:hAnsi="inherit" w:cs="Arial"/>
          <w:b/>
          <w:bCs/>
          <w:color w:val="000000"/>
          <w:sz w:val="24"/>
          <w:szCs w:val="24"/>
          <w:bdr w:val="none" w:sz="0" w:space="0" w:color="auto" w:frame="1"/>
          <w:lang w:eastAsia="en-GB"/>
        </w:rPr>
      </w:pPr>
    </w:p>
    <w:p w14:paraId="68E60471" w14:textId="77777777" w:rsidR="00670099" w:rsidRDefault="00670099" w:rsidP="00A07C36">
      <w:pPr>
        <w:spacing w:after="0" w:line="240" w:lineRule="auto"/>
        <w:textAlignment w:val="top"/>
        <w:rPr>
          <w:rFonts w:ascii="inherit" w:eastAsia="Times New Roman" w:hAnsi="inherit" w:cs="Arial"/>
          <w:b/>
          <w:bCs/>
          <w:color w:val="000000"/>
          <w:sz w:val="24"/>
          <w:szCs w:val="24"/>
          <w:bdr w:val="none" w:sz="0" w:space="0" w:color="auto" w:frame="1"/>
          <w:lang w:eastAsia="en-GB"/>
        </w:rPr>
      </w:pPr>
    </w:p>
    <w:p w14:paraId="0B7CDA26" w14:textId="77777777" w:rsidR="00670099" w:rsidRDefault="00670099" w:rsidP="00A07C36">
      <w:pPr>
        <w:spacing w:after="0" w:line="240" w:lineRule="auto"/>
        <w:textAlignment w:val="top"/>
        <w:rPr>
          <w:rFonts w:ascii="inherit" w:eastAsia="Times New Roman" w:hAnsi="inherit" w:cs="Arial"/>
          <w:b/>
          <w:bCs/>
          <w:color w:val="000000"/>
          <w:sz w:val="24"/>
          <w:szCs w:val="24"/>
          <w:bdr w:val="none" w:sz="0" w:space="0" w:color="auto" w:frame="1"/>
          <w:lang w:eastAsia="en-GB"/>
        </w:rPr>
      </w:pPr>
    </w:p>
    <w:p w14:paraId="041C5290" w14:textId="77777777" w:rsidR="00670099" w:rsidRDefault="00670099" w:rsidP="00A07C36">
      <w:pPr>
        <w:spacing w:after="0" w:line="240" w:lineRule="auto"/>
        <w:textAlignment w:val="top"/>
        <w:rPr>
          <w:rFonts w:ascii="inherit" w:eastAsia="Times New Roman" w:hAnsi="inherit" w:cs="Arial"/>
          <w:b/>
          <w:bCs/>
          <w:color w:val="000000"/>
          <w:sz w:val="24"/>
          <w:szCs w:val="24"/>
          <w:bdr w:val="none" w:sz="0" w:space="0" w:color="auto" w:frame="1"/>
          <w:lang w:eastAsia="en-GB"/>
        </w:rPr>
      </w:pPr>
    </w:p>
    <w:p w14:paraId="607BC6B2" w14:textId="77777777" w:rsidR="00670099" w:rsidRDefault="00670099" w:rsidP="00A07C36">
      <w:pPr>
        <w:spacing w:after="0" w:line="240" w:lineRule="auto"/>
        <w:textAlignment w:val="top"/>
        <w:rPr>
          <w:rFonts w:ascii="inherit" w:eastAsia="Times New Roman" w:hAnsi="inherit" w:cs="Arial"/>
          <w:b/>
          <w:bCs/>
          <w:color w:val="000000"/>
          <w:sz w:val="24"/>
          <w:szCs w:val="24"/>
          <w:bdr w:val="none" w:sz="0" w:space="0" w:color="auto" w:frame="1"/>
          <w:lang w:eastAsia="en-GB"/>
        </w:rPr>
      </w:pPr>
    </w:p>
    <w:p w14:paraId="36348293" w14:textId="77777777" w:rsidR="00670099" w:rsidRDefault="00670099" w:rsidP="00A07C36">
      <w:pPr>
        <w:spacing w:after="0" w:line="240" w:lineRule="auto"/>
        <w:textAlignment w:val="top"/>
        <w:rPr>
          <w:rFonts w:ascii="inherit" w:eastAsia="Times New Roman" w:hAnsi="inherit" w:cs="Arial"/>
          <w:b/>
          <w:bCs/>
          <w:color w:val="000000"/>
          <w:sz w:val="24"/>
          <w:szCs w:val="24"/>
          <w:bdr w:val="none" w:sz="0" w:space="0" w:color="auto" w:frame="1"/>
          <w:lang w:eastAsia="en-GB"/>
        </w:rPr>
      </w:pPr>
    </w:p>
    <w:p w14:paraId="742E18C6" w14:textId="77777777" w:rsidR="00670099" w:rsidRDefault="00670099" w:rsidP="00A07C36">
      <w:pPr>
        <w:spacing w:after="0" w:line="240" w:lineRule="auto"/>
        <w:textAlignment w:val="top"/>
        <w:rPr>
          <w:rFonts w:ascii="inherit" w:eastAsia="Times New Roman" w:hAnsi="inherit" w:cs="Arial"/>
          <w:b/>
          <w:bCs/>
          <w:color w:val="000000"/>
          <w:sz w:val="24"/>
          <w:szCs w:val="24"/>
          <w:bdr w:val="none" w:sz="0" w:space="0" w:color="auto" w:frame="1"/>
          <w:lang w:eastAsia="en-GB"/>
        </w:rPr>
      </w:pPr>
    </w:p>
    <w:p w14:paraId="72CD4E85" w14:textId="77777777" w:rsidR="00670099" w:rsidRDefault="00670099" w:rsidP="00A07C36">
      <w:pPr>
        <w:spacing w:after="0" w:line="240" w:lineRule="auto"/>
        <w:textAlignment w:val="top"/>
        <w:rPr>
          <w:rFonts w:ascii="inherit" w:eastAsia="Times New Roman" w:hAnsi="inherit" w:cs="Arial"/>
          <w:b/>
          <w:bCs/>
          <w:color w:val="000000"/>
          <w:sz w:val="24"/>
          <w:szCs w:val="24"/>
          <w:bdr w:val="none" w:sz="0" w:space="0" w:color="auto" w:frame="1"/>
          <w:lang w:eastAsia="en-GB"/>
        </w:rPr>
      </w:pPr>
    </w:p>
    <w:p w14:paraId="18D7F766" w14:textId="77777777" w:rsidR="00D32324" w:rsidRDefault="00D32324" w:rsidP="007775E8">
      <w:pPr>
        <w:rPr>
          <w:rFonts w:ascii="inherit" w:eastAsia="Times New Roman" w:hAnsi="inherit" w:cs="Arial"/>
          <w:b/>
          <w:bCs/>
          <w:color w:val="000000"/>
          <w:sz w:val="24"/>
          <w:szCs w:val="24"/>
          <w:bdr w:val="none" w:sz="0" w:space="0" w:color="auto" w:frame="1"/>
          <w:lang w:eastAsia="en-GB"/>
        </w:rPr>
      </w:pPr>
    </w:p>
    <w:p w14:paraId="5B0986C3" w14:textId="77777777" w:rsidR="00D32324" w:rsidRDefault="00D32324" w:rsidP="007775E8">
      <w:pPr>
        <w:rPr>
          <w:rFonts w:ascii="inherit" w:eastAsia="Times New Roman" w:hAnsi="inherit" w:cs="Arial"/>
          <w:b/>
          <w:bCs/>
          <w:color w:val="000000"/>
          <w:sz w:val="24"/>
          <w:szCs w:val="24"/>
          <w:bdr w:val="none" w:sz="0" w:space="0" w:color="auto" w:frame="1"/>
          <w:lang w:eastAsia="en-GB"/>
        </w:rPr>
      </w:pPr>
    </w:p>
    <w:p w14:paraId="366C4EE6" w14:textId="6666C64B" w:rsidR="00D32324" w:rsidRDefault="00D32324" w:rsidP="007775E8">
      <w:pPr>
        <w:rPr>
          <w:rFonts w:asciiTheme="majorHAnsi" w:hAnsiTheme="majorHAnsi" w:cstheme="majorHAnsi"/>
          <w:b/>
          <w:bCs/>
          <w:sz w:val="24"/>
          <w:szCs w:val="24"/>
          <w:u w:val="single"/>
        </w:rPr>
      </w:pPr>
      <w:r>
        <w:rPr>
          <w:rFonts w:asciiTheme="majorHAnsi" w:hAnsiTheme="majorHAnsi" w:cstheme="majorHAnsi"/>
          <w:b/>
          <w:bCs/>
          <w:sz w:val="24"/>
          <w:szCs w:val="24"/>
          <w:u w:val="single"/>
        </w:rPr>
        <w:t>Slide 9</w:t>
      </w:r>
    </w:p>
    <w:p w14:paraId="099F16C9" w14:textId="1783CD6B" w:rsidR="007775E8" w:rsidRPr="007775E8" w:rsidRDefault="007775E8" w:rsidP="007775E8">
      <w:pPr>
        <w:rPr>
          <w:rFonts w:asciiTheme="majorHAnsi" w:hAnsiTheme="majorHAnsi" w:cstheme="majorHAnsi"/>
          <w:b/>
          <w:bCs/>
          <w:sz w:val="24"/>
          <w:szCs w:val="24"/>
          <w:u w:val="single"/>
        </w:rPr>
      </w:pPr>
      <w:r w:rsidRPr="007775E8">
        <w:rPr>
          <w:rFonts w:asciiTheme="majorHAnsi" w:hAnsiTheme="majorHAnsi" w:cstheme="majorHAnsi"/>
          <w:b/>
          <w:bCs/>
          <w:sz w:val="24"/>
          <w:szCs w:val="24"/>
          <w:u w:val="single"/>
        </w:rPr>
        <w:t>Reference List</w:t>
      </w:r>
    </w:p>
    <w:p w14:paraId="3739D66A" w14:textId="77777777" w:rsidR="007775E8" w:rsidRPr="007775E8" w:rsidRDefault="007775E8" w:rsidP="007775E8">
      <w:r w:rsidRPr="007775E8">
        <w:t xml:space="preserve">Arjohuntleigh (2021) </w:t>
      </w:r>
      <w:r w:rsidRPr="007775E8">
        <w:rPr>
          <w:i/>
          <w:iCs/>
        </w:rPr>
        <w:t xml:space="preserve">Ergonomics, Manual handling of people in the healthcare sector: An edited summary of ISO Technical Report. </w:t>
      </w:r>
      <w:r w:rsidRPr="007775E8">
        <w:t>Available at:</w:t>
      </w:r>
      <w:hyperlink r:id="rId5" w:history="1">
        <w:r w:rsidRPr="007775E8">
          <w:rPr>
            <w:color w:val="0563C1" w:themeColor="hyperlink"/>
            <w:u w:val="single"/>
          </w:rPr>
          <w:t>https://asphp.org/wp-content/uploads/2012/02/ArjoHuntleigh-Summary-ISO-TR-122961.pdf</w:t>
        </w:r>
      </w:hyperlink>
      <w:r w:rsidRPr="007775E8">
        <w:t xml:space="preserve"> (Accessed 14 March 2021).</w:t>
      </w:r>
    </w:p>
    <w:p w14:paraId="40E37F98" w14:textId="77777777" w:rsidR="007775E8" w:rsidRPr="007775E8" w:rsidRDefault="007775E8" w:rsidP="007775E8">
      <w:pPr>
        <w:rPr>
          <w:i/>
          <w:iCs/>
        </w:rPr>
      </w:pPr>
      <w:r w:rsidRPr="007775E8">
        <w:t>Augustine, K. (2015)</w:t>
      </w:r>
      <w:r w:rsidRPr="007775E8">
        <w:rPr>
          <w:i/>
          <w:iCs/>
        </w:rPr>
        <w:t xml:space="preserve"> The effectiveness of the Health and Safety at Work Act. </w:t>
      </w:r>
      <w:r w:rsidRPr="007775E8">
        <w:t>Available at:</w:t>
      </w:r>
      <w:r w:rsidRPr="007775E8">
        <w:rPr>
          <w:i/>
          <w:iCs/>
        </w:rPr>
        <w:t xml:space="preserve"> </w:t>
      </w:r>
      <w:hyperlink r:id="rId6" w:history="1">
        <w:r w:rsidRPr="007775E8">
          <w:rPr>
            <w:i/>
            <w:iCs/>
            <w:color w:val="0563C1" w:themeColor="hyperlink"/>
            <w:u w:val="single"/>
          </w:rPr>
          <w:t>https://www.shponline.co.uk/legislation-and-guidance/an-analysis-of-the-effectiveness-of-the-health-and-safety-at-work-act/</w:t>
        </w:r>
      </w:hyperlink>
      <w:r w:rsidRPr="007775E8">
        <w:rPr>
          <w:i/>
          <w:iCs/>
        </w:rPr>
        <w:t xml:space="preserve"> (Accessed 16 March 2021).</w:t>
      </w:r>
    </w:p>
    <w:p w14:paraId="72A2B0F3" w14:textId="77777777" w:rsidR="007775E8" w:rsidRPr="007775E8" w:rsidRDefault="007775E8" w:rsidP="007775E8">
      <w:r w:rsidRPr="007775E8">
        <w:t xml:space="preserve">Bromhead, A. (2019) </w:t>
      </w:r>
      <w:r w:rsidRPr="007775E8">
        <w:rPr>
          <w:i/>
          <w:iCs/>
        </w:rPr>
        <w:t xml:space="preserve">Moving and Handling in the Operating Theatre. </w:t>
      </w:r>
      <w:r w:rsidRPr="007775E8">
        <w:t>Available at:</w:t>
      </w:r>
      <w:hyperlink r:id="rId7" w:history="1">
        <w:r w:rsidRPr="007775E8">
          <w:rPr>
            <w:color w:val="0563C1" w:themeColor="hyperlink"/>
            <w:u w:val="single"/>
          </w:rPr>
          <w:t>https://www.abromhead.co.uk/moving-and-handling-in-the-operating-theatre/</w:t>
        </w:r>
      </w:hyperlink>
      <w:r w:rsidRPr="007775E8">
        <w:t xml:space="preserve"> (Accesses: 7 March 2021).</w:t>
      </w:r>
    </w:p>
    <w:p w14:paraId="666B4619" w14:textId="77777777" w:rsidR="007775E8" w:rsidRPr="007775E8" w:rsidRDefault="007775E8" w:rsidP="007775E8">
      <w:r w:rsidRPr="007775E8">
        <w:t xml:space="preserve">Health and Safety Authority (2011) </w:t>
      </w:r>
      <w:r w:rsidRPr="007775E8">
        <w:rPr>
          <w:i/>
          <w:iCs/>
        </w:rPr>
        <w:t xml:space="preserve">Guidance on the Management of Manual Handling in Healthcare. </w:t>
      </w:r>
      <w:r w:rsidRPr="007775E8">
        <w:t>Available at:</w:t>
      </w:r>
      <w:hyperlink r:id="rId8" w:history="1">
        <w:r w:rsidRPr="007775E8">
          <w:rPr>
            <w:color w:val="0563C1" w:themeColor="hyperlink"/>
            <w:u w:val="single"/>
          </w:rPr>
          <w:t>https://www.hsa.ie/eng/Publications_and_Forms/Publications/Healthcare_Sector/Manual_Handling_Health_Care.pdf</w:t>
        </w:r>
      </w:hyperlink>
      <w:r w:rsidRPr="007775E8">
        <w:t xml:space="preserve"> (Accessed 6 March 2021).</w:t>
      </w:r>
    </w:p>
    <w:p w14:paraId="3C6D159C" w14:textId="77777777" w:rsidR="007775E8" w:rsidRPr="007775E8" w:rsidRDefault="007775E8" w:rsidP="007775E8">
      <w:r w:rsidRPr="007775E8">
        <w:t xml:space="preserve">Health and Safety Executives (2021) </w:t>
      </w:r>
      <w:r w:rsidRPr="007775E8">
        <w:rPr>
          <w:i/>
          <w:iCs/>
        </w:rPr>
        <w:t xml:space="preserve">risk at work – Manual Handling. </w:t>
      </w:r>
      <w:r w:rsidRPr="007775E8">
        <w:t>Available. at:</w:t>
      </w:r>
      <w:hyperlink r:id="rId9" w:history="1">
        <w:r w:rsidRPr="007775E8">
          <w:rPr>
            <w:color w:val="0563C1" w:themeColor="hyperlink"/>
            <w:u w:val="single"/>
          </w:rPr>
          <w:t>https://www.hse.gov.uk/toolbox/manual.htm</w:t>
        </w:r>
      </w:hyperlink>
      <w:r w:rsidRPr="007775E8">
        <w:t xml:space="preserve"> (Accessed 14 March 2021).</w:t>
      </w:r>
    </w:p>
    <w:p w14:paraId="3FE2C40F" w14:textId="77777777" w:rsidR="007775E8" w:rsidRPr="007775E8" w:rsidRDefault="007775E8" w:rsidP="007775E8">
      <w:r w:rsidRPr="007775E8">
        <w:t xml:space="preserve">LRB Health and Safety Solutions (2020) </w:t>
      </w:r>
      <w:r w:rsidRPr="007775E8">
        <w:rPr>
          <w:i/>
          <w:iCs/>
        </w:rPr>
        <w:t>The Health and Safety at Work etc Act 1974.</w:t>
      </w:r>
      <w:r w:rsidRPr="007775E8">
        <w:t xml:space="preserve"> Available at:</w:t>
      </w:r>
      <w:hyperlink r:id="rId10" w:anchor=":~:text=The%20Health%20and%20Safety%20at%20Work%20etc.%20Act,workplaces%20in%20the%20United%20Kingdom%20through%20one%20act" w:history="1">
        <w:r w:rsidRPr="007775E8">
          <w:rPr>
            <w:color w:val="0563C1" w:themeColor="hyperlink"/>
            <w:u w:val="single"/>
          </w:rPr>
          <w:t>https://www.lrbconsulting.co.uk/health-and-safety-blog/a-brief-history-of-health-and-safety/#:~:text=The%20Health%20and%20Safety%20at%20Work%20etc.%20Act,workplaces%20in%20the%20United%20Kingdom%20through%20one%20act</w:t>
        </w:r>
      </w:hyperlink>
      <w:r w:rsidRPr="007775E8">
        <w:t xml:space="preserve"> (Accessed 14 March 2021).</w:t>
      </w:r>
    </w:p>
    <w:p w14:paraId="79884ABD" w14:textId="77777777" w:rsidR="007775E8" w:rsidRPr="007775E8" w:rsidRDefault="007775E8" w:rsidP="007775E8">
      <w:r w:rsidRPr="007775E8">
        <w:t xml:space="preserve">NHS Foundation Trust (2017) </w:t>
      </w:r>
      <w:r w:rsidRPr="007775E8">
        <w:rPr>
          <w:i/>
          <w:iCs/>
        </w:rPr>
        <w:t xml:space="preserve">Manual Handling. </w:t>
      </w:r>
      <w:r w:rsidRPr="007775E8">
        <w:t>Available at:</w:t>
      </w:r>
      <w:hyperlink r:id="rId11" w:history="1">
        <w:r w:rsidRPr="007775E8">
          <w:rPr>
            <w:color w:val="0563C1" w:themeColor="hyperlink"/>
            <w:u w:val="single"/>
          </w:rPr>
          <w:t>https://www.bcpft.nhs.uk/documents/policies/m/1665-manual-handling/file</w:t>
        </w:r>
      </w:hyperlink>
      <w:r w:rsidRPr="007775E8">
        <w:t xml:space="preserve"> (Accessed 7 March 2021).</w:t>
      </w:r>
    </w:p>
    <w:p w14:paraId="7CA825F3" w14:textId="77777777" w:rsidR="007775E8" w:rsidRPr="007775E8" w:rsidRDefault="007775E8" w:rsidP="007775E8">
      <w:r w:rsidRPr="007775E8">
        <w:t xml:space="preserve">Royal College of Nursing (2019) </w:t>
      </w:r>
      <w:r w:rsidRPr="007775E8">
        <w:rPr>
          <w:i/>
          <w:iCs/>
        </w:rPr>
        <w:t xml:space="preserve">Moving and Handling: Employer obligation for safer patient handling. </w:t>
      </w:r>
      <w:r w:rsidRPr="007775E8">
        <w:t>Available at:</w:t>
      </w:r>
      <w:hyperlink r:id="rId12" w:history="1">
        <w:r w:rsidRPr="007775E8">
          <w:rPr>
            <w:color w:val="0563C1" w:themeColor="hyperlink"/>
            <w:u w:val="single"/>
          </w:rPr>
          <w:t>https://www.rcn.org.uk/get-help/rcn-advice/moving-and-handling</w:t>
        </w:r>
      </w:hyperlink>
      <w:r w:rsidRPr="007775E8">
        <w:t xml:space="preserve"> (Accessed 14 March 2021).</w:t>
      </w:r>
    </w:p>
    <w:p w14:paraId="59C4CDB1" w14:textId="77777777" w:rsidR="007775E8" w:rsidRPr="007775E8" w:rsidRDefault="007775E8" w:rsidP="007775E8">
      <w:r w:rsidRPr="007775E8">
        <w:t xml:space="preserve">SHP Safety and Health Practitioner (2017) </w:t>
      </w:r>
      <w:r w:rsidRPr="007775E8">
        <w:rPr>
          <w:i/>
          <w:iCs/>
        </w:rPr>
        <w:t xml:space="preserve">Health and Safety at Work etc Act 1974 explained. </w:t>
      </w:r>
      <w:r w:rsidRPr="007775E8">
        <w:t>Available at:</w:t>
      </w:r>
      <w:hyperlink r:id="rId13" w:history="1">
        <w:r w:rsidRPr="007775E8">
          <w:rPr>
            <w:color w:val="0563C1" w:themeColor="hyperlink"/>
            <w:u w:val="single"/>
          </w:rPr>
          <w:t>https://www.shponline.co.uk/legislation-and-guidance/health-and-safety-at-work-1974/</w:t>
        </w:r>
      </w:hyperlink>
      <w:r w:rsidRPr="007775E8">
        <w:t xml:space="preserve"> (Accessed 14 March 2021).</w:t>
      </w:r>
    </w:p>
    <w:p w14:paraId="6E13E739" w14:textId="77777777" w:rsidR="007775E8" w:rsidRPr="007775E8" w:rsidRDefault="007775E8" w:rsidP="007775E8">
      <w:r w:rsidRPr="007775E8">
        <w:t xml:space="preserve">The Health and Safety Executives (2020) </w:t>
      </w:r>
      <w:r w:rsidRPr="007775E8">
        <w:rPr>
          <w:i/>
          <w:iCs/>
        </w:rPr>
        <w:t>Manual handling at work A brief guide</w:t>
      </w:r>
      <w:r w:rsidRPr="007775E8">
        <w:t xml:space="preserve">. Available at: </w:t>
      </w:r>
      <w:hyperlink r:id="rId14" w:history="1">
        <w:r w:rsidRPr="007775E8">
          <w:rPr>
            <w:color w:val="0563C1" w:themeColor="hyperlink"/>
            <w:u w:val="single"/>
          </w:rPr>
          <w:t>https://www.hse.gov.uk/pubns/indg143.pdf</w:t>
        </w:r>
      </w:hyperlink>
      <w:r w:rsidRPr="007775E8">
        <w:t xml:space="preserve"> (Accessed: 8 March 2021).</w:t>
      </w:r>
    </w:p>
    <w:p w14:paraId="0C9A7371" w14:textId="77777777" w:rsidR="007775E8" w:rsidRPr="007775E8" w:rsidRDefault="007775E8" w:rsidP="007775E8">
      <w:r w:rsidRPr="007775E8">
        <w:t xml:space="preserve">The Health and Safety Executives (2021) </w:t>
      </w:r>
      <w:r w:rsidRPr="007775E8">
        <w:rPr>
          <w:i/>
          <w:iCs/>
        </w:rPr>
        <w:t xml:space="preserve">Th HSE Story. </w:t>
      </w:r>
      <w:r w:rsidRPr="007775E8">
        <w:t>Available at:</w:t>
      </w:r>
      <w:hyperlink r:id="rId15" w:history="1">
        <w:r w:rsidRPr="007775E8">
          <w:rPr>
            <w:color w:val="0563C1" w:themeColor="hyperlink"/>
            <w:u w:val="single"/>
          </w:rPr>
          <w:t>https://www.hse.gov.uk/aboutus/hse-story.htm</w:t>
        </w:r>
      </w:hyperlink>
      <w:r w:rsidRPr="007775E8">
        <w:t xml:space="preserve"> (Accessed 15 March 2021).</w:t>
      </w:r>
    </w:p>
    <w:p w14:paraId="1C4B61BD" w14:textId="77777777" w:rsidR="007775E8" w:rsidRPr="007775E8" w:rsidRDefault="007775E8" w:rsidP="007775E8">
      <w:r w:rsidRPr="007775E8">
        <w:t xml:space="preserve">Warren, G. (2016) </w:t>
      </w:r>
      <w:r w:rsidRPr="007775E8">
        <w:rPr>
          <w:i/>
          <w:iCs/>
        </w:rPr>
        <w:t>Moving and Handling: reducing risk through assessment. Available at:</w:t>
      </w:r>
      <w:hyperlink r:id="rId16" w:history="1">
        <w:r w:rsidRPr="007775E8">
          <w:rPr>
            <w:color w:val="0563C1" w:themeColor="hyperlink"/>
            <w:u w:val="single"/>
          </w:rPr>
          <w:t>https://search.proquest.com/openview/9a1e87711a419268ba47e13807b80825/1?pq-origsite=gscholar&amp;cbl=2042228</w:t>
        </w:r>
      </w:hyperlink>
      <w:r w:rsidRPr="007775E8">
        <w:t xml:space="preserve"> (Accessed 14 March 2021).</w:t>
      </w:r>
    </w:p>
    <w:p w14:paraId="12F13F2B" w14:textId="77777777" w:rsidR="007775E8" w:rsidRPr="007775E8" w:rsidRDefault="007775E8" w:rsidP="007775E8"/>
    <w:p w14:paraId="135187EE" w14:textId="0641D88E" w:rsidR="002F4084" w:rsidRPr="002F1EA5" w:rsidRDefault="002F4084" w:rsidP="00A07C36">
      <w:pPr>
        <w:rPr>
          <w:rFonts w:cstheme="minorHAnsi"/>
          <w:sz w:val="24"/>
          <w:szCs w:val="24"/>
        </w:rPr>
      </w:pPr>
    </w:p>
    <w:sectPr w:rsidR="002F4084" w:rsidRPr="002F1E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D03693"/>
    <w:multiLevelType w:val="multilevel"/>
    <w:tmpl w:val="B3100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6892BBE"/>
    <w:multiLevelType w:val="hybridMultilevel"/>
    <w:tmpl w:val="C3843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EA5"/>
    <w:rsid w:val="0000011D"/>
    <w:rsid w:val="0000358F"/>
    <w:rsid w:val="000D3EB2"/>
    <w:rsid w:val="000E18D3"/>
    <w:rsid w:val="001035E0"/>
    <w:rsid w:val="001206D4"/>
    <w:rsid w:val="00127BB5"/>
    <w:rsid w:val="00172198"/>
    <w:rsid w:val="00193A98"/>
    <w:rsid w:val="0025402A"/>
    <w:rsid w:val="0027517E"/>
    <w:rsid w:val="002F1EA5"/>
    <w:rsid w:val="002F4084"/>
    <w:rsid w:val="004B5719"/>
    <w:rsid w:val="00670099"/>
    <w:rsid w:val="00671DC2"/>
    <w:rsid w:val="006732A0"/>
    <w:rsid w:val="00682246"/>
    <w:rsid w:val="007775E8"/>
    <w:rsid w:val="00791A5F"/>
    <w:rsid w:val="007D480D"/>
    <w:rsid w:val="007F1438"/>
    <w:rsid w:val="00881E23"/>
    <w:rsid w:val="008C2FB8"/>
    <w:rsid w:val="00912E94"/>
    <w:rsid w:val="009635DA"/>
    <w:rsid w:val="00974298"/>
    <w:rsid w:val="0099537F"/>
    <w:rsid w:val="00A07C36"/>
    <w:rsid w:val="00B147FF"/>
    <w:rsid w:val="00C300F4"/>
    <w:rsid w:val="00C87A7B"/>
    <w:rsid w:val="00CC69EC"/>
    <w:rsid w:val="00CF1EC2"/>
    <w:rsid w:val="00D251B4"/>
    <w:rsid w:val="00D32324"/>
    <w:rsid w:val="00D80C6C"/>
    <w:rsid w:val="00E53DA1"/>
    <w:rsid w:val="00F968C7"/>
    <w:rsid w:val="00FB090C"/>
    <w:rsid w:val="00FD07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82000"/>
  <w15:chartTrackingRefBased/>
  <w15:docId w15:val="{71429BA6-D37F-4E69-9E97-6878A16B7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0099"/>
    <w:pPr>
      <w:ind w:left="720"/>
      <w:contextualSpacing/>
    </w:pPr>
  </w:style>
  <w:style w:type="character" w:styleId="Hyperlink">
    <w:name w:val="Hyperlink"/>
    <w:basedOn w:val="DefaultParagraphFont"/>
    <w:uiPriority w:val="99"/>
    <w:semiHidden/>
    <w:unhideWhenUsed/>
    <w:rsid w:val="002F4084"/>
    <w:rPr>
      <w:color w:val="0000FF"/>
      <w:u w:val="single"/>
    </w:rPr>
  </w:style>
  <w:style w:type="character" w:styleId="Strong">
    <w:name w:val="Strong"/>
    <w:basedOn w:val="DefaultParagraphFont"/>
    <w:uiPriority w:val="22"/>
    <w:qFormat/>
    <w:rsid w:val="00F968C7"/>
    <w:rPr>
      <w:b/>
      <w:bCs/>
    </w:rPr>
  </w:style>
  <w:style w:type="paragraph" w:styleId="NormalWeb">
    <w:name w:val="Normal (Web)"/>
    <w:basedOn w:val="Normal"/>
    <w:uiPriority w:val="99"/>
    <w:unhideWhenUsed/>
    <w:rsid w:val="00912E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F143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2700107">
      <w:bodyDiv w:val="1"/>
      <w:marLeft w:val="0"/>
      <w:marRight w:val="0"/>
      <w:marTop w:val="0"/>
      <w:marBottom w:val="0"/>
      <w:divBdr>
        <w:top w:val="none" w:sz="0" w:space="0" w:color="auto"/>
        <w:left w:val="none" w:sz="0" w:space="0" w:color="auto"/>
        <w:bottom w:val="none" w:sz="0" w:space="0" w:color="auto"/>
        <w:right w:val="none" w:sz="0" w:space="0" w:color="auto"/>
      </w:divBdr>
    </w:div>
    <w:div w:id="763843690">
      <w:bodyDiv w:val="1"/>
      <w:marLeft w:val="0"/>
      <w:marRight w:val="0"/>
      <w:marTop w:val="0"/>
      <w:marBottom w:val="0"/>
      <w:divBdr>
        <w:top w:val="none" w:sz="0" w:space="0" w:color="auto"/>
        <w:left w:val="none" w:sz="0" w:space="0" w:color="auto"/>
        <w:bottom w:val="none" w:sz="0" w:space="0" w:color="auto"/>
        <w:right w:val="none" w:sz="0" w:space="0" w:color="auto"/>
      </w:divBdr>
    </w:div>
    <w:div w:id="1243417141">
      <w:bodyDiv w:val="1"/>
      <w:marLeft w:val="0"/>
      <w:marRight w:val="0"/>
      <w:marTop w:val="0"/>
      <w:marBottom w:val="0"/>
      <w:divBdr>
        <w:top w:val="none" w:sz="0" w:space="0" w:color="auto"/>
        <w:left w:val="none" w:sz="0" w:space="0" w:color="auto"/>
        <w:bottom w:val="none" w:sz="0" w:space="0" w:color="auto"/>
        <w:right w:val="none" w:sz="0" w:space="0" w:color="auto"/>
      </w:divBdr>
    </w:div>
    <w:div w:id="1363281909">
      <w:bodyDiv w:val="1"/>
      <w:marLeft w:val="0"/>
      <w:marRight w:val="0"/>
      <w:marTop w:val="0"/>
      <w:marBottom w:val="0"/>
      <w:divBdr>
        <w:top w:val="none" w:sz="0" w:space="0" w:color="auto"/>
        <w:left w:val="none" w:sz="0" w:space="0" w:color="auto"/>
        <w:bottom w:val="none" w:sz="0" w:space="0" w:color="auto"/>
        <w:right w:val="none" w:sz="0" w:space="0" w:color="auto"/>
      </w:divBdr>
    </w:div>
    <w:div w:id="2028865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sa.ie/eng/Publications_and_Forms/Publications/Healthcare_Sector/Manual_Handling_Health_Care.pdf" TargetMode="External"/><Relationship Id="rId13" Type="http://schemas.openxmlformats.org/officeDocument/2006/relationships/hyperlink" Target="https://www.shponline.co.uk/legislation-and-guidance/health-and-safety-at-work-1974/"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bromhead.co.uk/moving-and-handling-in-the-operating-theatre/" TargetMode="External"/><Relationship Id="rId12" Type="http://schemas.openxmlformats.org/officeDocument/2006/relationships/hyperlink" Target="https://www.rcn.org.uk/get-help/rcn-advice/moving-and-handling"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search.proquest.com/openview/9a1e87711a419268ba47e13807b80825/1?pq-origsite=gscholar&amp;cbl=2042228" TargetMode="External"/><Relationship Id="rId1" Type="http://schemas.openxmlformats.org/officeDocument/2006/relationships/numbering" Target="numbering.xml"/><Relationship Id="rId6" Type="http://schemas.openxmlformats.org/officeDocument/2006/relationships/hyperlink" Target="https://www.shponline.co.uk/legislation-and-guidance/an-analysis-of-the-effectiveness-of-the-health-and-safety-at-work-act/" TargetMode="External"/><Relationship Id="rId11" Type="http://schemas.openxmlformats.org/officeDocument/2006/relationships/hyperlink" Target="https://www.bcpft.nhs.uk/documents/policies/m/1665-manual-handling/file" TargetMode="External"/><Relationship Id="rId5" Type="http://schemas.openxmlformats.org/officeDocument/2006/relationships/hyperlink" Target="https://asphp.org/wp-content/uploads/2012/02/ArjoHuntleigh-Summary-ISO-TR-122961.pdf" TargetMode="External"/><Relationship Id="rId15" Type="http://schemas.openxmlformats.org/officeDocument/2006/relationships/hyperlink" Target="https://www.hse.gov.uk/aboutus/hse-story.htm" TargetMode="External"/><Relationship Id="rId10" Type="http://schemas.openxmlformats.org/officeDocument/2006/relationships/hyperlink" Target="https://www.lrbconsulting.co.uk/health-and-safety-blog/a-brief-history-of-health-and-safety/" TargetMode="External"/><Relationship Id="rId4" Type="http://schemas.openxmlformats.org/officeDocument/2006/relationships/webSettings" Target="webSettings.xml"/><Relationship Id="rId9" Type="http://schemas.openxmlformats.org/officeDocument/2006/relationships/hyperlink" Target="https://www.hse.gov.uk/toolbox/manual.htm" TargetMode="External"/><Relationship Id="rId14" Type="http://schemas.openxmlformats.org/officeDocument/2006/relationships/hyperlink" Target="https://www.hse.gov.uk/pubns/indg14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1857</TotalTime>
  <Pages>5</Pages>
  <Words>1482</Words>
  <Characters>8454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louise howells</dc:creator>
  <cp:keywords/>
  <dc:description/>
  <cp:lastModifiedBy>sarah  louise howells</cp:lastModifiedBy>
  <cp:revision>11</cp:revision>
  <cp:lastPrinted>2021-03-18T14:32:00Z</cp:lastPrinted>
  <dcterms:created xsi:type="dcterms:W3CDTF">2021-03-16T07:13:00Z</dcterms:created>
  <dcterms:modified xsi:type="dcterms:W3CDTF">2021-03-18T17:45:00Z</dcterms:modified>
</cp:coreProperties>
</file>