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77145" w14:textId="0863C4B0" w:rsidR="005962B9" w:rsidRDefault="005962B9" w:rsidP="004A47DB">
      <w:pPr>
        <w:spacing w:line="360" w:lineRule="auto"/>
        <w:rPr>
          <w:rFonts w:ascii="Arial" w:hAnsi="Arial" w:cs="Arial"/>
          <w:b/>
          <w:u w:val="single"/>
        </w:rPr>
      </w:pPr>
      <w:r>
        <w:rPr>
          <w:rFonts w:ascii="Arial" w:hAnsi="Arial" w:cs="Arial"/>
          <w:b/>
          <w:u w:val="single"/>
        </w:rPr>
        <w:t>Paraphrase a section from a selected book chapter</w:t>
      </w:r>
    </w:p>
    <w:p w14:paraId="767D4011" w14:textId="77777777" w:rsidR="00F07C65" w:rsidRPr="005962B9" w:rsidRDefault="00F07C65" w:rsidP="004A47DB">
      <w:pPr>
        <w:spacing w:line="360" w:lineRule="auto"/>
        <w:rPr>
          <w:rFonts w:ascii="Arial" w:hAnsi="Arial" w:cs="Arial"/>
          <w:b/>
          <w:u w:val="single"/>
        </w:rPr>
      </w:pPr>
    </w:p>
    <w:p w14:paraId="1EF7C293" w14:textId="1AF20E40" w:rsidR="006415CD" w:rsidRPr="005132DB" w:rsidRDefault="004A47DB" w:rsidP="004A47DB">
      <w:pPr>
        <w:spacing w:line="360" w:lineRule="auto"/>
        <w:rPr>
          <w:rFonts w:ascii="Arial" w:hAnsi="Arial" w:cs="Arial"/>
        </w:rPr>
      </w:pPr>
      <w:r w:rsidRPr="005132DB">
        <w:rPr>
          <w:rFonts w:ascii="Arial" w:hAnsi="Arial" w:cs="Arial"/>
        </w:rPr>
        <w:t xml:space="preserve">Adolescence has always been marked as the transition from childhood to adulthood. It is the period where </w:t>
      </w:r>
      <w:r w:rsidR="00B953A0" w:rsidRPr="005132DB">
        <w:rPr>
          <w:rFonts w:ascii="Arial" w:hAnsi="Arial" w:cs="Arial"/>
        </w:rPr>
        <w:t>a</w:t>
      </w:r>
      <w:r w:rsidRPr="005132DB">
        <w:rPr>
          <w:rFonts w:ascii="Arial" w:hAnsi="Arial" w:cs="Arial"/>
        </w:rPr>
        <w:t xml:space="preserve"> child is growing into maturity. Throughout this time, there is a lot of change happening, not only physically but mentally too. This could affect an individuals’ behaviour and their relationships with peers and parents. </w:t>
      </w:r>
    </w:p>
    <w:p w14:paraId="21F038C7" w14:textId="77777777" w:rsidR="004A47DB" w:rsidRPr="005132DB" w:rsidRDefault="004A47DB" w:rsidP="004A47DB">
      <w:pPr>
        <w:spacing w:line="360" w:lineRule="auto"/>
        <w:rPr>
          <w:rFonts w:ascii="Arial" w:hAnsi="Arial" w:cs="Arial"/>
        </w:rPr>
      </w:pPr>
      <w:r w:rsidRPr="005132DB">
        <w:rPr>
          <w:rFonts w:ascii="Arial" w:hAnsi="Arial" w:cs="Arial"/>
        </w:rPr>
        <w:t xml:space="preserve">There are multiple </w:t>
      </w:r>
      <w:r w:rsidR="001754F5" w:rsidRPr="005132DB">
        <w:rPr>
          <w:rFonts w:ascii="Arial" w:hAnsi="Arial" w:cs="Arial"/>
        </w:rPr>
        <w:t xml:space="preserve">factors </w:t>
      </w:r>
      <w:r w:rsidRPr="005132DB">
        <w:rPr>
          <w:rFonts w:ascii="Arial" w:hAnsi="Arial" w:cs="Arial"/>
        </w:rPr>
        <w:t>that play a role in the transition into adulthood including education</w:t>
      </w:r>
      <w:r w:rsidR="008200F2" w:rsidRPr="005132DB">
        <w:rPr>
          <w:rFonts w:ascii="Arial" w:hAnsi="Arial" w:cs="Arial"/>
        </w:rPr>
        <w:t xml:space="preserve"> and</w:t>
      </w:r>
      <w:r w:rsidRPr="005132DB">
        <w:rPr>
          <w:rFonts w:ascii="Arial" w:hAnsi="Arial" w:cs="Arial"/>
        </w:rPr>
        <w:t xml:space="preserve"> employment. These can all affect the experience of adolescence. </w:t>
      </w:r>
    </w:p>
    <w:p w14:paraId="17BEE6B0" w14:textId="77777777" w:rsidR="001754F5" w:rsidRPr="005132DB" w:rsidRDefault="001754F5" w:rsidP="004A47DB">
      <w:pPr>
        <w:spacing w:line="360" w:lineRule="auto"/>
        <w:rPr>
          <w:rFonts w:ascii="Arial" w:hAnsi="Arial" w:cs="Arial"/>
        </w:rPr>
      </w:pPr>
      <w:r w:rsidRPr="005132DB">
        <w:rPr>
          <w:rFonts w:ascii="Arial" w:hAnsi="Arial" w:cs="Arial"/>
        </w:rPr>
        <w:t xml:space="preserve">Over the generations, the transition to adulthood has changed greatly. Adolescents now are marrying later and are choosing to instead cohabit, </w:t>
      </w:r>
      <w:r w:rsidR="00B04935" w:rsidRPr="005132DB">
        <w:rPr>
          <w:rFonts w:ascii="Arial" w:hAnsi="Arial" w:cs="Arial"/>
        </w:rPr>
        <w:t xml:space="preserve">but the adolescent experience seems to be starting around 5 years earlier. This all prolongs the experience of adolescence but doesn’t come without consequences for some. With young people wanting freedom, it often results in problems such as teenage pregnancy, drug addictions and homelessness. </w:t>
      </w:r>
    </w:p>
    <w:p w14:paraId="11A4B0DA" w14:textId="77777777" w:rsidR="000B3FB8" w:rsidRPr="005132DB" w:rsidRDefault="001754F5" w:rsidP="004A47DB">
      <w:pPr>
        <w:spacing w:line="360" w:lineRule="auto"/>
        <w:rPr>
          <w:rFonts w:ascii="Arial" w:hAnsi="Arial" w:cs="Arial"/>
        </w:rPr>
      </w:pPr>
      <w:r w:rsidRPr="005132DB">
        <w:rPr>
          <w:rFonts w:ascii="Arial" w:hAnsi="Arial" w:cs="Arial"/>
        </w:rPr>
        <w:t>A</w:t>
      </w:r>
      <w:r w:rsidR="004A47DB" w:rsidRPr="005132DB">
        <w:rPr>
          <w:rFonts w:ascii="Arial" w:hAnsi="Arial" w:cs="Arial"/>
        </w:rPr>
        <w:t>dolescen</w:t>
      </w:r>
      <w:r w:rsidR="008200F2" w:rsidRPr="005132DB">
        <w:rPr>
          <w:rFonts w:ascii="Arial" w:hAnsi="Arial" w:cs="Arial"/>
        </w:rPr>
        <w:t>t</w:t>
      </w:r>
      <w:r w:rsidR="004A47DB" w:rsidRPr="005132DB">
        <w:rPr>
          <w:rFonts w:ascii="Arial" w:hAnsi="Arial" w:cs="Arial"/>
        </w:rPr>
        <w:t xml:space="preserve"> transitions can be categorised into “shifts”</w:t>
      </w:r>
      <w:r w:rsidR="000B3FB8" w:rsidRPr="005132DB">
        <w:rPr>
          <w:rFonts w:ascii="Arial" w:hAnsi="Arial" w:cs="Arial"/>
        </w:rPr>
        <w:t>- Normative and Non-normative</w:t>
      </w:r>
      <w:r w:rsidR="004A47DB" w:rsidRPr="005132DB">
        <w:rPr>
          <w:rFonts w:ascii="Arial" w:hAnsi="Arial" w:cs="Arial"/>
        </w:rPr>
        <w:t xml:space="preserve">. These shifts </w:t>
      </w:r>
      <w:r w:rsidR="000B3FB8" w:rsidRPr="005132DB">
        <w:rPr>
          <w:rFonts w:ascii="Arial" w:hAnsi="Arial" w:cs="Arial"/>
        </w:rPr>
        <w:t>categorise the normal and abnormal parts of adolescence.</w:t>
      </w:r>
    </w:p>
    <w:p w14:paraId="76215689" w14:textId="77777777" w:rsidR="000B3FB8" w:rsidRPr="005132DB" w:rsidRDefault="000B3FB8" w:rsidP="004A47DB">
      <w:pPr>
        <w:spacing w:line="360" w:lineRule="auto"/>
        <w:rPr>
          <w:rFonts w:ascii="Arial" w:hAnsi="Arial" w:cs="Arial"/>
        </w:rPr>
      </w:pPr>
      <w:r w:rsidRPr="005132DB">
        <w:rPr>
          <w:rFonts w:ascii="Arial" w:hAnsi="Arial" w:cs="Arial"/>
        </w:rPr>
        <w:t xml:space="preserve">The normal physiological shifts include a girls’ first menstruation, changes in genitals, male voice breaking and increased autonomy. Normal societal dependant shifts include the change from primary to secondary school, leaving education, sex and getting a full driving license. </w:t>
      </w:r>
    </w:p>
    <w:p w14:paraId="7801C093" w14:textId="77777777" w:rsidR="004A47DB" w:rsidRPr="005132DB" w:rsidRDefault="000B3FB8" w:rsidP="004A47DB">
      <w:pPr>
        <w:spacing w:line="360" w:lineRule="auto"/>
        <w:rPr>
          <w:rFonts w:ascii="Arial" w:hAnsi="Arial" w:cs="Arial"/>
        </w:rPr>
      </w:pPr>
      <w:r w:rsidRPr="005132DB">
        <w:rPr>
          <w:rFonts w:ascii="Arial" w:hAnsi="Arial" w:cs="Arial"/>
        </w:rPr>
        <w:t>The abnormal shifts are what is</w:t>
      </w:r>
      <w:r w:rsidR="008200F2" w:rsidRPr="005132DB">
        <w:rPr>
          <w:rFonts w:ascii="Arial" w:hAnsi="Arial" w:cs="Arial"/>
        </w:rPr>
        <w:t xml:space="preserve"> not</w:t>
      </w:r>
      <w:r w:rsidRPr="005132DB">
        <w:rPr>
          <w:rFonts w:ascii="Arial" w:hAnsi="Arial" w:cs="Arial"/>
        </w:rPr>
        <w:t xml:space="preserve"> expected from normal adolescence </w:t>
      </w:r>
      <w:r w:rsidR="0028655E" w:rsidRPr="005132DB">
        <w:rPr>
          <w:rFonts w:ascii="Arial" w:hAnsi="Arial" w:cs="Arial"/>
        </w:rPr>
        <w:t xml:space="preserve">- </w:t>
      </w:r>
      <w:r w:rsidRPr="005132DB">
        <w:rPr>
          <w:rFonts w:ascii="Arial" w:hAnsi="Arial" w:cs="Arial"/>
        </w:rPr>
        <w:t xml:space="preserve">but can occur. This could range from natural disasters, illness, disabilities or parental divorce. </w:t>
      </w:r>
    </w:p>
    <w:p w14:paraId="7645BC83" w14:textId="77777777" w:rsidR="00B04935" w:rsidRPr="005132DB" w:rsidRDefault="00B04935" w:rsidP="004A47DB">
      <w:pPr>
        <w:spacing w:line="360" w:lineRule="auto"/>
        <w:rPr>
          <w:rFonts w:ascii="Arial" w:hAnsi="Arial" w:cs="Arial"/>
        </w:rPr>
      </w:pPr>
      <w:r w:rsidRPr="005132DB">
        <w:rPr>
          <w:rFonts w:ascii="Arial" w:hAnsi="Arial" w:cs="Arial"/>
        </w:rPr>
        <w:t xml:space="preserve">Normative shifts can become non-normative when something happens to disrupt the normal happenings, such as leaving education and not entering employment or moving </w:t>
      </w:r>
      <w:r w:rsidR="008200F2" w:rsidRPr="005132DB">
        <w:rPr>
          <w:rFonts w:ascii="Arial" w:hAnsi="Arial" w:cs="Arial"/>
        </w:rPr>
        <w:t>out</w:t>
      </w:r>
      <w:r w:rsidRPr="005132DB">
        <w:rPr>
          <w:rFonts w:ascii="Arial" w:hAnsi="Arial" w:cs="Arial"/>
        </w:rPr>
        <w:t xml:space="preserve"> and becoming homeless.</w:t>
      </w:r>
    </w:p>
    <w:p w14:paraId="6C5DEA31" w14:textId="77777777" w:rsidR="000B3FB8" w:rsidRPr="005132DB" w:rsidRDefault="000B3FB8" w:rsidP="004A47DB">
      <w:pPr>
        <w:spacing w:line="360" w:lineRule="auto"/>
        <w:rPr>
          <w:rFonts w:ascii="Arial" w:hAnsi="Arial" w:cs="Arial"/>
        </w:rPr>
      </w:pPr>
      <w:r w:rsidRPr="005132DB">
        <w:rPr>
          <w:rFonts w:ascii="Arial" w:hAnsi="Arial" w:cs="Arial"/>
        </w:rPr>
        <w:t xml:space="preserve">Puberty is a very complicated and difficult process that all adolescents go through. Although everybody goes through it, no two experiences are the same. Even when the physical changes are the same, the timings can differ greatly. For </w:t>
      </w:r>
      <w:r w:rsidR="00B04935" w:rsidRPr="005132DB">
        <w:rPr>
          <w:rFonts w:ascii="Arial" w:hAnsi="Arial" w:cs="Arial"/>
        </w:rPr>
        <w:t>example,</w:t>
      </w:r>
      <w:r w:rsidRPr="005132DB">
        <w:rPr>
          <w:rFonts w:ascii="Arial" w:hAnsi="Arial" w:cs="Arial"/>
        </w:rPr>
        <w:t xml:space="preserve"> a girls</w:t>
      </w:r>
      <w:r w:rsidR="001754F5" w:rsidRPr="005132DB">
        <w:rPr>
          <w:rFonts w:ascii="Arial" w:hAnsi="Arial" w:cs="Arial"/>
        </w:rPr>
        <w:t>’</w:t>
      </w:r>
      <w:r w:rsidRPr="005132DB">
        <w:rPr>
          <w:rFonts w:ascii="Arial" w:hAnsi="Arial" w:cs="Arial"/>
        </w:rPr>
        <w:t xml:space="preserve"> first menstruation could come before or after their breasts </w:t>
      </w:r>
      <w:r w:rsidR="00B04935" w:rsidRPr="005132DB">
        <w:rPr>
          <w:rFonts w:ascii="Arial" w:hAnsi="Arial" w:cs="Arial"/>
        </w:rPr>
        <w:t>develop and</w:t>
      </w:r>
      <w:r w:rsidRPr="005132DB">
        <w:rPr>
          <w:rFonts w:ascii="Arial" w:hAnsi="Arial" w:cs="Arial"/>
        </w:rPr>
        <w:t xml:space="preserve"> can occur a lot earlier or later than their peers. </w:t>
      </w:r>
    </w:p>
    <w:p w14:paraId="69EE5CB3" w14:textId="77777777" w:rsidR="0028655E" w:rsidRPr="005132DB" w:rsidRDefault="0028655E" w:rsidP="004A47DB">
      <w:pPr>
        <w:spacing w:line="360" w:lineRule="auto"/>
        <w:rPr>
          <w:rFonts w:ascii="Arial" w:hAnsi="Arial" w:cs="Arial"/>
        </w:rPr>
      </w:pPr>
      <w:r w:rsidRPr="005132DB">
        <w:rPr>
          <w:rFonts w:ascii="Arial" w:hAnsi="Arial" w:cs="Arial"/>
        </w:rPr>
        <w:t>Puberty starts in females when the ovaries start to enlarge. This then follows with physical changes such as breasts enlarging, developing pubic hair and menstruation.</w:t>
      </w:r>
    </w:p>
    <w:p w14:paraId="78672574" w14:textId="77777777" w:rsidR="00B04935" w:rsidRPr="005132DB" w:rsidRDefault="0028655E" w:rsidP="004A47DB">
      <w:pPr>
        <w:spacing w:line="360" w:lineRule="auto"/>
        <w:rPr>
          <w:rFonts w:ascii="Arial" w:hAnsi="Arial" w:cs="Arial"/>
        </w:rPr>
      </w:pPr>
      <w:r w:rsidRPr="005132DB">
        <w:rPr>
          <w:rFonts w:ascii="Arial" w:hAnsi="Arial" w:cs="Arial"/>
        </w:rPr>
        <w:lastRenderedPageBreak/>
        <w:t>In males when the seminal vesicles and prostate gland enlarge, which starts off puberty and then is followed by pubic, chest and facial hair growth, and sperm production.</w:t>
      </w:r>
      <w:r w:rsidRPr="005132DB">
        <w:rPr>
          <w:rFonts w:ascii="Arial" w:hAnsi="Arial" w:cs="Arial"/>
        </w:rPr>
        <w:br/>
        <w:t>Although the changes in males and females are vastly different, one common denominator is the adolescent growth spurt which happens to everyone.</w:t>
      </w:r>
    </w:p>
    <w:p w14:paraId="2814B898" w14:textId="77777777" w:rsidR="0028655E" w:rsidRPr="005132DB" w:rsidRDefault="0028655E" w:rsidP="004A47DB">
      <w:pPr>
        <w:spacing w:line="360" w:lineRule="auto"/>
        <w:rPr>
          <w:rFonts w:ascii="Arial" w:hAnsi="Arial" w:cs="Arial"/>
        </w:rPr>
      </w:pPr>
      <w:r w:rsidRPr="005132DB">
        <w:rPr>
          <w:rFonts w:ascii="Arial" w:hAnsi="Arial" w:cs="Arial"/>
        </w:rPr>
        <w:t xml:space="preserve">Davies and Furnham (1986) said that it is common for adolescents to become </w:t>
      </w:r>
      <w:r w:rsidR="001754F5" w:rsidRPr="005132DB">
        <w:rPr>
          <w:rFonts w:ascii="Arial" w:hAnsi="Arial" w:cs="Arial"/>
        </w:rPr>
        <w:t>self-conscious</w:t>
      </w:r>
      <w:r w:rsidRPr="005132DB">
        <w:rPr>
          <w:rFonts w:ascii="Arial" w:hAnsi="Arial" w:cs="Arial"/>
        </w:rPr>
        <w:t xml:space="preserve"> of their body’s growing changes. Due to </w:t>
      </w:r>
      <w:r w:rsidR="001754F5" w:rsidRPr="005132DB">
        <w:rPr>
          <w:rFonts w:ascii="Arial" w:hAnsi="Arial" w:cs="Arial"/>
        </w:rPr>
        <w:t xml:space="preserve">cultural standards, adolescents become critical of their body and how they think they should look. This critical thinking can cause an abnormal shift in the way of dieting or eating disorders. Those who would be deemed under or overweight would be especially vulnerable to these non-normative shifts. </w:t>
      </w:r>
    </w:p>
    <w:p w14:paraId="3DFA76F6" w14:textId="77777777" w:rsidR="008200F2" w:rsidRPr="005132DB" w:rsidRDefault="008200F2" w:rsidP="004A47DB">
      <w:pPr>
        <w:spacing w:line="360" w:lineRule="auto"/>
        <w:rPr>
          <w:rFonts w:ascii="Arial" w:hAnsi="Arial" w:cs="Arial"/>
        </w:rPr>
      </w:pPr>
      <w:r w:rsidRPr="005132DB">
        <w:rPr>
          <w:rFonts w:ascii="Arial" w:hAnsi="Arial" w:cs="Arial"/>
        </w:rPr>
        <w:t>It is a normal part of puberty for females to gain weight at the onset of puberty, this in a cultural norm sense, is disadvantageous, putting females further away from their ideal self. Whereas males naturally mature towards their ideal body.</w:t>
      </w:r>
    </w:p>
    <w:p w14:paraId="4CB289BE" w14:textId="77777777" w:rsidR="0028655E" w:rsidRPr="005132DB" w:rsidRDefault="0028655E" w:rsidP="004A47DB">
      <w:pPr>
        <w:spacing w:line="360" w:lineRule="auto"/>
        <w:rPr>
          <w:rFonts w:ascii="Arial" w:hAnsi="Arial" w:cs="Arial"/>
        </w:rPr>
      </w:pPr>
    </w:p>
    <w:p w14:paraId="785B17B6" w14:textId="4A821F3C" w:rsidR="00AF1AE3" w:rsidRPr="005132DB" w:rsidRDefault="00AF1AE3" w:rsidP="00AF1AE3">
      <w:pPr>
        <w:pStyle w:val="NormalWeb"/>
        <w:rPr>
          <w:rFonts w:ascii="Arial" w:hAnsi="Arial" w:cs="Arial"/>
        </w:rPr>
      </w:pPr>
      <w:r w:rsidRPr="005132DB">
        <w:rPr>
          <w:rFonts w:ascii="Arial" w:hAnsi="Arial" w:cs="Arial"/>
        </w:rPr>
        <w:t xml:space="preserve">Book: Gross, R. (2010). Psychology: The science of mind and behaviour. London: Hodder Education. </w:t>
      </w:r>
    </w:p>
    <w:p w14:paraId="1D1E9F7B" w14:textId="3AD8EA7B" w:rsidR="005132DB" w:rsidRDefault="005132DB" w:rsidP="00AF1AE3">
      <w:pPr>
        <w:pStyle w:val="NormalWeb"/>
      </w:pPr>
    </w:p>
    <w:p w14:paraId="2AB1F2C1" w14:textId="77777777" w:rsidR="004470EF" w:rsidRDefault="004470EF" w:rsidP="005132DB">
      <w:pPr>
        <w:rPr>
          <w:rFonts w:ascii="Arial" w:hAnsi="Arial" w:cs="Arial"/>
        </w:rPr>
      </w:pPr>
    </w:p>
    <w:p w14:paraId="1F283EE3" w14:textId="77777777" w:rsidR="004470EF" w:rsidRDefault="004470EF" w:rsidP="005132DB">
      <w:pPr>
        <w:rPr>
          <w:rFonts w:ascii="Arial" w:hAnsi="Arial" w:cs="Arial"/>
        </w:rPr>
      </w:pPr>
    </w:p>
    <w:p w14:paraId="58561C5C" w14:textId="77777777" w:rsidR="004470EF" w:rsidRDefault="004470EF" w:rsidP="005132DB">
      <w:pPr>
        <w:rPr>
          <w:rFonts w:ascii="Arial" w:hAnsi="Arial" w:cs="Arial"/>
        </w:rPr>
      </w:pPr>
    </w:p>
    <w:p w14:paraId="3CB0B2D2" w14:textId="77777777" w:rsidR="004470EF" w:rsidRDefault="004470EF" w:rsidP="005132DB">
      <w:pPr>
        <w:rPr>
          <w:rFonts w:ascii="Arial" w:hAnsi="Arial" w:cs="Arial"/>
        </w:rPr>
      </w:pPr>
    </w:p>
    <w:p w14:paraId="2E689A12" w14:textId="77777777" w:rsidR="005962B9" w:rsidRDefault="005962B9" w:rsidP="005132DB">
      <w:pPr>
        <w:rPr>
          <w:rFonts w:ascii="Arial" w:hAnsi="Arial" w:cs="Arial"/>
        </w:rPr>
      </w:pPr>
    </w:p>
    <w:p w14:paraId="4D340E3B" w14:textId="77777777" w:rsidR="005962B9" w:rsidRDefault="005962B9" w:rsidP="005132DB">
      <w:pPr>
        <w:rPr>
          <w:rFonts w:ascii="Arial" w:hAnsi="Arial" w:cs="Arial"/>
        </w:rPr>
      </w:pPr>
    </w:p>
    <w:p w14:paraId="28C4167B" w14:textId="77777777" w:rsidR="005962B9" w:rsidRDefault="005962B9" w:rsidP="005132DB">
      <w:pPr>
        <w:rPr>
          <w:rFonts w:ascii="Arial" w:hAnsi="Arial" w:cs="Arial"/>
        </w:rPr>
      </w:pPr>
    </w:p>
    <w:p w14:paraId="4A4495A5" w14:textId="77777777" w:rsidR="005962B9" w:rsidRDefault="005962B9" w:rsidP="005132DB">
      <w:pPr>
        <w:rPr>
          <w:rFonts w:ascii="Arial" w:hAnsi="Arial" w:cs="Arial"/>
        </w:rPr>
      </w:pPr>
    </w:p>
    <w:p w14:paraId="28D92A31" w14:textId="77777777" w:rsidR="005962B9" w:rsidRDefault="005962B9" w:rsidP="005132DB">
      <w:pPr>
        <w:rPr>
          <w:rFonts w:ascii="Arial" w:hAnsi="Arial" w:cs="Arial"/>
        </w:rPr>
      </w:pPr>
    </w:p>
    <w:p w14:paraId="2AB009FF" w14:textId="77777777" w:rsidR="005962B9" w:rsidRDefault="005962B9" w:rsidP="005132DB">
      <w:pPr>
        <w:rPr>
          <w:rFonts w:ascii="Arial" w:hAnsi="Arial" w:cs="Arial"/>
        </w:rPr>
      </w:pPr>
    </w:p>
    <w:p w14:paraId="41278F2B" w14:textId="77777777" w:rsidR="005962B9" w:rsidRDefault="005962B9" w:rsidP="005132DB">
      <w:pPr>
        <w:rPr>
          <w:rFonts w:ascii="Arial" w:hAnsi="Arial" w:cs="Arial"/>
        </w:rPr>
      </w:pPr>
    </w:p>
    <w:p w14:paraId="5A6F575A" w14:textId="77777777" w:rsidR="005962B9" w:rsidRDefault="005962B9" w:rsidP="005132DB">
      <w:pPr>
        <w:rPr>
          <w:rFonts w:ascii="Arial" w:hAnsi="Arial" w:cs="Arial"/>
        </w:rPr>
      </w:pPr>
    </w:p>
    <w:p w14:paraId="79D7E98B" w14:textId="77777777" w:rsidR="005962B9" w:rsidRDefault="005962B9" w:rsidP="005132DB">
      <w:pPr>
        <w:rPr>
          <w:rFonts w:ascii="Arial" w:hAnsi="Arial" w:cs="Arial"/>
        </w:rPr>
      </w:pPr>
    </w:p>
    <w:p w14:paraId="61FC3639" w14:textId="77777777" w:rsidR="005962B9" w:rsidRDefault="005962B9" w:rsidP="005132DB">
      <w:pPr>
        <w:rPr>
          <w:rFonts w:ascii="Arial" w:hAnsi="Arial" w:cs="Arial"/>
        </w:rPr>
      </w:pPr>
    </w:p>
    <w:p w14:paraId="1043D141" w14:textId="77777777" w:rsidR="005962B9" w:rsidRDefault="005962B9" w:rsidP="005132DB">
      <w:pPr>
        <w:rPr>
          <w:rFonts w:ascii="Arial" w:hAnsi="Arial" w:cs="Arial"/>
        </w:rPr>
      </w:pPr>
    </w:p>
    <w:p w14:paraId="0AFCBBE1" w14:textId="77777777" w:rsidR="005962B9" w:rsidRDefault="005962B9" w:rsidP="005132DB">
      <w:pPr>
        <w:rPr>
          <w:rFonts w:ascii="Arial" w:hAnsi="Arial" w:cs="Arial"/>
        </w:rPr>
      </w:pPr>
    </w:p>
    <w:p w14:paraId="193DCE12" w14:textId="77777777" w:rsidR="005962B9" w:rsidRDefault="005962B9" w:rsidP="005132DB">
      <w:pPr>
        <w:rPr>
          <w:rFonts w:ascii="Arial" w:hAnsi="Arial" w:cs="Arial"/>
        </w:rPr>
      </w:pPr>
    </w:p>
    <w:p w14:paraId="5F20E335" w14:textId="77777777" w:rsidR="005962B9" w:rsidRDefault="005962B9" w:rsidP="005132DB">
      <w:pPr>
        <w:rPr>
          <w:rFonts w:ascii="Arial" w:hAnsi="Arial" w:cs="Arial"/>
        </w:rPr>
      </w:pPr>
    </w:p>
    <w:p w14:paraId="5FB8C6E7" w14:textId="77777777" w:rsidR="005962B9" w:rsidRDefault="005962B9" w:rsidP="005132DB">
      <w:pPr>
        <w:rPr>
          <w:rFonts w:ascii="Arial" w:hAnsi="Arial" w:cs="Arial"/>
        </w:rPr>
      </w:pPr>
    </w:p>
    <w:p w14:paraId="562DB44C" w14:textId="77777777" w:rsidR="005962B9" w:rsidRDefault="005962B9" w:rsidP="005132DB">
      <w:pPr>
        <w:rPr>
          <w:rFonts w:ascii="Arial" w:hAnsi="Arial" w:cs="Arial"/>
        </w:rPr>
      </w:pPr>
    </w:p>
    <w:p w14:paraId="43CB5BE4" w14:textId="67F5BE57" w:rsidR="005962B9" w:rsidRDefault="005962B9" w:rsidP="005132DB">
      <w:pPr>
        <w:rPr>
          <w:rFonts w:ascii="Arial" w:hAnsi="Arial" w:cs="Arial"/>
        </w:rPr>
      </w:pPr>
    </w:p>
    <w:p w14:paraId="5993F31C" w14:textId="1BE25B68" w:rsidR="005962B9" w:rsidRDefault="005962B9" w:rsidP="005132DB">
      <w:pPr>
        <w:rPr>
          <w:rFonts w:ascii="Arial" w:hAnsi="Arial" w:cs="Arial"/>
        </w:rPr>
      </w:pPr>
    </w:p>
    <w:p w14:paraId="55D95D47" w14:textId="46FADA04" w:rsidR="005962B9" w:rsidRDefault="005962B9" w:rsidP="005132DB">
      <w:pPr>
        <w:rPr>
          <w:rFonts w:ascii="Arial" w:hAnsi="Arial" w:cs="Arial"/>
          <w:b/>
          <w:u w:val="single"/>
        </w:rPr>
      </w:pPr>
      <w:r>
        <w:rPr>
          <w:rFonts w:ascii="Arial" w:hAnsi="Arial" w:cs="Arial"/>
          <w:b/>
          <w:u w:val="single"/>
        </w:rPr>
        <w:lastRenderedPageBreak/>
        <w:t xml:space="preserve">Summarise three journals into appropriate </w:t>
      </w:r>
      <w:proofErr w:type="gramStart"/>
      <w:r>
        <w:rPr>
          <w:rFonts w:ascii="Arial" w:hAnsi="Arial" w:cs="Arial"/>
          <w:b/>
          <w:u w:val="single"/>
        </w:rPr>
        <w:t>120-150 word</w:t>
      </w:r>
      <w:proofErr w:type="gramEnd"/>
      <w:r>
        <w:rPr>
          <w:rFonts w:ascii="Arial" w:hAnsi="Arial" w:cs="Arial"/>
          <w:b/>
          <w:u w:val="single"/>
        </w:rPr>
        <w:t xml:space="preserve"> abstracts</w:t>
      </w:r>
    </w:p>
    <w:p w14:paraId="208AAE83" w14:textId="03559004" w:rsidR="005962B9" w:rsidRDefault="005962B9" w:rsidP="005132DB">
      <w:pPr>
        <w:rPr>
          <w:rFonts w:ascii="Arial" w:hAnsi="Arial" w:cs="Arial"/>
          <w:b/>
          <w:u w:val="single"/>
        </w:rPr>
      </w:pPr>
    </w:p>
    <w:p w14:paraId="04829451" w14:textId="37B621EB" w:rsidR="005962B9" w:rsidRPr="005962B9" w:rsidRDefault="005962B9" w:rsidP="005132DB">
      <w:pPr>
        <w:rPr>
          <w:rFonts w:ascii="Arial" w:hAnsi="Arial" w:cs="Arial"/>
          <w:b/>
          <w:u w:val="single"/>
        </w:rPr>
      </w:pPr>
      <w:r>
        <w:rPr>
          <w:rFonts w:ascii="Arial" w:hAnsi="Arial" w:cs="Arial"/>
          <w:b/>
          <w:u w:val="single"/>
        </w:rPr>
        <w:t>Journal 1</w:t>
      </w:r>
    </w:p>
    <w:p w14:paraId="076E1D4E" w14:textId="326ABC6C" w:rsidR="005132DB" w:rsidRPr="004816A7" w:rsidRDefault="005132DB" w:rsidP="005132DB">
      <w:pPr>
        <w:rPr>
          <w:rFonts w:ascii="Arial" w:hAnsi="Arial" w:cs="Arial"/>
        </w:rPr>
      </w:pPr>
      <w:r>
        <w:rPr>
          <w:rFonts w:ascii="Arial" w:hAnsi="Arial" w:cs="Arial"/>
        </w:rPr>
        <w:t>This a</w:t>
      </w:r>
      <w:r w:rsidRPr="00FE63AB">
        <w:rPr>
          <w:rFonts w:ascii="Arial" w:hAnsi="Arial" w:cs="Arial"/>
        </w:rPr>
        <w:t>rticle focuses on how to write a good abstract for a scientific journal or conference presentation</w:t>
      </w:r>
      <w:r>
        <w:rPr>
          <w:rFonts w:ascii="Arial" w:hAnsi="Arial" w:cs="Arial"/>
        </w:rPr>
        <w:t>. The a</w:t>
      </w:r>
      <w:r w:rsidRPr="004816A7">
        <w:rPr>
          <w:rFonts w:ascii="Arial" w:hAnsi="Arial" w:cs="Arial"/>
        </w:rPr>
        <w:t>bstract is the part</w:t>
      </w:r>
      <w:r>
        <w:rPr>
          <w:rFonts w:ascii="Arial" w:hAnsi="Arial" w:cs="Arial"/>
        </w:rPr>
        <w:t xml:space="preserve"> of a journal</w:t>
      </w:r>
      <w:r w:rsidRPr="004816A7">
        <w:rPr>
          <w:rFonts w:ascii="Arial" w:hAnsi="Arial" w:cs="Arial"/>
        </w:rPr>
        <w:t xml:space="preserve"> that captures the interest of a reader,</w:t>
      </w:r>
      <w:r>
        <w:rPr>
          <w:rFonts w:ascii="Arial" w:hAnsi="Arial" w:cs="Arial"/>
        </w:rPr>
        <w:t xml:space="preserve"> so i</w:t>
      </w:r>
      <w:r w:rsidRPr="004816A7">
        <w:rPr>
          <w:rFonts w:ascii="Arial" w:hAnsi="Arial" w:cs="Arial"/>
        </w:rPr>
        <w:t xml:space="preserve">t needs structure that </w:t>
      </w:r>
      <w:r>
        <w:rPr>
          <w:rFonts w:ascii="Arial" w:hAnsi="Arial" w:cs="Arial"/>
        </w:rPr>
        <w:t>has</w:t>
      </w:r>
      <w:r w:rsidRPr="004816A7">
        <w:rPr>
          <w:rFonts w:ascii="Arial" w:hAnsi="Arial" w:cs="Arial"/>
        </w:rPr>
        <w:t xml:space="preserve"> to be clear</w:t>
      </w:r>
      <w:r>
        <w:rPr>
          <w:rFonts w:ascii="Arial" w:hAnsi="Arial" w:cs="Arial"/>
        </w:rPr>
        <w:t>. Firstly, the abstract</w:t>
      </w:r>
      <w:r w:rsidRPr="004816A7">
        <w:rPr>
          <w:rFonts w:ascii="Arial" w:hAnsi="Arial" w:cs="Arial"/>
        </w:rPr>
        <w:t xml:space="preserve"> should outline what information is </w:t>
      </w:r>
      <w:r>
        <w:rPr>
          <w:rFonts w:ascii="Arial" w:hAnsi="Arial" w:cs="Arial"/>
        </w:rPr>
        <w:t xml:space="preserve">already </w:t>
      </w:r>
      <w:r w:rsidRPr="004816A7">
        <w:rPr>
          <w:rFonts w:ascii="Arial" w:hAnsi="Arial" w:cs="Arial"/>
        </w:rPr>
        <w:t xml:space="preserve">known and </w:t>
      </w:r>
      <w:r>
        <w:rPr>
          <w:rFonts w:ascii="Arial" w:hAnsi="Arial" w:cs="Arial"/>
        </w:rPr>
        <w:t xml:space="preserve">what </w:t>
      </w:r>
      <w:r w:rsidRPr="004816A7">
        <w:rPr>
          <w:rFonts w:ascii="Arial" w:hAnsi="Arial" w:cs="Arial"/>
        </w:rPr>
        <w:t>the paper will show.</w:t>
      </w:r>
    </w:p>
    <w:p w14:paraId="2666FBCD" w14:textId="77777777" w:rsidR="005132DB" w:rsidRPr="004816A7" w:rsidRDefault="005132DB" w:rsidP="005132DB">
      <w:pPr>
        <w:rPr>
          <w:rFonts w:ascii="Arial" w:hAnsi="Arial" w:cs="Arial"/>
        </w:rPr>
      </w:pPr>
      <w:r>
        <w:rPr>
          <w:rFonts w:ascii="Arial" w:hAnsi="Arial" w:cs="Arial"/>
        </w:rPr>
        <w:t>Then i</w:t>
      </w:r>
      <w:r w:rsidRPr="004816A7">
        <w:rPr>
          <w:rFonts w:ascii="Arial" w:hAnsi="Arial" w:cs="Arial"/>
        </w:rPr>
        <w:t xml:space="preserve">nformation </w:t>
      </w:r>
      <w:r>
        <w:rPr>
          <w:rFonts w:ascii="Arial" w:hAnsi="Arial" w:cs="Arial"/>
        </w:rPr>
        <w:t xml:space="preserve">needs to be provided </w:t>
      </w:r>
      <w:r w:rsidRPr="004816A7">
        <w:rPr>
          <w:rFonts w:ascii="Arial" w:hAnsi="Arial" w:cs="Arial"/>
        </w:rPr>
        <w:t xml:space="preserve">to help </w:t>
      </w:r>
      <w:r>
        <w:rPr>
          <w:rFonts w:ascii="Arial" w:hAnsi="Arial" w:cs="Arial"/>
        </w:rPr>
        <w:t xml:space="preserve">the </w:t>
      </w:r>
      <w:r w:rsidRPr="004816A7">
        <w:rPr>
          <w:rFonts w:ascii="Arial" w:hAnsi="Arial" w:cs="Arial"/>
        </w:rPr>
        <w:t xml:space="preserve">reader see what was done </w:t>
      </w:r>
      <w:r>
        <w:rPr>
          <w:rFonts w:ascii="Arial" w:hAnsi="Arial" w:cs="Arial"/>
        </w:rPr>
        <w:t xml:space="preserve">during the study </w:t>
      </w:r>
      <w:r w:rsidRPr="004816A7">
        <w:rPr>
          <w:rFonts w:ascii="Arial" w:hAnsi="Arial" w:cs="Arial"/>
        </w:rPr>
        <w:t>and how</w:t>
      </w:r>
      <w:r>
        <w:rPr>
          <w:rFonts w:ascii="Arial" w:hAnsi="Arial" w:cs="Arial"/>
        </w:rPr>
        <w:t>. It is i</w:t>
      </w:r>
      <w:r w:rsidRPr="004816A7">
        <w:rPr>
          <w:rFonts w:ascii="Arial" w:hAnsi="Arial" w:cs="Arial"/>
        </w:rPr>
        <w:t xml:space="preserve">mportant that the author is not misleading about the content by leaving out </w:t>
      </w:r>
      <w:r>
        <w:rPr>
          <w:rFonts w:ascii="Arial" w:hAnsi="Arial" w:cs="Arial"/>
        </w:rPr>
        <w:t xml:space="preserve">any </w:t>
      </w:r>
      <w:r w:rsidRPr="004816A7">
        <w:rPr>
          <w:rFonts w:ascii="Arial" w:hAnsi="Arial" w:cs="Arial"/>
        </w:rPr>
        <w:t>key details</w:t>
      </w:r>
      <w:r>
        <w:rPr>
          <w:rFonts w:ascii="Arial" w:hAnsi="Arial" w:cs="Arial"/>
        </w:rPr>
        <w:t>.</w:t>
      </w:r>
    </w:p>
    <w:p w14:paraId="57D69F5E" w14:textId="77777777" w:rsidR="005132DB" w:rsidRPr="004816A7" w:rsidRDefault="005132DB" w:rsidP="005132DB">
      <w:pPr>
        <w:rPr>
          <w:rFonts w:ascii="Arial" w:hAnsi="Arial" w:cs="Arial"/>
        </w:rPr>
      </w:pPr>
      <w:r>
        <w:rPr>
          <w:rFonts w:ascii="Arial" w:hAnsi="Arial" w:cs="Arial"/>
        </w:rPr>
        <w:t xml:space="preserve">The longest and most fundamental </w:t>
      </w:r>
      <w:r w:rsidRPr="004816A7">
        <w:rPr>
          <w:rFonts w:ascii="Arial" w:hAnsi="Arial" w:cs="Arial"/>
        </w:rPr>
        <w:t xml:space="preserve">part </w:t>
      </w:r>
      <w:r>
        <w:rPr>
          <w:rFonts w:ascii="Arial" w:hAnsi="Arial" w:cs="Arial"/>
        </w:rPr>
        <w:t>should be</w:t>
      </w:r>
      <w:r w:rsidRPr="004816A7">
        <w:rPr>
          <w:rFonts w:ascii="Arial" w:hAnsi="Arial" w:cs="Arial"/>
        </w:rPr>
        <w:t xml:space="preserve"> </w:t>
      </w:r>
      <w:r>
        <w:rPr>
          <w:rFonts w:ascii="Arial" w:hAnsi="Arial" w:cs="Arial"/>
        </w:rPr>
        <w:t xml:space="preserve">the </w:t>
      </w:r>
      <w:r w:rsidRPr="004816A7">
        <w:rPr>
          <w:rFonts w:ascii="Arial" w:hAnsi="Arial" w:cs="Arial"/>
        </w:rPr>
        <w:t>results</w:t>
      </w:r>
      <w:r>
        <w:rPr>
          <w:rFonts w:ascii="Arial" w:hAnsi="Arial" w:cs="Arial"/>
        </w:rPr>
        <w:t>, this is the part that most read the abstract for.</w:t>
      </w:r>
    </w:p>
    <w:p w14:paraId="5FACC651" w14:textId="77777777" w:rsidR="005132DB" w:rsidRDefault="005132DB" w:rsidP="005132DB">
      <w:pPr>
        <w:rPr>
          <w:rFonts w:ascii="Arial" w:hAnsi="Arial" w:cs="Arial"/>
        </w:rPr>
      </w:pPr>
      <w:r>
        <w:rPr>
          <w:rFonts w:ascii="Arial" w:hAnsi="Arial" w:cs="Arial"/>
        </w:rPr>
        <w:t xml:space="preserve">And lastly a </w:t>
      </w:r>
      <w:r w:rsidRPr="004816A7">
        <w:rPr>
          <w:rFonts w:ascii="Arial" w:hAnsi="Arial" w:cs="Arial"/>
        </w:rPr>
        <w:t xml:space="preserve">brief but honest </w:t>
      </w:r>
      <w:r>
        <w:rPr>
          <w:rFonts w:ascii="Arial" w:hAnsi="Arial" w:cs="Arial"/>
        </w:rPr>
        <w:t>conclusion</w:t>
      </w:r>
      <w:r w:rsidRPr="004816A7">
        <w:rPr>
          <w:rFonts w:ascii="Arial" w:hAnsi="Arial" w:cs="Arial"/>
        </w:rPr>
        <w:t xml:space="preserve"> to outline the key points</w:t>
      </w:r>
      <w:r>
        <w:rPr>
          <w:rFonts w:ascii="Arial" w:hAnsi="Arial" w:cs="Arial"/>
        </w:rPr>
        <w:t xml:space="preserve"> and </w:t>
      </w:r>
      <w:r w:rsidRPr="004816A7">
        <w:rPr>
          <w:rFonts w:ascii="Arial" w:hAnsi="Arial" w:cs="Arial"/>
        </w:rPr>
        <w:t>main importance of the study</w:t>
      </w:r>
      <w:r>
        <w:rPr>
          <w:rFonts w:ascii="Arial" w:hAnsi="Arial" w:cs="Arial"/>
        </w:rPr>
        <w:t>. It is usual, but not compulsory for the author to provide his opinion also.</w:t>
      </w:r>
    </w:p>
    <w:p w14:paraId="02410438" w14:textId="77777777" w:rsidR="005132DB" w:rsidRDefault="005132DB" w:rsidP="005132DB">
      <w:pPr>
        <w:rPr>
          <w:rFonts w:ascii="Arial" w:hAnsi="Arial" w:cs="Arial"/>
        </w:rPr>
      </w:pPr>
    </w:p>
    <w:p w14:paraId="134B9650" w14:textId="61401879" w:rsidR="005132DB" w:rsidRDefault="005132DB" w:rsidP="005132DB">
      <w:pPr>
        <w:rPr>
          <w:rFonts w:ascii="Arial" w:eastAsia="Times New Roman" w:hAnsi="Arial" w:cs="Arial"/>
          <w:color w:val="000000" w:themeColor="text1"/>
        </w:rPr>
      </w:pPr>
      <w:r w:rsidRPr="00BB13A2">
        <w:rPr>
          <w:rFonts w:ascii="Arial" w:eastAsia="Times New Roman" w:hAnsi="Arial" w:cs="Arial"/>
          <w:color w:val="000000" w:themeColor="text1"/>
        </w:rPr>
        <w:t>Indian J Psychiatry. 2011 Apr-Jun; 53(2): 172–175. </w:t>
      </w:r>
      <w:proofErr w:type="spellStart"/>
      <w:r w:rsidRPr="00BB13A2">
        <w:rPr>
          <w:rFonts w:ascii="Arial" w:eastAsia="Times New Roman" w:hAnsi="Arial" w:cs="Arial"/>
          <w:color w:val="000000" w:themeColor="text1"/>
        </w:rPr>
        <w:t>doi</w:t>
      </w:r>
      <w:proofErr w:type="spellEnd"/>
      <w:r w:rsidRPr="00BB13A2">
        <w:rPr>
          <w:rFonts w:ascii="Arial" w:eastAsia="Times New Roman" w:hAnsi="Arial" w:cs="Arial"/>
          <w:color w:val="000000" w:themeColor="text1"/>
        </w:rPr>
        <w:t>:  [10.4103/0019-5545.82558]</w:t>
      </w:r>
    </w:p>
    <w:p w14:paraId="6A1366F5" w14:textId="0561C117" w:rsidR="005962B9" w:rsidRDefault="005962B9" w:rsidP="005132DB">
      <w:pPr>
        <w:rPr>
          <w:rFonts w:ascii="Arial" w:eastAsia="Times New Roman" w:hAnsi="Arial" w:cs="Arial"/>
          <w:color w:val="000000" w:themeColor="text1"/>
        </w:rPr>
      </w:pPr>
    </w:p>
    <w:p w14:paraId="12393B0B" w14:textId="5E7901E5" w:rsidR="005962B9" w:rsidRDefault="005962B9" w:rsidP="005132DB">
      <w:pPr>
        <w:rPr>
          <w:rFonts w:ascii="Arial" w:eastAsia="Times New Roman" w:hAnsi="Arial" w:cs="Arial"/>
          <w:b/>
          <w:color w:val="000000" w:themeColor="text1"/>
          <w:u w:val="single"/>
        </w:rPr>
      </w:pPr>
      <w:r>
        <w:rPr>
          <w:rFonts w:ascii="Arial" w:eastAsia="Times New Roman" w:hAnsi="Arial" w:cs="Arial"/>
          <w:b/>
          <w:color w:val="000000" w:themeColor="text1"/>
          <w:u w:val="single"/>
        </w:rPr>
        <w:t>Journal 2</w:t>
      </w:r>
    </w:p>
    <w:p w14:paraId="4ABB2083" w14:textId="77777777" w:rsidR="005962B9" w:rsidRDefault="005962B9" w:rsidP="005962B9">
      <w:pPr>
        <w:rPr>
          <w:rFonts w:ascii="Arial" w:hAnsi="Arial" w:cs="Arial"/>
        </w:rPr>
      </w:pPr>
      <w:r>
        <w:rPr>
          <w:rFonts w:ascii="Arial" w:hAnsi="Arial" w:cs="Arial"/>
        </w:rPr>
        <w:t xml:space="preserve">This article looks at the connection between narcissism and health and well-being. </w:t>
      </w:r>
    </w:p>
    <w:p w14:paraId="07DB1F54" w14:textId="412922DE" w:rsidR="005962B9" w:rsidRDefault="005962B9" w:rsidP="005962B9">
      <w:pPr>
        <w:rPr>
          <w:rFonts w:ascii="Arial" w:hAnsi="Arial" w:cs="Arial"/>
        </w:rPr>
      </w:pPr>
      <w:r>
        <w:rPr>
          <w:rFonts w:ascii="Arial" w:hAnsi="Arial" w:cs="Arial"/>
        </w:rPr>
        <w:t xml:space="preserve">Test were carried out on 365 undergraduate students, ranging from the ages of 18 to 43, to determine if narcissism has an effect on health behaviours. It was found that there is a connection to mental health problems like depression and anxiety, but also to habits such as regular exercise and consistent healthy eating - due to an increased self-consciousness and vanity. It was found that narcissism also related to unhealthy habits such as alcoholism, smoking, marijuana use and gambling. </w:t>
      </w:r>
    </w:p>
    <w:p w14:paraId="1358A4E8" w14:textId="49DDEC42" w:rsidR="005962B9" w:rsidRDefault="005962B9" w:rsidP="005962B9">
      <w:pPr>
        <w:rPr>
          <w:rFonts w:ascii="Arial" w:hAnsi="Arial" w:cs="Arial"/>
        </w:rPr>
      </w:pPr>
      <w:r>
        <w:rPr>
          <w:rFonts w:ascii="Arial" w:hAnsi="Arial" w:cs="Arial"/>
        </w:rPr>
        <w:t xml:space="preserve">Results of the </w:t>
      </w:r>
      <w:proofErr w:type="gramStart"/>
      <w:r>
        <w:rPr>
          <w:rFonts w:ascii="Arial" w:hAnsi="Arial" w:cs="Arial"/>
        </w:rPr>
        <w:t>long and short term</w:t>
      </w:r>
      <w:proofErr w:type="gramEnd"/>
      <w:r>
        <w:rPr>
          <w:rFonts w:ascii="Arial" w:hAnsi="Arial" w:cs="Arial"/>
        </w:rPr>
        <w:t xml:space="preserve"> effects on health and well-being are discussed but it is concluded that more research is needed to be done to pinpoint the different motivational, cognitive and social elements.</w:t>
      </w:r>
    </w:p>
    <w:p w14:paraId="61BD89C6" w14:textId="3F5B5D0D" w:rsidR="005962B9" w:rsidRPr="005962B9" w:rsidRDefault="005962B9" w:rsidP="005962B9">
      <w:pPr>
        <w:rPr>
          <w:rFonts w:ascii="Arial" w:hAnsi="Arial" w:cs="Arial"/>
        </w:rPr>
      </w:pPr>
    </w:p>
    <w:p w14:paraId="5F9308FD" w14:textId="77777777" w:rsidR="005962B9" w:rsidRPr="005962B9" w:rsidRDefault="005962B9" w:rsidP="005962B9">
      <w:pPr>
        <w:rPr>
          <w:rFonts w:ascii="Times New Roman" w:eastAsia="Times New Roman" w:hAnsi="Times New Roman" w:cs="Times New Roman"/>
        </w:rPr>
      </w:pPr>
      <w:r w:rsidRPr="005962B9">
        <w:rPr>
          <w:rFonts w:ascii="Arial" w:eastAsia="Times New Roman" w:hAnsi="Arial" w:cs="Arial"/>
          <w:color w:val="222222"/>
          <w:shd w:val="clear" w:color="auto" w:fill="FFFFFF"/>
        </w:rPr>
        <w:t xml:space="preserve">Hill, E. M. (2016). The role of narcissism in health-risk and health-protective </w:t>
      </w:r>
      <w:proofErr w:type="spellStart"/>
      <w:r w:rsidRPr="005962B9">
        <w:rPr>
          <w:rFonts w:ascii="Arial" w:eastAsia="Times New Roman" w:hAnsi="Arial" w:cs="Arial"/>
          <w:color w:val="222222"/>
          <w:shd w:val="clear" w:color="auto" w:fill="FFFFFF"/>
        </w:rPr>
        <w:t>behaviors</w:t>
      </w:r>
      <w:proofErr w:type="spellEnd"/>
      <w:r w:rsidRPr="005962B9">
        <w:rPr>
          <w:rFonts w:ascii="Arial" w:eastAsia="Times New Roman" w:hAnsi="Arial" w:cs="Arial"/>
          <w:color w:val="222222"/>
          <w:shd w:val="clear" w:color="auto" w:fill="FFFFFF"/>
        </w:rPr>
        <w:t>. </w:t>
      </w:r>
      <w:r w:rsidRPr="005962B9">
        <w:rPr>
          <w:rFonts w:ascii="Arial" w:eastAsia="Times New Roman" w:hAnsi="Arial" w:cs="Arial"/>
          <w:i/>
          <w:iCs/>
          <w:color w:val="222222"/>
        </w:rPr>
        <w:t>Journal of health psychology</w:t>
      </w:r>
      <w:r w:rsidRPr="005962B9">
        <w:rPr>
          <w:rFonts w:ascii="Arial" w:eastAsia="Times New Roman" w:hAnsi="Arial" w:cs="Arial"/>
          <w:color w:val="222222"/>
          <w:shd w:val="clear" w:color="auto" w:fill="FFFFFF"/>
        </w:rPr>
        <w:t>, </w:t>
      </w:r>
      <w:r w:rsidRPr="005962B9">
        <w:rPr>
          <w:rFonts w:ascii="Arial" w:eastAsia="Times New Roman" w:hAnsi="Arial" w:cs="Arial"/>
          <w:i/>
          <w:iCs/>
          <w:color w:val="222222"/>
        </w:rPr>
        <w:t>21</w:t>
      </w:r>
      <w:r w:rsidRPr="005962B9">
        <w:rPr>
          <w:rFonts w:ascii="Arial" w:eastAsia="Times New Roman" w:hAnsi="Arial" w:cs="Arial"/>
          <w:color w:val="222222"/>
          <w:shd w:val="clear" w:color="auto" w:fill="FFFFFF"/>
        </w:rPr>
        <w:t>(9), 2021-2032</w:t>
      </w:r>
      <w:r w:rsidRPr="005962B9">
        <w:rPr>
          <w:rFonts w:ascii="Arial" w:eastAsia="Times New Roman" w:hAnsi="Arial" w:cs="Arial"/>
          <w:color w:val="222222"/>
          <w:sz w:val="20"/>
          <w:szCs w:val="20"/>
          <w:shd w:val="clear" w:color="auto" w:fill="FFFFFF"/>
        </w:rPr>
        <w:t>.</w:t>
      </w:r>
    </w:p>
    <w:p w14:paraId="6F9C6A55" w14:textId="5EA83DCE" w:rsidR="005962B9" w:rsidRDefault="005962B9" w:rsidP="005962B9">
      <w:pPr>
        <w:rPr>
          <w:rFonts w:ascii="Arial" w:hAnsi="Arial" w:cs="Arial"/>
        </w:rPr>
      </w:pPr>
    </w:p>
    <w:p w14:paraId="7757FCA5" w14:textId="05844CF7" w:rsidR="005962B9" w:rsidRDefault="005962B9" w:rsidP="005962B9">
      <w:pPr>
        <w:rPr>
          <w:rFonts w:ascii="Arial" w:hAnsi="Arial" w:cs="Arial"/>
        </w:rPr>
      </w:pPr>
    </w:p>
    <w:p w14:paraId="3F895F7F" w14:textId="696BC748" w:rsidR="005962B9" w:rsidRDefault="005962B9" w:rsidP="005962B9">
      <w:pPr>
        <w:rPr>
          <w:rFonts w:ascii="Arial" w:hAnsi="Arial" w:cs="Arial"/>
          <w:b/>
          <w:u w:val="single"/>
        </w:rPr>
      </w:pPr>
      <w:r>
        <w:rPr>
          <w:rFonts w:ascii="Arial" w:hAnsi="Arial" w:cs="Arial"/>
          <w:b/>
          <w:u w:val="single"/>
        </w:rPr>
        <w:t xml:space="preserve">Journal 3 </w:t>
      </w:r>
    </w:p>
    <w:p w14:paraId="6FA1DBF8" w14:textId="77777777" w:rsidR="009B0096" w:rsidRDefault="009B0096" w:rsidP="009B0096">
      <w:r>
        <w:t>A study was undertaken with 785 college students on 17 general education courses in 2007.  The study was done to assess the part which the theory of planned behaviour has in gambling behaviour. In particular, the study looked at whether attitudes, subjective norms, and perceived behavioural control could predict the frequency of gambling and predictions of past-year gambling.</w:t>
      </w:r>
    </w:p>
    <w:p w14:paraId="2F80B5ED" w14:textId="77777777" w:rsidR="009B0096" w:rsidRDefault="009B0096" w:rsidP="009B0096">
      <w:r>
        <w:t xml:space="preserve">There is conflicting evidence on this subject, however one theory suggests that students who do participate in gambling are likely to do so more intensely than those of the general public who also gamble. It has been shown that college students who gamble are more likely than those who do not, to use substances such as tobacco, marijuana and alcohol. </w:t>
      </w:r>
    </w:p>
    <w:p w14:paraId="663AF4E4" w14:textId="4D181018" w:rsidR="009B0096" w:rsidRDefault="009B0096" w:rsidP="009B0096">
      <w:r>
        <w:t>Despite limitations, it was concluded that the theory of planned behaviour was better at predicting gambling frequency than past-year gambling.</w:t>
      </w:r>
    </w:p>
    <w:p w14:paraId="2F2E4003" w14:textId="1C5A7E05" w:rsidR="009B0096" w:rsidRDefault="009B0096" w:rsidP="009B0096"/>
    <w:p w14:paraId="5AAEA31A" w14:textId="77777777" w:rsidR="009B0096" w:rsidRPr="009B0096" w:rsidRDefault="009B0096" w:rsidP="009B0096">
      <w:pPr>
        <w:rPr>
          <w:rFonts w:ascii="Times New Roman" w:eastAsia="Times New Roman" w:hAnsi="Times New Roman" w:cs="Times New Roman"/>
          <w:sz w:val="22"/>
          <w:szCs w:val="22"/>
        </w:rPr>
      </w:pPr>
      <w:r w:rsidRPr="009B0096">
        <w:rPr>
          <w:rFonts w:ascii="Arial" w:eastAsia="Times New Roman" w:hAnsi="Arial" w:cs="Arial"/>
          <w:color w:val="222222"/>
          <w:sz w:val="22"/>
          <w:szCs w:val="22"/>
          <w:shd w:val="clear" w:color="auto" w:fill="FFFFFF"/>
        </w:rPr>
        <w:t xml:space="preserve">Martin, R. J., </w:t>
      </w:r>
      <w:proofErr w:type="spellStart"/>
      <w:r w:rsidRPr="009B0096">
        <w:rPr>
          <w:rFonts w:ascii="Arial" w:eastAsia="Times New Roman" w:hAnsi="Arial" w:cs="Arial"/>
          <w:color w:val="222222"/>
          <w:sz w:val="22"/>
          <w:szCs w:val="22"/>
          <w:shd w:val="clear" w:color="auto" w:fill="FFFFFF"/>
        </w:rPr>
        <w:t>Usdan</w:t>
      </w:r>
      <w:proofErr w:type="spellEnd"/>
      <w:r w:rsidRPr="009B0096">
        <w:rPr>
          <w:rFonts w:ascii="Arial" w:eastAsia="Times New Roman" w:hAnsi="Arial" w:cs="Arial"/>
          <w:color w:val="222222"/>
          <w:sz w:val="22"/>
          <w:szCs w:val="22"/>
          <w:shd w:val="clear" w:color="auto" w:fill="FFFFFF"/>
        </w:rPr>
        <w:t xml:space="preserve">, S., Nelson, S., </w:t>
      </w:r>
      <w:proofErr w:type="spellStart"/>
      <w:r w:rsidRPr="009B0096">
        <w:rPr>
          <w:rFonts w:ascii="Arial" w:eastAsia="Times New Roman" w:hAnsi="Arial" w:cs="Arial"/>
          <w:color w:val="222222"/>
          <w:sz w:val="22"/>
          <w:szCs w:val="22"/>
          <w:shd w:val="clear" w:color="auto" w:fill="FFFFFF"/>
        </w:rPr>
        <w:t>Umstattd</w:t>
      </w:r>
      <w:proofErr w:type="spellEnd"/>
      <w:r w:rsidRPr="009B0096">
        <w:rPr>
          <w:rFonts w:ascii="Arial" w:eastAsia="Times New Roman" w:hAnsi="Arial" w:cs="Arial"/>
          <w:color w:val="222222"/>
          <w:sz w:val="22"/>
          <w:szCs w:val="22"/>
          <w:shd w:val="clear" w:color="auto" w:fill="FFFFFF"/>
        </w:rPr>
        <w:t xml:space="preserve">, M. R., LaPlante, D., </w:t>
      </w:r>
      <w:proofErr w:type="spellStart"/>
      <w:r w:rsidRPr="009B0096">
        <w:rPr>
          <w:rFonts w:ascii="Arial" w:eastAsia="Times New Roman" w:hAnsi="Arial" w:cs="Arial"/>
          <w:color w:val="222222"/>
          <w:sz w:val="22"/>
          <w:szCs w:val="22"/>
          <w:shd w:val="clear" w:color="auto" w:fill="FFFFFF"/>
        </w:rPr>
        <w:t>Perko</w:t>
      </w:r>
      <w:proofErr w:type="spellEnd"/>
      <w:r w:rsidRPr="009B0096">
        <w:rPr>
          <w:rFonts w:ascii="Arial" w:eastAsia="Times New Roman" w:hAnsi="Arial" w:cs="Arial"/>
          <w:color w:val="222222"/>
          <w:sz w:val="22"/>
          <w:szCs w:val="22"/>
          <w:shd w:val="clear" w:color="auto" w:fill="FFFFFF"/>
        </w:rPr>
        <w:t xml:space="preserve">, M., &amp; Shaffer, H. (2010). Using the theory of planned </w:t>
      </w:r>
      <w:proofErr w:type="spellStart"/>
      <w:r w:rsidRPr="009B0096">
        <w:rPr>
          <w:rFonts w:ascii="Arial" w:eastAsia="Times New Roman" w:hAnsi="Arial" w:cs="Arial"/>
          <w:color w:val="222222"/>
          <w:sz w:val="22"/>
          <w:szCs w:val="22"/>
          <w:shd w:val="clear" w:color="auto" w:fill="FFFFFF"/>
        </w:rPr>
        <w:t>behavior</w:t>
      </w:r>
      <w:proofErr w:type="spellEnd"/>
      <w:r w:rsidRPr="009B0096">
        <w:rPr>
          <w:rFonts w:ascii="Arial" w:eastAsia="Times New Roman" w:hAnsi="Arial" w:cs="Arial"/>
          <w:color w:val="222222"/>
          <w:sz w:val="22"/>
          <w:szCs w:val="22"/>
          <w:shd w:val="clear" w:color="auto" w:fill="FFFFFF"/>
        </w:rPr>
        <w:t xml:space="preserve"> to predict gambling </w:t>
      </w:r>
      <w:proofErr w:type="spellStart"/>
      <w:r w:rsidRPr="009B0096">
        <w:rPr>
          <w:rFonts w:ascii="Arial" w:eastAsia="Times New Roman" w:hAnsi="Arial" w:cs="Arial"/>
          <w:color w:val="222222"/>
          <w:sz w:val="22"/>
          <w:szCs w:val="22"/>
          <w:shd w:val="clear" w:color="auto" w:fill="FFFFFF"/>
        </w:rPr>
        <w:t>behavior</w:t>
      </w:r>
      <w:proofErr w:type="spellEnd"/>
      <w:r w:rsidRPr="009B0096">
        <w:rPr>
          <w:rFonts w:ascii="Arial" w:eastAsia="Times New Roman" w:hAnsi="Arial" w:cs="Arial"/>
          <w:color w:val="222222"/>
          <w:sz w:val="22"/>
          <w:szCs w:val="22"/>
          <w:shd w:val="clear" w:color="auto" w:fill="FFFFFF"/>
        </w:rPr>
        <w:t>. </w:t>
      </w:r>
      <w:r w:rsidRPr="009B0096">
        <w:rPr>
          <w:rFonts w:ascii="Arial" w:eastAsia="Times New Roman" w:hAnsi="Arial" w:cs="Arial"/>
          <w:i/>
          <w:iCs/>
          <w:color w:val="222222"/>
          <w:sz w:val="22"/>
          <w:szCs w:val="22"/>
        </w:rPr>
        <w:t xml:space="preserve">Psychology of Addictive </w:t>
      </w:r>
      <w:proofErr w:type="spellStart"/>
      <w:r w:rsidRPr="009B0096">
        <w:rPr>
          <w:rFonts w:ascii="Arial" w:eastAsia="Times New Roman" w:hAnsi="Arial" w:cs="Arial"/>
          <w:i/>
          <w:iCs/>
          <w:color w:val="222222"/>
          <w:sz w:val="22"/>
          <w:szCs w:val="22"/>
        </w:rPr>
        <w:t>Behaviors</w:t>
      </w:r>
      <w:proofErr w:type="spellEnd"/>
      <w:r w:rsidRPr="009B0096">
        <w:rPr>
          <w:rFonts w:ascii="Arial" w:eastAsia="Times New Roman" w:hAnsi="Arial" w:cs="Arial"/>
          <w:color w:val="222222"/>
          <w:sz w:val="22"/>
          <w:szCs w:val="22"/>
          <w:shd w:val="clear" w:color="auto" w:fill="FFFFFF"/>
        </w:rPr>
        <w:t>, </w:t>
      </w:r>
      <w:r w:rsidRPr="009B0096">
        <w:rPr>
          <w:rFonts w:ascii="Arial" w:eastAsia="Times New Roman" w:hAnsi="Arial" w:cs="Arial"/>
          <w:i/>
          <w:iCs/>
          <w:color w:val="222222"/>
          <w:sz w:val="22"/>
          <w:szCs w:val="22"/>
        </w:rPr>
        <w:t>24</w:t>
      </w:r>
      <w:r w:rsidRPr="009B0096">
        <w:rPr>
          <w:rFonts w:ascii="Arial" w:eastAsia="Times New Roman" w:hAnsi="Arial" w:cs="Arial"/>
          <w:color w:val="222222"/>
          <w:sz w:val="22"/>
          <w:szCs w:val="22"/>
          <w:shd w:val="clear" w:color="auto" w:fill="FFFFFF"/>
        </w:rPr>
        <w:t>(1), 89.</w:t>
      </w:r>
      <w:bookmarkStart w:id="0" w:name="_GoBack"/>
      <w:bookmarkEnd w:id="0"/>
    </w:p>
    <w:p w14:paraId="56A151DE" w14:textId="77777777" w:rsidR="009B0096" w:rsidRDefault="009B0096" w:rsidP="009B0096"/>
    <w:p w14:paraId="21A4A278" w14:textId="77777777" w:rsidR="005962B9" w:rsidRDefault="005962B9" w:rsidP="005962B9">
      <w:pPr>
        <w:rPr>
          <w:rFonts w:ascii="Arial" w:hAnsi="Arial" w:cs="Arial"/>
        </w:rPr>
      </w:pPr>
    </w:p>
    <w:p w14:paraId="1A0CFF5F" w14:textId="77777777" w:rsidR="005962B9" w:rsidRPr="005962B9" w:rsidRDefault="005962B9" w:rsidP="005962B9">
      <w:pPr>
        <w:rPr>
          <w:rFonts w:ascii="Arial" w:eastAsia="Times New Roman" w:hAnsi="Arial" w:cs="Arial"/>
          <w:b/>
          <w:color w:val="000000" w:themeColor="text1"/>
          <w:u w:val="single"/>
        </w:rPr>
      </w:pPr>
    </w:p>
    <w:p w14:paraId="2EA83E63" w14:textId="4AD2D122" w:rsidR="005132DB" w:rsidRDefault="005132DB" w:rsidP="00AF1AE3">
      <w:pPr>
        <w:pStyle w:val="NormalWeb"/>
      </w:pPr>
    </w:p>
    <w:p w14:paraId="3A99BAAF" w14:textId="77777777" w:rsidR="004470EF" w:rsidRDefault="004470EF" w:rsidP="004470EF"/>
    <w:p w14:paraId="08BEAC5E" w14:textId="77777777" w:rsidR="004470EF" w:rsidRDefault="004470EF" w:rsidP="004470EF"/>
    <w:p w14:paraId="677D593B" w14:textId="77777777" w:rsidR="004470EF" w:rsidRDefault="004470EF" w:rsidP="004470EF"/>
    <w:p w14:paraId="5FF0BF7C" w14:textId="43F98D91" w:rsidR="004470EF" w:rsidRDefault="004470EF" w:rsidP="004470EF"/>
    <w:p w14:paraId="57B8C173" w14:textId="65E24772" w:rsidR="005962B9" w:rsidRDefault="005962B9" w:rsidP="004470EF"/>
    <w:p w14:paraId="34DBC51E" w14:textId="6E25EE88" w:rsidR="005962B9" w:rsidRDefault="005962B9" w:rsidP="004470EF"/>
    <w:p w14:paraId="403CC10E" w14:textId="75C7146B" w:rsidR="005962B9" w:rsidRDefault="005962B9" w:rsidP="004470EF"/>
    <w:p w14:paraId="71674102" w14:textId="2135D88C" w:rsidR="005962B9" w:rsidRDefault="005962B9" w:rsidP="004470EF"/>
    <w:p w14:paraId="29C13F37" w14:textId="75A2D7FA" w:rsidR="005962B9" w:rsidRDefault="005962B9" w:rsidP="004470EF"/>
    <w:p w14:paraId="0344781A" w14:textId="77777777" w:rsidR="005962B9" w:rsidRDefault="005962B9" w:rsidP="004470EF"/>
    <w:p w14:paraId="3432C967" w14:textId="74C02EAC" w:rsidR="004470EF" w:rsidRDefault="004470EF" w:rsidP="004470EF"/>
    <w:p w14:paraId="0BCB634B" w14:textId="27C9F3D7" w:rsidR="005962B9" w:rsidRDefault="005962B9" w:rsidP="004470EF">
      <w:pPr>
        <w:rPr>
          <w:b/>
          <w:u w:val="single"/>
        </w:rPr>
      </w:pPr>
      <w:r>
        <w:rPr>
          <w:b/>
          <w:u w:val="single"/>
        </w:rPr>
        <w:t xml:space="preserve">Reference list </w:t>
      </w:r>
    </w:p>
    <w:p w14:paraId="2A94BCCC" w14:textId="77777777" w:rsidR="005962B9" w:rsidRPr="005962B9" w:rsidRDefault="005962B9" w:rsidP="004470EF">
      <w:pPr>
        <w:rPr>
          <w:b/>
          <w:u w:val="single"/>
        </w:rPr>
      </w:pPr>
    </w:p>
    <w:p w14:paraId="6CCB52CF" w14:textId="31EEE0CC" w:rsidR="004470EF" w:rsidRPr="004470EF" w:rsidRDefault="004470EF" w:rsidP="004470EF">
      <w:pPr>
        <w:rPr>
          <w:rFonts w:ascii="Arial" w:hAnsi="Arial" w:cs="Arial"/>
          <w:color w:val="000000" w:themeColor="text1"/>
        </w:rPr>
      </w:pPr>
      <w:r w:rsidRPr="004470EF">
        <w:rPr>
          <w:rFonts w:ascii="Arial" w:hAnsi="Arial" w:cs="Arial"/>
          <w:color w:val="000000" w:themeColor="text1"/>
        </w:rPr>
        <w:t xml:space="preserve">Anderson. W. A, Braddock. H. K, </w:t>
      </w:r>
      <w:proofErr w:type="spellStart"/>
      <w:r w:rsidRPr="004470EF">
        <w:rPr>
          <w:rFonts w:ascii="Arial" w:hAnsi="Arial" w:cs="Arial"/>
          <w:color w:val="000000" w:themeColor="text1"/>
        </w:rPr>
        <w:t>Dillaro</w:t>
      </w:r>
      <w:proofErr w:type="spellEnd"/>
      <w:r w:rsidRPr="004470EF">
        <w:rPr>
          <w:rFonts w:ascii="Arial" w:hAnsi="Arial" w:cs="Arial"/>
          <w:color w:val="000000" w:themeColor="text1"/>
        </w:rPr>
        <w:t xml:space="preserve">. P. J, </w:t>
      </w:r>
      <w:proofErr w:type="spellStart"/>
      <w:r w:rsidRPr="004470EF">
        <w:rPr>
          <w:rFonts w:ascii="Arial" w:hAnsi="Arial" w:cs="Arial"/>
          <w:color w:val="000000" w:themeColor="text1"/>
        </w:rPr>
        <w:t>Sopory</w:t>
      </w:r>
      <w:proofErr w:type="spellEnd"/>
      <w:r w:rsidRPr="004470EF">
        <w:rPr>
          <w:rFonts w:ascii="Arial" w:hAnsi="Arial" w:cs="Arial"/>
          <w:color w:val="000000" w:themeColor="text1"/>
        </w:rPr>
        <w:t xml:space="preserve">. P, Stephenson. T. M, &amp; Voigt. C. D. (2009). Personality and individual differences, </w:t>
      </w:r>
      <w:r w:rsidRPr="004470EF">
        <w:rPr>
          <w:rFonts w:ascii="Arial" w:hAnsi="Arial" w:cs="Arial"/>
          <w:i/>
          <w:color w:val="000000" w:themeColor="text1"/>
        </w:rPr>
        <w:t>Carver and White’s (1994) BIS/BAS scales and their relationship to risky health behaviours</w:t>
      </w:r>
      <w:r w:rsidRPr="004470EF">
        <w:rPr>
          <w:rFonts w:ascii="Arial" w:hAnsi="Arial" w:cs="Arial"/>
          <w:color w:val="000000" w:themeColor="text1"/>
        </w:rPr>
        <w:t xml:space="preserve">, </w:t>
      </w:r>
      <w:r w:rsidRPr="004470EF">
        <w:rPr>
          <w:rFonts w:ascii="Arial" w:hAnsi="Arial" w:cs="Arial"/>
          <w:i/>
          <w:color w:val="000000" w:themeColor="text1"/>
        </w:rPr>
        <w:t xml:space="preserve">47, </w:t>
      </w:r>
      <w:r w:rsidRPr="004470EF">
        <w:rPr>
          <w:rFonts w:ascii="Arial" w:hAnsi="Arial" w:cs="Arial"/>
          <w:color w:val="000000" w:themeColor="text1"/>
        </w:rPr>
        <w:t>pages 89-93.</w:t>
      </w:r>
    </w:p>
    <w:p w14:paraId="4F34B2B4" w14:textId="77777777" w:rsidR="004470EF" w:rsidRPr="004470EF" w:rsidRDefault="004470EF" w:rsidP="004470EF">
      <w:pPr>
        <w:rPr>
          <w:rFonts w:ascii="Arial" w:hAnsi="Arial" w:cs="Arial"/>
          <w:color w:val="000000" w:themeColor="text1"/>
        </w:rPr>
      </w:pPr>
    </w:p>
    <w:p w14:paraId="33B8859F" w14:textId="77777777" w:rsidR="004470EF" w:rsidRPr="004470EF" w:rsidRDefault="004470EF" w:rsidP="004470EF">
      <w:pPr>
        <w:rPr>
          <w:rFonts w:ascii="Arial" w:hAnsi="Arial" w:cs="Arial"/>
          <w:color w:val="000000" w:themeColor="text1"/>
        </w:rPr>
      </w:pPr>
      <w:r w:rsidRPr="004470EF">
        <w:rPr>
          <w:rFonts w:ascii="Arial" w:hAnsi="Arial" w:cs="Arial"/>
          <w:color w:val="000000" w:themeColor="text1"/>
        </w:rPr>
        <w:t xml:space="preserve">Bennett. P. (2011). </w:t>
      </w:r>
      <w:r w:rsidRPr="004470EF">
        <w:rPr>
          <w:rFonts w:ascii="Arial" w:hAnsi="Arial" w:cs="Arial"/>
          <w:i/>
          <w:color w:val="000000" w:themeColor="text1"/>
        </w:rPr>
        <w:t>Abnormal and clinical psychology: an introductory textbook</w:t>
      </w:r>
      <w:r w:rsidRPr="004470EF">
        <w:rPr>
          <w:rFonts w:ascii="Arial" w:hAnsi="Arial" w:cs="Arial"/>
          <w:color w:val="000000" w:themeColor="text1"/>
        </w:rPr>
        <w:t>, (3), Open university press</w:t>
      </w:r>
      <w:r w:rsidRPr="004470EF">
        <w:rPr>
          <w:rFonts w:ascii="Arial" w:hAnsi="Arial" w:cs="Arial"/>
          <w:i/>
          <w:color w:val="000000" w:themeColor="text1"/>
        </w:rPr>
        <w:t xml:space="preserve">, </w:t>
      </w:r>
      <w:r w:rsidRPr="004470EF">
        <w:rPr>
          <w:rFonts w:ascii="Arial" w:hAnsi="Arial" w:cs="Arial"/>
          <w:color w:val="000000" w:themeColor="text1"/>
        </w:rPr>
        <w:t>Berkshire.</w:t>
      </w:r>
    </w:p>
    <w:p w14:paraId="48EB039F" w14:textId="77777777" w:rsidR="004470EF" w:rsidRPr="004470EF" w:rsidRDefault="004470EF" w:rsidP="004470EF">
      <w:pPr>
        <w:rPr>
          <w:rFonts w:ascii="Arial" w:hAnsi="Arial" w:cs="Arial"/>
          <w:color w:val="000000" w:themeColor="text1"/>
        </w:rPr>
      </w:pPr>
    </w:p>
    <w:p w14:paraId="7AF6C2F3" w14:textId="77777777" w:rsidR="004470EF" w:rsidRPr="004470EF" w:rsidRDefault="004470EF" w:rsidP="004470EF">
      <w:pPr>
        <w:rPr>
          <w:rFonts w:ascii="Arial" w:hAnsi="Arial" w:cs="Arial"/>
          <w:color w:val="000000" w:themeColor="text1"/>
        </w:rPr>
      </w:pPr>
      <w:proofErr w:type="spellStart"/>
      <w:r w:rsidRPr="004470EF">
        <w:rPr>
          <w:rFonts w:ascii="Arial" w:hAnsi="Arial" w:cs="Arial"/>
          <w:color w:val="000000" w:themeColor="text1"/>
        </w:rPr>
        <w:t>Boniwell</w:t>
      </w:r>
      <w:proofErr w:type="spellEnd"/>
      <w:r w:rsidRPr="004470EF">
        <w:rPr>
          <w:rFonts w:ascii="Arial" w:hAnsi="Arial" w:cs="Arial"/>
          <w:color w:val="000000" w:themeColor="text1"/>
        </w:rPr>
        <w:t>, K. H. (2011). Positive psychology: Theory, research and applications. New York, New York: Open University Press.</w:t>
      </w:r>
    </w:p>
    <w:p w14:paraId="67A1DC76" w14:textId="77777777" w:rsidR="004470EF" w:rsidRPr="004470EF" w:rsidRDefault="004470EF" w:rsidP="004470EF">
      <w:pPr>
        <w:rPr>
          <w:rFonts w:ascii="Arial" w:hAnsi="Arial" w:cs="Arial"/>
          <w:color w:val="000000" w:themeColor="text1"/>
        </w:rPr>
      </w:pPr>
    </w:p>
    <w:p w14:paraId="47938231" w14:textId="77777777" w:rsidR="004470EF" w:rsidRPr="004470EF" w:rsidRDefault="004470EF" w:rsidP="004470EF">
      <w:pPr>
        <w:rPr>
          <w:rFonts w:ascii="Arial" w:hAnsi="Arial" w:cs="Arial"/>
          <w:color w:val="000000" w:themeColor="text1"/>
        </w:rPr>
      </w:pPr>
      <w:r w:rsidRPr="004470EF">
        <w:rPr>
          <w:rFonts w:ascii="Arial" w:hAnsi="Arial" w:cs="Arial"/>
          <w:color w:val="000000" w:themeColor="text1"/>
        </w:rPr>
        <w:t>Davey, G. (2014). Psychopathology: Research, Assessment, and Treatment in Clinical Psychology, (2). Oxford, Blackwell.</w:t>
      </w:r>
    </w:p>
    <w:p w14:paraId="00F67E27" w14:textId="77777777" w:rsidR="004470EF" w:rsidRPr="004470EF" w:rsidRDefault="004470EF" w:rsidP="004470EF">
      <w:pPr>
        <w:rPr>
          <w:rFonts w:ascii="Arial" w:hAnsi="Arial" w:cs="Arial"/>
          <w:color w:val="000000" w:themeColor="text1"/>
        </w:rPr>
      </w:pPr>
    </w:p>
    <w:p w14:paraId="0B52444F" w14:textId="77777777" w:rsidR="004470EF" w:rsidRPr="004470EF" w:rsidRDefault="004470EF" w:rsidP="004470EF">
      <w:pPr>
        <w:rPr>
          <w:rFonts w:ascii="Arial" w:hAnsi="Arial" w:cs="Arial"/>
          <w:color w:val="000000" w:themeColor="text1"/>
        </w:rPr>
      </w:pPr>
      <w:r w:rsidRPr="004470EF">
        <w:rPr>
          <w:rFonts w:ascii="Arial" w:hAnsi="Arial" w:cs="Arial"/>
          <w:color w:val="000000" w:themeColor="text1"/>
        </w:rPr>
        <w:t>Day, S. (2015). Oral Presentation – Families experience of Poverty Stigma in Education. Psychology Section 46. no. 6 (2016): 369-375 British Psychological Society, Developmental Psychology Section, University of Central Lancashire.</w:t>
      </w:r>
    </w:p>
    <w:p w14:paraId="6E134FA2" w14:textId="77777777" w:rsidR="004470EF" w:rsidRPr="004470EF" w:rsidRDefault="004470EF" w:rsidP="004470EF">
      <w:pPr>
        <w:pStyle w:val="ListParagraph"/>
        <w:rPr>
          <w:rFonts w:ascii="Arial" w:hAnsi="Arial" w:cs="Arial"/>
          <w:color w:val="000000" w:themeColor="text1"/>
        </w:rPr>
      </w:pPr>
    </w:p>
    <w:p w14:paraId="75E2E363" w14:textId="77777777" w:rsidR="004470EF" w:rsidRPr="004470EF" w:rsidRDefault="004470EF" w:rsidP="004470EF">
      <w:pPr>
        <w:rPr>
          <w:rFonts w:ascii="Arial" w:hAnsi="Arial" w:cs="Arial"/>
          <w:color w:val="000000" w:themeColor="text1"/>
        </w:rPr>
      </w:pPr>
      <w:r w:rsidRPr="004470EF">
        <w:rPr>
          <w:rFonts w:ascii="Arial" w:hAnsi="Arial" w:cs="Arial"/>
          <w:color w:val="000000" w:themeColor="text1"/>
        </w:rPr>
        <w:t xml:space="preserve">Evans, L., Jones, S, &amp; Mitchell, I. D. (2006). Psychological Response to Sport Injury. In S. H. </w:t>
      </w:r>
      <w:proofErr w:type="spellStart"/>
      <w:r w:rsidRPr="004470EF">
        <w:rPr>
          <w:rFonts w:ascii="Arial" w:hAnsi="Arial" w:cs="Arial"/>
          <w:color w:val="000000" w:themeColor="text1"/>
        </w:rPr>
        <w:t>Stephen.D.Mellalieu</w:t>
      </w:r>
      <w:proofErr w:type="spellEnd"/>
      <w:r w:rsidRPr="004470EF">
        <w:rPr>
          <w:rFonts w:ascii="Arial" w:hAnsi="Arial" w:cs="Arial"/>
          <w:color w:val="000000" w:themeColor="text1"/>
        </w:rPr>
        <w:t xml:space="preserve">, </w:t>
      </w:r>
      <w:r w:rsidRPr="004470EF">
        <w:rPr>
          <w:rFonts w:ascii="Arial" w:hAnsi="Arial" w:cs="Arial"/>
          <w:i/>
          <w:color w:val="000000" w:themeColor="text1"/>
        </w:rPr>
        <w:t>Literature in Sport Psychology</w:t>
      </w:r>
      <w:r w:rsidRPr="004470EF">
        <w:rPr>
          <w:rFonts w:ascii="Arial" w:hAnsi="Arial" w:cs="Arial"/>
          <w:color w:val="000000" w:themeColor="text1"/>
        </w:rPr>
        <w:t xml:space="preserve"> pp. 289-319. </w:t>
      </w:r>
      <w:proofErr w:type="spellStart"/>
      <w:r w:rsidRPr="004470EF">
        <w:rPr>
          <w:rFonts w:ascii="Arial" w:hAnsi="Arial" w:cs="Arial"/>
          <w:color w:val="000000" w:themeColor="text1"/>
        </w:rPr>
        <w:t>Hauppage</w:t>
      </w:r>
      <w:proofErr w:type="spellEnd"/>
      <w:r w:rsidRPr="004470EF">
        <w:rPr>
          <w:rFonts w:ascii="Arial" w:hAnsi="Arial" w:cs="Arial"/>
          <w:color w:val="000000" w:themeColor="text1"/>
        </w:rPr>
        <w:t>, NY: Nova Science Publications.</w:t>
      </w:r>
    </w:p>
    <w:p w14:paraId="1C3A33FE" w14:textId="77777777" w:rsidR="004470EF" w:rsidRPr="004470EF" w:rsidRDefault="004470EF" w:rsidP="004470EF">
      <w:pPr>
        <w:rPr>
          <w:rFonts w:ascii="Arial" w:hAnsi="Arial" w:cs="Arial"/>
          <w:color w:val="000000" w:themeColor="text1"/>
        </w:rPr>
      </w:pPr>
    </w:p>
    <w:p w14:paraId="7FE967D1" w14:textId="77777777" w:rsidR="004470EF" w:rsidRPr="004470EF" w:rsidRDefault="004470EF" w:rsidP="004470EF">
      <w:pPr>
        <w:rPr>
          <w:rFonts w:ascii="Arial" w:hAnsi="Arial" w:cs="Arial"/>
          <w:color w:val="000000" w:themeColor="text1"/>
        </w:rPr>
      </w:pPr>
      <w:proofErr w:type="spellStart"/>
      <w:r w:rsidRPr="004470EF">
        <w:rPr>
          <w:rFonts w:ascii="Arial" w:hAnsi="Arial" w:cs="Arial"/>
          <w:color w:val="000000" w:themeColor="text1"/>
        </w:rPr>
        <w:t>Geekie</w:t>
      </w:r>
      <w:proofErr w:type="spellEnd"/>
      <w:r w:rsidRPr="004470EF">
        <w:rPr>
          <w:rFonts w:ascii="Arial" w:hAnsi="Arial" w:cs="Arial"/>
          <w:color w:val="000000" w:themeColor="text1"/>
        </w:rPr>
        <w:t xml:space="preserve">, J. &amp; Read, J. (2009). </w:t>
      </w:r>
      <w:r w:rsidRPr="004470EF">
        <w:rPr>
          <w:rFonts w:ascii="Arial" w:hAnsi="Arial" w:cs="Arial"/>
          <w:i/>
          <w:color w:val="000000" w:themeColor="text1"/>
        </w:rPr>
        <w:t>Making sense of madness: Contesting the meaning of schizophrenia</w:t>
      </w:r>
      <w:r w:rsidRPr="004470EF">
        <w:rPr>
          <w:rFonts w:ascii="Arial" w:hAnsi="Arial" w:cs="Arial"/>
          <w:color w:val="000000" w:themeColor="text1"/>
        </w:rPr>
        <w:t xml:space="preserve"> [E-book]. London: Routledge Taylor &amp; Francis. (2018) </w:t>
      </w:r>
      <w:hyperlink r:id="rId7" w:history="1">
        <w:r w:rsidRPr="004470EF">
          <w:rPr>
            <w:rStyle w:val="Hyperlink"/>
            <w:rFonts w:ascii="Arial" w:hAnsi="Arial" w:cs="Arial"/>
            <w:color w:val="000000" w:themeColor="text1"/>
          </w:rPr>
          <w:t>https://www.tandfebooks.com/doi/view/10.4324/9780203878422</w:t>
        </w:r>
      </w:hyperlink>
    </w:p>
    <w:p w14:paraId="3840C73F" w14:textId="77777777" w:rsidR="004470EF" w:rsidRPr="004470EF" w:rsidRDefault="004470EF" w:rsidP="004470EF">
      <w:pPr>
        <w:rPr>
          <w:rFonts w:ascii="Arial" w:hAnsi="Arial" w:cs="Arial"/>
          <w:color w:val="000000" w:themeColor="text1"/>
        </w:rPr>
      </w:pPr>
    </w:p>
    <w:p w14:paraId="28287B5A" w14:textId="77777777" w:rsidR="004470EF" w:rsidRPr="004470EF" w:rsidRDefault="004470EF" w:rsidP="004470EF">
      <w:pPr>
        <w:rPr>
          <w:rFonts w:ascii="Arial" w:hAnsi="Arial" w:cs="Arial"/>
          <w:i/>
          <w:color w:val="000000" w:themeColor="text1"/>
        </w:rPr>
      </w:pPr>
      <w:r w:rsidRPr="004470EF">
        <w:rPr>
          <w:rFonts w:ascii="Arial" w:hAnsi="Arial" w:cs="Arial"/>
          <w:color w:val="000000" w:themeColor="text1"/>
        </w:rPr>
        <w:t xml:space="preserve">Gregg, L., </w:t>
      </w:r>
      <w:proofErr w:type="spellStart"/>
      <w:r w:rsidRPr="004470EF">
        <w:rPr>
          <w:rFonts w:ascii="Arial" w:hAnsi="Arial" w:cs="Arial"/>
          <w:color w:val="000000" w:themeColor="text1"/>
        </w:rPr>
        <w:t>Liversidge</w:t>
      </w:r>
      <w:proofErr w:type="spellEnd"/>
      <w:r w:rsidRPr="004470EF">
        <w:rPr>
          <w:rFonts w:ascii="Arial" w:hAnsi="Arial" w:cs="Arial"/>
          <w:color w:val="000000" w:themeColor="text1"/>
        </w:rPr>
        <w:t xml:space="preserve">, T &amp; Tarrier, N. (2006). The acceptability for the psychological treatment of PTSD. </w:t>
      </w:r>
      <w:r w:rsidRPr="004470EF">
        <w:rPr>
          <w:rFonts w:ascii="Arial" w:hAnsi="Arial" w:cs="Arial"/>
          <w:i/>
          <w:color w:val="000000" w:themeColor="text1"/>
        </w:rPr>
        <w:t>Behaviour, research and therapy, 44, pp1643-1656]</w:t>
      </w:r>
    </w:p>
    <w:p w14:paraId="3410FFC4" w14:textId="77777777" w:rsidR="004470EF" w:rsidRPr="004470EF" w:rsidRDefault="004470EF" w:rsidP="004470EF">
      <w:pPr>
        <w:pStyle w:val="ListParagraph"/>
        <w:rPr>
          <w:rFonts w:ascii="Arial" w:hAnsi="Arial" w:cs="Arial"/>
          <w:i/>
          <w:color w:val="000000" w:themeColor="text1"/>
        </w:rPr>
      </w:pPr>
    </w:p>
    <w:p w14:paraId="0B30D467" w14:textId="77777777" w:rsidR="004470EF" w:rsidRPr="004470EF" w:rsidRDefault="004470EF" w:rsidP="004470EF">
      <w:pPr>
        <w:rPr>
          <w:rFonts w:ascii="Arial" w:hAnsi="Arial" w:cs="Arial"/>
          <w:color w:val="000000" w:themeColor="text1"/>
        </w:rPr>
      </w:pPr>
      <w:proofErr w:type="spellStart"/>
      <w:r w:rsidRPr="004470EF">
        <w:rPr>
          <w:rFonts w:ascii="Arial" w:hAnsi="Arial" w:cs="Arial"/>
          <w:color w:val="000000" w:themeColor="text1"/>
        </w:rPr>
        <w:t>Guglielmi</w:t>
      </w:r>
      <w:proofErr w:type="spellEnd"/>
      <w:r w:rsidRPr="004470EF">
        <w:rPr>
          <w:rFonts w:ascii="Arial" w:hAnsi="Arial" w:cs="Arial"/>
          <w:color w:val="000000" w:themeColor="text1"/>
        </w:rPr>
        <w:t xml:space="preserve">, D., </w:t>
      </w:r>
      <w:proofErr w:type="spellStart"/>
      <w:r w:rsidRPr="004470EF">
        <w:rPr>
          <w:rFonts w:ascii="Arial" w:hAnsi="Arial" w:cs="Arial"/>
          <w:color w:val="000000" w:themeColor="text1"/>
        </w:rPr>
        <w:t>Mazetti</w:t>
      </w:r>
      <w:proofErr w:type="spellEnd"/>
      <w:r w:rsidRPr="004470EF">
        <w:rPr>
          <w:rFonts w:ascii="Arial" w:hAnsi="Arial" w:cs="Arial"/>
          <w:color w:val="000000" w:themeColor="text1"/>
        </w:rPr>
        <w:t xml:space="preserve">, G., &amp; </w:t>
      </w:r>
      <w:proofErr w:type="spellStart"/>
      <w:r w:rsidRPr="004470EF">
        <w:rPr>
          <w:rFonts w:ascii="Arial" w:hAnsi="Arial" w:cs="Arial"/>
          <w:color w:val="000000" w:themeColor="text1"/>
        </w:rPr>
        <w:t>Schaufeli</w:t>
      </w:r>
      <w:proofErr w:type="spellEnd"/>
      <w:r w:rsidRPr="004470EF">
        <w:rPr>
          <w:rFonts w:ascii="Arial" w:hAnsi="Arial" w:cs="Arial"/>
          <w:color w:val="000000" w:themeColor="text1"/>
        </w:rPr>
        <w:t xml:space="preserve">, W. B. (2014). Are workaholics born or made? Relations of workaholism with person characteristics and overwork climate. </w:t>
      </w:r>
      <w:r w:rsidRPr="004470EF">
        <w:rPr>
          <w:rFonts w:ascii="Arial" w:hAnsi="Arial" w:cs="Arial"/>
          <w:i/>
          <w:color w:val="000000" w:themeColor="text1"/>
        </w:rPr>
        <w:lastRenderedPageBreak/>
        <w:t>International journal of stress management</w:t>
      </w:r>
      <w:r w:rsidRPr="004470EF">
        <w:rPr>
          <w:rFonts w:ascii="Arial" w:hAnsi="Arial" w:cs="Arial"/>
          <w:color w:val="000000" w:themeColor="text1"/>
        </w:rPr>
        <w:t>, 227-254.</w:t>
      </w:r>
      <w:r w:rsidRPr="004470EF">
        <w:rPr>
          <w:rFonts w:ascii="Arial" w:hAnsi="Arial" w:cs="Arial"/>
          <w:color w:val="000000" w:themeColor="text1"/>
        </w:rPr>
        <w:br/>
      </w:r>
    </w:p>
    <w:p w14:paraId="6B5130DB" w14:textId="77777777" w:rsidR="004470EF" w:rsidRPr="004470EF" w:rsidRDefault="004470EF" w:rsidP="004470EF">
      <w:pPr>
        <w:pStyle w:val="NormalWeb"/>
        <w:rPr>
          <w:rFonts w:ascii="Arial" w:hAnsi="Arial" w:cs="Arial"/>
          <w:color w:val="000000" w:themeColor="text1"/>
        </w:rPr>
      </w:pPr>
      <w:r w:rsidRPr="004470EF">
        <w:rPr>
          <w:rFonts w:ascii="Arial" w:hAnsi="Arial" w:cs="Arial"/>
          <w:color w:val="000000" w:themeColor="text1"/>
        </w:rPr>
        <w:t xml:space="preserve">Hill, M. E. (2015) The role of narcissism in health-risk and health-protective behaviours, </w:t>
      </w:r>
      <w:r w:rsidRPr="004470EF">
        <w:rPr>
          <w:rFonts w:ascii="Arial" w:hAnsi="Arial" w:cs="Arial"/>
          <w:i/>
          <w:color w:val="000000" w:themeColor="text1"/>
        </w:rPr>
        <w:t>Journal of health psychology, 1-12.</w:t>
      </w:r>
      <w:r w:rsidRPr="004470EF">
        <w:rPr>
          <w:rFonts w:ascii="Arial" w:hAnsi="Arial" w:cs="Arial"/>
          <w:i/>
          <w:color w:val="000000" w:themeColor="text1"/>
        </w:rPr>
        <w:br/>
      </w:r>
      <w:r w:rsidRPr="004470EF">
        <w:rPr>
          <w:rFonts w:ascii="Arial" w:hAnsi="Arial" w:cs="Arial"/>
          <w:color w:val="000000" w:themeColor="text1"/>
        </w:rPr>
        <w:t xml:space="preserve">D.O.I: 10.1177/1359105315569858 </w:t>
      </w:r>
      <w:r w:rsidRPr="004470EF">
        <w:rPr>
          <w:rFonts w:ascii="Arial" w:hAnsi="Arial" w:cs="Arial"/>
          <w:color w:val="000000" w:themeColor="text1"/>
        </w:rPr>
        <w:br/>
      </w:r>
    </w:p>
    <w:p w14:paraId="17A76874" w14:textId="77777777" w:rsidR="004470EF" w:rsidRDefault="004470EF" w:rsidP="004470EF">
      <w:pPr>
        <w:pStyle w:val="NormalWeb"/>
        <w:rPr>
          <w:rFonts w:ascii="Arial" w:hAnsi="Arial" w:cs="Arial"/>
          <w:color w:val="000000" w:themeColor="text1"/>
        </w:rPr>
      </w:pPr>
      <w:r w:rsidRPr="004470EF">
        <w:rPr>
          <w:rFonts w:ascii="Arial" w:hAnsi="Arial" w:cs="Arial"/>
          <w:color w:val="000000" w:themeColor="text1"/>
        </w:rPr>
        <w:t>Mental Health Foundation. (2017). Audio Podcast, Computerised cognitive behavioural therapy. http://www.mentalhealth.org.uk/podcasts- and-videos/computerised-</w:t>
      </w:r>
      <w:proofErr w:type="spellStart"/>
      <w:r w:rsidRPr="004470EF">
        <w:rPr>
          <w:rFonts w:ascii="Arial" w:hAnsi="Arial" w:cs="Arial"/>
          <w:color w:val="000000" w:themeColor="text1"/>
        </w:rPr>
        <w:t>cognitivebehavioural</w:t>
      </w:r>
      <w:proofErr w:type="spellEnd"/>
      <w:r w:rsidRPr="004470EF">
        <w:rPr>
          <w:rFonts w:ascii="Arial" w:hAnsi="Arial" w:cs="Arial"/>
          <w:color w:val="000000" w:themeColor="text1"/>
        </w:rPr>
        <w:t>-therapy</w:t>
      </w:r>
      <w:r w:rsidRPr="004470EF">
        <w:rPr>
          <w:rFonts w:ascii="Arial" w:hAnsi="Arial" w:cs="Arial"/>
          <w:color w:val="000000" w:themeColor="text1"/>
        </w:rPr>
        <w:br/>
      </w:r>
    </w:p>
    <w:p w14:paraId="4AB32B35" w14:textId="3B75EDF4" w:rsidR="004470EF" w:rsidRPr="004470EF" w:rsidRDefault="004470EF" w:rsidP="004470EF">
      <w:pPr>
        <w:rPr>
          <w:rFonts w:ascii="Arial" w:eastAsia="Times New Roman" w:hAnsi="Arial" w:cs="Arial"/>
          <w:color w:val="000000" w:themeColor="text1"/>
        </w:rPr>
      </w:pPr>
      <w:r w:rsidRPr="004470EF">
        <w:rPr>
          <w:rFonts w:ascii="Arial" w:hAnsi="Arial" w:cs="Arial"/>
          <w:color w:val="000000" w:themeColor="text1"/>
        </w:rPr>
        <w:t xml:space="preserve">Mohamed, S. (2011). Doctoral dissertation,  Stigma and mental illness: are there cultural differences? </w:t>
      </w:r>
      <w:proofErr w:type="spellStart"/>
      <w:r w:rsidRPr="004470EF">
        <w:rPr>
          <w:rFonts w:ascii="Arial" w:hAnsi="Arial" w:cs="Arial"/>
          <w:color w:val="000000" w:themeColor="text1"/>
        </w:rPr>
        <w:t>EThOS</w:t>
      </w:r>
      <w:proofErr w:type="spellEnd"/>
      <w:r w:rsidRPr="004470EF">
        <w:rPr>
          <w:rFonts w:ascii="Arial" w:hAnsi="Arial" w:cs="Arial"/>
          <w:color w:val="000000" w:themeColor="text1"/>
        </w:rPr>
        <w:t>, University of East Anglia, uk.bl.ethos.573771</w:t>
      </w:r>
      <w:r w:rsidRPr="004470EF">
        <w:rPr>
          <w:rFonts w:ascii="Arial" w:hAnsi="Arial" w:cs="Arial"/>
          <w:color w:val="000000" w:themeColor="text1"/>
        </w:rPr>
        <w:br/>
      </w:r>
    </w:p>
    <w:p w14:paraId="1586C84C" w14:textId="77777777" w:rsidR="004470EF" w:rsidRDefault="004470EF" w:rsidP="004470EF">
      <w:pPr>
        <w:pStyle w:val="NormalWeb"/>
        <w:rPr>
          <w:rFonts w:ascii="Arial" w:hAnsi="Arial" w:cs="Arial"/>
          <w:color w:val="000000" w:themeColor="text1"/>
        </w:rPr>
      </w:pPr>
      <w:r w:rsidRPr="004470EF">
        <w:rPr>
          <w:rFonts w:ascii="Arial" w:hAnsi="Arial" w:cs="Arial"/>
          <w:color w:val="000000" w:themeColor="text1"/>
        </w:rPr>
        <w:t>Office for National Statistics. (2016). Adult drinking habits in Great Britain: 2005 to 2016.</w:t>
      </w:r>
      <w:r w:rsidRPr="004470EF">
        <w:rPr>
          <w:rFonts w:ascii="Arial" w:hAnsi="Arial" w:cs="Arial"/>
          <w:color w:val="000000" w:themeColor="text1"/>
        </w:rPr>
        <w:br/>
      </w:r>
    </w:p>
    <w:p w14:paraId="052035C6" w14:textId="65840A2A" w:rsidR="004470EF" w:rsidRPr="004470EF" w:rsidRDefault="004470EF" w:rsidP="004470EF">
      <w:pPr>
        <w:pStyle w:val="NormalWeb"/>
        <w:rPr>
          <w:rFonts w:ascii="Arial" w:hAnsi="Arial" w:cs="Arial"/>
          <w:color w:val="000000" w:themeColor="text1"/>
        </w:rPr>
      </w:pPr>
      <w:r w:rsidRPr="004470EF">
        <w:rPr>
          <w:rFonts w:ascii="Arial" w:hAnsi="Arial" w:cs="Arial"/>
          <w:color w:val="000000" w:themeColor="text1"/>
        </w:rPr>
        <w:t>Phelps, C. M. (2017). "Necessary but not sufficient? Engaging young people in the development of an avatar-based online intervention designed to provide psychosocial support to young people affected by their own or a family members cancer diagnosis". Health Expectations 20, no. 3, pp. 459-470.</w:t>
      </w:r>
      <w:r w:rsidRPr="004470EF">
        <w:rPr>
          <w:rFonts w:ascii="Arial" w:hAnsi="Arial" w:cs="Arial"/>
          <w:color w:val="000000" w:themeColor="text1"/>
        </w:rPr>
        <w:br/>
      </w:r>
    </w:p>
    <w:p w14:paraId="3FBB9085" w14:textId="77777777" w:rsidR="004470EF" w:rsidRPr="004470EF" w:rsidRDefault="004470EF" w:rsidP="004470EF">
      <w:pPr>
        <w:pStyle w:val="NormalWeb"/>
        <w:rPr>
          <w:rFonts w:ascii="Arial" w:hAnsi="Arial" w:cs="Arial"/>
          <w:color w:val="000000" w:themeColor="text1"/>
        </w:rPr>
      </w:pPr>
      <w:r w:rsidRPr="004470EF">
        <w:rPr>
          <w:rFonts w:ascii="Arial" w:hAnsi="Arial" w:cs="Arial"/>
          <w:color w:val="000000" w:themeColor="text1"/>
        </w:rPr>
        <w:t xml:space="preserve">Romano, J. S., Van Hasselt, B. V., </w:t>
      </w:r>
      <w:proofErr w:type="spellStart"/>
      <w:r w:rsidRPr="004470EF">
        <w:rPr>
          <w:rFonts w:ascii="Arial" w:hAnsi="Arial" w:cs="Arial"/>
          <w:color w:val="000000" w:themeColor="text1"/>
        </w:rPr>
        <w:t>Vecchi</w:t>
      </w:r>
      <w:proofErr w:type="spellEnd"/>
      <w:r w:rsidRPr="004470EF">
        <w:rPr>
          <w:rFonts w:ascii="Arial" w:hAnsi="Arial" w:cs="Arial"/>
          <w:color w:val="000000" w:themeColor="text1"/>
        </w:rPr>
        <w:t xml:space="preserve">, M.G. (2008). Role Playing: Applications in hostage and crisis negotiation skills training, </w:t>
      </w:r>
      <w:r w:rsidRPr="004470EF">
        <w:rPr>
          <w:rFonts w:ascii="Arial" w:hAnsi="Arial" w:cs="Arial"/>
          <w:i/>
          <w:color w:val="000000" w:themeColor="text1"/>
        </w:rPr>
        <w:t>Behaviour modification, 32</w:t>
      </w:r>
      <w:r w:rsidRPr="004470EF">
        <w:rPr>
          <w:rFonts w:ascii="Arial" w:hAnsi="Arial" w:cs="Arial"/>
          <w:color w:val="000000" w:themeColor="text1"/>
        </w:rPr>
        <w:t>, (2),</w:t>
      </w:r>
      <w:r w:rsidRPr="004470EF">
        <w:rPr>
          <w:rFonts w:ascii="Arial" w:hAnsi="Arial" w:cs="Arial"/>
          <w:i/>
          <w:color w:val="000000" w:themeColor="text1"/>
        </w:rPr>
        <w:t xml:space="preserve"> </w:t>
      </w:r>
      <w:r w:rsidRPr="004470EF">
        <w:rPr>
          <w:rFonts w:ascii="Arial" w:hAnsi="Arial" w:cs="Arial"/>
          <w:color w:val="000000" w:themeColor="text1"/>
        </w:rPr>
        <w:t xml:space="preserve">248-263. D.O.I: 10.1177/0145445507308281 </w:t>
      </w:r>
    </w:p>
    <w:p w14:paraId="19A422DF" w14:textId="77777777" w:rsidR="004470EF" w:rsidRPr="004470EF" w:rsidRDefault="004470EF" w:rsidP="004470EF">
      <w:pPr>
        <w:pStyle w:val="NormalWeb"/>
        <w:ind w:left="720"/>
        <w:rPr>
          <w:rFonts w:ascii="Arial" w:hAnsi="Arial" w:cs="Arial"/>
          <w:color w:val="000000" w:themeColor="text1"/>
        </w:rPr>
      </w:pPr>
    </w:p>
    <w:p w14:paraId="48DA95B6" w14:textId="77777777" w:rsidR="004470EF" w:rsidRPr="004470EF" w:rsidRDefault="004470EF" w:rsidP="004470EF">
      <w:pPr>
        <w:pStyle w:val="NormalWeb"/>
        <w:rPr>
          <w:rFonts w:ascii="Arial" w:hAnsi="Arial" w:cs="Arial"/>
          <w:color w:val="000000" w:themeColor="text1"/>
        </w:rPr>
      </w:pPr>
      <w:proofErr w:type="spellStart"/>
      <w:r w:rsidRPr="004470EF">
        <w:rPr>
          <w:rFonts w:ascii="Arial" w:hAnsi="Arial" w:cs="Arial"/>
          <w:color w:val="000000" w:themeColor="text1"/>
        </w:rPr>
        <w:t>Rundmo</w:t>
      </w:r>
      <w:proofErr w:type="spellEnd"/>
      <w:r w:rsidRPr="004470EF">
        <w:rPr>
          <w:rFonts w:ascii="Arial" w:hAnsi="Arial" w:cs="Arial"/>
          <w:color w:val="000000" w:themeColor="text1"/>
        </w:rPr>
        <w:t xml:space="preserve">, T, &amp; </w:t>
      </w:r>
      <w:proofErr w:type="spellStart"/>
      <w:r w:rsidRPr="004470EF">
        <w:rPr>
          <w:rFonts w:ascii="Arial" w:hAnsi="Arial" w:cs="Arial"/>
          <w:color w:val="000000" w:themeColor="text1"/>
        </w:rPr>
        <w:t>Ulleberg</w:t>
      </w:r>
      <w:proofErr w:type="spellEnd"/>
      <w:r w:rsidRPr="004470EF">
        <w:rPr>
          <w:rFonts w:ascii="Arial" w:hAnsi="Arial" w:cs="Arial"/>
          <w:color w:val="000000" w:themeColor="text1"/>
        </w:rPr>
        <w:t xml:space="preserve">, P. (2003). ‘Personality, attitudes and risk perception as predictors of risky driving behaviour among young drivers’, </w:t>
      </w:r>
      <w:r w:rsidRPr="004470EF">
        <w:rPr>
          <w:rFonts w:ascii="Arial" w:hAnsi="Arial" w:cs="Arial"/>
          <w:i/>
          <w:color w:val="000000" w:themeColor="text1"/>
        </w:rPr>
        <w:t xml:space="preserve">Safety Science, 41, </w:t>
      </w:r>
      <w:r w:rsidRPr="004470EF">
        <w:rPr>
          <w:rFonts w:ascii="Arial" w:hAnsi="Arial" w:cs="Arial"/>
          <w:color w:val="000000" w:themeColor="text1"/>
        </w:rPr>
        <w:t>427-443.</w:t>
      </w:r>
      <w:r w:rsidRPr="004470EF">
        <w:rPr>
          <w:rFonts w:ascii="Arial" w:hAnsi="Arial" w:cs="Arial"/>
          <w:color w:val="000000" w:themeColor="text1"/>
        </w:rPr>
        <w:br/>
      </w:r>
    </w:p>
    <w:p w14:paraId="04AE32A6" w14:textId="77777777" w:rsidR="004470EF" w:rsidRPr="004470EF" w:rsidRDefault="004470EF" w:rsidP="004470EF">
      <w:pPr>
        <w:rPr>
          <w:rFonts w:ascii="Arial" w:hAnsi="Arial" w:cs="Arial"/>
          <w:color w:val="000000" w:themeColor="text1"/>
        </w:rPr>
      </w:pPr>
      <w:proofErr w:type="spellStart"/>
      <w:r w:rsidRPr="004470EF">
        <w:rPr>
          <w:rFonts w:ascii="Arial" w:hAnsi="Arial" w:cs="Arial"/>
          <w:color w:val="000000" w:themeColor="text1"/>
        </w:rPr>
        <w:t>Vartanian</w:t>
      </w:r>
      <w:proofErr w:type="spellEnd"/>
      <w:r w:rsidRPr="004470EF">
        <w:rPr>
          <w:rFonts w:ascii="Arial" w:hAnsi="Arial" w:cs="Arial"/>
          <w:color w:val="000000" w:themeColor="text1"/>
        </w:rPr>
        <w:t>, L. R. (2016). "Disgust predicts prejudice and discrimination towards individuals with obesity". Journal of Applied Social Psychology 46, 369-375.</w:t>
      </w:r>
      <w:r w:rsidRPr="004470EF">
        <w:rPr>
          <w:rFonts w:ascii="Arial" w:hAnsi="Arial" w:cs="Arial"/>
          <w:color w:val="000000" w:themeColor="text1"/>
        </w:rPr>
        <w:br/>
      </w:r>
    </w:p>
    <w:p w14:paraId="29D9C161" w14:textId="77777777" w:rsidR="004470EF" w:rsidRPr="004470EF" w:rsidRDefault="004470EF" w:rsidP="004470EF">
      <w:pPr>
        <w:rPr>
          <w:rFonts w:ascii="Arial" w:hAnsi="Arial" w:cs="Arial"/>
          <w:color w:val="000000" w:themeColor="text1"/>
        </w:rPr>
      </w:pPr>
      <w:r w:rsidRPr="004470EF">
        <w:rPr>
          <w:rFonts w:ascii="Arial" w:hAnsi="Arial" w:cs="Arial"/>
          <w:color w:val="000000" w:themeColor="text1"/>
        </w:rPr>
        <w:t>Welsh Government. Well-being of future generations (wales) act 2015, United Kingdom: The Office Stationary Limited</w:t>
      </w:r>
    </w:p>
    <w:p w14:paraId="21DC6D1F" w14:textId="77777777" w:rsidR="004470EF" w:rsidRPr="004470EF" w:rsidRDefault="004470EF" w:rsidP="004470EF">
      <w:pPr>
        <w:rPr>
          <w:rFonts w:ascii="Arial" w:hAnsi="Arial" w:cs="Arial"/>
          <w:color w:val="000000" w:themeColor="text1"/>
        </w:rPr>
      </w:pPr>
    </w:p>
    <w:p w14:paraId="205311A9" w14:textId="77777777" w:rsidR="004470EF" w:rsidRPr="004470EF" w:rsidRDefault="004470EF" w:rsidP="004470EF">
      <w:pPr>
        <w:rPr>
          <w:rFonts w:ascii="Arial" w:hAnsi="Arial" w:cs="Arial"/>
          <w:color w:val="000000" w:themeColor="text1"/>
        </w:rPr>
      </w:pPr>
    </w:p>
    <w:p w14:paraId="2DD93A3E" w14:textId="77777777" w:rsidR="004470EF" w:rsidRPr="004470EF" w:rsidRDefault="004470EF" w:rsidP="004470EF">
      <w:pPr>
        <w:rPr>
          <w:rFonts w:ascii="Arial" w:hAnsi="Arial" w:cs="Arial"/>
          <w:color w:val="000000" w:themeColor="text1"/>
        </w:rPr>
      </w:pPr>
      <w:r w:rsidRPr="004470EF">
        <w:rPr>
          <w:rFonts w:ascii="Arial" w:hAnsi="Arial" w:cs="Arial"/>
          <w:color w:val="000000" w:themeColor="text1"/>
        </w:rPr>
        <w:t>Williamson, H (2016). Conference poster - Supporting adolescents struggling with appearance-altering conditions: the feasibility of using an online psychosocial intervention (YP Face IT) in primary care. Annual Primary Care Conference. Centre of Appearance Research, Royal College of General Practitioners, University of the West of England.</w:t>
      </w:r>
    </w:p>
    <w:p w14:paraId="019C18B2" w14:textId="77777777" w:rsidR="004470EF" w:rsidRPr="004470EF" w:rsidRDefault="004470EF" w:rsidP="004470EF">
      <w:pPr>
        <w:rPr>
          <w:rFonts w:ascii="Arial" w:hAnsi="Arial" w:cs="Arial"/>
          <w:color w:val="000000" w:themeColor="text1"/>
        </w:rPr>
      </w:pPr>
    </w:p>
    <w:p w14:paraId="5C6C12AB" w14:textId="77777777" w:rsidR="004470EF" w:rsidRPr="004470EF" w:rsidRDefault="004470EF" w:rsidP="004470EF">
      <w:pPr>
        <w:pStyle w:val="NormalWeb"/>
        <w:rPr>
          <w:rFonts w:ascii="Arial" w:hAnsi="Arial" w:cs="Arial"/>
          <w:color w:val="000000" w:themeColor="text1"/>
        </w:rPr>
      </w:pPr>
      <w:r w:rsidRPr="004470EF">
        <w:rPr>
          <w:rFonts w:ascii="Arial" w:hAnsi="Arial" w:cs="Arial"/>
          <w:color w:val="000000" w:themeColor="text1"/>
        </w:rPr>
        <w:t>Young, E. (2017). Women know better than men what other women are thinking and feeling,</w:t>
      </w:r>
      <w:r w:rsidRPr="004470EF">
        <w:rPr>
          <w:rFonts w:ascii="Arial" w:hAnsi="Arial" w:cs="Arial"/>
          <w:i/>
          <w:color w:val="000000" w:themeColor="text1"/>
        </w:rPr>
        <w:t xml:space="preserve"> Research Digest, The british Psychological Society.</w:t>
      </w:r>
      <w:r w:rsidRPr="004470EF">
        <w:rPr>
          <w:rFonts w:ascii="Arial" w:hAnsi="Arial" w:cs="Arial"/>
          <w:color w:val="000000" w:themeColor="text1"/>
        </w:rPr>
        <w:t xml:space="preserve"> https://digest.bps.org.uk/2017/09/18/women-know-better-than- </w:t>
      </w:r>
      <w:proofErr w:type="spellStart"/>
      <w:r w:rsidRPr="004470EF">
        <w:rPr>
          <w:rFonts w:ascii="Arial" w:hAnsi="Arial" w:cs="Arial"/>
          <w:color w:val="000000" w:themeColor="text1"/>
        </w:rPr>
        <w:t>menwhat</w:t>
      </w:r>
      <w:proofErr w:type="spellEnd"/>
      <w:r w:rsidRPr="004470EF">
        <w:rPr>
          <w:rFonts w:ascii="Arial" w:hAnsi="Arial" w:cs="Arial"/>
          <w:color w:val="000000" w:themeColor="text1"/>
        </w:rPr>
        <w:t xml:space="preserve">-other-women-are-thinking-and-feeling/ </w:t>
      </w:r>
    </w:p>
    <w:p w14:paraId="14ADDB86" w14:textId="77777777" w:rsidR="004470EF" w:rsidRPr="00AF1AE3" w:rsidRDefault="004470EF" w:rsidP="00AF1AE3">
      <w:pPr>
        <w:pStyle w:val="NormalWeb"/>
      </w:pPr>
    </w:p>
    <w:p w14:paraId="59A98B37" w14:textId="77777777" w:rsidR="00AF1AE3" w:rsidRDefault="00AF1AE3" w:rsidP="004A47DB">
      <w:pPr>
        <w:spacing w:line="360" w:lineRule="auto"/>
        <w:rPr>
          <w:rFonts w:ascii="Times New Roman" w:hAnsi="Times New Roman" w:cs="Times New Roman"/>
        </w:rPr>
      </w:pPr>
    </w:p>
    <w:p w14:paraId="584E9E9C" w14:textId="77777777" w:rsidR="000B3FB8" w:rsidRPr="004A47DB" w:rsidRDefault="000B3FB8" w:rsidP="004A47DB">
      <w:pPr>
        <w:spacing w:line="360" w:lineRule="auto"/>
        <w:rPr>
          <w:rFonts w:ascii="Times New Roman" w:hAnsi="Times New Roman" w:cs="Times New Roman"/>
        </w:rPr>
      </w:pPr>
    </w:p>
    <w:sectPr w:rsidR="000B3FB8" w:rsidRPr="004A47DB" w:rsidSect="00AB681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D5746E" w14:textId="77777777" w:rsidR="00902DC9" w:rsidRDefault="00902DC9" w:rsidP="005962B9">
      <w:r>
        <w:separator/>
      </w:r>
    </w:p>
  </w:endnote>
  <w:endnote w:type="continuationSeparator" w:id="0">
    <w:p w14:paraId="1E96ABB1" w14:textId="77777777" w:rsidR="00902DC9" w:rsidRDefault="00902DC9" w:rsidP="00596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05F5BF" w14:textId="77777777" w:rsidR="00902DC9" w:rsidRDefault="00902DC9" w:rsidP="005962B9">
      <w:r>
        <w:separator/>
      </w:r>
    </w:p>
  </w:footnote>
  <w:footnote w:type="continuationSeparator" w:id="0">
    <w:p w14:paraId="3BDE66E8" w14:textId="77777777" w:rsidR="00902DC9" w:rsidRDefault="00902DC9" w:rsidP="005962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287FFA"/>
    <w:multiLevelType w:val="hybridMultilevel"/>
    <w:tmpl w:val="16BEC7B4"/>
    <w:lvl w:ilvl="0" w:tplc="C4082310">
      <w:start w:val="1"/>
      <w:numFmt w:val="decimal"/>
      <w:lvlText w:val="%1."/>
      <w:lvlJc w:val="left"/>
      <w:pPr>
        <w:ind w:left="502" w:hanging="360"/>
      </w:pPr>
      <w:rPr>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7DB"/>
    <w:rsid w:val="000B3FB8"/>
    <w:rsid w:val="001754F5"/>
    <w:rsid w:val="0028655E"/>
    <w:rsid w:val="003E18BE"/>
    <w:rsid w:val="004470EF"/>
    <w:rsid w:val="004A47DB"/>
    <w:rsid w:val="005132DB"/>
    <w:rsid w:val="0054031F"/>
    <w:rsid w:val="005962B9"/>
    <w:rsid w:val="008200F2"/>
    <w:rsid w:val="00902DC9"/>
    <w:rsid w:val="009B0096"/>
    <w:rsid w:val="00AB681D"/>
    <w:rsid w:val="00AF1AE3"/>
    <w:rsid w:val="00B04935"/>
    <w:rsid w:val="00B458C1"/>
    <w:rsid w:val="00B953A0"/>
    <w:rsid w:val="00F0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26FBC4"/>
  <w15:chartTrackingRefBased/>
  <w15:docId w15:val="{D5FCEB95-F3DF-5A4B-8BF8-2D16AD4AE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1AE3"/>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4470EF"/>
    <w:rPr>
      <w:color w:val="0563C1" w:themeColor="hyperlink"/>
      <w:u w:val="single"/>
    </w:rPr>
  </w:style>
  <w:style w:type="paragraph" w:styleId="ListParagraph">
    <w:name w:val="List Paragraph"/>
    <w:basedOn w:val="Normal"/>
    <w:uiPriority w:val="34"/>
    <w:qFormat/>
    <w:rsid w:val="004470EF"/>
    <w:pPr>
      <w:ind w:left="720"/>
      <w:contextualSpacing/>
    </w:pPr>
  </w:style>
  <w:style w:type="paragraph" w:styleId="Header">
    <w:name w:val="header"/>
    <w:basedOn w:val="Normal"/>
    <w:link w:val="HeaderChar"/>
    <w:uiPriority w:val="99"/>
    <w:unhideWhenUsed/>
    <w:rsid w:val="005962B9"/>
    <w:pPr>
      <w:tabs>
        <w:tab w:val="center" w:pos="4680"/>
        <w:tab w:val="right" w:pos="9360"/>
      </w:tabs>
    </w:pPr>
  </w:style>
  <w:style w:type="character" w:customStyle="1" w:styleId="HeaderChar">
    <w:name w:val="Header Char"/>
    <w:basedOn w:val="DefaultParagraphFont"/>
    <w:link w:val="Header"/>
    <w:uiPriority w:val="99"/>
    <w:rsid w:val="005962B9"/>
  </w:style>
  <w:style w:type="paragraph" w:styleId="Footer">
    <w:name w:val="footer"/>
    <w:basedOn w:val="Normal"/>
    <w:link w:val="FooterChar"/>
    <w:uiPriority w:val="99"/>
    <w:unhideWhenUsed/>
    <w:rsid w:val="005962B9"/>
    <w:pPr>
      <w:tabs>
        <w:tab w:val="center" w:pos="4680"/>
        <w:tab w:val="right" w:pos="9360"/>
      </w:tabs>
    </w:pPr>
  </w:style>
  <w:style w:type="character" w:customStyle="1" w:styleId="FooterChar">
    <w:name w:val="Footer Char"/>
    <w:basedOn w:val="DefaultParagraphFont"/>
    <w:link w:val="Footer"/>
    <w:uiPriority w:val="99"/>
    <w:rsid w:val="005962B9"/>
  </w:style>
  <w:style w:type="character" w:customStyle="1" w:styleId="apple-converted-space">
    <w:name w:val="apple-converted-space"/>
    <w:basedOn w:val="DefaultParagraphFont"/>
    <w:rsid w:val="00596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617446">
      <w:bodyDiv w:val="1"/>
      <w:marLeft w:val="0"/>
      <w:marRight w:val="0"/>
      <w:marTop w:val="0"/>
      <w:marBottom w:val="0"/>
      <w:divBdr>
        <w:top w:val="none" w:sz="0" w:space="0" w:color="auto"/>
        <w:left w:val="none" w:sz="0" w:space="0" w:color="auto"/>
        <w:bottom w:val="none" w:sz="0" w:space="0" w:color="auto"/>
        <w:right w:val="none" w:sz="0" w:space="0" w:color="auto"/>
      </w:divBdr>
    </w:div>
    <w:div w:id="1923878134">
      <w:bodyDiv w:val="1"/>
      <w:marLeft w:val="0"/>
      <w:marRight w:val="0"/>
      <w:marTop w:val="0"/>
      <w:marBottom w:val="0"/>
      <w:divBdr>
        <w:top w:val="none" w:sz="0" w:space="0" w:color="auto"/>
        <w:left w:val="none" w:sz="0" w:space="0" w:color="auto"/>
        <w:bottom w:val="none" w:sz="0" w:space="0" w:color="auto"/>
        <w:right w:val="none" w:sz="0" w:space="0" w:color="auto"/>
      </w:divBdr>
    </w:div>
    <w:div w:id="2021925512">
      <w:bodyDiv w:val="1"/>
      <w:marLeft w:val="0"/>
      <w:marRight w:val="0"/>
      <w:marTop w:val="0"/>
      <w:marBottom w:val="0"/>
      <w:divBdr>
        <w:top w:val="none" w:sz="0" w:space="0" w:color="auto"/>
        <w:left w:val="none" w:sz="0" w:space="0" w:color="auto"/>
        <w:bottom w:val="none" w:sz="0" w:space="0" w:color="auto"/>
        <w:right w:val="none" w:sz="0" w:space="0" w:color="auto"/>
      </w:divBdr>
      <w:divsChild>
        <w:div w:id="2092894615">
          <w:marLeft w:val="0"/>
          <w:marRight w:val="0"/>
          <w:marTop w:val="0"/>
          <w:marBottom w:val="0"/>
          <w:divBdr>
            <w:top w:val="none" w:sz="0" w:space="0" w:color="auto"/>
            <w:left w:val="none" w:sz="0" w:space="0" w:color="auto"/>
            <w:bottom w:val="none" w:sz="0" w:space="0" w:color="auto"/>
            <w:right w:val="none" w:sz="0" w:space="0" w:color="auto"/>
          </w:divBdr>
          <w:divsChild>
            <w:div w:id="882983367">
              <w:marLeft w:val="0"/>
              <w:marRight w:val="0"/>
              <w:marTop w:val="0"/>
              <w:marBottom w:val="0"/>
              <w:divBdr>
                <w:top w:val="none" w:sz="0" w:space="0" w:color="auto"/>
                <w:left w:val="none" w:sz="0" w:space="0" w:color="auto"/>
                <w:bottom w:val="none" w:sz="0" w:space="0" w:color="auto"/>
                <w:right w:val="none" w:sz="0" w:space="0" w:color="auto"/>
              </w:divBdr>
              <w:divsChild>
                <w:div w:id="80747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ebooks.com/doi/view/10.4324/97802038784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1544</Words>
  <Characters>8803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2018-11-06T20:46:00Z</dcterms:created>
  <dcterms:modified xsi:type="dcterms:W3CDTF">2018-11-06T21:31:00Z</dcterms:modified>
</cp:coreProperties>
</file>