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4B9311" w14:textId="451DF710" w:rsidR="00C800F4" w:rsidRPr="00D53986" w:rsidRDefault="00AA77F4" w:rsidP="00D53986">
      <w:pPr>
        <w:spacing w:line="480" w:lineRule="auto"/>
        <w:rPr>
          <w:rFonts w:cstheme="minorHAnsi"/>
        </w:rPr>
      </w:pPr>
      <w:r w:rsidRPr="00D53986">
        <w:rPr>
          <w:rFonts w:cstheme="minorHAnsi"/>
        </w:rPr>
        <w:t>Chelsea Parkhouse-Kingsbury                                                                Student Number: 2300104</w:t>
      </w:r>
    </w:p>
    <w:p w14:paraId="2F675563" w14:textId="77777777" w:rsidR="004F0A65" w:rsidRPr="00D53986" w:rsidRDefault="00AA77F4" w:rsidP="00D53986">
      <w:pPr>
        <w:spacing w:line="480" w:lineRule="auto"/>
        <w:jc w:val="center"/>
        <w:rPr>
          <w:rFonts w:cstheme="minorHAnsi"/>
        </w:rPr>
      </w:pPr>
      <w:r w:rsidRPr="00D53986">
        <w:rPr>
          <w:rFonts w:cstheme="minorHAnsi"/>
        </w:rPr>
        <w:t xml:space="preserve">Assignment ECAD7004: </w:t>
      </w:r>
    </w:p>
    <w:p w14:paraId="10327776" w14:textId="34BC1B12" w:rsidR="00A57F68" w:rsidRPr="00D53986" w:rsidRDefault="00A57F68" w:rsidP="00D53986">
      <w:pPr>
        <w:spacing w:line="480" w:lineRule="auto"/>
        <w:rPr>
          <w:rFonts w:cstheme="minorHAnsi"/>
        </w:rPr>
      </w:pPr>
      <w:r w:rsidRPr="00D53986">
        <w:rPr>
          <w:rFonts w:cstheme="minorHAnsi"/>
          <w:b/>
          <w:bCs/>
          <w:u w:val="single"/>
        </w:rPr>
        <w:t xml:space="preserve">Introduction </w:t>
      </w:r>
    </w:p>
    <w:p w14:paraId="7B1DA8BB" w14:textId="14D3564A" w:rsidR="00A57F68" w:rsidRPr="00D53986" w:rsidRDefault="00A57F68" w:rsidP="00D53986">
      <w:pPr>
        <w:spacing w:line="480" w:lineRule="auto"/>
        <w:rPr>
          <w:rFonts w:cstheme="minorHAnsi"/>
        </w:rPr>
      </w:pPr>
      <w:r w:rsidRPr="00D53986">
        <w:rPr>
          <w:rFonts w:cstheme="minorHAnsi"/>
        </w:rPr>
        <w:t xml:space="preserve">Within the educational system of today there are numerous factors that contribute to its effectiveness and improvement, however continuous reflection is crucial. </w:t>
      </w:r>
      <w:r w:rsidR="00492A59" w:rsidRPr="00D53986">
        <w:rPr>
          <w:rFonts w:cstheme="minorHAnsi"/>
        </w:rPr>
        <w:t>E</w:t>
      </w:r>
      <w:r w:rsidRPr="00D53986">
        <w:rPr>
          <w:rFonts w:cstheme="minorHAnsi"/>
        </w:rPr>
        <w:t>ducation should be a continuing cycle of reflection</w:t>
      </w:r>
      <w:r w:rsidR="00492A59" w:rsidRPr="00D53986">
        <w:rPr>
          <w:rFonts w:cstheme="minorHAnsi"/>
        </w:rPr>
        <w:t xml:space="preserve"> and </w:t>
      </w:r>
      <w:r w:rsidRPr="00D53986">
        <w:rPr>
          <w:rFonts w:cstheme="minorHAnsi"/>
        </w:rPr>
        <w:t xml:space="preserve">teaching should be a continue process of trial and error through implementing new knowledge and strategies to support pupils. According to Kolb’s reflective cycle (1984) engaging with experiences whilst reflecting on them for future practices, mirrors the way in </w:t>
      </w:r>
      <w:r w:rsidR="00492A59" w:rsidRPr="00D53986">
        <w:rPr>
          <w:rFonts w:cstheme="minorHAnsi"/>
        </w:rPr>
        <w:t>which</w:t>
      </w:r>
      <w:r w:rsidRPr="00D53986">
        <w:rPr>
          <w:rFonts w:cstheme="minorHAnsi"/>
        </w:rPr>
        <w:t xml:space="preserve"> children learn within interacting with their environment they will adapt how they learn based on their previous experiences</w:t>
      </w:r>
      <w:r w:rsidR="00EE3D2D" w:rsidRPr="00D53986">
        <w:rPr>
          <w:rFonts w:cstheme="minorHAnsi"/>
        </w:rPr>
        <w:t xml:space="preserve"> cited by</w:t>
      </w:r>
      <w:r w:rsidRPr="00D53986">
        <w:rPr>
          <w:rFonts w:cstheme="minorHAnsi"/>
        </w:rPr>
        <w:t xml:space="preserve"> (Bates, 2016</w:t>
      </w:r>
      <w:r w:rsidR="00EE3D2D" w:rsidRPr="00D53986">
        <w:rPr>
          <w:rFonts w:cstheme="minorHAnsi"/>
        </w:rPr>
        <w:t>a</w:t>
      </w:r>
      <w:r w:rsidRPr="00D53986">
        <w:rPr>
          <w:rFonts w:cstheme="minorHAnsi"/>
        </w:rPr>
        <w:t xml:space="preserve">). Thus, why in order to develop </w:t>
      </w:r>
      <w:r w:rsidR="00492A59" w:rsidRPr="00D53986">
        <w:rPr>
          <w:rFonts w:cstheme="minorHAnsi"/>
        </w:rPr>
        <w:t>learners’</w:t>
      </w:r>
      <w:r w:rsidRPr="00D53986">
        <w:rPr>
          <w:rFonts w:cstheme="minorHAnsi"/>
        </w:rPr>
        <w:t xml:space="preserve"> knowledge, being conscious of continuing research is critical to the teaching pedagogy. As according to Barrow and Westrup (2019),</w:t>
      </w:r>
      <w:r w:rsidRPr="00D53986">
        <w:rPr>
          <w:rFonts w:cstheme="minorHAnsi"/>
          <w:b/>
          <w:bCs/>
        </w:rPr>
        <w:t xml:space="preserve"> </w:t>
      </w:r>
      <w:r w:rsidRPr="00D53986">
        <w:rPr>
          <w:rFonts w:cstheme="minorHAnsi"/>
        </w:rPr>
        <w:t xml:space="preserve">student teachers who reflect on their own educational experiences in order to analyse their own theoretical perspectives become more aware of reflective practice and its importance. </w:t>
      </w:r>
    </w:p>
    <w:p w14:paraId="3BDEF6FC" w14:textId="06DDEC6D" w:rsidR="00A57F68" w:rsidRPr="00D53986" w:rsidRDefault="005621B5" w:rsidP="00D53986">
      <w:pPr>
        <w:spacing w:line="480" w:lineRule="auto"/>
        <w:rPr>
          <w:rFonts w:cstheme="minorHAnsi"/>
        </w:rPr>
      </w:pPr>
      <w:r w:rsidRPr="00D53986">
        <w:rPr>
          <w:rFonts w:cstheme="minorHAnsi"/>
        </w:rPr>
        <w:t>In regard to</w:t>
      </w:r>
      <w:r w:rsidR="00A57F68" w:rsidRPr="00D53986">
        <w:rPr>
          <w:rFonts w:cstheme="minorHAnsi"/>
        </w:rPr>
        <w:t xml:space="preserve"> this research study the practitioner will undertake a research project within teaching pedagogy of a particular intervention within an educational setting. The aim is to gain a better understanding of effective pedagogy practices within professional development and teacher standards. The research study will have key links to the teaching standards, particularly the </w:t>
      </w:r>
      <w:r w:rsidR="00492A59" w:rsidRPr="00D53986">
        <w:rPr>
          <w:rFonts w:cstheme="minorHAnsi"/>
        </w:rPr>
        <w:t>innovation; evaluating</w:t>
      </w:r>
      <w:r w:rsidR="00A57F68" w:rsidRPr="00D53986">
        <w:rPr>
          <w:rFonts w:cstheme="minorHAnsi"/>
        </w:rPr>
        <w:t xml:space="preserve"> the impact of changes in practice and professional learning</w:t>
      </w:r>
      <w:r w:rsidR="00492A59" w:rsidRPr="00D53986">
        <w:rPr>
          <w:rFonts w:cstheme="minorHAnsi"/>
        </w:rPr>
        <w:t xml:space="preserve">; </w:t>
      </w:r>
      <w:r w:rsidR="00A57F68" w:rsidRPr="00D53986">
        <w:rPr>
          <w:rFonts w:cstheme="minorHAnsi"/>
        </w:rPr>
        <w:t>wider reading and research findings, (Welsh Government, 2019</w:t>
      </w:r>
      <w:r w:rsidR="00EE3D2D" w:rsidRPr="00D53986">
        <w:rPr>
          <w:rFonts w:cstheme="minorHAnsi"/>
        </w:rPr>
        <w:t>a</w:t>
      </w:r>
      <w:r w:rsidR="00A57F68" w:rsidRPr="00D53986">
        <w:rPr>
          <w:rFonts w:cstheme="minorHAnsi"/>
        </w:rPr>
        <w:t>).</w:t>
      </w:r>
    </w:p>
    <w:p w14:paraId="73B5EE7F" w14:textId="0ABD20CF" w:rsidR="00A57F68" w:rsidRPr="00D53986" w:rsidRDefault="00A57F68" w:rsidP="00D53986">
      <w:pPr>
        <w:spacing w:line="480" w:lineRule="auto"/>
        <w:rPr>
          <w:rFonts w:cstheme="minorHAnsi"/>
        </w:rPr>
      </w:pPr>
      <w:r w:rsidRPr="00D53986">
        <w:rPr>
          <w:rFonts w:cstheme="minorHAnsi"/>
        </w:rPr>
        <w:t>This study will focus on the correlation and impact that movement breaks can have on pupils’ concentration between lessons. As enabling and supporting concentration is crucial for academic success, however maintaining pupils’ concentration is a challenge. As NHS (20</w:t>
      </w:r>
      <w:r w:rsidR="00EE3D2D" w:rsidRPr="00D53986">
        <w:rPr>
          <w:rFonts w:cstheme="minorHAnsi"/>
        </w:rPr>
        <w:t>21</w:t>
      </w:r>
      <w:r w:rsidRPr="00D53986">
        <w:rPr>
          <w:rFonts w:cstheme="minorHAnsi"/>
        </w:rPr>
        <w:t xml:space="preserve">), state that children’s concertation can be impacted by underlying factors such as anxiety, frustration or sensory </w:t>
      </w:r>
      <w:r w:rsidRPr="00D53986">
        <w:rPr>
          <w:rFonts w:cstheme="minorHAnsi"/>
        </w:rPr>
        <w:lastRenderedPageBreak/>
        <w:t>sensitivities. In order to support learners’ teachers should monitor their behaviour as a way of identifying potential causes and solutions. Bearing this in mind the research the aims of the study are evaluate how pupil’s concentrations change when introduced to movement breaks; is there an increase in children’s concentration after participation and are the</w:t>
      </w:r>
      <w:r w:rsidR="00492A59" w:rsidRPr="00D53986">
        <w:rPr>
          <w:rFonts w:cstheme="minorHAnsi"/>
        </w:rPr>
        <w:t>re</w:t>
      </w:r>
      <w:r w:rsidRPr="00D53986">
        <w:rPr>
          <w:rFonts w:cstheme="minorHAnsi"/>
        </w:rPr>
        <w:t xml:space="preserve"> changes in class behaviour after participating in specific movement breaks. </w:t>
      </w:r>
    </w:p>
    <w:p w14:paraId="258B6CE2" w14:textId="13B36518" w:rsidR="00A57F68" w:rsidRPr="00D53986" w:rsidRDefault="00A57F68" w:rsidP="00D53986">
      <w:pPr>
        <w:spacing w:line="480" w:lineRule="auto"/>
        <w:rPr>
          <w:rFonts w:cstheme="minorHAnsi"/>
        </w:rPr>
      </w:pPr>
      <w:r w:rsidRPr="00D53986">
        <w:rPr>
          <w:rFonts w:cstheme="minorHAnsi"/>
        </w:rPr>
        <w:t xml:space="preserve">To conduct this research study an educational setting is required, the study will be conducted in a Welsh medium primary setting within </w:t>
      </w:r>
      <w:r w:rsidR="00492A59" w:rsidRPr="00D53986">
        <w:rPr>
          <w:rFonts w:cstheme="minorHAnsi"/>
        </w:rPr>
        <w:t>a</w:t>
      </w:r>
      <w:r w:rsidRPr="00D53986">
        <w:rPr>
          <w:rFonts w:cstheme="minorHAnsi"/>
        </w:rPr>
        <w:t xml:space="preserve"> Year 3 classroom. By examining the effects of movement breaks on concentration, this study seeks to contribute to the understanding of effective classroom interventions for improving student focus and engagement. Of which a critical evaluation and analysis of the data found will be conducted of the findings. In order to establish recommendations and skills for future practice based on the findings. To contribute to the increase of knowledge on the importance of physical activity in education and potentially influence future educational practices and policies.</w:t>
      </w:r>
    </w:p>
    <w:p w14:paraId="5623E68F" w14:textId="77777777" w:rsidR="00407971" w:rsidRPr="00D53986" w:rsidRDefault="00407971" w:rsidP="00D53986">
      <w:pPr>
        <w:spacing w:line="480" w:lineRule="auto"/>
        <w:rPr>
          <w:rFonts w:cstheme="minorHAnsi"/>
          <w:b/>
          <w:bCs/>
          <w:u w:val="single"/>
        </w:rPr>
      </w:pPr>
      <w:bookmarkStart w:id="0" w:name="_Hlk166969608"/>
      <w:r w:rsidRPr="00D53986">
        <w:rPr>
          <w:rFonts w:cstheme="minorHAnsi"/>
          <w:b/>
          <w:bCs/>
          <w:u w:val="single"/>
        </w:rPr>
        <w:t>Literature Review</w:t>
      </w:r>
    </w:p>
    <w:p w14:paraId="3A50D50A" w14:textId="52E4BD2C" w:rsidR="00407971" w:rsidRPr="00D53986" w:rsidRDefault="00407971" w:rsidP="00D53986">
      <w:pPr>
        <w:spacing w:line="480" w:lineRule="auto"/>
        <w:rPr>
          <w:rFonts w:cstheme="minorHAnsi"/>
        </w:rPr>
      </w:pPr>
      <w:r w:rsidRPr="00D53986">
        <w:rPr>
          <w:rFonts w:cstheme="minorHAnsi"/>
        </w:rPr>
        <w:t xml:space="preserve">As previously noted, this research study aims to explore the effects of movement breaks on learners. To effectively apply this concept in practice, it is essential to understand the definition and various research studies associated with movement breaks. The term movement brakes within literature </w:t>
      </w:r>
      <w:r w:rsidR="00A960C8" w:rsidRPr="00D53986">
        <w:rPr>
          <w:rFonts w:cstheme="minorHAnsi"/>
        </w:rPr>
        <w:t>have</w:t>
      </w:r>
      <w:r w:rsidRPr="00D53986">
        <w:rPr>
          <w:rFonts w:cstheme="minorHAnsi"/>
        </w:rPr>
        <w:t xml:space="preserve"> a </w:t>
      </w:r>
      <w:r w:rsidR="00A960C8" w:rsidRPr="00D53986">
        <w:rPr>
          <w:rFonts w:cstheme="minorHAnsi"/>
        </w:rPr>
        <w:t xml:space="preserve">variety </w:t>
      </w:r>
      <w:r w:rsidRPr="00D53986">
        <w:rPr>
          <w:rFonts w:cstheme="minorHAnsi"/>
        </w:rPr>
        <w:t xml:space="preserve">of names </w:t>
      </w:r>
      <w:r w:rsidR="00A960C8" w:rsidRPr="00D53986">
        <w:rPr>
          <w:rFonts w:cstheme="minorHAnsi"/>
        </w:rPr>
        <w:t>such as</w:t>
      </w:r>
      <w:r w:rsidRPr="00D53986">
        <w:rPr>
          <w:rFonts w:cstheme="minorHAnsi"/>
        </w:rPr>
        <w:t xml:space="preserve"> movement brakes, brain brakes and energises</w:t>
      </w:r>
      <w:r w:rsidR="00A960C8" w:rsidRPr="00D53986">
        <w:rPr>
          <w:rFonts w:cstheme="minorHAnsi"/>
        </w:rPr>
        <w:t xml:space="preserve">, these </w:t>
      </w:r>
      <w:r w:rsidRPr="00D53986">
        <w:rPr>
          <w:rFonts w:cstheme="minorHAnsi"/>
        </w:rPr>
        <w:t>are all terms th</w:t>
      </w:r>
      <w:r w:rsidR="00A960C8" w:rsidRPr="00D53986">
        <w:rPr>
          <w:rFonts w:cstheme="minorHAnsi"/>
        </w:rPr>
        <w:t>at</w:t>
      </w:r>
      <w:r w:rsidRPr="00D53986">
        <w:rPr>
          <w:rFonts w:cstheme="minorHAnsi"/>
        </w:rPr>
        <w:t xml:space="preserve"> represent one concept. They represent the concept of allowing learners the opportunity to experience physical activities within their normal classroom environment of learning. This approach aims to allow children to be involved in classroom-based physical activity, where learners are able to stand and move during academic instruction, (Mahar et al, 200</w:t>
      </w:r>
      <w:r w:rsidR="00EE3D2D" w:rsidRPr="00D53986">
        <w:rPr>
          <w:rFonts w:cstheme="minorHAnsi"/>
        </w:rPr>
        <w:t>7</w:t>
      </w:r>
      <w:r w:rsidRPr="00D53986">
        <w:rPr>
          <w:rFonts w:cstheme="minorHAnsi"/>
        </w:rPr>
        <w:t>). Minero (2015),</w:t>
      </w:r>
      <w:r w:rsidRPr="00D53986">
        <w:rPr>
          <w:rFonts w:cstheme="minorHAnsi"/>
          <w:b/>
          <w:bCs/>
        </w:rPr>
        <w:t xml:space="preserve"> </w:t>
      </w:r>
      <w:r w:rsidRPr="00D53986">
        <w:rPr>
          <w:rFonts w:cstheme="minorHAnsi"/>
        </w:rPr>
        <w:t>emphasis</w:t>
      </w:r>
      <w:r w:rsidR="00A960C8" w:rsidRPr="00D53986">
        <w:rPr>
          <w:rFonts w:cstheme="minorHAnsi"/>
        </w:rPr>
        <w:t>es</w:t>
      </w:r>
      <w:r w:rsidRPr="00D53986">
        <w:rPr>
          <w:rFonts w:cstheme="minorHAnsi"/>
        </w:rPr>
        <w:t xml:space="preserve"> that evolving the environment of which children learn to meet learners individual teaching needs has </w:t>
      </w:r>
      <w:r w:rsidR="002E4D07" w:rsidRPr="00D53986">
        <w:rPr>
          <w:rFonts w:cstheme="minorHAnsi"/>
        </w:rPr>
        <w:t>a</w:t>
      </w:r>
      <w:r w:rsidRPr="00D53986">
        <w:rPr>
          <w:rFonts w:cstheme="minorHAnsi"/>
        </w:rPr>
        <w:t xml:space="preserve"> defined impact on how they learn</w:t>
      </w:r>
      <w:r w:rsidR="002E4D07" w:rsidRPr="00D53986">
        <w:rPr>
          <w:rFonts w:cstheme="minorHAnsi"/>
        </w:rPr>
        <w:t xml:space="preserve"> and </w:t>
      </w:r>
      <w:r w:rsidRPr="00D53986">
        <w:rPr>
          <w:rFonts w:cstheme="minorHAnsi"/>
        </w:rPr>
        <w:t xml:space="preserve">interact with one and other. Although this does not have a direct link with the research study itself, the concept and idea of adapting the environment of </w:t>
      </w:r>
      <w:r w:rsidRPr="00D53986">
        <w:rPr>
          <w:rFonts w:cstheme="minorHAnsi"/>
        </w:rPr>
        <w:lastRenderedPageBreak/>
        <w:t xml:space="preserve">learners is an important aspect of the teaching pedagogy. As all children are individuals and should be treated as individuals especially regarding the best approach for their learning. </w:t>
      </w:r>
    </w:p>
    <w:p w14:paraId="4A09B959" w14:textId="050F7EA0" w:rsidR="00407971" w:rsidRPr="00D53986" w:rsidRDefault="00407971" w:rsidP="00D53986">
      <w:pPr>
        <w:spacing w:line="480" w:lineRule="auto"/>
        <w:rPr>
          <w:rFonts w:cstheme="minorHAnsi"/>
        </w:rPr>
      </w:pPr>
      <w:r w:rsidRPr="00D53986">
        <w:rPr>
          <w:rFonts w:cstheme="minorHAnsi"/>
        </w:rPr>
        <w:t xml:space="preserve">Throughout education and the changes seen within over the years one clear concept within is the idea of how children should learn especially regarding learning through play or hands on experiences. Which is highlighted by Gardner </w:t>
      </w:r>
      <w:r w:rsidR="00EE3D2D" w:rsidRPr="00D53986">
        <w:rPr>
          <w:rFonts w:cstheme="minorHAnsi"/>
        </w:rPr>
        <w:t>(1983)</w:t>
      </w:r>
      <w:r w:rsidRPr="00D53986">
        <w:rPr>
          <w:rFonts w:cstheme="minorHAnsi"/>
        </w:rPr>
        <w:t xml:space="preserve"> multiple intelligences theory where his research states that there are eight intelligences of which children learn. He believes that in order for learners to succeed academically educators should enable them to learn in the way that best fits their personal learning style, </w:t>
      </w:r>
      <w:r w:rsidR="00EE3D2D" w:rsidRPr="00D53986">
        <w:rPr>
          <w:rFonts w:cstheme="minorHAnsi"/>
        </w:rPr>
        <w:t xml:space="preserve">cited by </w:t>
      </w:r>
      <w:r w:rsidRPr="00D53986">
        <w:rPr>
          <w:rFonts w:cstheme="minorHAnsi"/>
        </w:rPr>
        <w:t>(Bates, 2016</w:t>
      </w:r>
      <w:r w:rsidR="00EE3D2D" w:rsidRPr="00D53986">
        <w:rPr>
          <w:rFonts w:cstheme="minorHAnsi"/>
        </w:rPr>
        <w:t>b</w:t>
      </w:r>
      <w:r w:rsidRPr="00D53986">
        <w:rPr>
          <w:rFonts w:cstheme="minorHAnsi"/>
        </w:rPr>
        <w:t xml:space="preserve">). </w:t>
      </w:r>
    </w:p>
    <w:p w14:paraId="72186791" w14:textId="16F268C4" w:rsidR="00407971" w:rsidRPr="00D53986" w:rsidRDefault="00407971" w:rsidP="00D53986">
      <w:pPr>
        <w:spacing w:line="480" w:lineRule="auto"/>
        <w:rPr>
          <w:rFonts w:cstheme="minorHAnsi"/>
          <w:b/>
          <w:bCs/>
        </w:rPr>
      </w:pPr>
      <w:r w:rsidRPr="00D53986">
        <w:rPr>
          <w:rFonts w:cstheme="minorHAnsi"/>
        </w:rPr>
        <w:t xml:space="preserve">The new curriculum can be seen to support his theory as there has been an increase in the importance of learning through play. </w:t>
      </w:r>
      <w:r w:rsidR="002E4D07" w:rsidRPr="00D53986">
        <w:rPr>
          <w:rFonts w:cstheme="minorHAnsi"/>
        </w:rPr>
        <w:t>W</w:t>
      </w:r>
      <w:r w:rsidRPr="00D53986">
        <w:rPr>
          <w:rFonts w:cstheme="minorHAnsi"/>
        </w:rPr>
        <w:t>ithin the new curriculum the four purposes are the key factor</w:t>
      </w:r>
      <w:r w:rsidR="002E4D07" w:rsidRPr="00D53986">
        <w:rPr>
          <w:rFonts w:cstheme="minorHAnsi"/>
        </w:rPr>
        <w:t>s</w:t>
      </w:r>
      <w:r w:rsidRPr="00D53986">
        <w:rPr>
          <w:rFonts w:cstheme="minorHAnsi"/>
        </w:rPr>
        <w:t xml:space="preserve"> of what is required for learning and the pedagogy of teaching. Where there is an emphasis on given opportunities to become active participants in their own learning through having the opportunity for physical activities alongside learning</w:t>
      </w:r>
      <w:r w:rsidR="00EE3D2D" w:rsidRPr="00D53986">
        <w:rPr>
          <w:rFonts w:cstheme="minorHAnsi"/>
        </w:rPr>
        <w:t xml:space="preserve">. </w:t>
      </w:r>
      <w:r w:rsidRPr="00D53986">
        <w:rPr>
          <w:rFonts w:cstheme="minorHAnsi"/>
        </w:rPr>
        <w:t>This is reflected within the areas of learning especially introducing Health and Wellbeing as one of the subjects of learning (Welsh Government</w:t>
      </w:r>
      <w:r w:rsidR="00EE3D2D" w:rsidRPr="00D53986">
        <w:rPr>
          <w:rFonts w:cstheme="minorHAnsi"/>
        </w:rPr>
        <w:t>, 2020b</w:t>
      </w:r>
      <w:r w:rsidRPr="00D53986">
        <w:rPr>
          <w:rFonts w:cstheme="minorHAnsi"/>
        </w:rPr>
        <w:t>).</w:t>
      </w:r>
      <w:r w:rsidRPr="00D53986">
        <w:rPr>
          <w:rFonts w:cstheme="minorHAnsi"/>
          <w:b/>
          <w:bCs/>
        </w:rPr>
        <w:t xml:space="preserve"> </w:t>
      </w:r>
      <w:r w:rsidRPr="00D53986">
        <w:rPr>
          <w:rFonts w:cstheme="minorHAnsi"/>
        </w:rPr>
        <w:t>Reinforcing the fact that children’s wellbeing has become an important aspect within the classroom and is as important as academic success.</w:t>
      </w:r>
    </w:p>
    <w:p w14:paraId="2D4A1685" w14:textId="1B14C37C" w:rsidR="00407971" w:rsidRPr="00D53986" w:rsidRDefault="00407971" w:rsidP="00D53986">
      <w:pPr>
        <w:spacing w:line="480" w:lineRule="auto"/>
        <w:rPr>
          <w:rFonts w:cstheme="minorHAnsi"/>
        </w:rPr>
      </w:pPr>
      <w:r w:rsidRPr="00D53986">
        <w:rPr>
          <w:rFonts w:cstheme="minorHAnsi"/>
        </w:rPr>
        <w:t xml:space="preserve">Morin (2024), states that those learners who learn differently are more likely to get tired and have a low tolerance for frustration, thus movement breaks can support a refresh of learners’ mind. Fazel et al (2014), children spend a majority of their time at school, thus, schools are considered crucial environments for individual's development. </w:t>
      </w:r>
      <w:r w:rsidR="00D53986" w:rsidRPr="008B5694">
        <w:rPr>
          <w:rFonts w:eastAsia="Times New Roman" w:cstheme="minorHAnsi"/>
          <w:kern w:val="0"/>
          <w:lang w:eastAsia="cy-GB"/>
          <w14:ligatures w14:val="none"/>
        </w:rPr>
        <w:t>Aldridge</w:t>
      </w:r>
      <w:r w:rsidR="00D53986" w:rsidRPr="00D53986">
        <w:rPr>
          <w:rFonts w:eastAsia="Times New Roman" w:cstheme="minorHAnsi"/>
          <w:kern w:val="0"/>
          <w:lang w:eastAsia="cy-GB"/>
          <w14:ligatures w14:val="none"/>
        </w:rPr>
        <w:t xml:space="preserve"> and </w:t>
      </w:r>
      <w:r w:rsidR="00D53986" w:rsidRPr="008B5694">
        <w:rPr>
          <w:rFonts w:eastAsia="Times New Roman" w:cstheme="minorHAnsi"/>
          <w:kern w:val="0"/>
          <w:lang w:eastAsia="cy-GB"/>
          <w14:ligatures w14:val="none"/>
        </w:rPr>
        <w:t>Chesney (2018)</w:t>
      </w:r>
      <w:r w:rsidR="00D53986" w:rsidRPr="00D53986">
        <w:rPr>
          <w:rFonts w:eastAsia="Times New Roman" w:cstheme="minorHAnsi"/>
          <w:kern w:val="0"/>
          <w:lang w:eastAsia="cy-GB"/>
          <w14:ligatures w14:val="none"/>
        </w:rPr>
        <w:t xml:space="preserve"> </w:t>
      </w:r>
      <w:r w:rsidRPr="00D53986">
        <w:rPr>
          <w:rFonts w:cstheme="minorHAnsi"/>
        </w:rPr>
        <w:t xml:space="preserve">it is known that all children have the opportunity to attend some sort of schooling in their lifetime of which schools facilitates monitoring and enhancing their wellbeing. </w:t>
      </w:r>
    </w:p>
    <w:p w14:paraId="0E4EB513" w14:textId="0B49901F" w:rsidR="00407971" w:rsidRPr="00D53986" w:rsidRDefault="00407971" w:rsidP="00D53986">
      <w:pPr>
        <w:spacing w:line="480" w:lineRule="auto"/>
        <w:rPr>
          <w:rFonts w:cstheme="minorHAnsi"/>
          <w:color w:val="3C4245"/>
          <w:shd w:val="clear" w:color="auto" w:fill="FFFFFF"/>
        </w:rPr>
      </w:pPr>
      <w:r w:rsidRPr="00D53986">
        <w:rPr>
          <w:rFonts w:cstheme="minorHAnsi"/>
        </w:rPr>
        <w:t xml:space="preserve">Research has shown that learners regularly lose focus and that teachers must find ways to reduce this. Thus, why movement breaks have been seen more regularly within schools’ studies have demonstrated these breaks are an effective strategy for students to refocus in the classroom. </w:t>
      </w:r>
      <w:r w:rsidRPr="00D53986">
        <w:rPr>
          <w:rFonts w:cstheme="minorHAnsi"/>
        </w:rPr>
        <w:lastRenderedPageBreak/>
        <w:t xml:space="preserve">Harvard (2023), research found that movement breaks can support a positive classroom and culture where an increase in learners time spent on tasks and engagement in overall learning. The overall purpose of movement breaks is that they support learners’ physical activities </w:t>
      </w:r>
      <w:r w:rsidR="0009362A" w:rsidRPr="00D53986">
        <w:rPr>
          <w:rFonts w:cstheme="minorHAnsi"/>
        </w:rPr>
        <w:t>and thereby</w:t>
      </w:r>
      <w:r w:rsidRPr="00D53986">
        <w:rPr>
          <w:rFonts w:cstheme="minorHAnsi"/>
        </w:rPr>
        <w:t xml:space="preserve"> improving their overall focus on tasks. </w:t>
      </w:r>
      <w:r w:rsidR="0009362A" w:rsidRPr="00D53986">
        <w:rPr>
          <w:rFonts w:cstheme="minorHAnsi"/>
        </w:rPr>
        <w:t>The World Health Organisation (2021)</w:t>
      </w:r>
      <w:r w:rsidRPr="00D53986">
        <w:rPr>
          <w:rFonts w:cstheme="minorHAnsi"/>
        </w:rPr>
        <w:t xml:space="preserve"> elaborate</w:t>
      </w:r>
      <w:r w:rsidR="0009362A" w:rsidRPr="00D53986">
        <w:rPr>
          <w:rFonts w:cstheme="minorHAnsi"/>
        </w:rPr>
        <w:t>s</w:t>
      </w:r>
      <w:r w:rsidRPr="00D53986">
        <w:rPr>
          <w:rFonts w:cstheme="minorHAnsi"/>
        </w:rPr>
        <w:t xml:space="preserve"> the fact that this approach has a beneficial </w:t>
      </w:r>
      <w:r w:rsidR="0009362A" w:rsidRPr="00D53986">
        <w:rPr>
          <w:rFonts w:cstheme="minorHAnsi"/>
        </w:rPr>
        <w:t>impact</w:t>
      </w:r>
      <w:r w:rsidRPr="00D53986">
        <w:rPr>
          <w:rFonts w:cstheme="minorHAnsi"/>
        </w:rPr>
        <w:t xml:space="preserve"> </w:t>
      </w:r>
      <w:r w:rsidR="0009362A" w:rsidRPr="00D53986">
        <w:rPr>
          <w:rFonts w:cstheme="minorHAnsi"/>
        </w:rPr>
        <w:t>and physical</w:t>
      </w:r>
      <w:r w:rsidRPr="00D53986">
        <w:rPr>
          <w:rFonts w:cstheme="minorHAnsi"/>
        </w:rPr>
        <w:t xml:space="preserve"> activity </w:t>
      </w:r>
      <w:r w:rsidR="0009362A" w:rsidRPr="00D53986">
        <w:rPr>
          <w:rFonts w:cstheme="minorHAnsi"/>
        </w:rPr>
        <w:t>impacts</w:t>
      </w:r>
      <w:r w:rsidRPr="00D53986">
        <w:rPr>
          <w:rFonts w:cstheme="minorHAnsi"/>
        </w:rPr>
        <w:t xml:space="preserve"> the development of cognitive and academic success. Also, learners’ behaviour improves as they become more attentive and keener to participate in learning. </w:t>
      </w:r>
      <w:r w:rsidRPr="00D53986">
        <w:rPr>
          <w:rFonts w:cstheme="minorHAnsi"/>
          <w:color w:val="3C4245"/>
          <w:shd w:val="clear" w:color="auto" w:fill="FFFFFF"/>
        </w:rPr>
        <w:t>As Harvard (2023):</w:t>
      </w:r>
      <w:r w:rsidRPr="00D53986">
        <w:rPr>
          <w:rFonts w:cstheme="minorHAnsi"/>
          <w:b/>
          <w:bCs/>
          <w:color w:val="3C4245"/>
          <w:shd w:val="clear" w:color="auto" w:fill="FFFFFF"/>
        </w:rPr>
        <w:t xml:space="preserve"> </w:t>
      </w:r>
      <w:r w:rsidRPr="00D53986">
        <w:rPr>
          <w:rFonts w:cstheme="minorHAnsi"/>
          <w:color w:val="3C4245"/>
          <w:shd w:val="clear" w:color="auto" w:fill="FFFFFF"/>
        </w:rPr>
        <w:t xml:space="preserve">Biddle and Asare </w:t>
      </w:r>
      <w:r w:rsidR="00EE3D2D" w:rsidRPr="00D53986">
        <w:rPr>
          <w:rFonts w:cstheme="minorHAnsi"/>
          <w:color w:val="3C4245"/>
          <w:shd w:val="clear" w:color="auto" w:fill="FFFFFF"/>
        </w:rPr>
        <w:t>(2011),</w:t>
      </w:r>
      <w:r w:rsidR="00EE3D2D" w:rsidRPr="00D53986">
        <w:rPr>
          <w:rFonts w:cstheme="minorHAnsi"/>
          <w:b/>
          <w:bCs/>
          <w:color w:val="3C4245"/>
          <w:shd w:val="clear" w:color="auto" w:fill="FFFFFF"/>
        </w:rPr>
        <w:t xml:space="preserve"> </w:t>
      </w:r>
      <w:r w:rsidRPr="00D53986">
        <w:rPr>
          <w:rFonts w:cstheme="minorHAnsi"/>
          <w:color w:val="3C4245"/>
          <w:shd w:val="clear" w:color="auto" w:fill="FFFFFF"/>
        </w:rPr>
        <w:t xml:space="preserve">literates that movement breaks can support not only academic and physical success but can </w:t>
      </w:r>
      <w:r w:rsidR="0009362A" w:rsidRPr="00D53986">
        <w:rPr>
          <w:rFonts w:cstheme="minorHAnsi"/>
          <w:color w:val="3C4245"/>
          <w:shd w:val="clear" w:color="auto" w:fill="FFFFFF"/>
        </w:rPr>
        <w:t xml:space="preserve">also </w:t>
      </w:r>
      <w:r w:rsidRPr="00D53986">
        <w:rPr>
          <w:rFonts w:cstheme="minorHAnsi"/>
          <w:color w:val="3C4245"/>
          <w:shd w:val="clear" w:color="auto" w:fill="FFFFFF"/>
        </w:rPr>
        <w:t>be seen as a classroom management tool if implemented appropriately. With learners becoming more focuse</w:t>
      </w:r>
      <w:r w:rsidR="0009362A" w:rsidRPr="00D53986">
        <w:rPr>
          <w:rFonts w:cstheme="minorHAnsi"/>
          <w:color w:val="3C4245"/>
          <w:shd w:val="clear" w:color="auto" w:fill="FFFFFF"/>
        </w:rPr>
        <w:t>d</w:t>
      </w:r>
      <w:r w:rsidRPr="00D53986">
        <w:rPr>
          <w:rFonts w:cstheme="minorHAnsi"/>
          <w:color w:val="3C4245"/>
          <w:shd w:val="clear" w:color="auto" w:fill="FFFFFF"/>
        </w:rPr>
        <w:t xml:space="preserve"> on learning and more excited about learning when movement breaks are seen within their classroom environment. </w:t>
      </w:r>
    </w:p>
    <w:p w14:paraId="7C855BB0" w14:textId="2CBC9A28" w:rsidR="00407971" w:rsidRPr="00D53986" w:rsidRDefault="00407971" w:rsidP="00D53986">
      <w:pPr>
        <w:spacing w:line="480" w:lineRule="auto"/>
        <w:rPr>
          <w:rFonts w:cstheme="minorHAnsi"/>
        </w:rPr>
      </w:pPr>
      <w:r w:rsidRPr="00D53986">
        <w:rPr>
          <w:rFonts w:cstheme="minorHAnsi"/>
          <w:color w:val="3C4245"/>
          <w:shd w:val="clear" w:color="auto" w:fill="FFFFFF"/>
        </w:rPr>
        <w:t xml:space="preserve">Morin (2024), research found that learners learn more quickly when they have been involved in a physical activity. </w:t>
      </w:r>
      <w:r w:rsidR="0009362A" w:rsidRPr="00D53986">
        <w:rPr>
          <w:rFonts w:cstheme="minorHAnsi"/>
          <w:color w:val="3C4245"/>
          <w:shd w:val="clear" w:color="auto" w:fill="FFFFFF"/>
        </w:rPr>
        <w:t>O</w:t>
      </w:r>
      <w:r w:rsidRPr="00D53986">
        <w:rPr>
          <w:rFonts w:cstheme="minorHAnsi"/>
          <w:color w:val="3C4245"/>
          <w:shd w:val="clear" w:color="auto" w:fill="FFFFFF"/>
        </w:rPr>
        <w:t>ne study found that learners learn</w:t>
      </w:r>
      <w:r w:rsidRPr="00D53986">
        <w:rPr>
          <w:rFonts w:cstheme="minorHAnsi"/>
        </w:rPr>
        <w:t>ed vocabulary</w:t>
      </w:r>
      <w:r w:rsidR="0009362A" w:rsidRPr="00D53986">
        <w:rPr>
          <w:rFonts w:cstheme="minorHAnsi"/>
        </w:rPr>
        <w:t>,</w:t>
      </w:r>
      <w:r w:rsidRPr="00D53986">
        <w:rPr>
          <w:rFonts w:cstheme="minorHAnsi"/>
        </w:rPr>
        <w:t xml:space="preserve"> words</w:t>
      </w:r>
      <w:r w:rsidR="0009362A" w:rsidRPr="00D53986">
        <w:rPr>
          <w:rFonts w:cstheme="minorHAnsi"/>
        </w:rPr>
        <w:t>,</w:t>
      </w:r>
      <w:r w:rsidRPr="00D53986">
        <w:rPr>
          <w:rFonts w:cstheme="minorHAnsi"/>
        </w:rPr>
        <w:t xml:space="preserve"> 20 percent faster after exercising. It was also found that for those children who struggle with self-regulating, relaxing brain breaks may be more beneficial than energizing ones. Because it allows learners to return to their work as they have given their brains time to recharge. Thus, improving overall academic success and concentration within learning. </w:t>
      </w:r>
    </w:p>
    <w:p w14:paraId="231B5B36" w14:textId="70047FBC" w:rsidR="00407971" w:rsidRPr="00D53986" w:rsidRDefault="00407971" w:rsidP="00D53986">
      <w:pPr>
        <w:spacing w:line="480" w:lineRule="auto"/>
        <w:rPr>
          <w:rFonts w:cstheme="minorHAnsi"/>
          <w:color w:val="212121"/>
          <w:shd w:val="clear" w:color="auto" w:fill="FFFFFF"/>
        </w:rPr>
      </w:pPr>
      <w:r w:rsidRPr="00D53986">
        <w:rPr>
          <w:rFonts w:cstheme="minorHAnsi"/>
          <w:color w:val="3C4245"/>
          <w:shd w:val="clear" w:color="auto" w:fill="FFFFFF"/>
        </w:rPr>
        <w:t xml:space="preserve">However, although literature stresses how beneficial movement breaks are for learners’ wellbeing and academic success. There are also some limitations within implementing and impact on </w:t>
      </w:r>
      <w:r w:rsidR="00BA6A2B" w:rsidRPr="00D53986">
        <w:rPr>
          <w:rFonts w:cstheme="minorHAnsi"/>
          <w:color w:val="3C4245"/>
          <w:shd w:val="clear" w:color="auto" w:fill="FFFFFF"/>
        </w:rPr>
        <w:t>children’s</w:t>
      </w:r>
      <w:r w:rsidRPr="00D53986">
        <w:rPr>
          <w:rFonts w:cstheme="minorHAnsi"/>
          <w:color w:val="3C4245"/>
          <w:shd w:val="clear" w:color="auto" w:fill="FFFFFF"/>
        </w:rPr>
        <w:t xml:space="preserve"> behaviour after the movement breaks. As (Watson et al, 2017), highlight</w:t>
      </w:r>
      <w:r w:rsidR="00BA6A2B" w:rsidRPr="00D53986">
        <w:rPr>
          <w:rFonts w:cstheme="minorHAnsi"/>
          <w:color w:val="3C4245"/>
          <w:shd w:val="clear" w:color="auto" w:fill="FFFFFF"/>
        </w:rPr>
        <w:t>ed</w:t>
      </w:r>
      <w:r w:rsidRPr="00D53986">
        <w:rPr>
          <w:rFonts w:cstheme="minorHAnsi"/>
          <w:color w:val="3C4245"/>
          <w:shd w:val="clear" w:color="auto" w:fill="FFFFFF"/>
        </w:rPr>
        <w:t xml:space="preserve"> although schools are providing an ideal setting to promote children’s physical activity it can also see </w:t>
      </w:r>
      <w:r w:rsidR="00BA6A2B" w:rsidRPr="00D53986">
        <w:rPr>
          <w:rFonts w:cstheme="minorHAnsi"/>
          <w:color w:val="3C4245"/>
          <w:shd w:val="clear" w:color="auto" w:fill="FFFFFF"/>
        </w:rPr>
        <w:t>that it is</w:t>
      </w:r>
      <w:r w:rsidRPr="00D53986">
        <w:rPr>
          <w:rFonts w:cstheme="minorHAnsi"/>
          <w:color w:val="3C4245"/>
          <w:shd w:val="clear" w:color="auto" w:fill="FFFFFF"/>
        </w:rPr>
        <w:t xml:space="preserve"> difficult to implement due to time constrain</w:t>
      </w:r>
      <w:r w:rsidR="00BA6A2B" w:rsidRPr="00D53986">
        <w:rPr>
          <w:rFonts w:cstheme="minorHAnsi"/>
          <w:color w:val="3C4245"/>
          <w:shd w:val="clear" w:color="auto" w:fill="FFFFFF"/>
        </w:rPr>
        <w:t>t</w:t>
      </w:r>
      <w:r w:rsidRPr="00D53986">
        <w:rPr>
          <w:rFonts w:cstheme="minorHAnsi"/>
          <w:color w:val="3C4245"/>
          <w:shd w:val="clear" w:color="auto" w:fill="FFFFFF"/>
        </w:rPr>
        <w:t>s often imposed by other teaching focuses. This is reinforced by (Peris et al, 2021), who found that the timing of movement breaks to be vital in order enhance their benefit but also reduce disruption to their learning. Another study to highlight this issue is by (</w:t>
      </w:r>
      <w:r w:rsidRPr="00D53986">
        <w:rPr>
          <w:rFonts w:cstheme="minorHAnsi"/>
          <w:color w:val="212121"/>
          <w:shd w:val="clear" w:color="auto" w:fill="FFFFFF"/>
        </w:rPr>
        <w:t xml:space="preserve">Chorlton et al, (2022) who found that that transitioning back to lessons following movement breaks </w:t>
      </w:r>
      <w:r w:rsidRPr="00D53986">
        <w:rPr>
          <w:rFonts w:cstheme="minorHAnsi"/>
          <w:color w:val="212121"/>
          <w:shd w:val="clear" w:color="auto" w:fill="FFFFFF"/>
        </w:rPr>
        <w:lastRenderedPageBreak/>
        <w:t xml:space="preserve">were identified as key barriers. This is due to the fact that those children who may be overstimulated need more time to process the change and allow their brains to relax. </w:t>
      </w:r>
    </w:p>
    <w:p w14:paraId="6B86EC39" w14:textId="0F8662BA" w:rsidR="00407971" w:rsidRPr="00D53986" w:rsidRDefault="00407971" w:rsidP="00D53986">
      <w:pPr>
        <w:spacing w:line="480" w:lineRule="auto"/>
        <w:rPr>
          <w:rFonts w:cstheme="minorHAnsi"/>
          <w:color w:val="212121"/>
          <w:shd w:val="clear" w:color="auto" w:fill="FFFFFF"/>
        </w:rPr>
      </w:pPr>
      <w:r w:rsidRPr="00D53986">
        <w:rPr>
          <w:rFonts w:cstheme="minorHAnsi"/>
          <w:color w:val="212121"/>
          <w:shd w:val="clear" w:color="auto" w:fill="FFFFFF"/>
        </w:rPr>
        <w:t>It is clear to see that there are numerous benefits to implement movement breaks into the classroom environment especially the cognitive and overall wellbeing benefits it can provide. Thus, in consideration to those limitations it is important to incorporate movement breaks into learning but also to be mindful of the certain type of movement break that is be</w:t>
      </w:r>
      <w:r w:rsidR="00BA6A2B" w:rsidRPr="00D53986">
        <w:rPr>
          <w:rFonts w:cstheme="minorHAnsi"/>
          <w:color w:val="212121"/>
          <w:shd w:val="clear" w:color="auto" w:fill="FFFFFF"/>
        </w:rPr>
        <w:t xml:space="preserve">ing </w:t>
      </w:r>
      <w:r w:rsidRPr="00D53986">
        <w:rPr>
          <w:rFonts w:cstheme="minorHAnsi"/>
          <w:color w:val="212121"/>
          <w:shd w:val="clear" w:color="auto" w:fill="FFFFFF"/>
        </w:rPr>
        <w:t>facilitated.</w:t>
      </w:r>
    </w:p>
    <w:p w14:paraId="31B9C7ED" w14:textId="77777777" w:rsidR="00AC73B0" w:rsidRPr="00D53986" w:rsidRDefault="00AC73B0" w:rsidP="00D53986">
      <w:pPr>
        <w:spacing w:line="480" w:lineRule="auto"/>
        <w:rPr>
          <w:rFonts w:cstheme="minorHAnsi"/>
          <w:b/>
          <w:bCs/>
          <w:u w:val="single"/>
        </w:rPr>
      </w:pPr>
      <w:r w:rsidRPr="00D53986">
        <w:rPr>
          <w:rFonts w:cstheme="minorHAnsi"/>
          <w:b/>
          <w:bCs/>
          <w:u w:val="single"/>
        </w:rPr>
        <w:t xml:space="preserve">Explanation of a Case Study </w:t>
      </w:r>
    </w:p>
    <w:p w14:paraId="3F378CFD" w14:textId="2BB5C90E" w:rsidR="00AC73B0" w:rsidRPr="00D53986" w:rsidRDefault="00AC73B0" w:rsidP="00D53986">
      <w:pPr>
        <w:spacing w:line="480" w:lineRule="auto"/>
        <w:rPr>
          <w:rFonts w:cstheme="minorHAnsi"/>
        </w:rPr>
      </w:pPr>
      <w:r w:rsidRPr="00D53986">
        <w:rPr>
          <w:rFonts w:cstheme="minorHAnsi"/>
        </w:rPr>
        <w:t xml:space="preserve">In the field of research there are various ways in </w:t>
      </w:r>
      <w:r w:rsidR="00BA6A2B" w:rsidRPr="00D53986">
        <w:rPr>
          <w:rFonts w:cstheme="minorHAnsi"/>
        </w:rPr>
        <w:t xml:space="preserve">which </w:t>
      </w:r>
      <w:r w:rsidRPr="00D53986">
        <w:rPr>
          <w:rFonts w:cstheme="minorHAnsi"/>
        </w:rPr>
        <w:t xml:space="preserve">research studies can be conducted. However, in regards to education research case studies are seen to be used more frequently than other methods. </w:t>
      </w:r>
      <w:r w:rsidR="00BA6A2B" w:rsidRPr="00D53986">
        <w:rPr>
          <w:rFonts w:cstheme="minorHAnsi"/>
        </w:rPr>
        <w:t>T</w:t>
      </w:r>
      <w:r w:rsidRPr="00D53986">
        <w:rPr>
          <w:rFonts w:cstheme="minorHAnsi"/>
        </w:rPr>
        <w:t>his particular research study will be conducted in line with a case study approach. Case studies can be defined as a comprehensive analysis of aspects which integrates various methodologies, and is substantiated by evidence in order to foster a profound understanding of a specific subject cited by (Simons, 2009).</w:t>
      </w:r>
      <w:r w:rsidRPr="00D53986">
        <w:rPr>
          <w:rFonts w:cstheme="minorHAnsi"/>
          <w:b/>
          <w:bCs/>
        </w:rPr>
        <w:t xml:space="preserve"> </w:t>
      </w:r>
      <w:r w:rsidRPr="00D53986">
        <w:rPr>
          <w:rFonts w:cstheme="minorHAnsi"/>
        </w:rPr>
        <w:t xml:space="preserve">Hancock and </w:t>
      </w:r>
      <w:r w:rsidR="00EE3D2D" w:rsidRPr="00D53986">
        <w:rPr>
          <w:rFonts w:cstheme="minorHAnsi"/>
        </w:rPr>
        <w:t>Algozine (2021)</w:t>
      </w:r>
      <w:r w:rsidRPr="00D53986">
        <w:rPr>
          <w:rFonts w:cstheme="minorHAnsi"/>
          <w:b/>
          <w:bCs/>
        </w:rPr>
        <w:t xml:space="preserve"> </w:t>
      </w:r>
      <w:r w:rsidRPr="00D53986">
        <w:rPr>
          <w:rFonts w:cstheme="minorHAnsi"/>
        </w:rPr>
        <w:t xml:space="preserve">elaborate on this by suggesting that there is a process of understanding the collected information. Whereas other studies approaches are to analyse at the end of the study, case </w:t>
      </w:r>
      <w:r w:rsidR="00BA6A2B" w:rsidRPr="00D53986">
        <w:rPr>
          <w:rFonts w:cstheme="minorHAnsi"/>
        </w:rPr>
        <w:t xml:space="preserve">studies </w:t>
      </w:r>
      <w:r w:rsidRPr="00D53986">
        <w:rPr>
          <w:rFonts w:cstheme="minorHAnsi"/>
        </w:rPr>
        <w:t>involve ongoing examination and interpretation of the data. In consideration to the case study being conducted within an educational setting, (</w:t>
      </w:r>
      <w:r w:rsidR="00EE3D2D" w:rsidRPr="00D53986">
        <w:rPr>
          <w:rFonts w:cstheme="minorHAnsi"/>
        </w:rPr>
        <w:t xml:space="preserve">Baron and McNeal, 2019, p. 20 -46), </w:t>
      </w:r>
      <w:r w:rsidRPr="00D53986">
        <w:rPr>
          <w:rFonts w:cstheme="minorHAnsi"/>
        </w:rPr>
        <w:t xml:space="preserve">state that the purpose of these studies is to allow the researcher to identify areas of improvement, recognising and articulating courses of action, and arguing different points of view.  </w:t>
      </w:r>
    </w:p>
    <w:p w14:paraId="5128A119" w14:textId="77777777" w:rsidR="00AC73B0" w:rsidRPr="00D53986" w:rsidRDefault="00AC73B0" w:rsidP="00D53986">
      <w:pPr>
        <w:spacing w:line="480" w:lineRule="auto"/>
        <w:rPr>
          <w:rFonts w:cstheme="minorHAnsi"/>
        </w:rPr>
      </w:pPr>
      <w:r w:rsidRPr="00D53986">
        <w:rPr>
          <w:rFonts w:cstheme="minorHAnsi"/>
        </w:rPr>
        <w:t>This is reflected within the following study as the focus of the study is to critically evaulute the effectiveness of introducing a specific intervention into practice. Enabling educators to investigate specific areas of teaching pedagogy through gathering detailed information by undertaking research allows for more comprehensive understanding of the subject, cited by (Creswell, 2014).</w:t>
      </w:r>
      <w:r w:rsidRPr="00D53986">
        <w:rPr>
          <w:rFonts w:cstheme="minorHAnsi"/>
          <w:b/>
          <w:bCs/>
        </w:rPr>
        <w:t xml:space="preserve"> </w:t>
      </w:r>
    </w:p>
    <w:p w14:paraId="1EB91819" w14:textId="060AB186" w:rsidR="00AC73B0" w:rsidRPr="00D53986" w:rsidRDefault="00AC73B0" w:rsidP="00D53986">
      <w:pPr>
        <w:spacing w:line="480" w:lineRule="auto"/>
        <w:rPr>
          <w:rFonts w:cstheme="minorHAnsi"/>
        </w:rPr>
      </w:pPr>
      <w:r w:rsidRPr="00D53986">
        <w:rPr>
          <w:rFonts w:cstheme="minorHAnsi"/>
        </w:rPr>
        <w:lastRenderedPageBreak/>
        <w:t xml:space="preserve">An essential element of any research study is the cohort of participants. It is crucial to have participants in research as they provide the necessary evidence to support the research findings. According to </w:t>
      </w:r>
      <w:r w:rsidR="00EE3D2D" w:rsidRPr="00D53986">
        <w:rPr>
          <w:rFonts w:cstheme="minorHAnsi"/>
        </w:rPr>
        <w:t xml:space="preserve">Miller et al (2012, p94-104) </w:t>
      </w:r>
      <w:r w:rsidRPr="00D53986">
        <w:rPr>
          <w:rFonts w:cstheme="minorHAnsi"/>
        </w:rPr>
        <w:t xml:space="preserve">participants are selected through a process known as sampling. This method involves researchers choosing participants to partake in the study, where a suitable sampling method is chosen. </w:t>
      </w:r>
    </w:p>
    <w:p w14:paraId="3DDE2CA8" w14:textId="64F5D54D" w:rsidR="00AC73B0" w:rsidRPr="00D53986" w:rsidRDefault="00AC73B0" w:rsidP="00D53986">
      <w:pPr>
        <w:spacing w:line="480" w:lineRule="auto"/>
        <w:rPr>
          <w:rFonts w:cstheme="minorHAnsi"/>
        </w:rPr>
      </w:pPr>
      <w:r w:rsidRPr="00D53986">
        <w:rPr>
          <w:rFonts w:cstheme="minorHAnsi"/>
        </w:rPr>
        <w:t xml:space="preserve">Given that the study will </w:t>
      </w:r>
      <w:r w:rsidR="00BA6A2B" w:rsidRPr="00D53986">
        <w:rPr>
          <w:rFonts w:cstheme="minorHAnsi"/>
        </w:rPr>
        <w:t xml:space="preserve">be </w:t>
      </w:r>
      <w:r w:rsidRPr="00D53986">
        <w:rPr>
          <w:rFonts w:cstheme="minorHAnsi"/>
        </w:rPr>
        <w:t>conduct</w:t>
      </w:r>
      <w:r w:rsidR="00BA6A2B" w:rsidRPr="00D53986">
        <w:rPr>
          <w:rFonts w:cstheme="minorHAnsi"/>
        </w:rPr>
        <w:t>ed</w:t>
      </w:r>
      <w:r w:rsidRPr="00D53986">
        <w:rPr>
          <w:rFonts w:cstheme="minorHAnsi"/>
        </w:rPr>
        <w:t xml:space="preserve"> within an educational setting the practitioner </w:t>
      </w:r>
      <w:r w:rsidR="00BA6A2B" w:rsidRPr="00D53986">
        <w:rPr>
          <w:rFonts w:cstheme="minorHAnsi"/>
        </w:rPr>
        <w:t xml:space="preserve">has </w:t>
      </w:r>
      <w:r w:rsidRPr="00D53986">
        <w:rPr>
          <w:rFonts w:cstheme="minorHAnsi"/>
        </w:rPr>
        <w:t>decided to use the method of purposive sampling in choosing the cohorts of participants. Purposive sampling allows for the selection of participants who are most relevant to the research objectives, thus enhancing the quality and applicability of the findings. Campbell</w:t>
      </w:r>
      <w:r w:rsidR="00EE3D2D" w:rsidRPr="00D53986">
        <w:rPr>
          <w:rFonts w:cstheme="minorHAnsi"/>
        </w:rPr>
        <w:t xml:space="preserve"> </w:t>
      </w:r>
      <w:r w:rsidRPr="00D53986">
        <w:rPr>
          <w:rFonts w:cstheme="minorHAnsi"/>
        </w:rPr>
        <w:t>(20</w:t>
      </w:r>
      <w:r w:rsidR="00EE3D2D" w:rsidRPr="00D53986">
        <w:rPr>
          <w:rFonts w:cstheme="minorHAnsi"/>
        </w:rPr>
        <w:t>14</w:t>
      </w:r>
      <w:r w:rsidRPr="00D53986">
        <w:rPr>
          <w:rFonts w:cstheme="minorHAnsi"/>
        </w:rPr>
        <w:t xml:space="preserve">), research on purposive sampling suggests it is well-suited for case studies as it aims to align the cohort with the research's aims and objectives. Thereby enhancing the rigour of the study and the trustworthiness of the data and results. </w:t>
      </w:r>
    </w:p>
    <w:p w14:paraId="0F63FE01" w14:textId="2C204C92" w:rsidR="00AC73B0" w:rsidRPr="00D53986" w:rsidRDefault="00BA6A2B" w:rsidP="00D53986">
      <w:pPr>
        <w:spacing w:line="480" w:lineRule="auto"/>
        <w:rPr>
          <w:rFonts w:cstheme="minorHAnsi"/>
        </w:rPr>
      </w:pPr>
      <w:r w:rsidRPr="00D53986">
        <w:rPr>
          <w:rFonts w:cstheme="minorHAnsi"/>
        </w:rPr>
        <w:t>T</w:t>
      </w:r>
      <w:r w:rsidR="00AC73B0" w:rsidRPr="00D53986">
        <w:rPr>
          <w:rFonts w:cstheme="minorHAnsi"/>
        </w:rPr>
        <w:t xml:space="preserve">he sampling method </w:t>
      </w:r>
      <w:r w:rsidRPr="00D53986">
        <w:rPr>
          <w:rFonts w:cstheme="minorHAnsi"/>
        </w:rPr>
        <w:t xml:space="preserve">of </w:t>
      </w:r>
      <w:r w:rsidR="00AC73B0" w:rsidRPr="00D53986">
        <w:rPr>
          <w:rFonts w:cstheme="minorHAnsi"/>
        </w:rPr>
        <w:t xml:space="preserve">the participants for this study will be 18 students from the Year 3 classroom. As the cohort are children it is important to consider the implications and risks of having children as participants within studies. As the UK Research and Innovation (2023), state that ensuring protection of children and young people throughout research process is important and that to consider the ethical implications requires a thoughtful approach that prioritizes their safety, rights and meaningful participation. </w:t>
      </w:r>
      <w:r w:rsidR="00466B79" w:rsidRPr="00D53986">
        <w:rPr>
          <w:rFonts w:cstheme="minorHAnsi"/>
        </w:rPr>
        <w:t>When i</w:t>
      </w:r>
      <w:r w:rsidR="00AC73B0" w:rsidRPr="00D53986">
        <w:rPr>
          <w:rFonts w:cstheme="minorHAnsi"/>
        </w:rPr>
        <w:t>ncorporating children into the study</w:t>
      </w:r>
      <w:r w:rsidR="00466B79" w:rsidRPr="00D53986">
        <w:rPr>
          <w:rFonts w:cstheme="minorHAnsi"/>
        </w:rPr>
        <w:t>,</w:t>
      </w:r>
      <w:r w:rsidR="00AC73B0" w:rsidRPr="00D53986">
        <w:rPr>
          <w:rFonts w:cstheme="minorHAnsi"/>
        </w:rPr>
        <w:t xml:space="preserve"> it is important and vital that there is knowledge by the practitioner of which those involved may not understand the topic being researched or understand why they have been chosen. Which is why consent and ethical improvement is vital when conducting research involving children.  </w:t>
      </w:r>
    </w:p>
    <w:p w14:paraId="0A141F18" w14:textId="1CA3A18C" w:rsidR="00AC73B0" w:rsidRPr="00D53986" w:rsidRDefault="00466B79" w:rsidP="00D53986">
      <w:pPr>
        <w:spacing w:line="480" w:lineRule="auto"/>
        <w:rPr>
          <w:rFonts w:cstheme="minorHAnsi"/>
        </w:rPr>
      </w:pPr>
      <w:r w:rsidRPr="00D53986">
        <w:rPr>
          <w:rFonts w:cstheme="minorHAnsi"/>
        </w:rPr>
        <w:t>W</w:t>
      </w:r>
      <w:r w:rsidR="00AC73B0" w:rsidRPr="00D53986">
        <w:rPr>
          <w:rFonts w:cstheme="minorHAnsi"/>
        </w:rPr>
        <w:t xml:space="preserve">hich improves the trustworthiness of the data and results as the practitioner knows the participants on a professional teaching basis. It is also known as non-probabilistic sampling method, where (University of Bath, 2024), state this method </w:t>
      </w:r>
      <w:r w:rsidRPr="00D53986">
        <w:rPr>
          <w:rFonts w:cstheme="minorHAnsi"/>
        </w:rPr>
        <w:t>is</w:t>
      </w:r>
      <w:r w:rsidR="00AC73B0" w:rsidRPr="00D53986">
        <w:rPr>
          <w:rFonts w:cstheme="minorHAnsi"/>
        </w:rPr>
        <w:t xml:space="preserve"> where researchers deliberate c</w:t>
      </w:r>
      <w:r w:rsidRPr="00D53986">
        <w:rPr>
          <w:rFonts w:cstheme="minorHAnsi"/>
        </w:rPr>
        <w:t>ohorts,</w:t>
      </w:r>
      <w:r w:rsidR="00AC73B0" w:rsidRPr="00D53986">
        <w:rPr>
          <w:rFonts w:cstheme="minorHAnsi"/>
        </w:rPr>
        <w:t xml:space="preserve"> based on specific criteria or specific research objectives, seen within purposive sampling. </w:t>
      </w:r>
    </w:p>
    <w:bookmarkEnd w:id="0"/>
    <w:p w14:paraId="2A437442" w14:textId="77777777" w:rsidR="004F0A65" w:rsidRPr="00D53986" w:rsidRDefault="004F0A65" w:rsidP="00D53986">
      <w:pPr>
        <w:spacing w:line="480" w:lineRule="auto"/>
        <w:rPr>
          <w:rFonts w:cstheme="minorHAnsi"/>
          <w:b/>
          <w:bCs/>
          <w:u w:val="single"/>
        </w:rPr>
      </w:pPr>
      <w:r w:rsidRPr="00D53986">
        <w:rPr>
          <w:rFonts w:cstheme="minorHAnsi"/>
          <w:b/>
          <w:bCs/>
          <w:u w:val="single"/>
        </w:rPr>
        <w:lastRenderedPageBreak/>
        <w:t>Research Methods</w:t>
      </w:r>
    </w:p>
    <w:p w14:paraId="78CFD1C7" w14:textId="5CB33FF1" w:rsidR="004F0A65" w:rsidRPr="00D53986" w:rsidRDefault="004F0A65" w:rsidP="00D53986">
      <w:pPr>
        <w:spacing w:line="480" w:lineRule="auto"/>
        <w:rPr>
          <w:rFonts w:cstheme="minorHAnsi"/>
        </w:rPr>
      </w:pPr>
      <w:r w:rsidRPr="00D53986">
        <w:rPr>
          <w:rFonts w:cstheme="minorHAnsi"/>
        </w:rPr>
        <w:t>The following section will outline the researcher’s methodolog</w:t>
      </w:r>
      <w:r w:rsidR="00466B79" w:rsidRPr="00D53986">
        <w:rPr>
          <w:rFonts w:cstheme="minorHAnsi"/>
        </w:rPr>
        <w:t>ical</w:t>
      </w:r>
      <w:r w:rsidRPr="00D53986">
        <w:rPr>
          <w:rFonts w:cstheme="minorHAnsi"/>
        </w:rPr>
        <w:t xml:space="preserve"> approach in conducting the study over a two-week period. The study will be conducted over this time frame due to matter of gaining an understanding </w:t>
      </w:r>
      <w:r w:rsidR="00466B79" w:rsidRPr="00D53986">
        <w:rPr>
          <w:rFonts w:cstheme="minorHAnsi"/>
        </w:rPr>
        <w:t xml:space="preserve">as to whether </w:t>
      </w:r>
      <w:r w:rsidRPr="00D53986">
        <w:rPr>
          <w:rFonts w:cstheme="minorHAnsi"/>
        </w:rPr>
        <w:t xml:space="preserve">movement breaks are beneficial to learners in a short space of time. As </w:t>
      </w:r>
      <w:r w:rsidR="00EE3D2D" w:rsidRPr="00D53986">
        <w:rPr>
          <w:rFonts w:cstheme="minorHAnsi"/>
        </w:rPr>
        <w:t>stated,</w:t>
      </w:r>
      <w:r w:rsidRPr="00D53986">
        <w:rPr>
          <w:rFonts w:cstheme="minorHAnsi"/>
        </w:rPr>
        <w:t xml:space="preserve"> that case studies are a </w:t>
      </w:r>
      <w:r w:rsidR="00466B79" w:rsidRPr="00D53986">
        <w:rPr>
          <w:rFonts w:cstheme="minorHAnsi"/>
        </w:rPr>
        <w:t>continuous</w:t>
      </w:r>
      <w:r w:rsidRPr="00D53986">
        <w:rPr>
          <w:rFonts w:cstheme="minorHAnsi"/>
        </w:rPr>
        <w:t xml:space="preserve"> cycle of reflection </w:t>
      </w:r>
      <w:r w:rsidR="00466B79" w:rsidRPr="00D53986">
        <w:rPr>
          <w:rFonts w:cstheme="minorHAnsi"/>
        </w:rPr>
        <w:t>while</w:t>
      </w:r>
      <w:r w:rsidRPr="00D53986">
        <w:rPr>
          <w:rFonts w:cstheme="minorHAnsi"/>
        </w:rPr>
        <w:t xml:space="preserve"> conducting the study.</w:t>
      </w:r>
    </w:p>
    <w:p w14:paraId="57AFBC46" w14:textId="1127EEF1" w:rsidR="004F0A65" w:rsidRPr="00D53986" w:rsidRDefault="004F0A65" w:rsidP="00D53986">
      <w:pPr>
        <w:spacing w:line="480" w:lineRule="auto"/>
        <w:rPr>
          <w:rFonts w:cstheme="minorHAnsi"/>
        </w:rPr>
      </w:pPr>
      <w:r w:rsidRPr="00D53986">
        <w:rPr>
          <w:rFonts w:cstheme="minorHAnsi"/>
        </w:rPr>
        <w:t>In the field of research, it is vital that there are clear outlines regarding the methodolog</w:t>
      </w:r>
      <w:r w:rsidR="00466B79" w:rsidRPr="00D53986">
        <w:rPr>
          <w:rFonts w:cstheme="minorHAnsi"/>
        </w:rPr>
        <w:t>ical</w:t>
      </w:r>
      <w:r w:rsidRPr="00D53986">
        <w:rPr>
          <w:rFonts w:cstheme="minorHAnsi"/>
        </w:rPr>
        <w:t xml:space="preserve"> aspect of the research. </w:t>
      </w:r>
      <w:r w:rsidR="00466B79" w:rsidRPr="00D53986">
        <w:rPr>
          <w:rFonts w:cstheme="minorHAnsi"/>
        </w:rPr>
        <w:t>The University of Newcastle (2024)</w:t>
      </w:r>
      <w:r w:rsidRPr="00D53986">
        <w:rPr>
          <w:rFonts w:cstheme="minorHAnsi"/>
        </w:rPr>
        <w:t xml:space="preserve"> defines methodology as the processes that </w:t>
      </w:r>
      <w:r w:rsidR="00466B79" w:rsidRPr="00D53986">
        <w:rPr>
          <w:rFonts w:cstheme="minorHAnsi"/>
        </w:rPr>
        <w:t>are</w:t>
      </w:r>
      <w:r w:rsidRPr="00D53986">
        <w:rPr>
          <w:rFonts w:cstheme="minorHAnsi"/>
        </w:rPr>
        <w:t xml:space="preserve"> used in the collection of data</w:t>
      </w:r>
      <w:r w:rsidR="00466B79" w:rsidRPr="00D53986">
        <w:rPr>
          <w:rFonts w:cstheme="minorHAnsi"/>
        </w:rPr>
        <w:t xml:space="preserve"> and</w:t>
      </w:r>
      <w:r w:rsidRPr="00D53986">
        <w:rPr>
          <w:rFonts w:cstheme="minorHAnsi"/>
        </w:rPr>
        <w:t xml:space="preserve"> where analysis can be conducted to uncover new information that enables the researcher to gain a better understanding of the research topic. Highlighting the fact that when conducting research, the methods </w:t>
      </w:r>
      <w:r w:rsidR="00466B79" w:rsidRPr="00D53986">
        <w:rPr>
          <w:rFonts w:cstheme="minorHAnsi"/>
        </w:rPr>
        <w:t>which are</w:t>
      </w:r>
      <w:r w:rsidRPr="00D53986">
        <w:rPr>
          <w:rFonts w:cstheme="minorHAnsi"/>
        </w:rPr>
        <w:t xml:space="preserve"> used is fundamental. </w:t>
      </w:r>
    </w:p>
    <w:p w14:paraId="0BD6A260" w14:textId="029CC7C2" w:rsidR="004F0A65" w:rsidRPr="00D53986" w:rsidRDefault="004F0A65" w:rsidP="00D53986">
      <w:pPr>
        <w:spacing w:line="480" w:lineRule="auto"/>
        <w:rPr>
          <w:rFonts w:cstheme="minorHAnsi"/>
        </w:rPr>
      </w:pPr>
      <w:r w:rsidRPr="00D53986">
        <w:rPr>
          <w:rFonts w:cstheme="minorHAnsi"/>
        </w:rPr>
        <w:t>Concerning this matter (Louis</w:t>
      </w:r>
      <w:r w:rsidR="00EE3D2D" w:rsidRPr="00D53986">
        <w:rPr>
          <w:rFonts w:cstheme="minorHAnsi"/>
        </w:rPr>
        <w:t xml:space="preserve"> et al, </w:t>
      </w:r>
      <w:r w:rsidRPr="00D53986">
        <w:rPr>
          <w:rFonts w:cstheme="minorHAnsi"/>
        </w:rPr>
        <w:t>201</w:t>
      </w:r>
      <w:r w:rsidR="00EE3D2D" w:rsidRPr="00D53986">
        <w:rPr>
          <w:rFonts w:cstheme="minorHAnsi"/>
        </w:rPr>
        <w:t>8</w:t>
      </w:r>
      <w:r w:rsidRPr="00D53986">
        <w:rPr>
          <w:rFonts w:cstheme="minorHAnsi"/>
        </w:rPr>
        <w:t xml:space="preserve">) research emphasises that within case study research there should be a focus on triangulation where data collection methods such as semi-structured and open interviews, observation rather than questionnaires or experiments. In order to ensure </w:t>
      </w:r>
      <w:r w:rsidR="00466B79" w:rsidRPr="00D53986">
        <w:rPr>
          <w:rFonts w:cstheme="minorHAnsi"/>
        </w:rPr>
        <w:t>that</w:t>
      </w:r>
      <w:r w:rsidRPr="00D53986">
        <w:rPr>
          <w:rFonts w:cstheme="minorHAnsi"/>
        </w:rPr>
        <w:t xml:space="preserve"> various methods of quantitative or qualitive data collection will be obtained creating a mixed methods approach to the study. Creswell (201</w:t>
      </w:r>
      <w:r w:rsidR="00EE3D2D" w:rsidRPr="00D53986">
        <w:rPr>
          <w:rFonts w:cstheme="minorHAnsi"/>
        </w:rPr>
        <w:t>4</w:t>
      </w:r>
      <w:r w:rsidRPr="00D53986">
        <w:rPr>
          <w:rFonts w:cstheme="minorHAnsi"/>
        </w:rPr>
        <w:t xml:space="preserve">) state that mixed methods </w:t>
      </w:r>
      <w:r w:rsidR="00466B79" w:rsidRPr="00D53986">
        <w:rPr>
          <w:rFonts w:cstheme="minorHAnsi"/>
        </w:rPr>
        <w:t>i</w:t>
      </w:r>
      <w:r w:rsidRPr="00D53986">
        <w:rPr>
          <w:rFonts w:cstheme="minorHAnsi"/>
        </w:rPr>
        <w:t xml:space="preserve">s an approach that integrates qualitative and quantitative research methods within a single study or across multiple phases of a research project. </w:t>
      </w:r>
    </w:p>
    <w:p w14:paraId="441FE14A" w14:textId="096B3E86" w:rsidR="004F0A65" w:rsidRPr="00D53986" w:rsidRDefault="004F0A65" w:rsidP="00D53986">
      <w:pPr>
        <w:spacing w:line="480" w:lineRule="auto"/>
        <w:rPr>
          <w:rFonts w:cstheme="minorHAnsi"/>
        </w:rPr>
      </w:pPr>
      <w:r w:rsidRPr="00D53986">
        <w:rPr>
          <w:rFonts w:cstheme="minorHAnsi"/>
        </w:rPr>
        <w:t>Louis (201</w:t>
      </w:r>
      <w:r w:rsidR="00EE3D2D" w:rsidRPr="00D53986">
        <w:rPr>
          <w:rFonts w:cstheme="minorHAnsi"/>
        </w:rPr>
        <w:t>8</w:t>
      </w:r>
      <w:r w:rsidRPr="00D53986">
        <w:rPr>
          <w:rFonts w:cstheme="minorHAnsi"/>
        </w:rPr>
        <w:t>); Creswell (201</w:t>
      </w:r>
      <w:r w:rsidR="00EE3D2D" w:rsidRPr="00D53986">
        <w:rPr>
          <w:rFonts w:cstheme="minorHAnsi"/>
        </w:rPr>
        <w:t>4</w:t>
      </w:r>
      <w:r w:rsidRPr="00D53986">
        <w:rPr>
          <w:rFonts w:cstheme="minorHAnsi"/>
        </w:rPr>
        <w:t xml:space="preserve">), state that the difference between qualitative research and quantitative research is the difference between numeric data and thematic data. As qualitative research deals with non-numeric data focusing on understanding descriptive narratives of data. Whereas quantitative research involves numeric data and statistical analysis with the aim to find relationships, patterns, or trends within data sets. Using an approach that includes both these forms of data collection will enable the researcher to gain a clearer picture of </w:t>
      </w:r>
      <w:r w:rsidR="002D67FA" w:rsidRPr="00D53986">
        <w:rPr>
          <w:rFonts w:cstheme="minorHAnsi"/>
        </w:rPr>
        <w:t xml:space="preserve">the </w:t>
      </w:r>
      <w:r w:rsidRPr="00D53986">
        <w:rPr>
          <w:rFonts w:cstheme="minorHAnsi"/>
        </w:rPr>
        <w:t xml:space="preserve">research, thus creating a triangulation within the study. </w:t>
      </w:r>
    </w:p>
    <w:p w14:paraId="1612B85D" w14:textId="77777777" w:rsidR="004F0A65" w:rsidRPr="00D53986" w:rsidRDefault="004F0A65" w:rsidP="00D53986">
      <w:pPr>
        <w:spacing w:line="480" w:lineRule="auto"/>
        <w:rPr>
          <w:rFonts w:cstheme="minorHAnsi"/>
        </w:rPr>
      </w:pPr>
      <w:r w:rsidRPr="00D53986">
        <w:rPr>
          <w:rFonts w:cstheme="minorHAnsi"/>
        </w:rPr>
        <w:lastRenderedPageBreak/>
        <w:t>Within the study two types of methods will be conducted questionnaires and observations. Qualitative research will be analysed through questionnaires, with the aim to collect a narrative of views and opinions of participants surrounding the research subject. Especially gathering an understanding of what they have observed or noticed within the two-week research period.</w:t>
      </w:r>
    </w:p>
    <w:p w14:paraId="67379183" w14:textId="194E5315" w:rsidR="004F0A65" w:rsidRPr="00D53986" w:rsidRDefault="004F0A65" w:rsidP="00D53986">
      <w:pPr>
        <w:spacing w:line="480" w:lineRule="auto"/>
        <w:rPr>
          <w:rFonts w:cstheme="minorHAnsi"/>
        </w:rPr>
      </w:pPr>
      <w:r w:rsidRPr="00D53986">
        <w:rPr>
          <w:rFonts w:cstheme="minorHAnsi"/>
        </w:rPr>
        <w:t xml:space="preserve">Quantitative research will be analysed by asking pupils to answer a questionnaire at the end of the research period. The researcher also aims to use observations in particular </w:t>
      </w:r>
      <w:r w:rsidR="002D67FA" w:rsidRPr="00D53986">
        <w:rPr>
          <w:rFonts w:cstheme="minorHAnsi"/>
        </w:rPr>
        <w:t xml:space="preserve">using </w:t>
      </w:r>
      <w:r w:rsidRPr="00D53986">
        <w:rPr>
          <w:rFonts w:cstheme="minorHAnsi"/>
        </w:rPr>
        <w:t xml:space="preserve">the Leuven scale approach to observe pupil’s concentration before starting movement breaks and after conducting this strategy. Focusing on numeric data collection within the observations data and closed questions responses. </w:t>
      </w:r>
    </w:p>
    <w:p w14:paraId="59D6449A" w14:textId="77777777" w:rsidR="004F0A65" w:rsidRPr="00D53986" w:rsidRDefault="004F0A65" w:rsidP="00D53986">
      <w:pPr>
        <w:spacing w:line="480" w:lineRule="auto"/>
        <w:rPr>
          <w:rFonts w:cstheme="minorHAnsi"/>
          <w:b/>
          <w:bCs/>
          <w:u w:val="single"/>
        </w:rPr>
      </w:pPr>
      <w:r w:rsidRPr="00D53986">
        <w:rPr>
          <w:rFonts w:cstheme="minorHAnsi"/>
          <w:b/>
          <w:bCs/>
          <w:u w:val="single"/>
        </w:rPr>
        <w:t>Questionnaires</w:t>
      </w:r>
    </w:p>
    <w:p w14:paraId="0C12A502" w14:textId="7C499A7A" w:rsidR="004F0A65" w:rsidRPr="00D53986" w:rsidRDefault="004F0A65" w:rsidP="00D53986">
      <w:pPr>
        <w:spacing w:line="480" w:lineRule="auto"/>
        <w:rPr>
          <w:rFonts w:cstheme="minorHAnsi"/>
        </w:rPr>
      </w:pPr>
      <w:r w:rsidRPr="00D53986">
        <w:rPr>
          <w:rFonts w:cstheme="minorHAnsi"/>
        </w:rPr>
        <w:t>A key aspect to any data collection is deciding upon the structure of the methods used, this is especially seen within questionnaires as they can be used as quantitative and qualitative depending on the questions. As open questions enable the researcher to collect a selection of rich qualitative data concerning the ideas, attitudes, and values of participants (</w:t>
      </w:r>
      <w:bookmarkStart w:id="1" w:name="_Hlk167129455"/>
      <w:r w:rsidRPr="00D53986">
        <w:rPr>
          <w:rFonts w:cstheme="minorHAnsi"/>
          <w:b/>
        </w:rPr>
        <w:t>Mukherji and Albon 2015</w:t>
      </w:r>
      <w:bookmarkEnd w:id="1"/>
      <w:r w:rsidRPr="00D53986">
        <w:rPr>
          <w:rFonts w:cstheme="minorHAnsi"/>
          <w:b/>
        </w:rPr>
        <w:t xml:space="preserve">). </w:t>
      </w:r>
      <w:r w:rsidRPr="00D53986">
        <w:rPr>
          <w:rFonts w:cstheme="minorHAnsi"/>
          <w:bCs/>
        </w:rPr>
        <w:t>Whereas closed questions produce a stricter data collection as there is either one answer or choice of multipl</w:t>
      </w:r>
      <w:r w:rsidR="002D67FA" w:rsidRPr="00D53986">
        <w:rPr>
          <w:rFonts w:cstheme="minorHAnsi"/>
          <w:bCs/>
        </w:rPr>
        <w:t>e</w:t>
      </w:r>
      <w:r w:rsidRPr="00D53986">
        <w:rPr>
          <w:rFonts w:cstheme="minorHAnsi"/>
          <w:bCs/>
        </w:rPr>
        <w:t xml:space="preserve"> answers, restricting a narrative approach to analysis, (</w:t>
      </w:r>
      <w:r w:rsidRPr="00D53986">
        <w:rPr>
          <w:rFonts w:cstheme="minorHAnsi"/>
          <w:b/>
        </w:rPr>
        <w:t>Imam 2021)</w:t>
      </w:r>
      <w:r w:rsidRPr="00D53986">
        <w:rPr>
          <w:rFonts w:cstheme="minorHAnsi"/>
        </w:rPr>
        <w:t xml:space="preserve">. </w:t>
      </w:r>
    </w:p>
    <w:p w14:paraId="42510821" w14:textId="5C8D2CEC" w:rsidR="004F0A65" w:rsidRPr="00D53986" w:rsidRDefault="002D67FA" w:rsidP="00D53986">
      <w:pPr>
        <w:spacing w:line="480" w:lineRule="auto"/>
        <w:rPr>
          <w:rFonts w:cstheme="minorHAnsi"/>
        </w:rPr>
      </w:pPr>
      <w:r w:rsidRPr="00D53986">
        <w:rPr>
          <w:rFonts w:cstheme="minorHAnsi"/>
        </w:rPr>
        <w:t>To</w:t>
      </w:r>
      <w:r w:rsidR="004F0A65" w:rsidRPr="00D53986">
        <w:rPr>
          <w:rFonts w:cstheme="minorHAnsi"/>
        </w:rPr>
        <w:t xml:space="preserve"> effectively collect data that enables </w:t>
      </w:r>
      <w:r w:rsidRPr="00D53986">
        <w:rPr>
          <w:rFonts w:cstheme="minorHAnsi"/>
        </w:rPr>
        <w:t>a</w:t>
      </w:r>
      <w:r w:rsidR="004F0A65" w:rsidRPr="00D53986">
        <w:rPr>
          <w:rFonts w:cstheme="minorHAnsi"/>
        </w:rPr>
        <w:t xml:space="preserve"> rich understanding of the research in line with the overall objectives, providing a mixture of open and closed questions is clear. As only relying on closed questions comes with one key limitation </w:t>
      </w:r>
      <w:r w:rsidRPr="00D53986">
        <w:rPr>
          <w:rFonts w:cstheme="minorHAnsi"/>
        </w:rPr>
        <w:t>in</w:t>
      </w:r>
      <w:r w:rsidR="004F0A65" w:rsidRPr="00D53986">
        <w:rPr>
          <w:rFonts w:cstheme="minorHAnsi"/>
        </w:rPr>
        <w:t xml:space="preserve"> that it could tend to restrict the data and participants views, </w:t>
      </w:r>
      <w:r w:rsidR="00D53986" w:rsidRPr="00D53986">
        <w:rPr>
          <w:rFonts w:cstheme="minorHAnsi"/>
          <w:shd w:val="clear" w:color="auto" w:fill="FFFFFF"/>
        </w:rPr>
        <w:t>Desai and Reimers (2019).</w:t>
      </w:r>
      <w:r w:rsidR="00D53986" w:rsidRPr="00D53986">
        <w:rPr>
          <w:rFonts w:cstheme="minorHAnsi"/>
        </w:rPr>
        <w:t xml:space="preserve"> </w:t>
      </w:r>
      <w:r w:rsidR="004F0A65" w:rsidRPr="00D53986">
        <w:rPr>
          <w:rFonts w:cstheme="minorHAnsi"/>
        </w:rPr>
        <w:t xml:space="preserve"> According to Lambert </w:t>
      </w:r>
      <w:r w:rsidR="00014D95" w:rsidRPr="00D53986">
        <w:rPr>
          <w:rFonts w:cstheme="minorHAnsi"/>
        </w:rPr>
        <w:t>(2019)</w:t>
      </w:r>
      <w:r w:rsidR="00014D95" w:rsidRPr="00D53986">
        <w:rPr>
          <w:rFonts w:cstheme="minorHAnsi"/>
          <w:b/>
          <w:bCs/>
        </w:rPr>
        <w:t xml:space="preserve"> </w:t>
      </w:r>
      <w:r w:rsidR="004F0A65" w:rsidRPr="00D53986">
        <w:rPr>
          <w:rFonts w:cstheme="minorHAnsi"/>
        </w:rPr>
        <w:t xml:space="preserve">questionnaires serve as a tool that allows for </w:t>
      </w:r>
      <w:r w:rsidRPr="00D53986">
        <w:rPr>
          <w:rFonts w:cstheme="minorHAnsi"/>
        </w:rPr>
        <w:t xml:space="preserve">a </w:t>
      </w:r>
      <w:r w:rsidR="004F0A65" w:rsidRPr="00D53986">
        <w:rPr>
          <w:rFonts w:cstheme="minorHAnsi"/>
        </w:rPr>
        <w:t>more in-depth and detailed data collection as they are confidential. Thus, encourages honest and candid responses, ensuring that respondents feel secure knowing their personal views will remain anonymous.</w:t>
      </w:r>
    </w:p>
    <w:p w14:paraId="39B1C1FD" w14:textId="77A8C038" w:rsidR="004F0A65" w:rsidRPr="00D53986" w:rsidRDefault="004F0A65" w:rsidP="00D53986">
      <w:pPr>
        <w:spacing w:line="480" w:lineRule="auto"/>
        <w:rPr>
          <w:rFonts w:cstheme="minorHAnsi"/>
        </w:rPr>
      </w:pPr>
      <w:r w:rsidRPr="00D53986">
        <w:rPr>
          <w:rFonts w:cstheme="minorHAnsi"/>
        </w:rPr>
        <w:lastRenderedPageBreak/>
        <w:t xml:space="preserve">Regarding this particular study </w:t>
      </w:r>
      <w:r w:rsidR="005621B5" w:rsidRPr="00D53986">
        <w:rPr>
          <w:rFonts w:cstheme="minorHAnsi"/>
        </w:rPr>
        <w:t xml:space="preserve">and </w:t>
      </w:r>
      <w:r w:rsidRPr="00D53986">
        <w:rPr>
          <w:rFonts w:cstheme="minorHAnsi"/>
        </w:rPr>
        <w:t xml:space="preserve">the design of the questionnaire, learners will be asked approximately 5 to 10 questions, every learner will have the </w:t>
      </w:r>
      <w:r w:rsidR="005621B5" w:rsidRPr="00D53986">
        <w:rPr>
          <w:rFonts w:cstheme="minorHAnsi"/>
        </w:rPr>
        <w:t>exact same</w:t>
      </w:r>
      <w:r w:rsidRPr="00D53986">
        <w:rPr>
          <w:rFonts w:cstheme="minorHAnsi"/>
        </w:rPr>
        <w:t xml:space="preserve"> questions. These questions will </w:t>
      </w:r>
      <w:r w:rsidR="005621B5" w:rsidRPr="00D53986">
        <w:rPr>
          <w:rFonts w:cstheme="minorHAnsi"/>
        </w:rPr>
        <w:t>include</w:t>
      </w:r>
      <w:r w:rsidRPr="00D53986">
        <w:rPr>
          <w:rFonts w:cstheme="minorHAnsi"/>
        </w:rPr>
        <w:t xml:space="preserve"> open questions, multiple choices and closed questions in line with </w:t>
      </w:r>
      <w:r w:rsidR="00D53986" w:rsidRPr="00D53986">
        <w:rPr>
          <w:rFonts w:cstheme="minorHAnsi"/>
          <w:shd w:val="clear" w:color="auto" w:fill="FFFFFF"/>
        </w:rPr>
        <w:t>Desai and Reimers (2019)</w:t>
      </w:r>
      <w:r w:rsidRPr="00D53986">
        <w:rPr>
          <w:rFonts w:cstheme="minorHAnsi"/>
        </w:rPr>
        <w:t xml:space="preserve"> research. There will also be an option for pupils not to answer the questions if they don’t want to. </w:t>
      </w:r>
    </w:p>
    <w:p w14:paraId="736BE53E" w14:textId="77777777" w:rsidR="004F0A65" w:rsidRPr="00D53986" w:rsidRDefault="004F0A65" w:rsidP="00D53986">
      <w:pPr>
        <w:spacing w:line="480" w:lineRule="auto"/>
        <w:rPr>
          <w:rFonts w:cstheme="minorHAnsi"/>
          <w:b/>
          <w:bCs/>
          <w:u w:val="single"/>
        </w:rPr>
      </w:pPr>
      <w:r w:rsidRPr="00D53986">
        <w:rPr>
          <w:rFonts w:cstheme="minorHAnsi"/>
          <w:b/>
          <w:bCs/>
          <w:u w:val="single"/>
        </w:rPr>
        <w:t>Observations</w:t>
      </w:r>
    </w:p>
    <w:p w14:paraId="0D466FAA" w14:textId="01D35F18" w:rsidR="004F0A65" w:rsidRPr="00D53986" w:rsidRDefault="004F0A65" w:rsidP="00D53986">
      <w:pPr>
        <w:spacing w:line="480" w:lineRule="auto"/>
        <w:rPr>
          <w:rFonts w:cstheme="minorHAnsi"/>
        </w:rPr>
      </w:pPr>
      <w:r w:rsidRPr="00D53986">
        <w:rPr>
          <w:rFonts w:cstheme="minorHAnsi"/>
        </w:rPr>
        <w:t>Concerning the methods of observation within this study</w:t>
      </w:r>
      <w:r w:rsidR="005621B5" w:rsidRPr="00D53986">
        <w:rPr>
          <w:rFonts w:cstheme="minorHAnsi"/>
        </w:rPr>
        <w:t>,</w:t>
      </w:r>
      <w:r w:rsidRPr="00D53986">
        <w:rPr>
          <w:rFonts w:cstheme="minorHAnsi"/>
        </w:rPr>
        <w:t xml:space="preserve"> a Leuven Scale approach will be used. </w:t>
      </w:r>
      <w:proofErr w:type="spellStart"/>
      <w:r w:rsidR="00D53986" w:rsidRPr="00D53986">
        <w:rPr>
          <w:rFonts w:cstheme="minorHAnsi"/>
        </w:rPr>
        <w:t>MacRae</w:t>
      </w:r>
      <w:proofErr w:type="spellEnd"/>
      <w:r w:rsidR="00D53986" w:rsidRPr="00D53986">
        <w:rPr>
          <w:rFonts w:cstheme="minorHAnsi"/>
        </w:rPr>
        <w:t xml:space="preserve"> and Jones (2023), </w:t>
      </w:r>
      <w:r w:rsidRPr="00D53986">
        <w:rPr>
          <w:rFonts w:cstheme="minorHAnsi"/>
        </w:rPr>
        <w:t xml:space="preserve">define this approach as a five-point scale to measure children's wellbeing and involvement. The evaluation involves observing children for about two minutes to rate their wellbeing and involvement, either individually or in groups. Learning is optimal at levels 4 or 5, though these levels naturally vary </w:t>
      </w:r>
      <w:r w:rsidR="00D53986" w:rsidRPr="00D53986">
        <w:rPr>
          <w:rFonts w:cstheme="minorHAnsi"/>
        </w:rPr>
        <w:t>throughout</w:t>
      </w:r>
      <w:r w:rsidRPr="00D53986">
        <w:rPr>
          <w:rFonts w:cstheme="minorHAnsi"/>
        </w:rPr>
        <w:t xml:space="preserve"> the day.</w:t>
      </w:r>
    </w:p>
    <w:p w14:paraId="62369536" w14:textId="5317FF78" w:rsidR="004F0A65" w:rsidRPr="00D53986" w:rsidRDefault="004F0A65" w:rsidP="00D53986">
      <w:pPr>
        <w:spacing w:line="480" w:lineRule="auto"/>
        <w:rPr>
          <w:rFonts w:cstheme="minorHAnsi"/>
        </w:rPr>
      </w:pPr>
      <w:r w:rsidRPr="00D53986">
        <w:rPr>
          <w:rFonts w:cstheme="minorHAnsi"/>
        </w:rPr>
        <w:t xml:space="preserve">Lambert </w:t>
      </w:r>
      <w:r w:rsidR="00014D95" w:rsidRPr="00D53986">
        <w:rPr>
          <w:rFonts w:cstheme="minorHAnsi"/>
        </w:rPr>
        <w:t xml:space="preserve">(2019) </w:t>
      </w:r>
      <w:r w:rsidRPr="00D53986">
        <w:rPr>
          <w:rFonts w:cstheme="minorHAnsi"/>
        </w:rPr>
        <w:t>expresses that in designing observations</w:t>
      </w:r>
      <w:r w:rsidR="005621B5" w:rsidRPr="00D53986">
        <w:rPr>
          <w:rFonts w:cstheme="minorHAnsi"/>
        </w:rPr>
        <w:t>,</w:t>
      </w:r>
      <w:r w:rsidRPr="00D53986">
        <w:rPr>
          <w:rFonts w:cstheme="minorHAnsi"/>
        </w:rPr>
        <w:t xml:space="preserve"> one key aspect is defining what will be observed in order to lay the foundation of what is required of the researcher to be noted. Within this study the Leuven Scale will observe and record learners their level of participation and concentration at the </w:t>
      </w:r>
      <w:r w:rsidR="005621B5" w:rsidRPr="00D53986">
        <w:rPr>
          <w:rFonts w:cstheme="minorHAnsi"/>
        </w:rPr>
        <w:t>beginning</w:t>
      </w:r>
      <w:r w:rsidRPr="00D53986">
        <w:rPr>
          <w:rFonts w:cstheme="minorHAnsi"/>
        </w:rPr>
        <w:t xml:space="preserve"> without movement breaks, and record twice in the middle and at the end of research period. Observations </w:t>
      </w:r>
      <w:r w:rsidR="005621B5" w:rsidRPr="00D53986">
        <w:rPr>
          <w:rFonts w:cstheme="minorHAnsi"/>
        </w:rPr>
        <w:t xml:space="preserve">will </w:t>
      </w:r>
      <w:r w:rsidRPr="00D53986">
        <w:rPr>
          <w:rFonts w:cstheme="minorHAnsi"/>
        </w:rPr>
        <w:t xml:space="preserve">focus on </w:t>
      </w:r>
      <w:r w:rsidR="005621B5" w:rsidRPr="00D53986">
        <w:rPr>
          <w:rFonts w:cstheme="minorHAnsi"/>
        </w:rPr>
        <w:t xml:space="preserve">the </w:t>
      </w:r>
      <w:r w:rsidRPr="00D53986">
        <w:rPr>
          <w:rFonts w:cstheme="minorHAnsi"/>
        </w:rPr>
        <w:t>behavioural aspect</w:t>
      </w:r>
      <w:r w:rsidR="005621B5" w:rsidRPr="00D53986">
        <w:rPr>
          <w:rFonts w:cstheme="minorHAnsi"/>
        </w:rPr>
        <w:t>,</w:t>
      </w:r>
      <w:r w:rsidRPr="00D53986">
        <w:rPr>
          <w:rFonts w:cstheme="minorHAnsi"/>
        </w:rPr>
        <w:t xml:space="preserve"> (Anderson</w:t>
      </w:r>
      <w:r w:rsidR="00014D95" w:rsidRPr="00D53986">
        <w:rPr>
          <w:rFonts w:cstheme="minorHAnsi"/>
        </w:rPr>
        <w:t xml:space="preserve"> and Katz,</w:t>
      </w:r>
      <w:r w:rsidRPr="00D53986">
        <w:rPr>
          <w:rFonts w:cstheme="minorHAnsi"/>
        </w:rPr>
        <w:t xml:space="preserve"> 2018) determines that this approach is in contrast to qualitative observation. Which does not define specific behaviors in advance but instead focuses on processes and interactions, describing them i</w:t>
      </w:r>
      <w:r w:rsidR="005621B5" w:rsidRPr="00D53986">
        <w:rPr>
          <w:rFonts w:cstheme="minorHAnsi"/>
        </w:rPr>
        <w:t xml:space="preserve">nclusively </w:t>
      </w:r>
      <w:r w:rsidRPr="00D53986">
        <w:rPr>
          <w:rFonts w:cstheme="minorHAnsi"/>
        </w:rPr>
        <w:t>and retrospectively. Learning Journals, 2024</w:t>
      </w:r>
      <w:r w:rsidRPr="00D53986">
        <w:rPr>
          <w:rFonts w:cstheme="minorHAnsi"/>
          <w:b/>
          <w:bCs/>
        </w:rPr>
        <w:t xml:space="preserve"> </w:t>
      </w:r>
      <w:r w:rsidRPr="00D53986">
        <w:rPr>
          <w:rFonts w:cstheme="minorHAnsi"/>
        </w:rPr>
        <w:t xml:space="preserve">found that Leuven Scale is an observation-based teaching strategy where it has been repeatedly proven to be the most effective method for early years development. By focusing on the child's mental, social, and emotional wellbeing, the Leuven Scale avoids a one-size-fits-all pedagogy, encouraging practitioners to adapt to each child's needs. </w:t>
      </w:r>
    </w:p>
    <w:p w14:paraId="63072B41" w14:textId="3BB08761" w:rsidR="004F0A65" w:rsidRPr="00D53986" w:rsidRDefault="004F0A65" w:rsidP="00D53986">
      <w:pPr>
        <w:spacing w:line="480" w:lineRule="auto"/>
        <w:rPr>
          <w:rFonts w:cstheme="minorHAnsi"/>
        </w:rPr>
      </w:pPr>
      <w:r w:rsidRPr="00D53986">
        <w:rPr>
          <w:rFonts w:cstheme="minorHAnsi"/>
        </w:rPr>
        <w:t xml:space="preserve">In consideration to these approaches being used within the research study in using a variety of collection methods will create a deeper understanding of research. </w:t>
      </w:r>
      <w:r w:rsidR="005621B5" w:rsidRPr="00D53986">
        <w:rPr>
          <w:rFonts w:cstheme="minorHAnsi"/>
        </w:rPr>
        <w:t>W</w:t>
      </w:r>
      <w:r w:rsidRPr="00D53986">
        <w:rPr>
          <w:rFonts w:cstheme="minorHAnsi"/>
        </w:rPr>
        <w:t xml:space="preserve">hich will enable the researcher </w:t>
      </w:r>
      <w:r w:rsidRPr="00D53986">
        <w:rPr>
          <w:rFonts w:cstheme="minorHAnsi"/>
        </w:rPr>
        <w:lastRenderedPageBreak/>
        <w:t xml:space="preserve">to reach the overall objectives of the study with also gaining a better pedagogy mentality to movement breaks in practice. </w:t>
      </w:r>
    </w:p>
    <w:p w14:paraId="09C67EEF" w14:textId="18617690" w:rsidR="00D30B5B" w:rsidRPr="00D53986" w:rsidRDefault="00D30B5B" w:rsidP="00D53986">
      <w:pPr>
        <w:spacing w:line="480" w:lineRule="auto"/>
        <w:rPr>
          <w:rFonts w:cstheme="minorHAnsi"/>
        </w:rPr>
      </w:pPr>
      <w:r w:rsidRPr="00D53986">
        <w:rPr>
          <w:rFonts w:cstheme="minorHAnsi"/>
          <w:b/>
          <w:bCs/>
          <w:u w:val="single"/>
        </w:rPr>
        <w:t>Data Presentation and Analysis Method(s)</w:t>
      </w:r>
    </w:p>
    <w:p w14:paraId="1F004FFF" w14:textId="067458DE" w:rsidR="00D30B5B" w:rsidRPr="00D53986" w:rsidRDefault="00D30B5B" w:rsidP="00D53986">
      <w:pPr>
        <w:spacing w:line="480" w:lineRule="auto"/>
        <w:rPr>
          <w:rFonts w:cstheme="minorHAnsi"/>
        </w:rPr>
      </w:pPr>
      <w:r w:rsidRPr="00D53986">
        <w:rPr>
          <w:rFonts w:cstheme="minorHAnsi"/>
        </w:rPr>
        <w:t xml:space="preserve">The purpose of this section is to elaborate on the research methods used and how the practitioner will </w:t>
      </w:r>
      <w:r w:rsidR="005621B5" w:rsidRPr="00D53986">
        <w:rPr>
          <w:rFonts w:cstheme="minorHAnsi"/>
        </w:rPr>
        <w:t>analyse</w:t>
      </w:r>
      <w:r w:rsidRPr="00D53986">
        <w:rPr>
          <w:rFonts w:cstheme="minorHAnsi"/>
        </w:rPr>
        <w:t xml:space="preserve"> the </w:t>
      </w:r>
      <w:r w:rsidR="005621B5" w:rsidRPr="00D53986">
        <w:rPr>
          <w:rFonts w:cstheme="minorHAnsi"/>
        </w:rPr>
        <w:t>study’s</w:t>
      </w:r>
      <w:r w:rsidRPr="00D53986">
        <w:rPr>
          <w:rFonts w:cstheme="minorHAnsi"/>
        </w:rPr>
        <w:t xml:space="preserve"> data. Hancock and</w:t>
      </w:r>
      <w:r w:rsidR="00014D95" w:rsidRPr="00D53986">
        <w:rPr>
          <w:rFonts w:cstheme="minorHAnsi"/>
        </w:rPr>
        <w:t xml:space="preserve"> Algozine</w:t>
      </w:r>
      <w:r w:rsidRPr="00D53986">
        <w:rPr>
          <w:rFonts w:cstheme="minorHAnsi"/>
        </w:rPr>
        <w:t xml:space="preserve"> (2021); (Baron and McNeal, 2019) research states that the sole purpose of case studies is the summarising and interpreting</w:t>
      </w:r>
      <w:r w:rsidR="00D75A8B" w:rsidRPr="00D53986">
        <w:rPr>
          <w:rFonts w:cstheme="minorHAnsi"/>
        </w:rPr>
        <w:t xml:space="preserve"> of </w:t>
      </w:r>
      <w:r w:rsidRPr="00D53986">
        <w:rPr>
          <w:rFonts w:cstheme="minorHAnsi"/>
        </w:rPr>
        <w:t xml:space="preserve">information </w:t>
      </w:r>
      <w:r w:rsidR="00D75A8B" w:rsidRPr="00D53986">
        <w:rPr>
          <w:rFonts w:cstheme="minorHAnsi"/>
        </w:rPr>
        <w:t>through continuous</w:t>
      </w:r>
      <w:r w:rsidRPr="00D53986">
        <w:rPr>
          <w:rFonts w:cstheme="minorHAnsi"/>
        </w:rPr>
        <w:t xml:space="preserve"> analysis throughout the study. </w:t>
      </w:r>
    </w:p>
    <w:p w14:paraId="6A09B3D0" w14:textId="59181FA3" w:rsidR="00D30B5B" w:rsidRPr="00D53986" w:rsidRDefault="00D75A8B" w:rsidP="00D53986">
      <w:pPr>
        <w:spacing w:line="480" w:lineRule="auto"/>
        <w:rPr>
          <w:rFonts w:cstheme="minorHAnsi"/>
        </w:rPr>
      </w:pPr>
      <w:r w:rsidRPr="00D53986">
        <w:rPr>
          <w:rFonts w:cstheme="minorHAnsi"/>
        </w:rPr>
        <w:t>T</w:t>
      </w:r>
      <w:r w:rsidR="00D30B5B" w:rsidRPr="00D53986">
        <w:rPr>
          <w:rFonts w:cstheme="minorHAnsi"/>
        </w:rPr>
        <w:t xml:space="preserve">he data for the study will be collected from learners’ questionnaires and </w:t>
      </w:r>
      <w:r w:rsidRPr="00D53986">
        <w:rPr>
          <w:rFonts w:cstheme="minorHAnsi"/>
        </w:rPr>
        <w:t xml:space="preserve">Leuven Scale </w:t>
      </w:r>
      <w:r w:rsidR="00D30B5B" w:rsidRPr="00D53986">
        <w:rPr>
          <w:rFonts w:cstheme="minorHAnsi"/>
        </w:rPr>
        <w:t xml:space="preserve">observations, a thematic approach and comparison of data will be conducted as the analysis method. </w:t>
      </w:r>
      <w:r w:rsidR="00917672" w:rsidRPr="00D53986">
        <w:rPr>
          <w:rFonts w:cstheme="minorHAnsi"/>
        </w:rPr>
        <w:t>Using</w:t>
      </w:r>
      <w:r w:rsidR="00D30B5B" w:rsidRPr="00D53986">
        <w:rPr>
          <w:rFonts w:cstheme="minorHAnsi"/>
        </w:rPr>
        <w:t xml:space="preserve"> comparison and reflect</w:t>
      </w:r>
      <w:r w:rsidR="00917672" w:rsidRPr="00D53986">
        <w:rPr>
          <w:rFonts w:cstheme="minorHAnsi"/>
        </w:rPr>
        <w:t>ion</w:t>
      </w:r>
      <w:r w:rsidR="00D30B5B" w:rsidRPr="00D53986">
        <w:rPr>
          <w:rFonts w:cstheme="minorHAnsi"/>
        </w:rPr>
        <w:t xml:space="preserve"> throughout the process will be seen specifically within observations using the </w:t>
      </w:r>
      <w:r w:rsidR="005621B5" w:rsidRPr="00D53986">
        <w:rPr>
          <w:rFonts w:cstheme="minorHAnsi"/>
        </w:rPr>
        <w:t>Leuven</w:t>
      </w:r>
      <w:r w:rsidR="00D30B5B" w:rsidRPr="00D53986">
        <w:rPr>
          <w:rFonts w:cstheme="minorHAnsi"/>
        </w:rPr>
        <w:t xml:space="preserve"> </w:t>
      </w:r>
      <w:r w:rsidR="005621B5" w:rsidRPr="00D53986">
        <w:rPr>
          <w:rFonts w:cstheme="minorHAnsi"/>
        </w:rPr>
        <w:t>S</w:t>
      </w:r>
      <w:r w:rsidR="00D30B5B" w:rsidRPr="00D53986">
        <w:rPr>
          <w:rFonts w:cstheme="minorHAnsi"/>
        </w:rPr>
        <w:t xml:space="preserve">cale. The researcher will compare the results at the </w:t>
      </w:r>
      <w:r w:rsidR="00917672" w:rsidRPr="00D53986">
        <w:rPr>
          <w:rFonts w:cstheme="minorHAnsi"/>
        </w:rPr>
        <w:t>beginning</w:t>
      </w:r>
      <w:r w:rsidR="00D30B5B" w:rsidRPr="00D53986">
        <w:rPr>
          <w:rFonts w:cstheme="minorHAnsi"/>
        </w:rPr>
        <w:t xml:space="preserve"> of the study period compared to after the period to gain a better understanding in whether their concentration improved. </w:t>
      </w:r>
    </w:p>
    <w:p w14:paraId="11442C06" w14:textId="7C3A3070" w:rsidR="00D30B5B" w:rsidRPr="00D53986" w:rsidRDefault="00D30B5B" w:rsidP="00D53986">
      <w:pPr>
        <w:spacing w:line="480" w:lineRule="auto"/>
        <w:rPr>
          <w:rFonts w:cstheme="minorHAnsi"/>
        </w:rPr>
      </w:pPr>
      <w:r w:rsidRPr="00D53986">
        <w:rPr>
          <w:rFonts w:cstheme="minorHAnsi"/>
        </w:rPr>
        <w:t>According to (Morell and Caroll, 2010), it</w:t>
      </w:r>
      <w:r w:rsidR="00917672" w:rsidRPr="00D53986">
        <w:rPr>
          <w:rFonts w:cstheme="minorHAnsi"/>
        </w:rPr>
        <w:t xml:space="preserve"> i</w:t>
      </w:r>
      <w:r w:rsidRPr="00D53986">
        <w:rPr>
          <w:rFonts w:cstheme="minorHAnsi"/>
        </w:rPr>
        <w:t xml:space="preserve">s impractical to wait until all data </w:t>
      </w:r>
      <w:r w:rsidR="00917672" w:rsidRPr="00D53986">
        <w:rPr>
          <w:rFonts w:cstheme="minorHAnsi"/>
        </w:rPr>
        <w:t>is</w:t>
      </w:r>
      <w:r w:rsidRPr="00D53986">
        <w:rPr>
          <w:rFonts w:cstheme="minorHAnsi"/>
        </w:rPr>
        <w:t xml:space="preserve"> gathered before starting the analysis, therefore using observations enables gaining a better understanding of the data throughout the study process. This is because as soon as the researcher starts to collect data the process of coding and making sense of it begins, with more data accumulating the more refinement of coding system and interpretations are made. Whereas (BOEJE, 2002) states that </w:t>
      </w:r>
      <w:r w:rsidR="00917672" w:rsidRPr="00D53986">
        <w:rPr>
          <w:rFonts w:cstheme="minorHAnsi"/>
        </w:rPr>
        <w:t>the</w:t>
      </w:r>
      <w:r w:rsidRPr="00D53986">
        <w:rPr>
          <w:rFonts w:cstheme="minorHAnsi"/>
        </w:rPr>
        <w:t xml:space="preserve"> validity of research findings comparisons plays a vital role especially seen in qualitative research, as it is crucial for researchers to depict and conceptualize their research findings. Bearing in mind the research the researcher will conduct an analysis of how effective movement breaks </w:t>
      </w:r>
      <w:r w:rsidR="00917672" w:rsidRPr="00D53986">
        <w:rPr>
          <w:rFonts w:cstheme="minorHAnsi"/>
        </w:rPr>
        <w:t>are</w:t>
      </w:r>
      <w:r w:rsidRPr="00D53986">
        <w:rPr>
          <w:rFonts w:cstheme="minorHAnsi"/>
        </w:rPr>
        <w:t xml:space="preserve"> on learners throughout the study through using the </w:t>
      </w:r>
      <w:r w:rsidR="00917672" w:rsidRPr="00D53986">
        <w:rPr>
          <w:rFonts w:cstheme="minorHAnsi"/>
        </w:rPr>
        <w:t xml:space="preserve">Leuven Scale </w:t>
      </w:r>
      <w:r w:rsidRPr="00D53986">
        <w:rPr>
          <w:rFonts w:cstheme="minorHAnsi"/>
        </w:rPr>
        <w:t xml:space="preserve">approach. </w:t>
      </w:r>
    </w:p>
    <w:p w14:paraId="7F59A683" w14:textId="721C3FB8" w:rsidR="00D30B5B" w:rsidRPr="00D53986" w:rsidRDefault="00D30B5B" w:rsidP="00D53986">
      <w:pPr>
        <w:spacing w:line="480" w:lineRule="auto"/>
        <w:rPr>
          <w:rFonts w:cstheme="minorHAnsi"/>
        </w:rPr>
      </w:pPr>
      <w:r w:rsidRPr="00D53986">
        <w:rPr>
          <w:rFonts w:cstheme="minorHAnsi"/>
        </w:rPr>
        <w:t>In line with analysis regarding the questionnaires</w:t>
      </w:r>
      <w:r w:rsidR="00087539" w:rsidRPr="00D53986">
        <w:rPr>
          <w:rFonts w:cstheme="minorHAnsi"/>
        </w:rPr>
        <w:t>,</w:t>
      </w:r>
      <w:r w:rsidRPr="00D53986">
        <w:rPr>
          <w:rFonts w:cstheme="minorHAnsi"/>
        </w:rPr>
        <w:t xml:space="preserve"> due to the number of participants a thematic analysis approach</w:t>
      </w:r>
      <w:r w:rsidR="00087539" w:rsidRPr="00D53986">
        <w:rPr>
          <w:rFonts w:cstheme="minorHAnsi"/>
        </w:rPr>
        <w:t xml:space="preserve"> will be used</w:t>
      </w:r>
      <w:r w:rsidRPr="00D53986">
        <w:rPr>
          <w:rFonts w:cstheme="minorHAnsi"/>
        </w:rPr>
        <w:t xml:space="preserve">.  Elliott (2018) defines thematic analysis as a methodology that </w:t>
      </w:r>
      <w:r w:rsidRPr="00D53986">
        <w:rPr>
          <w:rFonts w:cstheme="minorHAnsi"/>
        </w:rPr>
        <w:lastRenderedPageBreak/>
        <w:t>interprets recurring patterns or themes within a dataset, which leads to better insights and comprehension of data. Whereas (Patton, 2015), also states that it is crucial for researchers to remain vigilant against their own bias notions which could obstruct the identification of themes. Within this study the researcher will consternate on the feelings towards movement breaks and whether learners thought that it supported their own learning throughout the day. Through highlighting emotions in one colour, and highlighting key words relating to their own thoughts of the subject matter in another colour. Ensuring that the analysis of data is conducted in an ethical and non-biased motion is fundamental to the research study itself.</w:t>
      </w:r>
    </w:p>
    <w:p w14:paraId="74A91DC9" w14:textId="77777777" w:rsidR="00FC43A1" w:rsidRPr="00D53986" w:rsidRDefault="00FC43A1" w:rsidP="00D53986">
      <w:pPr>
        <w:spacing w:line="480" w:lineRule="auto"/>
        <w:rPr>
          <w:rFonts w:cstheme="minorHAnsi"/>
          <w:b/>
          <w:bCs/>
          <w:u w:val="single"/>
        </w:rPr>
      </w:pPr>
      <w:r w:rsidRPr="00D53986">
        <w:rPr>
          <w:rFonts w:cstheme="minorHAnsi"/>
          <w:b/>
          <w:bCs/>
          <w:u w:val="single"/>
        </w:rPr>
        <w:t xml:space="preserve">Ethical Considerations </w:t>
      </w:r>
    </w:p>
    <w:p w14:paraId="16E8A5FA" w14:textId="12F34864" w:rsidR="00FC43A1" w:rsidRPr="00D53986" w:rsidRDefault="00FC43A1" w:rsidP="00D53986">
      <w:pPr>
        <w:spacing w:line="480" w:lineRule="auto"/>
        <w:rPr>
          <w:rFonts w:cstheme="minorHAnsi"/>
          <w:b/>
          <w:bCs/>
        </w:rPr>
      </w:pPr>
      <w:r w:rsidRPr="00D53986">
        <w:rPr>
          <w:rFonts w:cstheme="minorHAnsi"/>
        </w:rPr>
        <w:t>This section outlines the ethical considerations of the research study especially as children are involved in the research. It is integral that considerations such as consent, confidentiality, potential risks and benefits are seen to be considered and met within the study. Ha</w:t>
      </w:r>
      <w:r w:rsidR="00D53986" w:rsidRPr="00D53986">
        <w:rPr>
          <w:rFonts w:cstheme="minorHAnsi"/>
        </w:rPr>
        <w:t xml:space="preserve">ncock </w:t>
      </w:r>
      <w:r w:rsidRPr="00D53986">
        <w:rPr>
          <w:rFonts w:cstheme="minorHAnsi"/>
        </w:rPr>
        <w:t xml:space="preserve">and </w:t>
      </w:r>
      <w:r w:rsidR="00D53986" w:rsidRPr="00D53986">
        <w:rPr>
          <w:rFonts w:cstheme="minorHAnsi"/>
        </w:rPr>
        <w:t>Algozine</w:t>
      </w:r>
      <w:r w:rsidRPr="00D53986">
        <w:rPr>
          <w:rFonts w:cstheme="minorHAnsi"/>
        </w:rPr>
        <w:t xml:space="preserve"> (2021) state that researchers </w:t>
      </w:r>
      <w:r w:rsidR="00087539" w:rsidRPr="00D53986">
        <w:rPr>
          <w:rFonts w:cstheme="minorHAnsi"/>
        </w:rPr>
        <w:t xml:space="preserve">should </w:t>
      </w:r>
      <w:r w:rsidRPr="00D53986">
        <w:rPr>
          <w:rFonts w:cstheme="minorHAnsi"/>
        </w:rPr>
        <w:t xml:space="preserve">adhere to several guidelines. Which will be in accordance </w:t>
      </w:r>
      <w:r w:rsidR="00087539" w:rsidRPr="00D53986">
        <w:rPr>
          <w:rFonts w:cstheme="minorHAnsi"/>
        </w:rPr>
        <w:t>with</w:t>
      </w:r>
      <w:r w:rsidRPr="00D53986">
        <w:rPr>
          <w:rFonts w:cstheme="minorHAnsi"/>
        </w:rPr>
        <w:t xml:space="preserve"> UWTSD Research Ethics &amp; Integrity Code of Practice, UWTSD Research Data Management Policy, BERA Ethical Guidelines for Educational Research, fourth edition (20</w:t>
      </w:r>
      <w:r w:rsidR="00014D95" w:rsidRPr="00D53986">
        <w:rPr>
          <w:rFonts w:cstheme="minorHAnsi"/>
        </w:rPr>
        <w:t>24</w:t>
      </w:r>
      <w:r w:rsidRPr="00D53986">
        <w:rPr>
          <w:rFonts w:cstheme="minorHAnsi"/>
        </w:rPr>
        <w:t>).</w:t>
      </w:r>
    </w:p>
    <w:p w14:paraId="76342855" w14:textId="55146895" w:rsidR="00FC43A1" w:rsidRPr="00D53986" w:rsidRDefault="00FC43A1" w:rsidP="00D53986">
      <w:pPr>
        <w:spacing w:line="480" w:lineRule="auto"/>
        <w:rPr>
          <w:rFonts w:cstheme="minorHAnsi"/>
        </w:rPr>
      </w:pPr>
      <w:r w:rsidRPr="00D53986">
        <w:rPr>
          <w:rFonts w:cstheme="minorHAnsi"/>
        </w:rPr>
        <w:t>Considering the fact that children are the main participants of this study gaining consent is essential before beginning the study. Whilst ensuring confidentiality of participants under the age of 18 they are classed as young people w</w:t>
      </w:r>
      <w:r w:rsidR="00087539" w:rsidRPr="00D53986">
        <w:rPr>
          <w:rFonts w:cstheme="minorHAnsi"/>
        </w:rPr>
        <w:t>h</w:t>
      </w:r>
      <w:r w:rsidRPr="00D53986">
        <w:rPr>
          <w:rFonts w:cstheme="minorHAnsi"/>
        </w:rPr>
        <w:t xml:space="preserve">ere consent from parents and guardians </w:t>
      </w:r>
      <w:r w:rsidR="00087539" w:rsidRPr="00D53986">
        <w:rPr>
          <w:rFonts w:cstheme="minorHAnsi"/>
        </w:rPr>
        <w:t>is</w:t>
      </w:r>
      <w:r w:rsidRPr="00D53986">
        <w:rPr>
          <w:rFonts w:cstheme="minorHAnsi"/>
        </w:rPr>
        <w:t xml:space="preserve"> needed, (BERA, 2018). NSPCC (2024) state that obtaining informed consent ensures voluntary participation that safeguard</w:t>
      </w:r>
      <w:r w:rsidR="00087539" w:rsidRPr="00D53986">
        <w:rPr>
          <w:rFonts w:cstheme="minorHAnsi"/>
        </w:rPr>
        <w:t>s</w:t>
      </w:r>
      <w:r w:rsidRPr="00D53986">
        <w:rPr>
          <w:rFonts w:cstheme="minorHAnsi"/>
        </w:rPr>
        <w:t xml:space="preserve"> confidentiality. The practitioner will ensure that confidentially is obtained by using different identifiers such as ‘pupil A, B, School x’ instead of highlighting names of the participants. As</w:t>
      </w:r>
      <w:r w:rsidR="00087539" w:rsidRPr="00D53986">
        <w:rPr>
          <w:rFonts w:cstheme="minorHAnsi"/>
        </w:rPr>
        <w:t xml:space="preserve"> </w:t>
      </w:r>
      <w:r w:rsidRPr="00D53986">
        <w:rPr>
          <w:rFonts w:cstheme="minorHAnsi"/>
        </w:rPr>
        <w:t>well as following Data Protection Regulations (GDPR) measures</w:t>
      </w:r>
      <w:r w:rsidR="00087539" w:rsidRPr="00D53986">
        <w:rPr>
          <w:rFonts w:cstheme="minorHAnsi"/>
        </w:rPr>
        <w:t xml:space="preserve">, </w:t>
      </w:r>
      <w:r w:rsidRPr="00D53986">
        <w:rPr>
          <w:rFonts w:cstheme="minorHAnsi"/>
        </w:rPr>
        <w:t xml:space="preserve">ensuring data is not shared with anyone outside of the research study. Through using a 2-Step authentication system and limiting access to raw and analysed data. </w:t>
      </w:r>
    </w:p>
    <w:p w14:paraId="1E8ABDA3" w14:textId="43B5BA54" w:rsidR="001C6277" w:rsidRPr="00D53986" w:rsidRDefault="00FC43A1" w:rsidP="00D53986">
      <w:pPr>
        <w:spacing w:line="480" w:lineRule="auto"/>
        <w:rPr>
          <w:rFonts w:cstheme="minorHAnsi"/>
          <w:b/>
          <w:bCs/>
          <w:u w:val="single"/>
        </w:rPr>
      </w:pPr>
      <w:r w:rsidRPr="00D53986">
        <w:rPr>
          <w:rFonts w:cstheme="minorHAnsi"/>
        </w:rPr>
        <w:lastRenderedPageBreak/>
        <w:t>In terms of gathering</w:t>
      </w:r>
      <w:r w:rsidR="00087539" w:rsidRPr="00D53986">
        <w:rPr>
          <w:rFonts w:cstheme="minorHAnsi"/>
        </w:rPr>
        <w:t xml:space="preserve"> consent,</w:t>
      </w:r>
      <w:r w:rsidRPr="00D53986">
        <w:rPr>
          <w:rFonts w:cstheme="minorHAnsi"/>
        </w:rPr>
        <w:t xml:space="preserve"> Article 12 states that consent must be obtained from participants over 18 years old and joint consent (parent and child) for minors, respecting the child's right to have a voice (UNCIEF 2024). In order to gain consent a letter will be sent out the parent</w:t>
      </w:r>
      <w:r w:rsidR="00087539" w:rsidRPr="00D53986">
        <w:rPr>
          <w:rFonts w:cstheme="minorHAnsi"/>
        </w:rPr>
        <w:t>/guardian</w:t>
      </w:r>
      <w:r w:rsidRPr="00D53986">
        <w:rPr>
          <w:rFonts w:cstheme="minorHAnsi"/>
        </w:rPr>
        <w:t xml:space="preserve"> of the children within the Year 3 classroom, which will include particular information of what the research study is and what is required. Children will only participate in the study when consent is included and for any children who</w:t>
      </w:r>
      <w:r w:rsidR="00087539" w:rsidRPr="00D53986">
        <w:rPr>
          <w:rFonts w:cstheme="minorHAnsi"/>
        </w:rPr>
        <w:t>se</w:t>
      </w:r>
      <w:r w:rsidRPr="00D53986">
        <w:rPr>
          <w:rFonts w:cstheme="minorHAnsi"/>
        </w:rPr>
        <w:t xml:space="preserve"> parents </w:t>
      </w:r>
      <w:r w:rsidR="00087539" w:rsidRPr="00D53986">
        <w:rPr>
          <w:rFonts w:cstheme="minorHAnsi"/>
        </w:rPr>
        <w:t xml:space="preserve">do not want to participate </w:t>
      </w:r>
      <w:r w:rsidRPr="00D53986">
        <w:rPr>
          <w:rFonts w:cstheme="minorHAnsi"/>
        </w:rPr>
        <w:t xml:space="preserve">will be excluded from any data collection. Ensuring these ethical principles are </w:t>
      </w:r>
      <w:r w:rsidR="00087539" w:rsidRPr="00D53986">
        <w:rPr>
          <w:rFonts w:cstheme="minorHAnsi"/>
        </w:rPr>
        <w:t xml:space="preserve">adhered to </w:t>
      </w:r>
      <w:r w:rsidRPr="00D53986">
        <w:rPr>
          <w:rFonts w:cstheme="minorHAnsi"/>
        </w:rPr>
        <w:t>the research</w:t>
      </w:r>
      <w:r w:rsidR="00087539" w:rsidRPr="00D53986">
        <w:rPr>
          <w:rFonts w:cstheme="minorHAnsi"/>
        </w:rPr>
        <w:t>er</w:t>
      </w:r>
      <w:r w:rsidRPr="00D53986">
        <w:rPr>
          <w:rFonts w:cstheme="minorHAnsi"/>
        </w:rPr>
        <w:t xml:space="preserve"> aims to uphold the highest standards of integrity and respect for participant rights.</w:t>
      </w:r>
      <w:r w:rsidR="008A283C" w:rsidRPr="00D53986">
        <w:rPr>
          <w:rFonts w:cstheme="minorHAnsi"/>
          <w:b/>
          <w:bCs/>
          <w:u w:val="single"/>
        </w:rPr>
        <w:t xml:space="preserve"> </w:t>
      </w:r>
    </w:p>
    <w:p w14:paraId="061CC9C0" w14:textId="562C9562" w:rsidR="00977CC2" w:rsidRPr="00D53986" w:rsidRDefault="00087539" w:rsidP="00D53986">
      <w:pPr>
        <w:spacing w:line="480" w:lineRule="auto"/>
        <w:rPr>
          <w:rFonts w:cstheme="minorHAnsi"/>
          <w:b/>
          <w:bCs/>
          <w:u w:val="single"/>
        </w:rPr>
      </w:pPr>
      <w:r w:rsidRPr="00D53986">
        <w:rPr>
          <w:rFonts w:cstheme="minorHAnsi"/>
          <w:b/>
          <w:bCs/>
          <w:u w:val="single"/>
        </w:rPr>
        <w:t>F</w:t>
      </w:r>
      <w:r w:rsidR="00977CC2" w:rsidRPr="00D53986">
        <w:rPr>
          <w:rFonts w:cstheme="minorHAnsi"/>
          <w:b/>
          <w:bCs/>
          <w:u w:val="single"/>
        </w:rPr>
        <w:t>indings</w:t>
      </w:r>
    </w:p>
    <w:p w14:paraId="19748532" w14:textId="54A0DA5F" w:rsidR="00977CC2" w:rsidRPr="00D53986" w:rsidRDefault="00977CC2" w:rsidP="00D53986">
      <w:pPr>
        <w:spacing w:line="480" w:lineRule="auto"/>
        <w:rPr>
          <w:rFonts w:cstheme="minorHAnsi"/>
        </w:rPr>
      </w:pPr>
      <w:r w:rsidRPr="00D53986">
        <w:rPr>
          <w:rFonts w:cstheme="minorHAnsi"/>
        </w:rPr>
        <w:t xml:space="preserve">The study revealed some key insights into whether movement breaks have an impact on leanrners concentration and impact on behaviours </w:t>
      </w:r>
      <w:r w:rsidR="00087539" w:rsidRPr="00D53986">
        <w:rPr>
          <w:rFonts w:cstheme="minorHAnsi"/>
        </w:rPr>
        <w:t>when</w:t>
      </w:r>
      <w:r w:rsidRPr="00D53986">
        <w:rPr>
          <w:rFonts w:cstheme="minorHAnsi"/>
        </w:rPr>
        <w:t xml:space="preserve"> participating in academic tasks. </w:t>
      </w:r>
      <w:r w:rsidR="002C7CA5" w:rsidRPr="00D53986">
        <w:rPr>
          <w:rFonts w:cstheme="minorHAnsi"/>
        </w:rPr>
        <w:t>T</w:t>
      </w:r>
      <w:r w:rsidRPr="00D53986">
        <w:rPr>
          <w:rFonts w:cstheme="minorHAnsi"/>
        </w:rPr>
        <w:t xml:space="preserve">he overall conclusion of the research is that when conducted and managed in a controlled manner it has improved concentration within the learning. However, the researcher believes </w:t>
      </w:r>
      <w:r w:rsidR="002C7CA5" w:rsidRPr="00D53986">
        <w:rPr>
          <w:rFonts w:cstheme="minorHAnsi"/>
        </w:rPr>
        <w:t xml:space="preserve">that </w:t>
      </w:r>
      <w:r w:rsidRPr="00D53986">
        <w:rPr>
          <w:rFonts w:cstheme="minorHAnsi"/>
        </w:rPr>
        <w:t xml:space="preserve">due to significant challenges in gathering consent from </w:t>
      </w:r>
      <w:r w:rsidR="002C7CA5" w:rsidRPr="00D53986">
        <w:rPr>
          <w:rFonts w:cstheme="minorHAnsi"/>
        </w:rPr>
        <w:t>parents/</w:t>
      </w:r>
      <w:r w:rsidRPr="00D53986">
        <w:rPr>
          <w:rFonts w:cstheme="minorHAnsi"/>
        </w:rPr>
        <w:t>guardians of learners, greatly impacted participant numbers. Due to the fact the period of gaining consent impacted the process as there was not enough time within the study to conduct what was originally considered within the research methods. This severe limitation rendered the results inconclusive, as there was not enough time to effectively evaluate whether movement breaks increase and support concentration.</w:t>
      </w:r>
    </w:p>
    <w:p w14:paraId="26269CB7" w14:textId="08DFA8CD" w:rsidR="00977CC2" w:rsidRPr="00D53986" w:rsidRDefault="00977CC2" w:rsidP="00D53986">
      <w:pPr>
        <w:spacing w:line="480" w:lineRule="auto"/>
        <w:rPr>
          <w:rFonts w:cstheme="minorHAnsi"/>
        </w:rPr>
      </w:pPr>
      <w:r w:rsidRPr="00D53986">
        <w:rPr>
          <w:rFonts w:cstheme="minorHAnsi"/>
        </w:rPr>
        <w:t>Although the study anticipated 19 participants, and the response of consent was</w:t>
      </w:r>
      <w:r w:rsidR="00C17CE2">
        <w:rPr>
          <w:rFonts w:cstheme="minorHAnsi"/>
        </w:rPr>
        <w:t xml:space="preserve"> moderate with 8 learners having consent</w:t>
      </w:r>
      <w:r w:rsidRPr="00D53986">
        <w:rPr>
          <w:rFonts w:cstheme="minorHAnsi"/>
        </w:rPr>
        <w:t xml:space="preserve">. Considering the limitation for this study consent wasn’t gained in enough time to conduct questionnaires within the two-week time scale designed for the study. Resulting in the only method used within the study was the Leuven </w:t>
      </w:r>
      <w:r w:rsidR="002C7CA5" w:rsidRPr="00D53986">
        <w:rPr>
          <w:rFonts w:cstheme="minorHAnsi"/>
        </w:rPr>
        <w:t>S</w:t>
      </w:r>
      <w:r w:rsidRPr="00D53986">
        <w:rPr>
          <w:rFonts w:cstheme="minorHAnsi"/>
        </w:rPr>
        <w:t xml:space="preserve">cale observations of pupil’s wellbeing and involvement. To ensure ethical standards </w:t>
      </w:r>
      <w:r w:rsidR="002C7CA5" w:rsidRPr="00D53986">
        <w:rPr>
          <w:rFonts w:cstheme="minorHAnsi"/>
        </w:rPr>
        <w:t xml:space="preserve">were </w:t>
      </w:r>
      <w:r w:rsidRPr="00D53986">
        <w:rPr>
          <w:rFonts w:cstheme="minorHAnsi"/>
        </w:rPr>
        <w:t xml:space="preserve">meet the entire class participated in movement breaks to prevent singling out pupils, their data were not included in the findings due to lack of consent. </w:t>
      </w:r>
    </w:p>
    <w:p w14:paraId="3256F23F" w14:textId="34443941" w:rsidR="00977CC2" w:rsidRPr="00D53986" w:rsidRDefault="00977CC2" w:rsidP="00D53986">
      <w:pPr>
        <w:spacing w:line="480" w:lineRule="auto"/>
        <w:rPr>
          <w:rFonts w:cstheme="minorHAnsi"/>
        </w:rPr>
      </w:pPr>
      <w:r w:rsidRPr="00D53986">
        <w:rPr>
          <w:rFonts w:cstheme="minorHAnsi"/>
        </w:rPr>
        <w:lastRenderedPageBreak/>
        <w:t xml:space="preserve">The study conducted movement breaks throughout the two-week research period however the observations occurred over two different days, which will be highlighted within case study </w:t>
      </w:r>
      <w:r w:rsidR="002C7CA5" w:rsidRPr="00D53986">
        <w:rPr>
          <w:rFonts w:cstheme="minorHAnsi"/>
        </w:rPr>
        <w:t xml:space="preserve">1 </w:t>
      </w:r>
      <w:r w:rsidRPr="00D53986">
        <w:rPr>
          <w:rFonts w:cstheme="minorHAnsi"/>
        </w:rPr>
        <w:t xml:space="preserve">and case study 2, see </w:t>
      </w:r>
      <w:r w:rsidR="002C7CA5" w:rsidRPr="00D53986">
        <w:rPr>
          <w:rFonts w:cstheme="minorHAnsi"/>
        </w:rPr>
        <w:t>A</w:t>
      </w:r>
      <w:r w:rsidRPr="00D53986">
        <w:rPr>
          <w:rFonts w:cstheme="minorHAnsi"/>
        </w:rPr>
        <w:t xml:space="preserve">ppendix 3 for details. The movement breaks consisted of a three-minute dance battle where students were chosen at random to lead a dance move that everyone else copied. </w:t>
      </w:r>
    </w:p>
    <w:p w14:paraId="4C982597" w14:textId="77777777" w:rsidR="00977CC2" w:rsidRPr="00D53986" w:rsidRDefault="00977CC2" w:rsidP="00D53986">
      <w:pPr>
        <w:spacing w:line="480" w:lineRule="auto"/>
        <w:rPr>
          <w:rFonts w:cstheme="minorHAnsi"/>
          <w:b/>
          <w:bCs/>
          <w:u w:val="single"/>
        </w:rPr>
      </w:pPr>
      <w:r w:rsidRPr="00D53986">
        <w:rPr>
          <w:rFonts w:cstheme="minorHAnsi"/>
          <w:b/>
          <w:bCs/>
          <w:u w:val="single"/>
        </w:rPr>
        <w:t>Case Study 1: Normal Day</w:t>
      </w:r>
    </w:p>
    <w:p w14:paraId="03E6EF5F" w14:textId="603C9D4B" w:rsidR="00977CC2" w:rsidRPr="00D53986" w:rsidRDefault="00977CC2" w:rsidP="00D53986">
      <w:pPr>
        <w:spacing w:line="480" w:lineRule="auto"/>
        <w:rPr>
          <w:rFonts w:cstheme="minorHAnsi"/>
        </w:rPr>
      </w:pPr>
      <w:r w:rsidRPr="00D53986">
        <w:rPr>
          <w:rFonts w:cstheme="minorHAnsi"/>
        </w:rPr>
        <w:t>The first observation using the Leuven scale was conducted on the 1</w:t>
      </w:r>
      <w:r w:rsidR="002C7CA5" w:rsidRPr="00D53986">
        <w:rPr>
          <w:rFonts w:cstheme="minorHAnsi"/>
        </w:rPr>
        <w:t>3</w:t>
      </w:r>
      <w:r w:rsidRPr="00D53986">
        <w:rPr>
          <w:rFonts w:cstheme="minorHAnsi"/>
          <w:vertAlign w:val="superscript"/>
        </w:rPr>
        <w:t>th</w:t>
      </w:r>
      <w:r w:rsidRPr="00D53986">
        <w:rPr>
          <w:rFonts w:cstheme="minorHAnsi"/>
        </w:rPr>
        <w:t xml:space="preserve"> of </w:t>
      </w:r>
      <w:r w:rsidR="002C7CA5" w:rsidRPr="00D53986">
        <w:rPr>
          <w:rFonts w:cstheme="minorHAnsi"/>
        </w:rPr>
        <w:t>May</w:t>
      </w:r>
      <w:r w:rsidRPr="00D53986">
        <w:rPr>
          <w:rFonts w:cstheme="minorHAnsi"/>
        </w:rPr>
        <w:t xml:space="preserve"> 2024, on this particular day learners were required to write their newspaper article about</w:t>
      </w:r>
      <w:r w:rsidR="002C7CA5" w:rsidRPr="00D53986">
        <w:rPr>
          <w:rFonts w:cstheme="minorHAnsi"/>
        </w:rPr>
        <w:t xml:space="preserve"> the</w:t>
      </w:r>
      <w:r w:rsidRPr="00D53986">
        <w:rPr>
          <w:rFonts w:cstheme="minorHAnsi"/>
        </w:rPr>
        <w:t xml:space="preserve"> Aberfan disaster. Children’s overall involvement according to the Leuven </w:t>
      </w:r>
      <w:r w:rsidR="002C7CA5" w:rsidRPr="00D53986">
        <w:rPr>
          <w:rFonts w:cstheme="minorHAnsi"/>
        </w:rPr>
        <w:t>S</w:t>
      </w:r>
      <w:r w:rsidRPr="00D53986">
        <w:rPr>
          <w:rFonts w:cstheme="minorHAnsi"/>
        </w:rPr>
        <w:t>cale was low to moderate, which could be as this activity took place in the afternoon where children were</w:t>
      </w:r>
      <w:r w:rsidR="002C7CA5" w:rsidRPr="00D53986">
        <w:rPr>
          <w:rFonts w:cstheme="minorHAnsi"/>
        </w:rPr>
        <w:t xml:space="preserve"> seen to be more tired. </w:t>
      </w:r>
      <w:r w:rsidRPr="00D53986">
        <w:rPr>
          <w:rFonts w:cstheme="minorHAnsi"/>
        </w:rPr>
        <w:t xml:space="preserve">Once the movement breaks were conducted there was an obvious improvement in learners’ involvement within the activity. </w:t>
      </w:r>
      <w:r w:rsidR="002C7CA5" w:rsidRPr="00D53986">
        <w:rPr>
          <w:rFonts w:cstheme="minorHAnsi"/>
        </w:rPr>
        <w:t>The m</w:t>
      </w:r>
      <w:r w:rsidRPr="00D53986">
        <w:rPr>
          <w:rFonts w:cstheme="minorHAnsi"/>
        </w:rPr>
        <w:t xml:space="preserve">ajority of learners increased to a high level of involvement were pupils B and F were seen to become more focused and wanting to complete the task. </w:t>
      </w:r>
    </w:p>
    <w:p w14:paraId="4D79B700" w14:textId="465A5D09" w:rsidR="00977CC2" w:rsidRPr="00D53986" w:rsidRDefault="00977CC2" w:rsidP="00D53986">
      <w:pPr>
        <w:spacing w:line="480" w:lineRule="auto"/>
        <w:rPr>
          <w:rFonts w:cstheme="minorHAnsi"/>
          <w:color w:val="212121"/>
          <w:shd w:val="clear" w:color="auto" w:fill="FFFFFF"/>
        </w:rPr>
      </w:pPr>
      <w:r w:rsidRPr="00D53986">
        <w:rPr>
          <w:rFonts w:cstheme="minorHAnsi"/>
        </w:rPr>
        <w:t xml:space="preserve">This is </w:t>
      </w:r>
      <w:r w:rsidR="002C7CA5" w:rsidRPr="00D53986">
        <w:rPr>
          <w:rFonts w:cstheme="minorHAnsi"/>
        </w:rPr>
        <w:t>reflected in</w:t>
      </w:r>
      <w:r w:rsidRPr="00D53986">
        <w:rPr>
          <w:rFonts w:cstheme="minorHAnsi"/>
        </w:rPr>
        <w:t xml:space="preserve"> the research of (Harvard, 2023; Minero, 2015; Mahar et al, 2006), w</w:t>
      </w:r>
      <w:r w:rsidR="002C7CA5" w:rsidRPr="00D53986">
        <w:rPr>
          <w:rFonts w:cstheme="minorHAnsi"/>
        </w:rPr>
        <w:t>h</w:t>
      </w:r>
      <w:r w:rsidRPr="00D53986">
        <w:rPr>
          <w:rFonts w:cstheme="minorHAnsi"/>
        </w:rPr>
        <w:t xml:space="preserve">ere they highlight the importance of evolving the learning environment to meet individual needs. Research shows that movement breaks boost classroom culture, increasing task time and overall engagement. Which was evident within case study 1 as learners’ concentration could </w:t>
      </w:r>
      <w:r w:rsidR="002C7CA5" w:rsidRPr="00D53986">
        <w:rPr>
          <w:rFonts w:cstheme="minorHAnsi"/>
        </w:rPr>
        <w:t xml:space="preserve">be </w:t>
      </w:r>
      <w:r w:rsidRPr="00D53986">
        <w:rPr>
          <w:rFonts w:cstheme="minorHAnsi"/>
        </w:rPr>
        <w:t>see</w:t>
      </w:r>
      <w:r w:rsidR="002C7CA5" w:rsidRPr="00D53986">
        <w:rPr>
          <w:rFonts w:cstheme="minorHAnsi"/>
        </w:rPr>
        <w:t>n</w:t>
      </w:r>
      <w:r w:rsidRPr="00D53986">
        <w:rPr>
          <w:rFonts w:cstheme="minorHAnsi"/>
        </w:rPr>
        <w:t xml:space="preserve"> to improve and all learners were engaged. Although gaining control of the learners in regards in settl</w:t>
      </w:r>
      <w:r w:rsidR="002C7CA5" w:rsidRPr="00D53986">
        <w:rPr>
          <w:rFonts w:cstheme="minorHAnsi"/>
        </w:rPr>
        <w:t>ing</w:t>
      </w:r>
      <w:r w:rsidRPr="00D53986">
        <w:rPr>
          <w:rFonts w:cstheme="minorHAnsi"/>
        </w:rPr>
        <w:t xml:space="preserve"> down ready to begin the lesson was seen to take up more time than was </w:t>
      </w:r>
      <w:r w:rsidR="002C7CA5" w:rsidRPr="00D53986">
        <w:rPr>
          <w:rFonts w:cstheme="minorHAnsi"/>
        </w:rPr>
        <w:t>anticipated by</w:t>
      </w:r>
      <w:r w:rsidRPr="00D53986">
        <w:rPr>
          <w:rFonts w:cstheme="minorHAnsi"/>
        </w:rPr>
        <w:t xml:space="preserve"> the researcher. This has been </w:t>
      </w:r>
      <w:r w:rsidR="002C7CA5" w:rsidRPr="00D53986">
        <w:rPr>
          <w:rFonts w:cstheme="minorHAnsi"/>
        </w:rPr>
        <w:t>shown in</w:t>
      </w:r>
      <w:r w:rsidRPr="00D53986">
        <w:rPr>
          <w:rFonts w:cstheme="minorHAnsi"/>
        </w:rPr>
        <w:t xml:space="preserve"> other studies as </w:t>
      </w:r>
      <w:r w:rsidRPr="00D53986">
        <w:rPr>
          <w:rFonts w:cstheme="minorHAnsi"/>
          <w:color w:val="3C4245"/>
          <w:shd w:val="clear" w:color="auto" w:fill="FFFFFF"/>
        </w:rPr>
        <w:t>(</w:t>
      </w:r>
      <w:r w:rsidRPr="00D53986">
        <w:rPr>
          <w:rFonts w:cstheme="minorHAnsi"/>
          <w:color w:val="212121"/>
          <w:shd w:val="clear" w:color="auto" w:fill="FFFFFF"/>
        </w:rPr>
        <w:t>Chorlton et al, (2022) found that transitioning back to lessons following movement breaks w</w:t>
      </w:r>
      <w:r w:rsidR="002C7CA5" w:rsidRPr="00D53986">
        <w:rPr>
          <w:rFonts w:cstheme="minorHAnsi"/>
          <w:color w:val="212121"/>
          <w:shd w:val="clear" w:color="auto" w:fill="FFFFFF"/>
        </w:rPr>
        <w:t>as</w:t>
      </w:r>
      <w:r w:rsidRPr="00D53986">
        <w:rPr>
          <w:rFonts w:cstheme="minorHAnsi"/>
          <w:color w:val="212121"/>
          <w:shd w:val="clear" w:color="auto" w:fill="FFFFFF"/>
        </w:rPr>
        <w:t xml:space="preserve"> identified as</w:t>
      </w:r>
      <w:r w:rsidR="002C7CA5" w:rsidRPr="00D53986">
        <w:rPr>
          <w:rFonts w:cstheme="minorHAnsi"/>
          <w:color w:val="212121"/>
          <w:shd w:val="clear" w:color="auto" w:fill="FFFFFF"/>
        </w:rPr>
        <w:t xml:space="preserve"> a key</w:t>
      </w:r>
      <w:r w:rsidRPr="00D53986">
        <w:rPr>
          <w:rFonts w:cstheme="minorHAnsi"/>
          <w:color w:val="212121"/>
          <w:shd w:val="clear" w:color="auto" w:fill="FFFFFF"/>
        </w:rPr>
        <w:t xml:space="preserve"> barrier due to children being overstimulated. </w:t>
      </w:r>
    </w:p>
    <w:p w14:paraId="516E4A46" w14:textId="77777777" w:rsidR="00977CC2" w:rsidRPr="00D53986" w:rsidRDefault="00977CC2" w:rsidP="00D53986">
      <w:pPr>
        <w:spacing w:line="480" w:lineRule="auto"/>
        <w:rPr>
          <w:rFonts w:cstheme="minorHAnsi"/>
          <w:b/>
          <w:bCs/>
          <w:u w:val="single"/>
        </w:rPr>
      </w:pPr>
      <w:r w:rsidRPr="00D53986">
        <w:rPr>
          <w:rFonts w:cstheme="minorHAnsi"/>
          <w:b/>
          <w:bCs/>
          <w:u w:val="single"/>
        </w:rPr>
        <w:t>Case Study 2: Wet Play Day</w:t>
      </w:r>
    </w:p>
    <w:p w14:paraId="0F244004" w14:textId="413581B0" w:rsidR="00977CC2" w:rsidRPr="00D53986" w:rsidRDefault="00977CC2" w:rsidP="00D53986">
      <w:pPr>
        <w:spacing w:line="480" w:lineRule="auto"/>
        <w:rPr>
          <w:rFonts w:cstheme="minorHAnsi"/>
        </w:rPr>
      </w:pPr>
      <w:r w:rsidRPr="00D53986">
        <w:rPr>
          <w:rFonts w:cstheme="minorHAnsi"/>
        </w:rPr>
        <w:t>The second observation took place on the 1</w:t>
      </w:r>
      <w:r w:rsidR="002C7CA5" w:rsidRPr="00D53986">
        <w:rPr>
          <w:rFonts w:cstheme="minorHAnsi"/>
        </w:rPr>
        <w:t>6</w:t>
      </w:r>
      <w:r w:rsidRPr="00D53986">
        <w:rPr>
          <w:rFonts w:cstheme="minorHAnsi"/>
          <w:vertAlign w:val="superscript"/>
        </w:rPr>
        <w:t>th</w:t>
      </w:r>
      <w:r w:rsidRPr="00D53986">
        <w:rPr>
          <w:rFonts w:cstheme="minorHAnsi"/>
        </w:rPr>
        <w:t xml:space="preserve"> of May 2024, on this particular day children were kept indoors due to the rain. Which resulted in learners naturally becoming frustrated and bored and their concertation </w:t>
      </w:r>
      <w:r w:rsidR="002C7CA5" w:rsidRPr="00D53986">
        <w:rPr>
          <w:rFonts w:cstheme="minorHAnsi"/>
        </w:rPr>
        <w:t xml:space="preserve">beginning </w:t>
      </w:r>
      <w:r w:rsidRPr="00D53986">
        <w:rPr>
          <w:rFonts w:cstheme="minorHAnsi"/>
        </w:rPr>
        <w:t xml:space="preserve">to decline. This is reflected within the Leuven </w:t>
      </w:r>
      <w:r w:rsidR="002C7CA5" w:rsidRPr="00D53986">
        <w:rPr>
          <w:rFonts w:cstheme="minorHAnsi"/>
        </w:rPr>
        <w:t>S</w:t>
      </w:r>
      <w:r w:rsidRPr="00D53986">
        <w:rPr>
          <w:rFonts w:cstheme="minorHAnsi"/>
        </w:rPr>
        <w:t xml:space="preserve">cale where the observation </w:t>
      </w:r>
      <w:r w:rsidRPr="00D53986">
        <w:rPr>
          <w:rFonts w:cstheme="minorHAnsi"/>
        </w:rPr>
        <w:lastRenderedPageBreak/>
        <w:t>showed that pupils wellbeing was rating between low and moderate due to being inside for the majority of the day. Whereas their involvement ranking was between low and extremely low, particularly extremely low with pupils E, C and D.</w:t>
      </w:r>
    </w:p>
    <w:p w14:paraId="7CB89218" w14:textId="150E50AA" w:rsidR="00977CC2" w:rsidRPr="00D53986" w:rsidRDefault="00977CC2" w:rsidP="00D53986">
      <w:pPr>
        <w:spacing w:line="480" w:lineRule="auto"/>
        <w:rPr>
          <w:rFonts w:cstheme="minorHAnsi"/>
        </w:rPr>
      </w:pPr>
      <w:r w:rsidRPr="00D53986">
        <w:rPr>
          <w:rFonts w:cstheme="minorHAnsi"/>
        </w:rPr>
        <w:t xml:space="preserve">In order to establish whether movement breaks could support children during wet play, the researcher conducted a movement break after lunch. During the activity itself, behaviours of children could be seen to </w:t>
      </w:r>
      <w:r w:rsidR="002C7CA5" w:rsidRPr="00D53986">
        <w:rPr>
          <w:rFonts w:cstheme="minorHAnsi"/>
        </w:rPr>
        <w:t>improve</w:t>
      </w:r>
      <w:r w:rsidRPr="00D53986">
        <w:rPr>
          <w:rFonts w:cstheme="minorHAnsi"/>
        </w:rPr>
        <w:t xml:space="preserve"> as they had a burst of energy needed to </w:t>
      </w:r>
      <w:r w:rsidR="009257B8" w:rsidRPr="00D53986">
        <w:rPr>
          <w:rFonts w:cstheme="minorHAnsi"/>
        </w:rPr>
        <w:t>be released</w:t>
      </w:r>
      <w:r w:rsidRPr="00D53986">
        <w:rPr>
          <w:rFonts w:cstheme="minorHAnsi"/>
        </w:rPr>
        <w:t>. All participants involvement levels increase</w:t>
      </w:r>
      <w:r w:rsidR="009257B8" w:rsidRPr="00D53986">
        <w:rPr>
          <w:rFonts w:cstheme="minorHAnsi"/>
        </w:rPr>
        <w:t>d</w:t>
      </w:r>
      <w:r w:rsidRPr="00D53986">
        <w:rPr>
          <w:rFonts w:cstheme="minorHAnsi"/>
        </w:rPr>
        <w:t xml:space="preserve"> to the scale of high within the movement breaks itself. Which is reflected by Morin (2024)</w:t>
      </w:r>
      <w:r w:rsidRPr="00D53986">
        <w:rPr>
          <w:rFonts w:cstheme="minorHAnsi"/>
          <w:b/>
          <w:bCs/>
        </w:rPr>
        <w:t xml:space="preserve"> </w:t>
      </w:r>
      <w:r w:rsidRPr="00D53986">
        <w:rPr>
          <w:rFonts w:cstheme="minorHAnsi"/>
        </w:rPr>
        <w:t>research of that those children who</w:t>
      </w:r>
      <w:r w:rsidRPr="00D53986">
        <w:rPr>
          <w:rFonts w:cstheme="minorHAnsi"/>
          <w:b/>
          <w:bCs/>
        </w:rPr>
        <w:t xml:space="preserve"> </w:t>
      </w:r>
      <w:r w:rsidRPr="00D53986">
        <w:rPr>
          <w:rFonts w:cstheme="minorHAnsi"/>
        </w:rPr>
        <w:t xml:space="preserve">are more likely to get tired and have a low tolerance for frustration, thus movement breaks can refresh their minds. Which is reflected by pupils E, C and D compared to their fellow classmates who after the movement breaks </w:t>
      </w:r>
      <w:r w:rsidR="009257B8" w:rsidRPr="00D53986">
        <w:rPr>
          <w:rFonts w:cstheme="minorHAnsi"/>
        </w:rPr>
        <w:t>were</w:t>
      </w:r>
      <w:r w:rsidRPr="00D53986">
        <w:rPr>
          <w:rFonts w:cstheme="minorHAnsi"/>
        </w:rPr>
        <w:t xml:space="preserve"> seen to be focused on the task that was being asked of them. </w:t>
      </w:r>
    </w:p>
    <w:p w14:paraId="4FC9AF35" w14:textId="09E083E6" w:rsidR="00977CC2" w:rsidRPr="00D53986" w:rsidRDefault="00977CC2" w:rsidP="00D53986">
      <w:pPr>
        <w:spacing w:line="480" w:lineRule="auto"/>
        <w:rPr>
          <w:rFonts w:cstheme="minorHAnsi"/>
          <w:color w:val="212121"/>
          <w:shd w:val="clear" w:color="auto" w:fill="FFFFFF"/>
        </w:rPr>
      </w:pPr>
      <w:r w:rsidRPr="00D53986">
        <w:rPr>
          <w:rFonts w:cstheme="minorHAnsi"/>
        </w:rPr>
        <w:t xml:space="preserve">These findings of how wet play can affect leaners general </w:t>
      </w:r>
      <w:r w:rsidR="009257B8" w:rsidRPr="00D53986">
        <w:rPr>
          <w:rFonts w:cstheme="minorHAnsi"/>
        </w:rPr>
        <w:t>concentration</w:t>
      </w:r>
      <w:r w:rsidRPr="00D53986">
        <w:rPr>
          <w:rFonts w:cstheme="minorHAnsi"/>
        </w:rPr>
        <w:t xml:space="preserve"> and involvement within tasks when they have no access to physical activities supports the research of (</w:t>
      </w:r>
      <w:r w:rsidRPr="00D53986">
        <w:rPr>
          <w:rFonts w:cstheme="minorHAnsi"/>
          <w:color w:val="3C4245"/>
          <w:shd w:val="clear" w:color="auto" w:fill="FFFFFF"/>
        </w:rPr>
        <w:t>Harvard (2023): Biddle and Asare (</w:t>
      </w:r>
      <w:r w:rsidR="00D53986" w:rsidRPr="00D53986">
        <w:rPr>
          <w:rFonts w:cstheme="minorHAnsi"/>
          <w:color w:val="3C4245"/>
          <w:shd w:val="clear" w:color="auto" w:fill="FFFFFF"/>
        </w:rPr>
        <w:t>2011</w:t>
      </w:r>
      <w:r w:rsidRPr="00D53986">
        <w:rPr>
          <w:rFonts w:cstheme="minorHAnsi"/>
          <w:color w:val="3C4245"/>
          <w:shd w:val="clear" w:color="auto" w:fill="FFFFFF"/>
        </w:rPr>
        <w:t>).</w:t>
      </w:r>
      <w:r w:rsidRPr="00D53986">
        <w:rPr>
          <w:rFonts w:cstheme="minorHAnsi"/>
          <w:b/>
          <w:bCs/>
          <w:color w:val="3C4245"/>
          <w:shd w:val="clear" w:color="auto" w:fill="FFFFFF"/>
        </w:rPr>
        <w:t xml:space="preserve"> </w:t>
      </w:r>
      <w:r w:rsidRPr="00D53986">
        <w:rPr>
          <w:rFonts w:cstheme="minorHAnsi"/>
          <w:color w:val="3C4245"/>
          <w:shd w:val="clear" w:color="auto" w:fill="FFFFFF"/>
        </w:rPr>
        <w:t xml:space="preserve">As movement breaks as a whole was seen to support both academic success but also a tool for classroom management during wet play. </w:t>
      </w:r>
      <w:r w:rsidRPr="00D53986">
        <w:rPr>
          <w:rFonts w:cstheme="minorHAnsi"/>
        </w:rPr>
        <w:t xml:space="preserve">World Health Organisation (2021) also state that this approach is a beneficial factor on physical activity, which can be reflected within wet play and learners having limited access to physical activities. </w:t>
      </w:r>
    </w:p>
    <w:p w14:paraId="67405EE7" w14:textId="77777777" w:rsidR="003B4638" w:rsidRPr="00D53986" w:rsidRDefault="00AA0C22" w:rsidP="00D53986">
      <w:pPr>
        <w:spacing w:line="480" w:lineRule="auto"/>
        <w:rPr>
          <w:rFonts w:cstheme="minorHAnsi"/>
          <w:b/>
          <w:bCs/>
          <w:u w:val="single"/>
        </w:rPr>
      </w:pPr>
      <w:bookmarkStart w:id="2" w:name="_Hlk167137947"/>
      <w:r w:rsidRPr="00D53986">
        <w:rPr>
          <w:rFonts w:cstheme="minorHAnsi"/>
        </w:rPr>
        <w:t xml:space="preserve"> </w:t>
      </w:r>
      <w:bookmarkEnd w:id="2"/>
      <w:r w:rsidR="003B4638" w:rsidRPr="00D53986">
        <w:rPr>
          <w:rFonts w:cstheme="minorHAnsi"/>
          <w:b/>
          <w:bCs/>
          <w:u w:val="single"/>
        </w:rPr>
        <w:t xml:space="preserve">Conclusion </w:t>
      </w:r>
    </w:p>
    <w:p w14:paraId="2B859FB5" w14:textId="7C161B56" w:rsidR="003B4638" w:rsidRPr="00D53986" w:rsidRDefault="003B4638" w:rsidP="00D53986">
      <w:pPr>
        <w:spacing w:line="480" w:lineRule="auto"/>
        <w:rPr>
          <w:rFonts w:cstheme="minorHAnsi"/>
          <w:b/>
          <w:bCs/>
          <w:color w:val="3C4245"/>
          <w:u w:val="single"/>
          <w:shd w:val="clear" w:color="auto" w:fill="FFFFFF"/>
        </w:rPr>
      </w:pPr>
      <w:r w:rsidRPr="00D53986">
        <w:rPr>
          <w:rFonts w:cstheme="minorHAnsi"/>
        </w:rPr>
        <w:t xml:space="preserve">To conclude on this research study, which aimed to explore the impact that movement breaks have on learners’ concentration and behaviour within academic learning. With the aim to </w:t>
      </w:r>
      <w:r w:rsidRPr="00D53986">
        <w:rPr>
          <w:rFonts w:cstheme="minorHAnsi"/>
          <w:color w:val="3C4245"/>
          <w:shd w:val="clear" w:color="auto" w:fill="FFFFFF"/>
        </w:rPr>
        <w:t xml:space="preserve">contribute to the understanding of effective classroom interventions for improving student focus and engagement. The overall conclusion is that both within the data and literature review that movement breaks when conducted in </w:t>
      </w:r>
      <w:r w:rsidR="009257B8" w:rsidRPr="00D53986">
        <w:rPr>
          <w:rFonts w:cstheme="minorHAnsi"/>
          <w:color w:val="3C4245"/>
          <w:shd w:val="clear" w:color="auto" w:fill="FFFFFF"/>
        </w:rPr>
        <w:t xml:space="preserve">the </w:t>
      </w:r>
      <w:r w:rsidRPr="00D53986">
        <w:rPr>
          <w:rFonts w:cstheme="minorHAnsi"/>
          <w:color w:val="3C4245"/>
          <w:shd w:val="clear" w:color="auto" w:fill="FFFFFF"/>
        </w:rPr>
        <w:t>correct format can have a positive impact on overall learners’ concentration and ability to conduct the</w:t>
      </w:r>
      <w:r w:rsidR="009257B8" w:rsidRPr="00D53986">
        <w:rPr>
          <w:rFonts w:cstheme="minorHAnsi"/>
          <w:color w:val="3C4245"/>
          <w:shd w:val="clear" w:color="auto" w:fill="FFFFFF"/>
        </w:rPr>
        <w:t>ir</w:t>
      </w:r>
      <w:r w:rsidRPr="00D53986">
        <w:rPr>
          <w:rFonts w:cstheme="minorHAnsi"/>
          <w:color w:val="3C4245"/>
          <w:shd w:val="clear" w:color="auto" w:fill="FFFFFF"/>
        </w:rPr>
        <w:t xml:space="preserve"> learning. This was especially seen during case study 2 when research was conducted to see how this strategy could support leaners when they had a lack of access to physical </w:t>
      </w:r>
      <w:r w:rsidRPr="00D53986">
        <w:rPr>
          <w:rFonts w:cstheme="minorHAnsi"/>
          <w:color w:val="3C4245"/>
          <w:shd w:val="clear" w:color="auto" w:fill="FFFFFF"/>
        </w:rPr>
        <w:lastRenderedPageBreak/>
        <w:t xml:space="preserve">activities due to the weather. As they exhibited higher levels of involvement and reduced frustration after participating in movement breaks, indicating their potential as a tool for classroom management. Using the method of Leuven </w:t>
      </w:r>
      <w:r w:rsidR="009257B8" w:rsidRPr="00D53986">
        <w:rPr>
          <w:rFonts w:cstheme="minorHAnsi"/>
          <w:color w:val="3C4245"/>
          <w:shd w:val="clear" w:color="auto" w:fill="FFFFFF"/>
        </w:rPr>
        <w:t>S</w:t>
      </w:r>
      <w:r w:rsidRPr="00D53986">
        <w:rPr>
          <w:rFonts w:cstheme="minorHAnsi"/>
          <w:color w:val="3C4245"/>
          <w:shd w:val="clear" w:color="auto" w:fill="FFFFFF"/>
        </w:rPr>
        <w:t xml:space="preserve">cale observations </w:t>
      </w:r>
      <w:r w:rsidR="009257B8" w:rsidRPr="00D53986">
        <w:rPr>
          <w:rFonts w:cstheme="minorHAnsi"/>
          <w:color w:val="3C4245"/>
          <w:shd w:val="clear" w:color="auto" w:fill="FFFFFF"/>
        </w:rPr>
        <w:t>were</w:t>
      </w:r>
      <w:r w:rsidRPr="00D53986">
        <w:rPr>
          <w:rFonts w:cstheme="minorHAnsi"/>
          <w:color w:val="3C4245"/>
          <w:shd w:val="clear" w:color="auto" w:fill="FFFFFF"/>
        </w:rPr>
        <w:t xml:space="preserve"> beneficial to the study especially </w:t>
      </w:r>
      <w:r w:rsidR="009257B8" w:rsidRPr="00D53986">
        <w:rPr>
          <w:rFonts w:cstheme="minorHAnsi"/>
          <w:color w:val="3C4245"/>
          <w:shd w:val="clear" w:color="auto" w:fill="FFFFFF"/>
        </w:rPr>
        <w:t>in regard to</w:t>
      </w:r>
      <w:r w:rsidRPr="00D53986">
        <w:rPr>
          <w:rFonts w:cstheme="minorHAnsi"/>
          <w:color w:val="3C4245"/>
          <w:shd w:val="clear" w:color="auto" w:fill="FFFFFF"/>
        </w:rPr>
        <w:t xml:space="preserve"> the key limitation within this study, </w:t>
      </w:r>
      <w:r w:rsidR="009257B8" w:rsidRPr="00D53986">
        <w:rPr>
          <w:rFonts w:cstheme="minorHAnsi"/>
          <w:color w:val="3C4245"/>
          <w:shd w:val="clear" w:color="auto" w:fill="FFFFFF"/>
        </w:rPr>
        <w:t xml:space="preserve">in </w:t>
      </w:r>
      <w:r w:rsidRPr="00D53986">
        <w:rPr>
          <w:rFonts w:cstheme="minorHAnsi"/>
          <w:color w:val="3C4245"/>
          <w:shd w:val="clear" w:color="auto" w:fill="FFFFFF"/>
        </w:rPr>
        <w:t xml:space="preserve">the gathering of consent within the time scale of the study. Resulting in the study </w:t>
      </w:r>
      <w:r w:rsidR="009257B8" w:rsidRPr="00D53986">
        <w:rPr>
          <w:rFonts w:cstheme="minorHAnsi"/>
          <w:color w:val="3C4245"/>
          <w:shd w:val="clear" w:color="auto" w:fill="FFFFFF"/>
        </w:rPr>
        <w:t xml:space="preserve">being </w:t>
      </w:r>
      <w:r w:rsidRPr="00D53986">
        <w:rPr>
          <w:rFonts w:cstheme="minorHAnsi"/>
          <w:color w:val="3C4245"/>
          <w:shd w:val="clear" w:color="auto" w:fill="FFFFFF"/>
        </w:rPr>
        <w:t>seen by the researcher to be in</w:t>
      </w:r>
      <w:r w:rsidR="009257B8" w:rsidRPr="00D53986">
        <w:rPr>
          <w:rFonts w:cstheme="minorHAnsi"/>
          <w:color w:val="3C4245"/>
          <w:shd w:val="clear" w:color="auto" w:fill="FFFFFF"/>
        </w:rPr>
        <w:t>con</w:t>
      </w:r>
      <w:r w:rsidRPr="00D53986">
        <w:rPr>
          <w:rFonts w:cstheme="minorHAnsi"/>
          <w:color w:val="3C4245"/>
          <w:shd w:val="clear" w:color="auto" w:fill="FFFFFF"/>
        </w:rPr>
        <w:t xml:space="preserve">clusive and not reliable in gaining an understanding of learner’s </w:t>
      </w:r>
      <w:r w:rsidR="009257B8" w:rsidRPr="00D53986">
        <w:rPr>
          <w:rFonts w:cstheme="minorHAnsi"/>
          <w:color w:val="3C4245"/>
          <w:shd w:val="clear" w:color="auto" w:fill="FFFFFF"/>
        </w:rPr>
        <w:t>viewpoints</w:t>
      </w:r>
      <w:r w:rsidRPr="00D53986">
        <w:rPr>
          <w:rFonts w:cstheme="minorHAnsi"/>
          <w:color w:val="3C4245"/>
          <w:shd w:val="clear" w:color="auto" w:fill="FFFFFF"/>
        </w:rPr>
        <w:t xml:space="preserve"> on whether movement breaks are beneficial to their learning. These limitations impacted the ability to draw definitive conclusions and underscore the importance of movement breaks on learners in line with the literature found stating the academic and wellbeing success this strategy has. </w:t>
      </w:r>
    </w:p>
    <w:p w14:paraId="404CA9C9" w14:textId="77777777" w:rsidR="003B4638" w:rsidRPr="00D53986" w:rsidRDefault="003B4638" w:rsidP="00D53986">
      <w:pPr>
        <w:spacing w:line="480" w:lineRule="auto"/>
        <w:rPr>
          <w:rFonts w:cstheme="minorHAnsi"/>
          <w:b/>
          <w:bCs/>
          <w:color w:val="3C4245"/>
          <w:u w:val="single"/>
          <w:shd w:val="clear" w:color="auto" w:fill="FFFFFF"/>
        </w:rPr>
      </w:pPr>
      <w:r w:rsidRPr="00D53986">
        <w:rPr>
          <w:rFonts w:cstheme="minorHAnsi"/>
          <w:b/>
          <w:bCs/>
          <w:color w:val="3C4245"/>
          <w:u w:val="single"/>
          <w:shd w:val="clear" w:color="auto" w:fill="FFFFFF"/>
        </w:rPr>
        <w:t xml:space="preserve">Recommendations </w:t>
      </w:r>
    </w:p>
    <w:p w14:paraId="581A655A" w14:textId="77777777" w:rsidR="003B4638" w:rsidRPr="00D53986" w:rsidRDefault="003B4638" w:rsidP="00D53986">
      <w:pPr>
        <w:spacing w:line="480" w:lineRule="auto"/>
        <w:rPr>
          <w:rFonts w:cstheme="minorHAnsi"/>
          <w:color w:val="3C4245"/>
          <w:shd w:val="clear" w:color="auto" w:fill="FFFFFF"/>
        </w:rPr>
      </w:pPr>
      <w:r w:rsidRPr="00D53986">
        <w:rPr>
          <w:rFonts w:cstheme="minorHAnsi"/>
          <w:color w:val="3C4245"/>
          <w:shd w:val="clear" w:color="auto" w:fill="FFFFFF"/>
        </w:rPr>
        <w:t xml:space="preserve">In consideration to the findings and limitations seen within the study the practitioner recommends the following. </w:t>
      </w:r>
    </w:p>
    <w:p w14:paraId="07AF05AA" w14:textId="2F3C9444" w:rsidR="003B4638" w:rsidRPr="00D53986" w:rsidRDefault="003B4638" w:rsidP="00D53986">
      <w:pPr>
        <w:pStyle w:val="ParagraffRhestr"/>
        <w:numPr>
          <w:ilvl w:val="0"/>
          <w:numId w:val="5"/>
        </w:numPr>
        <w:spacing w:after="160" w:line="480" w:lineRule="auto"/>
        <w:rPr>
          <w:rFonts w:asciiTheme="minorHAnsi" w:hAnsiTheme="minorHAnsi" w:cstheme="minorHAnsi"/>
          <w:color w:val="3C4245"/>
          <w:shd w:val="clear" w:color="auto" w:fill="FFFFFF"/>
        </w:rPr>
      </w:pPr>
      <w:r w:rsidRPr="00D53986">
        <w:rPr>
          <w:rFonts w:asciiTheme="minorHAnsi" w:hAnsiTheme="minorHAnsi" w:cstheme="minorHAnsi"/>
          <w:color w:val="3C4245"/>
          <w:shd w:val="clear" w:color="auto" w:fill="FFFFFF"/>
        </w:rPr>
        <w:t>The field of education should consider and evaluate how movement breaks can be a successful aspect to be implemented alongside the curriculum. As found within the study movement breaks as simple as dance battles can support learners to refresh their minds ready to continu</w:t>
      </w:r>
      <w:r w:rsidR="009257B8" w:rsidRPr="00D53986">
        <w:rPr>
          <w:rFonts w:asciiTheme="minorHAnsi" w:hAnsiTheme="minorHAnsi" w:cstheme="minorHAnsi"/>
          <w:color w:val="3C4245"/>
          <w:shd w:val="clear" w:color="auto" w:fill="FFFFFF"/>
        </w:rPr>
        <w:t>e</w:t>
      </w:r>
      <w:r w:rsidRPr="00D53986">
        <w:rPr>
          <w:rFonts w:asciiTheme="minorHAnsi" w:hAnsiTheme="minorHAnsi" w:cstheme="minorHAnsi"/>
          <w:color w:val="3C4245"/>
          <w:shd w:val="clear" w:color="auto" w:fill="FFFFFF"/>
        </w:rPr>
        <w:t xml:space="preserve"> their academic learning. Allowing for physical activities within the classroom is an important aspect to increasing leaners academic success and should be treated as equal to all subjects. </w:t>
      </w:r>
    </w:p>
    <w:p w14:paraId="607907AC" w14:textId="4210C4F4" w:rsidR="003B4638" w:rsidRPr="00D53986" w:rsidRDefault="003B4638" w:rsidP="00D53986">
      <w:pPr>
        <w:pStyle w:val="ParagraffRhestr"/>
        <w:numPr>
          <w:ilvl w:val="0"/>
          <w:numId w:val="5"/>
        </w:numPr>
        <w:spacing w:after="160" w:line="480" w:lineRule="auto"/>
        <w:rPr>
          <w:rFonts w:asciiTheme="minorHAnsi" w:hAnsiTheme="minorHAnsi" w:cstheme="minorHAnsi"/>
          <w:color w:val="3C4245"/>
          <w:shd w:val="clear" w:color="auto" w:fill="FFFFFF"/>
        </w:rPr>
      </w:pPr>
      <w:r w:rsidRPr="00D53986">
        <w:rPr>
          <w:rFonts w:asciiTheme="minorHAnsi" w:hAnsiTheme="minorHAnsi" w:cstheme="minorHAnsi"/>
          <w:color w:val="3C4245"/>
          <w:shd w:val="clear" w:color="auto" w:fill="FFFFFF"/>
        </w:rPr>
        <w:t>To address the limitations identified within this study, the practitioner should conduct a more comprehensive data collection. Including a wider range of research methods such as interviews and focus groups to ensure a</w:t>
      </w:r>
      <w:r w:rsidR="009257B8" w:rsidRPr="00D53986">
        <w:rPr>
          <w:rFonts w:asciiTheme="minorHAnsi" w:hAnsiTheme="minorHAnsi" w:cstheme="minorHAnsi"/>
          <w:color w:val="3C4245"/>
          <w:shd w:val="clear" w:color="auto" w:fill="FFFFFF"/>
        </w:rPr>
        <w:t>n</w:t>
      </w:r>
      <w:r w:rsidRPr="00D53986">
        <w:rPr>
          <w:rFonts w:asciiTheme="minorHAnsi" w:hAnsiTheme="minorHAnsi" w:cstheme="minorHAnsi"/>
          <w:color w:val="3C4245"/>
          <w:shd w:val="clear" w:color="auto" w:fill="FFFFFF"/>
        </w:rPr>
        <w:t xml:space="preserve"> </w:t>
      </w:r>
      <w:proofErr w:type="gramStart"/>
      <w:r w:rsidRPr="00D53986">
        <w:rPr>
          <w:rFonts w:asciiTheme="minorHAnsi" w:hAnsiTheme="minorHAnsi" w:cstheme="minorHAnsi"/>
          <w:color w:val="3C4245"/>
          <w:shd w:val="clear" w:color="auto" w:fill="FFFFFF"/>
        </w:rPr>
        <w:t>in depth</w:t>
      </w:r>
      <w:proofErr w:type="gramEnd"/>
      <w:r w:rsidRPr="00D53986">
        <w:rPr>
          <w:rFonts w:asciiTheme="minorHAnsi" w:hAnsiTheme="minorHAnsi" w:cstheme="minorHAnsi"/>
          <w:color w:val="3C4245"/>
          <w:shd w:val="clear" w:color="auto" w:fill="FFFFFF"/>
        </w:rPr>
        <w:t xml:space="preserve"> analysis of a wide range of data. Of which will ensure a </w:t>
      </w:r>
      <w:r w:rsidR="00466B79" w:rsidRPr="00D53986">
        <w:rPr>
          <w:rFonts w:asciiTheme="minorHAnsi" w:hAnsiTheme="minorHAnsi" w:cstheme="minorHAnsi"/>
          <w:color w:val="3C4245"/>
          <w:shd w:val="clear" w:color="auto" w:fill="FFFFFF"/>
        </w:rPr>
        <w:t>clearer</w:t>
      </w:r>
      <w:r w:rsidRPr="00D53986">
        <w:rPr>
          <w:rFonts w:asciiTheme="minorHAnsi" w:hAnsiTheme="minorHAnsi" w:cstheme="minorHAnsi"/>
          <w:color w:val="3C4245"/>
          <w:shd w:val="clear" w:color="auto" w:fill="FFFFFF"/>
        </w:rPr>
        <w:t xml:space="preserve"> picture of the objective is met within the research conducted. </w:t>
      </w:r>
    </w:p>
    <w:p w14:paraId="7A889120" w14:textId="1E28452D" w:rsidR="00AA0C22" w:rsidRPr="00D53986" w:rsidRDefault="00AA0C22" w:rsidP="00D53986">
      <w:pPr>
        <w:spacing w:line="480" w:lineRule="auto"/>
        <w:rPr>
          <w:rFonts w:cstheme="minorHAnsi"/>
        </w:rPr>
      </w:pPr>
    </w:p>
    <w:p w14:paraId="17C3E6FD" w14:textId="77777777" w:rsidR="00790F71" w:rsidRDefault="00790F71" w:rsidP="00D53986">
      <w:pPr>
        <w:spacing w:line="480" w:lineRule="auto"/>
        <w:rPr>
          <w:rFonts w:cstheme="minorHAnsi"/>
        </w:rPr>
      </w:pPr>
    </w:p>
    <w:p w14:paraId="173E9515" w14:textId="278AED72" w:rsidR="00D53986" w:rsidRPr="00790F71" w:rsidRDefault="00D53986" w:rsidP="00D53986">
      <w:pPr>
        <w:spacing w:line="480" w:lineRule="auto"/>
        <w:rPr>
          <w:rFonts w:cstheme="minorHAnsi"/>
          <w:b/>
          <w:bCs/>
        </w:rPr>
      </w:pPr>
      <w:r w:rsidRPr="00790F71">
        <w:rPr>
          <w:rFonts w:cstheme="minorHAnsi"/>
          <w:b/>
          <w:bCs/>
        </w:rPr>
        <w:lastRenderedPageBreak/>
        <w:t xml:space="preserve">References </w:t>
      </w:r>
    </w:p>
    <w:p w14:paraId="56EA0E7C" w14:textId="77777777" w:rsidR="00D53986" w:rsidRPr="00790F71" w:rsidRDefault="00D53986" w:rsidP="00D53986">
      <w:pPr>
        <w:spacing w:after="0" w:line="480" w:lineRule="auto"/>
        <w:rPr>
          <w:rFonts w:eastAsia="Times New Roman" w:cstheme="minorHAnsi"/>
          <w:kern w:val="0"/>
          <w:lang w:eastAsia="cy-GB"/>
          <w14:ligatures w14:val="none"/>
        </w:rPr>
      </w:pPr>
      <w:bookmarkStart w:id="3" w:name="_Hlk167219775"/>
      <w:r w:rsidRPr="008B5694">
        <w:rPr>
          <w:rFonts w:eastAsia="Times New Roman" w:cstheme="minorHAnsi"/>
          <w:kern w:val="0"/>
          <w:lang w:eastAsia="cy-GB"/>
          <w14:ligatures w14:val="none"/>
        </w:rPr>
        <w:t>Aldridge, J.M. and McChesney, K. (2018)</w:t>
      </w:r>
      <w:bookmarkEnd w:id="3"/>
      <w:r w:rsidRPr="008B5694">
        <w:rPr>
          <w:rFonts w:eastAsia="Times New Roman" w:cstheme="minorHAnsi"/>
          <w:kern w:val="0"/>
          <w:lang w:eastAsia="cy-GB"/>
          <w14:ligatures w14:val="none"/>
        </w:rPr>
        <w:t xml:space="preserve"> ‘The relationships between school climate and adolescent mental health and wellbeing: A systematic literature review’, </w:t>
      </w:r>
      <w:r w:rsidRPr="008B5694">
        <w:rPr>
          <w:rFonts w:eastAsia="Times New Roman" w:cstheme="minorHAnsi"/>
          <w:i/>
          <w:iCs/>
          <w:kern w:val="0"/>
          <w:lang w:eastAsia="cy-GB"/>
          <w14:ligatures w14:val="none"/>
        </w:rPr>
        <w:t>International journal of educational research</w:t>
      </w:r>
      <w:r w:rsidRPr="008B5694">
        <w:rPr>
          <w:rFonts w:eastAsia="Times New Roman" w:cstheme="minorHAnsi"/>
          <w:kern w:val="0"/>
          <w:lang w:eastAsia="cy-GB"/>
          <w14:ligatures w14:val="none"/>
        </w:rPr>
        <w:t>, 88</w:t>
      </w:r>
      <w:r w:rsidRPr="00790F71">
        <w:rPr>
          <w:rFonts w:eastAsia="Times New Roman" w:cstheme="minorHAnsi"/>
          <w:kern w:val="0"/>
          <w:lang w:eastAsia="cy-GB"/>
          <w14:ligatures w14:val="none"/>
        </w:rPr>
        <w:t xml:space="preserve">. </w:t>
      </w:r>
      <w:r w:rsidRPr="008B5694">
        <w:rPr>
          <w:rFonts w:eastAsia="Times New Roman" w:cstheme="minorHAnsi"/>
          <w:kern w:val="0"/>
          <w:lang w:eastAsia="cy-GB"/>
          <w14:ligatures w14:val="none"/>
        </w:rPr>
        <w:t>Available at: https://doi.org/10.1016/j.ijer.2018.01.012.</w:t>
      </w:r>
      <w:r w:rsidRPr="00790F71">
        <w:rPr>
          <w:rFonts w:eastAsia="Times New Roman" w:cstheme="minorHAnsi"/>
          <w:kern w:val="0"/>
          <w:lang w:eastAsia="cy-GB"/>
          <w14:ligatures w14:val="none"/>
        </w:rPr>
        <w:t xml:space="preserve"> (Accessed: 25</w:t>
      </w:r>
      <w:r w:rsidRPr="00790F71">
        <w:rPr>
          <w:rFonts w:eastAsia="Times New Roman" w:cstheme="minorHAnsi"/>
          <w:kern w:val="0"/>
          <w:vertAlign w:val="superscript"/>
          <w:lang w:eastAsia="cy-GB"/>
          <w14:ligatures w14:val="none"/>
        </w:rPr>
        <w:t>th</w:t>
      </w:r>
      <w:r w:rsidRPr="00790F71">
        <w:rPr>
          <w:rFonts w:eastAsia="Times New Roman" w:cstheme="minorHAnsi"/>
          <w:kern w:val="0"/>
          <w:lang w:eastAsia="cy-GB"/>
          <w14:ligatures w14:val="none"/>
        </w:rPr>
        <w:t xml:space="preserve"> April 2024).</w:t>
      </w:r>
    </w:p>
    <w:p w14:paraId="6C3A8C4D" w14:textId="77777777" w:rsidR="00D53986" w:rsidRPr="00790F71" w:rsidRDefault="00D53986" w:rsidP="00D53986">
      <w:pPr>
        <w:pStyle w:val="first"/>
        <w:spacing w:line="480" w:lineRule="auto"/>
        <w:rPr>
          <w:rFonts w:asciiTheme="minorHAnsi" w:hAnsiTheme="minorHAnsi" w:cstheme="minorHAnsi"/>
          <w:sz w:val="22"/>
          <w:szCs w:val="22"/>
          <w:lang w:val="en-GB"/>
        </w:rPr>
      </w:pPr>
      <w:r w:rsidRPr="00790F71">
        <w:rPr>
          <w:rFonts w:asciiTheme="minorHAnsi" w:hAnsiTheme="minorHAnsi" w:cstheme="minorHAnsi"/>
          <w:sz w:val="22"/>
          <w:szCs w:val="22"/>
          <w:lang w:val="en-GB"/>
        </w:rPr>
        <w:t xml:space="preserve">Anderson, R. Katz, J. (2018) ‘A Review of Articles Using Observation Methods to Study Creativity in Education (1980–2018)’, </w:t>
      </w:r>
      <w:r w:rsidRPr="00790F71">
        <w:rPr>
          <w:rFonts w:asciiTheme="minorHAnsi" w:hAnsiTheme="minorHAnsi" w:cstheme="minorHAnsi"/>
          <w:i/>
          <w:iCs/>
          <w:sz w:val="22"/>
          <w:szCs w:val="22"/>
          <w:lang w:val="en-GB"/>
        </w:rPr>
        <w:t>The Journal of Creative Behavior</w:t>
      </w:r>
      <w:r w:rsidRPr="00790F71">
        <w:rPr>
          <w:rFonts w:asciiTheme="minorHAnsi" w:hAnsiTheme="minorHAnsi" w:cstheme="minorHAnsi"/>
          <w:sz w:val="22"/>
          <w:szCs w:val="22"/>
          <w:lang w:val="en-GB"/>
        </w:rPr>
        <w:t>, 54:(3). Available at: https://www.semanticscholar.org/paper/A-Review-of-Articles-Using-Observation-Methods-to-Katz-Buonincontro-Anderson/162a9ebf6448d735cde6da163d3720d8d80aa1ed (Accessed: 6</w:t>
      </w:r>
      <w:r w:rsidRPr="00790F71">
        <w:rPr>
          <w:rFonts w:asciiTheme="minorHAnsi" w:hAnsiTheme="minorHAnsi" w:cstheme="minorHAnsi"/>
          <w:sz w:val="22"/>
          <w:szCs w:val="22"/>
          <w:vertAlign w:val="superscript"/>
          <w:lang w:val="en-GB"/>
        </w:rPr>
        <w:t>th</w:t>
      </w:r>
      <w:r w:rsidRPr="00790F71">
        <w:rPr>
          <w:rFonts w:asciiTheme="minorHAnsi" w:hAnsiTheme="minorHAnsi" w:cstheme="minorHAnsi"/>
          <w:sz w:val="22"/>
          <w:szCs w:val="22"/>
          <w:lang w:val="en-GB"/>
        </w:rPr>
        <w:t xml:space="preserve"> May 2024). </w:t>
      </w:r>
    </w:p>
    <w:p w14:paraId="1D255D56" w14:textId="77777777" w:rsidR="00D53986" w:rsidRPr="00790F71" w:rsidRDefault="00D53986" w:rsidP="00D53986">
      <w:pPr>
        <w:spacing w:line="480" w:lineRule="auto"/>
        <w:rPr>
          <w:rFonts w:cstheme="minorHAnsi"/>
        </w:rPr>
      </w:pPr>
      <w:r w:rsidRPr="00790F71">
        <w:rPr>
          <w:rFonts w:cstheme="minorHAnsi"/>
        </w:rPr>
        <w:t xml:space="preserve">Baron, A. &amp; McNeal, K. (2019). </w:t>
      </w:r>
      <w:r w:rsidRPr="00790F71">
        <w:rPr>
          <w:rFonts w:cstheme="minorHAnsi"/>
          <w:i/>
          <w:iCs/>
        </w:rPr>
        <w:t>Case Study Methodology in Higher Education</w:t>
      </w:r>
      <w:r w:rsidRPr="00790F71">
        <w:rPr>
          <w:rFonts w:cstheme="minorHAnsi"/>
        </w:rPr>
        <w:t xml:space="preserve">. IGI Global. </w:t>
      </w:r>
    </w:p>
    <w:p w14:paraId="3D7A6D5B" w14:textId="77777777" w:rsidR="00D53986" w:rsidRPr="00790F71" w:rsidRDefault="00D53986" w:rsidP="00D53986">
      <w:pPr>
        <w:shd w:val="clear" w:color="auto" w:fill="FFFFFF"/>
        <w:spacing w:line="480" w:lineRule="auto"/>
        <w:rPr>
          <w:rFonts w:cstheme="minorHAnsi"/>
        </w:rPr>
      </w:pPr>
      <w:r w:rsidRPr="00790F71">
        <w:rPr>
          <w:rFonts w:cstheme="minorHAnsi"/>
        </w:rPr>
        <w:t xml:space="preserve">Barrow, C. Westrup, R (2019) </w:t>
      </w:r>
      <w:r w:rsidRPr="00790F71">
        <w:rPr>
          <w:rFonts w:cstheme="minorHAnsi"/>
          <w:i/>
          <w:iCs/>
        </w:rPr>
        <w:t>Writing Skills for Education Students</w:t>
      </w:r>
      <w:r w:rsidRPr="00790F71">
        <w:rPr>
          <w:rFonts w:cstheme="minorHAnsi"/>
        </w:rPr>
        <w:t>. Bloomsbury Academic</w:t>
      </w:r>
    </w:p>
    <w:p w14:paraId="1CC20FFB" w14:textId="77777777" w:rsidR="00D53986" w:rsidRPr="00790F71" w:rsidRDefault="00D53986" w:rsidP="00D53986">
      <w:pPr>
        <w:pStyle w:val="first"/>
        <w:spacing w:line="480" w:lineRule="auto"/>
        <w:rPr>
          <w:rFonts w:asciiTheme="minorHAnsi" w:hAnsiTheme="minorHAnsi" w:cstheme="minorHAnsi"/>
          <w:sz w:val="22"/>
          <w:szCs w:val="22"/>
          <w:lang w:val="en-GB"/>
        </w:rPr>
      </w:pPr>
      <w:r w:rsidRPr="00790F71">
        <w:rPr>
          <w:rFonts w:asciiTheme="minorHAnsi" w:hAnsiTheme="minorHAnsi" w:cstheme="minorHAnsi"/>
          <w:sz w:val="22"/>
          <w:szCs w:val="22"/>
          <w:lang w:val="en-GB"/>
        </w:rPr>
        <w:t>Bates, B (2016a) Learning Theories Simplified. Sage Publications: London.</w:t>
      </w:r>
    </w:p>
    <w:p w14:paraId="5BEBD471" w14:textId="77777777" w:rsidR="00D53986" w:rsidRPr="00790F71" w:rsidRDefault="00D53986" w:rsidP="00D53986">
      <w:pPr>
        <w:pStyle w:val="first"/>
        <w:spacing w:line="480" w:lineRule="auto"/>
        <w:rPr>
          <w:rFonts w:asciiTheme="minorHAnsi" w:hAnsiTheme="minorHAnsi" w:cstheme="minorHAnsi"/>
          <w:sz w:val="22"/>
          <w:szCs w:val="22"/>
          <w:lang w:val="en-GB"/>
        </w:rPr>
      </w:pPr>
      <w:r w:rsidRPr="00790F71">
        <w:rPr>
          <w:rFonts w:asciiTheme="minorHAnsi" w:hAnsiTheme="minorHAnsi" w:cstheme="minorHAnsi"/>
          <w:sz w:val="22"/>
          <w:szCs w:val="22"/>
          <w:lang w:val="en-GB"/>
        </w:rPr>
        <w:t>Bates, B (2016b) Learning Theories Simplified. Sage Publications: London.</w:t>
      </w:r>
    </w:p>
    <w:p w14:paraId="0141DF1A" w14:textId="77777777" w:rsidR="00D53986" w:rsidRPr="00790F71" w:rsidRDefault="00D53986" w:rsidP="00D53986">
      <w:pPr>
        <w:shd w:val="clear" w:color="auto" w:fill="FFFFFF"/>
        <w:spacing w:after="0" w:line="480" w:lineRule="auto"/>
        <w:rPr>
          <w:rFonts w:cstheme="minorHAnsi"/>
          <w:shd w:val="clear" w:color="auto" w:fill="FFFFFF"/>
        </w:rPr>
      </w:pPr>
      <w:r w:rsidRPr="00790F71">
        <w:rPr>
          <w:rFonts w:cstheme="minorHAnsi"/>
          <w:shd w:val="clear" w:color="auto" w:fill="FFFFFF"/>
        </w:rPr>
        <w:t xml:space="preserve">BERA (2024) </w:t>
      </w:r>
      <w:r w:rsidRPr="00790F71">
        <w:rPr>
          <w:rFonts w:cstheme="minorHAnsi"/>
          <w:i/>
          <w:iCs/>
          <w:shd w:val="clear" w:color="auto" w:fill="FFFFFF"/>
        </w:rPr>
        <w:t>Ethical Guidelines for Educational Research, fifth edition</w:t>
      </w:r>
      <w:r w:rsidRPr="00790F71">
        <w:rPr>
          <w:rFonts w:cstheme="minorHAnsi"/>
          <w:shd w:val="clear" w:color="auto" w:fill="FFFFFF"/>
        </w:rPr>
        <w:t>. Available at: https://www.bera.ac.uk/publication/ethical-guidelines-for-educational-research-fifth-edition-2024-online (Accessed: 10</w:t>
      </w:r>
      <w:r w:rsidRPr="00790F71">
        <w:rPr>
          <w:rFonts w:cstheme="minorHAnsi"/>
          <w:shd w:val="clear" w:color="auto" w:fill="FFFFFF"/>
          <w:vertAlign w:val="superscript"/>
        </w:rPr>
        <w:t>th</w:t>
      </w:r>
      <w:r w:rsidRPr="00790F71">
        <w:rPr>
          <w:rFonts w:cstheme="minorHAnsi"/>
          <w:shd w:val="clear" w:color="auto" w:fill="FFFFFF"/>
        </w:rPr>
        <w:t xml:space="preserve"> April 2024). </w:t>
      </w:r>
    </w:p>
    <w:p w14:paraId="57189913" w14:textId="77777777" w:rsidR="00D53986" w:rsidRPr="00790F71" w:rsidRDefault="00D53986" w:rsidP="00D53986">
      <w:pPr>
        <w:shd w:val="clear" w:color="auto" w:fill="FFFFFF"/>
        <w:spacing w:after="0" w:line="480" w:lineRule="auto"/>
        <w:rPr>
          <w:rFonts w:cstheme="minorHAnsi"/>
        </w:rPr>
      </w:pPr>
      <w:r w:rsidRPr="00790F71">
        <w:rPr>
          <w:rFonts w:eastAsia="Times New Roman" w:cstheme="minorHAnsi"/>
          <w:kern w:val="0"/>
          <w:lang w:eastAsia="cy-GB"/>
          <w14:ligatures w14:val="none"/>
        </w:rPr>
        <w:t xml:space="preserve">Biddle SJH, Asare M (2011) ‘Physical activity and mental health in children and adolescents: a review of reviews’, </w:t>
      </w:r>
      <w:r w:rsidRPr="00790F71">
        <w:rPr>
          <w:rFonts w:eastAsia="Times New Roman" w:cstheme="minorHAnsi"/>
          <w:i/>
          <w:iCs/>
          <w:kern w:val="0"/>
          <w:lang w:eastAsia="cy-GB"/>
          <w14:ligatures w14:val="none"/>
        </w:rPr>
        <w:t xml:space="preserve">British Journal of Sports Medicine, </w:t>
      </w:r>
      <w:r w:rsidRPr="00790F71">
        <w:rPr>
          <w:rFonts w:eastAsia="Times New Roman" w:cstheme="minorHAnsi"/>
          <w:kern w:val="0"/>
          <w:lang w:eastAsia="cy-GB"/>
          <w14:ligatures w14:val="none"/>
        </w:rPr>
        <w:t xml:space="preserve">45. Available at: </w:t>
      </w:r>
      <w:r w:rsidRPr="00790F71">
        <w:rPr>
          <w:rFonts w:cstheme="minorHAnsi"/>
        </w:rPr>
        <w:t>https://bjsm.bmj.com/content/45/11/886 (Accessed: 12</w:t>
      </w:r>
      <w:r w:rsidRPr="00790F71">
        <w:rPr>
          <w:rFonts w:cstheme="minorHAnsi"/>
          <w:vertAlign w:val="superscript"/>
        </w:rPr>
        <w:t>th</w:t>
      </w:r>
      <w:r w:rsidRPr="00790F71">
        <w:rPr>
          <w:rFonts w:cstheme="minorHAnsi"/>
        </w:rPr>
        <w:t xml:space="preserve"> May 2024).</w:t>
      </w:r>
    </w:p>
    <w:p w14:paraId="65B54352" w14:textId="77777777" w:rsidR="00D53986" w:rsidRPr="00790F71" w:rsidRDefault="00D53986" w:rsidP="00D53986">
      <w:pPr>
        <w:pStyle w:val="first"/>
        <w:spacing w:line="480" w:lineRule="auto"/>
        <w:rPr>
          <w:rFonts w:asciiTheme="minorHAnsi" w:hAnsiTheme="minorHAnsi" w:cstheme="minorHAnsi"/>
          <w:sz w:val="22"/>
          <w:szCs w:val="22"/>
          <w:lang w:val="en-GB"/>
        </w:rPr>
      </w:pPr>
      <w:r w:rsidRPr="00790F71">
        <w:rPr>
          <w:rFonts w:asciiTheme="minorHAnsi" w:hAnsiTheme="minorHAnsi" w:cstheme="minorHAnsi"/>
          <w:sz w:val="22"/>
          <w:szCs w:val="22"/>
          <w:lang w:val="en-GB"/>
        </w:rPr>
        <w:t xml:space="preserve">BOEJE, H (2002), ‘A Purposeful Approach to the Constant Comparative Method in the Analysis of Qualitative Interviews’, </w:t>
      </w:r>
      <w:r w:rsidRPr="00790F71">
        <w:rPr>
          <w:rFonts w:asciiTheme="minorHAnsi" w:hAnsiTheme="minorHAnsi" w:cstheme="minorHAnsi"/>
          <w:i/>
          <w:iCs/>
          <w:sz w:val="22"/>
          <w:szCs w:val="22"/>
          <w:lang w:val="en-GB"/>
        </w:rPr>
        <w:t>Faculty of Social Sciences</w:t>
      </w:r>
      <w:r w:rsidRPr="00790F71">
        <w:rPr>
          <w:rFonts w:asciiTheme="minorHAnsi" w:hAnsiTheme="minorHAnsi" w:cstheme="minorHAnsi"/>
          <w:sz w:val="22"/>
          <w:szCs w:val="22"/>
          <w:lang w:val="en-GB"/>
        </w:rPr>
        <w:t>, 36. Available at: https://www.semanticscholar.org/paper/A-Purposeful-Approach-to-the-Constant-Comparative-Boeije/2db43b1826a2795a4abfa3afc8802a1cdef76885 (Accessed: 8</w:t>
      </w:r>
      <w:r w:rsidRPr="00790F71">
        <w:rPr>
          <w:rFonts w:asciiTheme="minorHAnsi" w:hAnsiTheme="minorHAnsi" w:cstheme="minorHAnsi"/>
          <w:sz w:val="22"/>
          <w:szCs w:val="22"/>
          <w:vertAlign w:val="superscript"/>
          <w:lang w:val="en-GB"/>
        </w:rPr>
        <w:t>th</w:t>
      </w:r>
      <w:r w:rsidRPr="00790F71">
        <w:rPr>
          <w:rFonts w:asciiTheme="minorHAnsi" w:hAnsiTheme="minorHAnsi" w:cstheme="minorHAnsi"/>
          <w:sz w:val="22"/>
          <w:szCs w:val="22"/>
          <w:lang w:val="en-GB"/>
        </w:rPr>
        <w:t xml:space="preserve"> May 2024). </w:t>
      </w:r>
    </w:p>
    <w:p w14:paraId="75E488C9" w14:textId="77777777" w:rsidR="00D53986" w:rsidRPr="00790F71" w:rsidRDefault="00D53986" w:rsidP="00D53986">
      <w:pPr>
        <w:spacing w:line="480" w:lineRule="auto"/>
        <w:rPr>
          <w:rFonts w:cstheme="minorHAnsi"/>
        </w:rPr>
      </w:pPr>
      <w:r w:rsidRPr="00790F71">
        <w:rPr>
          <w:rFonts w:cstheme="minorHAnsi"/>
        </w:rPr>
        <w:lastRenderedPageBreak/>
        <w:t xml:space="preserve">Campbell, C. Greenwood, M. Prior, S. Shearer, T. </w:t>
      </w:r>
      <w:proofErr w:type="spellStart"/>
      <w:r w:rsidRPr="00790F71">
        <w:rPr>
          <w:rFonts w:cstheme="minorHAnsi"/>
        </w:rPr>
        <w:t>Walkem</w:t>
      </w:r>
      <w:proofErr w:type="spellEnd"/>
      <w:r w:rsidRPr="00790F71">
        <w:rPr>
          <w:rFonts w:cstheme="minorHAnsi"/>
        </w:rPr>
        <w:t xml:space="preserve">, K. Young, S. Bywaters, D and Walker, K. (2020). ‘Purposive sampling: complex or simple? Research case examples’, </w:t>
      </w:r>
      <w:r w:rsidRPr="00790F71">
        <w:rPr>
          <w:rFonts w:cstheme="minorHAnsi"/>
          <w:i/>
          <w:iCs/>
        </w:rPr>
        <w:t xml:space="preserve">Journal of Research in Nursing. </w:t>
      </w:r>
      <w:r w:rsidRPr="00790F71">
        <w:rPr>
          <w:rFonts w:cstheme="minorHAnsi"/>
        </w:rPr>
        <w:t>25(8), pp. 652-661. Available at: https://journals-sagepub-com.ezproxy.uwtsd.ac.uk/doi/epub/10.1177/1744987120927206 (Accessed: 2</w:t>
      </w:r>
      <w:r w:rsidRPr="00790F71">
        <w:rPr>
          <w:rFonts w:cstheme="minorHAnsi"/>
          <w:vertAlign w:val="superscript"/>
        </w:rPr>
        <w:t>nd</w:t>
      </w:r>
      <w:r w:rsidRPr="00790F71">
        <w:rPr>
          <w:rFonts w:cstheme="minorHAnsi"/>
        </w:rPr>
        <w:t xml:space="preserve"> April 2024).</w:t>
      </w:r>
    </w:p>
    <w:p w14:paraId="5B608BB7" w14:textId="77777777" w:rsidR="00D53986" w:rsidRPr="00790F71" w:rsidRDefault="00D53986" w:rsidP="00D53986">
      <w:pPr>
        <w:pStyle w:val="first"/>
        <w:spacing w:line="480" w:lineRule="auto"/>
        <w:rPr>
          <w:rFonts w:asciiTheme="minorHAnsi" w:hAnsiTheme="minorHAnsi" w:cstheme="minorHAnsi"/>
          <w:sz w:val="22"/>
          <w:szCs w:val="22"/>
          <w:lang w:val="en-GB"/>
        </w:rPr>
      </w:pPr>
      <w:r w:rsidRPr="00790F71">
        <w:rPr>
          <w:rFonts w:asciiTheme="minorHAnsi" w:hAnsiTheme="minorHAnsi" w:cstheme="minorHAnsi"/>
          <w:sz w:val="22"/>
          <w:szCs w:val="22"/>
          <w:lang w:val="en-GB"/>
        </w:rPr>
        <w:t xml:space="preserve">Chorlton, R. Williams, C, Denford, S and Bond, B (2022) ‘Incorporating movement breaks into primary school classrooms; a mixed methods approach to explore the perceptions of pupils, staff and governors’, </w:t>
      </w:r>
      <w:r w:rsidRPr="00790F71">
        <w:rPr>
          <w:rFonts w:asciiTheme="minorHAnsi" w:hAnsiTheme="minorHAnsi" w:cstheme="minorHAnsi"/>
          <w:i/>
          <w:iCs/>
          <w:sz w:val="22"/>
          <w:szCs w:val="22"/>
          <w:lang w:val="en-GB"/>
        </w:rPr>
        <w:t>BMC Public Health</w:t>
      </w:r>
      <w:r w:rsidRPr="00790F71">
        <w:rPr>
          <w:rFonts w:asciiTheme="minorHAnsi" w:hAnsiTheme="minorHAnsi" w:cstheme="minorHAnsi"/>
          <w:sz w:val="22"/>
          <w:szCs w:val="22"/>
          <w:lang w:val="en-GB"/>
        </w:rPr>
        <w:t>, 22. Available at: https://pubmed.ncbi.nlm.nih.gov/36434549/ (Accessed: 7</w:t>
      </w:r>
      <w:r w:rsidRPr="00790F71">
        <w:rPr>
          <w:rFonts w:asciiTheme="minorHAnsi" w:hAnsiTheme="minorHAnsi" w:cstheme="minorHAnsi"/>
          <w:sz w:val="22"/>
          <w:szCs w:val="22"/>
          <w:vertAlign w:val="superscript"/>
          <w:lang w:val="en-GB"/>
        </w:rPr>
        <w:t>th</w:t>
      </w:r>
      <w:r w:rsidRPr="00790F71">
        <w:rPr>
          <w:rFonts w:asciiTheme="minorHAnsi" w:hAnsiTheme="minorHAnsi" w:cstheme="minorHAnsi"/>
          <w:sz w:val="22"/>
          <w:szCs w:val="22"/>
          <w:lang w:val="en-GB"/>
        </w:rPr>
        <w:t xml:space="preserve"> May 2024). </w:t>
      </w:r>
    </w:p>
    <w:p w14:paraId="21DCDFB2" w14:textId="77777777" w:rsidR="00D53986" w:rsidRPr="00790F71" w:rsidRDefault="00D53986" w:rsidP="00D53986">
      <w:pPr>
        <w:spacing w:line="480" w:lineRule="auto"/>
        <w:rPr>
          <w:rFonts w:cstheme="minorHAnsi"/>
        </w:rPr>
      </w:pPr>
      <w:bookmarkStart w:id="4" w:name="_Hlk167219872"/>
      <w:r w:rsidRPr="00790F71">
        <w:rPr>
          <w:rFonts w:cstheme="minorHAnsi"/>
        </w:rPr>
        <w:t xml:space="preserve">Christina </w:t>
      </w:r>
      <w:proofErr w:type="spellStart"/>
      <w:r w:rsidRPr="00790F71">
        <w:rPr>
          <w:rFonts w:cstheme="minorHAnsi"/>
        </w:rPr>
        <w:t>MacRae</w:t>
      </w:r>
      <w:proofErr w:type="spellEnd"/>
      <w:r w:rsidRPr="00790F71">
        <w:rPr>
          <w:rFonts w:cstheme="minorHAnsi"/>
        </w:rPr>
        <w:t xml:space="preserve"> &amp; Liz Jones (2023) </w:t>
      </w:r>
      <w:bookmarkEnd w:id="4"/>
      <w:r w:rsidRPr="00790F71">
        <w:rPr>
          <w:rFonts w:cstheme="minorHAnsi"/>
        </w:rPr>
        <w:t xml:space="preserve">‘A philosophical reflection on the “Leuven Scale” and young children’s expressions of involvement’, </w:t>
      </w:r>
      <w:r w:rsidRPr="00790F71">
        <w:rPr>
          <w:rFonts w:cstheme="minorHAnsi"/>
          <w:i/>
          <w:iCs/>
        </w:rPr>
        <w:t>International Journal of Qualitative Studies in Education</w:t>
      </w:r>
      <w:r w:rsidRPr="00790F71">
        <w:rPr>
          <w:rFonts w:cstheme="minorHAnsi"/>
        </w:rPr>
        <w:t>, 36:2, 234-246. Available at:10.1080/09518398.2020.1828650 (Accessed: 25</w:t>
      </w:r>
      <w:r w:rsidRPr="00790F71">
        <w:rPr>
          <w:rFonts w:cstheme="minorHAnsi"/>
          <w:vertAlign w:val="superscript"/>
        </w:rPr>
        <w:t>th</w:t>
      </w:r>
      <w:r w:rsidRPr="00790F71">
        <w:rPr>
          <w:rFonts w:cstheme="minorHAnsi"/>
        </w:rPr>
        <w:t xml:space="preserve"> April 2024).</w:t>
      </w:r>
    </w:p>
    <w:p w14:paraId="317E7EF0" w14:textId="77777777" w:rsidR="00D53986" w:rsidRPr="008B5694" w:rsidRDefault="00D53986" w:rsidP="00D53986">
      <w:pPr>
        <w:spacing w:after="0" w:line="480" w:lineRule="auto"/>
        <w:rPr>
          <w:rFonts w:eastAsia="Times New Roman" w:cstheme="minorHAnsi"/>
          <w:kern w:val="0"/>
          <w:lang w:eastAsia="cy-GB"/>
          <w14:ligatures w14:val="none"/>
        </w:rPr>
      </w:pPr>
      <w:bookmarkStart w:id="5" w:name="_Hlk167219903"/>
      <w:r w:rsidRPr="00790F71">
        <w:rPr>
          <w:rFonts w:cstheme="minorHAnsi"/>
          <w:shd w:val="clear" w:color="auto" w:fill="FFFFFF"/>
        </w:rPr>
        <w:t>Connor Desai, S., &amp; Reimers, S. (2019).</w:t>
      </w:r>
      <w:bookmarkEnd w:id="5"/>
      <w:r w:rsidRPr="00790F71">
        <w:rPr>
          <w:rFonts w:cstheme="minorHAnsi"/>
          <w:shd w:val="clear" w:color="auto" w:fill="FFFFFF"/>
        </w:rPr>
        <w:t xml:space="preserve"> ‘Comparing the use of open and closed questions for Web-based measures of the continued-influence effect’. </w:t>
      </w:r>
      <w:r w:rsidRPr="00790F71">
        <w:rPr>
          <w:rFonts w:cstheme="minorHAnsi"/>
          <w:i/>
          <w:iCs/>
          <w:shd w:val="clear" w:color="auto" w:fill="FFFFFF"/>
        </w:rPr>
        <w:t>Behavior research methods</w:t>
      </w:r>
      <w:r w:rsidRPr="00790F71">
        <w:rPr>
          <w:rFonts w:cstheme="minorHAnsi"/>
          <w:shd w:val="clear" w:color="auto" w:fill="FFFFFF"/>
        </w:rPr>
        <w:t>, </w:t>
      </w:r>
      <w:r w:rsidRPr="00790F71">
        <w:rPr>
          <w:rFonts w:cstheme="minorHAnsi"/>
          <w:i/>
          <w:iCs/>
          <w:shd w:val="clear" w:color="auto" w:fill="FFFFFF"/>
        </w:rPr>
        <w:t>51</w:t>
      </w:r>
      <w:r w:rsidRPr="00790F71">
        <w:rPr>
          <w:rFonts w:cstheme="minorHAnsi"/>
          <w:shd w:val="clear" w:color="auto" w:fill="FFFFFF"/>
        </w:rPr>
        <w:t>(3). Available at: 1426–1440. https://doi.org/10.3758/s13428-018-1066-z (Accessed: 25</w:t>
      </w:r>
      <w:r w:rsidRPr="00790F71">
        <w:rPr>
          <w:rFonts w:cstheme="minorHAnsi"/>
          <w:shd w:val="clear" w:color="auto" w:fill="FFFFFF"/>
          <w:vertAlign w:val="superscript"/>
        </w:rPr>
        <w:t>th</w:t>
      </w:r>
      <w:r w:rsidRPr="00790F71">
        <w:rPr>
          <w:rFonts w:cstheme="minorHAnsi"/>
          <w:shd w:val="clear" w:color="auto" w:fill="FFFFFF"/>
        </w:rPr>
        <w:t xml:space="preserve"> April 2024).</w:t>
      </w:r>
    </w:p>
    <w:p w14:paraId="5CD89DC5" w14:textId="77777777" w:rsidR="00D53986" w:rsidRPr="00790F71" w:rsidRDefault="00D53986" w:rsidP="00D53986">
      <w:pPr>
        <w:spacing w:line="480" w:lineRule="auto"/>
        <w:rPr>
          <w:rFonts w:cstheme="minorHAnsi"/>
          <w:shd w:val="clear" w:color="auto" w:fill="FFFFFF"/>
        </w:rPr>
      </w:pPr>
      <w:r w:rsidRPr="00790F71">
        <w:rPr>
          <w:rFonts w:cstheme="minorHAnsi"/>
          <w:shd w:val="clear" w:color="auto" w:fill="FFFFFF"/>
        </w:rPr>
        <w:t>Creswell J. W. (2014). </w:t>
      </w:r>
      <w:r w:rsidRPr="00790F71">
        <w:rPr>
          <w:rStyle w:val="Pwyslais"/>
          <w:rFonts w:cstheme="minorHAnsi"/>
          <w:shd w:val="clear" w:color="auto" w:fill="FFFFFF"/>
        </w:rPr>
        <w:t>Research design: Qualitative, quantitative, and mixed method approaches</w:t>
      </w:r>
      <w:r w:rsidRPr="00790F71">
        <w:rPr>
          <w:rFonts w:cstheme="minorHAnsi"/>
          <w:shd w:val="clear" w:color="auto" w:fill="FFFFFF"/>
        </w:rPr>
        <w:t> (4th ed.). SAGE Publications.</w:t>
      </w:r>
    </w:p>
    <w:p w14:paraId="7D296D92" w14:textId="77777777" w:rsidR="00D53986" w:rsidRPr="00790F71" w:rsidRDefault="00D53986" w:rsidP="00D53986">
      <w:pPr>
        <w:shd w:val="clear" w:color="auto" w:fill="FFFFFF"/>
        <w:spacing w:line="480" w:lineRule="auto"/>
        <w:rPr>
          <w:rFonts w:cstheme="minorHAnsi"/>
          <w:shd w:val="clear" w:color="auto" w:fill="FFFFFF"/>
        </w:rPr>
      </w:pPr>
      <w:r w:rsidRPr="00790F71">
        <w:rPr>
          <w:rFonts w:cstheme="minorHAnsi"/>
        </w:rPr>
        <w:t xml:space="preserve">Elliott, V. (2018). ‘Thinking about the Coding Process in Qualitative Data Analysis’. </w:t>
      </w:r>
      <w:r w:rsidRPr="00790F71">
        <w:rPr>
          <w:rFonts w:cstheme="minorHAnsi"/>
          <w:i/>
          <w:iCs/>
        </w:rPr>
        <w:t>The Qualitative Report</w:t>
      </w:r>
      <w:r w:rsidRPr="00790F71">
        <w:rPr>
          <w:rFonts w:cstheme="minorHAnsi"/>
        </w:rPr>
        <w:t>, 23(11). Available at: https://doi.org/10.46743/2160-3715/2018.3560 (Accessed: 12</w:t>
      </w:r>
      <w:r w:rsidRPr="00790F71">
        <w:rPr>
          <w:rFonts w:cstheme="minorHAnsi"/>
          <w:vertAlign w:val="superscript"/>
        </w:rPr>
        <w:t>th</w:t>
      </w:r>
      <w:r w:rsidRPr="00790F71">
        <w:rPr>
          <w:rFonts w:cstheme="minorHAnsi"/>
        </w:rPr>
        <w:t xml:space="preserve"> May 2024).</w:t>
      </w:r>
      <w:r w:rsidRPr="00790F71">
        <w:rPr>
          <w:rFonts w:cstheme="minorHAnsi"/>
          <w:shd w:val="clear" w:color="auto" w:fill="FFFFFF"/>
        </w:rPr>
        <w:t xml:space="preserve"> </w:t>
      </w:r>
    </w:p>
    <w:p w14:paraId="395D8688" w14:textId="77777777" w:rsidR="00D53986" w:rsidRPr="00790F71" w:rsidRDefault="00D53986" w:rsidP="00D53986">
      <w:pPr>
        <w:shd w:val="clear" w:color="auto" w:fill="FFFFFF"/>
        <w:spacing w:line="480" w:lineRule="auto"/>
        <w:rPr>
          <w:rFonts w:cstheme="minorHAnsi"/>
          <w:shd w:val="clear" w:color="auto" w:fill="FFFFFF"/>
        </w:rPr>
      </w:pPr>
      <w:r w:rsidRPr="00790F71">
        <w:rPr>
          <w:rFonts w:cstheme="minorHAnsi"/>
          <w:shd w:val="clear" w:color="auto" w:fill="FFFFFF"/>
        </w:rPr>
        <w:t xml:space="preserve">Fazel, M., </w:t>
      </w:r>
      <w:proofErr w:type="spellStart"/>
      <w:r w:rsidRPr="00790F71">
        <w:rPr>
          <w:rFonts w:cstheme="minorHAnsi"/>
          <w:shd w:val="clear" w:color="auto" w:fill="FFFFFF"/>
        </w:rPr>
        <w:t>Hoagwood</w:t>
      </w:r>
      <w:proofErr w:type="spellEnd"/>
      <w:r w:rsidRPr="00790F71">
        <w:rPr>
          <w:rFonts w:cstheme="minorHAnsi"/>
          <w:shd w:val="clear" w:color="auto" w:fill="FFFFFF"/>
        </w:rPr>
        <w:t xml:space="preserve">, K., Stephan, S., &amp; Ford, T. (2014). ‘Mental health interventions in schools 1: Mental health interventions in schools in high-income countries’, </w:t>
      </w:r>
      <w:r w:rsidRPr="00790F71">
        <w:rPr>
          <w:rFonts w:cstheme="minorHAnsi"/>
          <w:i/>
          <w:iCs/>
          <w:shd w:val="clear" w:color="auto" w:fill="FFFFFF"/>
        </w:rPr>
        <w:t>The Lancet. Psychiatry</w:t>
      </w:r>
      <w:r w:rsidRPr="00790F71">
        <w:rPr>
          <w:rFonts w:cstheme="minorHAnsi"/>
          <w:shd w:val="clear" w:color="auto" w:fill="FFFFFF"/>
        </w:rPr>
        <w:t>, 1(5). Available at: http://doi.org/10.1016/S2215-0366(14)70312-8 (Accessed: 13</w:t>
      </w:r>
      <w:r w:rsidRPr="00790F71">
        <w:rPr>
          <w:rFonts w:cstheme="minorHAnsi"/>
          <w:shd w:val="clear" w:color="auto" w:fill="FFFFFF"/>
          <w:vertAlign w:val="superscript"/>
        </w:rPr>
        <w:t>th</w:t>
      </w:r>
      <w:r w:rsidRPr="00790F71">
        <w:rPr>
          <w:rFonts w:cstheme="minorHAnsi"/>
          <w:shd w:val="clear" w:color="auto" w:fill="FFFFFF"/>
        </w:rPr>
        <w:t xml:space="preserve"> April 2024). </w:t>
      </w:r>
    </w:p>
    <w:p w14:paraId="53FED90F" w14:textId="77777777" w:rsidR="00D53986" w:rsidRPr="00790F71" w:rsidRDefault="00D53986" w:rsidP="00D53986">
      <w:pPr>
        <w:pStyle w:val="nova-legacy-e-listitem"/>
        <w:shd w:val="clear" w:color="auto" w:fill="FFFFFF"/>
        <w:spacing w:line="480" w:lineRule="auto"/>
        <w:rPr>
          <w:rFonts w:asciiTheme="minorHAnsi" w:hAnsiTheme="minorHAnsi" w:cstheme="minorHAnsi"/>
          <w:sz w:val="22"/>
          <w:szCs w:val="22"/>
          <w:lang w:val="en-GB"/>
        </w:rPr>
      </w:pPr>
      <w:r w:rsidRPr="00790F71">
        <w:rPr>
          <w:rFonts w:asciiTheme="minorHAnsi" w:hAnsiTheme="minorHAnsi" w:cstheme="minorHAnsi"/>
          <w:sz w:val="22"/>
          <w:szCs w:val="22"/>
          <w:lang w:val="en-GB"/>
        </w:rPr>
        <w:t xml:space="preserve">Hancock, D and Algozine, R (2021) </w:t>
      </w:r>
      <w:r w:rsidRPr="00790F71">
        <w:rPr>
          <w:rFonts w:asciiTheme="minorHAnsi" w:hAnsiTheme="minorHAnsi" w:cstheme="minorHAnsi"/>
          <w:i/>
          <w:iCs/>
          <w:sz w:val="22"/>
          <w:szCs w:val="22"/>
          <w:lang w:val="en-GB"/>
        </w:rPr>
        <w:t>Doing Case Study Research: A Practical Guide for Beginning Researchers</w:t>
      </w:r>
      <w:r w:rsidRPr="00790F71">
        <w:rPr>
          <w:rFonts w:asciiTheme="minorHAnsi" w:hAnsiTheme="minorHAnsi" w:cstheme="minorHAnsi"/>
          <w:sz w:val="22"/>
          <w:szCs w:val="22"/>
          <w:lang w:val="en-GB"/>
        </w:rPr>
        <w:t>, Teachers College Press.</w:t>
      </w:r>
    </w:p>
    <w:p w14:paraId="72DA037D" w14:textId="77777777" w:rsidR="00D53986" w:rsidRPr="00790F71" w:rsidRDefault="00D53986" w:rsidP="00D53986">
      <w:pPr>
        <w:shd w:val="clear" w:color="auto" w:fill="FFFFFF"/>
        <w:spacing w:line="480" w:lineRule="auto"/>
        <w:rPr>
          <w:rFonts w:eastAsia="Times New Roman" w:cstheme="minorHAnsi"/>
          <w:kern w:val="0"/>
          <w:lang w:eastAsia="cy-GB"/>
          <w14:ligatures w14:val="none"/>
        </w:rPr>
      </w:pPr>
      <w:r w:rsidRPr="00790F71">
        <w:rPr>
          <w:rFonts w:eastAsia="Times New Roman" w:cstheme="minorHAnsi"/>
          <w:kern w:val="0"/>
          <w:lang w:eastAsia="cy-GB"/>
          <w14:ligatures w14:val="none"/>
        </w:rPr>
        <w:lastRenderedPageBreak/>
        <w:t xml:space="preserve">Harvard (2023) </w:t>
      </w:r>
      <w:r w:rsidRPr="00790F71">
        <w:rPr>
          <w:rFonts w:eastAsia="Times New Roman" w:cstheme="minorHAnsi"/>
          <w:i/>
          <w:iCs/>
          <w:kern w:val="0"/>
          <w:lang w:eastAsia="cy-GB"/>
          <w14:ligatures w14:val="none"/>
        </w:rPr>
        <w:t>Prevention Research Center on Nutrition and Physical Activity</w:t>
      </w:r>
      <w:r w:rsidRPr="00790F71">
        <w:rPr>
          <w:rFonts w:eastAsia="Times New Roman" w:cstheme="minorHAnsi"/>
          <w:kern w:val="0"/>
          <w:lang w:eastAsia="cy-GB"/>
          <w14:ligatures w14:val="none"/>
        </w:rPr>
        <w:t>. Available at: https://www.hsph.harvard.edu/prc/priority-areas/physical-activity/movement-breaks-fact-sheet/ (Accessed: 19th May 2024).</w:t>
      </w:r>
    </w:p>
    <w:p w14:paraId="30C4D9F5" w14:textId="77777777" w:rsidR="00D53986" w:rsidRPr="00790F71" w:rsidRDefault="00D53986" w:rsidP="00D53986">
      <w:pPr>
        <w:spacing w:after="0" w:line="480" w:lineRule="auto"/>
        <w:rPr>
          <w:rFonts w:eastAsia="Times New Roman" w:cstheme="minorHAnsi"/>
          <w:kern w:val="0"/>
          <w:lang w:eastAsia="cy-GB"/>
          <w14:ligatures w14:val="none"/>
        </w:rPr>
      </w:pPr>
      <w:r w:rsidRPr="00790F71">
        <w:rPr>
          <w:rFonts w:eastAsia="Times New Roman" w:cstheme="minorHAnsi"/>
          <w:kern w:val="0"/>
          <w:lang w:eastAsia="cy-GB"/>
          <w14:ligatures w14:val="none"/>
        </w:rPr>
        <w:t xml:space="preserve">Lambert, M. (2019) </w:t>
      </w:r>
      <w:r w:rsidRPr="00790F71">
        <w:rPr>
          <w:rFonts w:eastAsia="Times New Roman" w:cstheme="minorHAnsi"/>
          <w:i/>
          <w:iCs/>
          <w:kern w:val="0"/>
          <w:lang w:eastAsia="cy-GB"/>
          <w14:ligatures w14:val="none"/>
        </w:rPr>
        <w:t>Practical research methods in education: an early researcher’s critical guide</w:t>
      </w:r>
      <w:r w:rsidRPr="00790F71">
        <w:rPr>
          <w:rFonts w:eastAsia="Times New Roman" w:cstheme="minorHAnsi"/>
          <w:kern w:val="0"/>
          <w:lang w:eastAsia="cy-GB"/>
          <w14:ligatures w14:val="none"/>
        </w:rPr>
        <w:t>. Routledge: Abingdon.</w:t>
      </w:r>
    </w:p>
    <w:p w14:paraId="0AEA561D" w14:textId="77777777" w:rsidR="00D53986" w:rsidRPr="00790F71" w:rsidRDefault="00D53986" w:rsidP="00D53986">
      <w:pPr>
        <w:spacing w:after="0" w:line="480" w:lineRule="auto"/>
        <w:rPr>
          <w:rFonts w:eastAsia="Times New Roman" w:cstheme="minorHAnsi"/>
          <w:kern w:val="0"/>
          <w:lang w:eastAsia="cy-GB"/>
          <w14:ligatures w14:val="none"/>
        </w:rPr>
      </w:pPr>
    </w:p>
    <w:p w14:paraId="5AF63C4C" w14:textId="77777777" w:rsidR="00D53986" w:rsidRPr="00790F71" w:rsidRDefault="00D53986" w:rsidP="00D53986">
      <w:pPr>
        <w:spacing w:line="480" w:lineRule="auto"/>
        <w:rPr>
          <w:rFonts w:cstheme="minorHAnsi"/>
        </w:rPr>
      </w:pPr>
      <w:r w:rsidRPr="00790F71">
        <w:rPr>
          <w:rFonts w:cstheme="minorHAnsi"/>
        </w:rPr>
        <w:t xml:space="preserve">Learning Journals (2014) </w:t>
      </w:r>
      <w:r w:rsidRPr="00790F71">
        <w:rPr>
          <w:rFonts w:cstheme="minorHAnsi"/>
          <w:i/>
          <w:iCs/>
        </w:rPr>
        <w:t>What Is the Leuven Scale and How to Use It</w:t>
      </w:r>
      <w:r w:rsidRPr="00790F71">
        <w:rPr>
          <w:rFonts w:cstheme="minorHAnsi"/>
        </w:rPr>
        <w:t>. Available at: https://learningjournals.co.uk/what-is-the-leuven-scale-and-how-to-use-it/ (Accessed: 9</w:t>
      </w:r>
      <w:r w:rsidRPr="00790F71">
        <w:rPr>
          <w:rFonts w:cstheme="minorHAnsi"/>
          <w:vertAlign w:val="superscript"/>
        </w:rPr>
        <w:t>th</w:t>
      </w:r>
      <w:r w:rsidRPr="00790F71">
        <w:rPr>
          <w:rFonts w:cstheme="minorHAnsi"/>
        </w:rPr>
        <w:t xml:space="preserve"> May 2024).</w:t>
      </w:r>
    </w:p>
    <w:p w14:paraId="33741E6E" w14:textId="77777777" w:rsidR="00D53986" w:rsidRPr="00790F71" w:rsidRDefault="00D53986" w:rsidP="00D53986">
      <w:pPr>
        <w:shd w:val="clear" w:color="auto" w:fill="FFFFFF"/>
        <w:spacing w:line="480" w:lineRule="auto"/>
        <w:rPr>
          <w:rFonts w:cstheme="minorHAnsi"/>
          <w:shd w:val="clear" w:color="auto" w:fill="FFFFFF"/>
        </w:rPr>
      </w:pPr>
      <w:r w:rsidRPr="00790F71">
        <w:rPr>
          <w:rFonts w:cstheme="minorHAnsi"/>
          <w:shd w:val="clear" w:color="auto" w:fill="FFFFFF"/>
        </w:rPr>
        <w:t xml:space="preserve">Louis, C. Manion, L and Morrison, K (2018) </w:t>
      </w:r>
      <w:r w:rsidRPr="00790F71">
        <w:rPr>
          <w:rFonts w:cstheme="minorHAnsi"/>
          <w:i/>
          <w:iCs/>
          <w:shd w:val="clear" w:color="auto" w:fill="FFFFFF"/>
        </w:rPr>
        <w:t>Research Methods in Education</w:t>
      </w:r>
      <w:r w:rsidRPr="00790F71">
        <w:rPr>
          <w:rFonts w:cstheme="minorHAnsi"/>
          <w:shd w:val="clear" w:color="auto" w:fill="FFFFFF"/>
        </w:rPr>
        <w:t xml:space="preserve">. Taylor and Francis. </w:t>
      </w:r>
    </w:p>
    <w:p w14:paraId="08C02E3E" w14:textId="77777777" w:rsidR="00D53986" w:rsidRPr="00790F71" w:rsidRDefault="00D53986" w:rsidP="00D53986">
      <w:pPr>
        <w:pStyle w:val="nova-legacy-e-listitem"/>
        <w:shd w:val="clear" w:color="auto" w:fill="FFFFFF"/>
        <w:spacing w:line="480" w:lineRule="auto"/>
        <w:rPr>
          <w:rFonts w:asciiTheme="minorHAnsi" w:hAnsiTheme="minorHAnsi" w:cstheme="minorHAnsi"/>
          <w:sz w:val="22"/>
          <w:szCs w:val="22"/>
          <w:lang w:val="en-GB"/>
        </w:rPr>
      </w:pPr>
      <w:r w:rsidRPr="00790F71">
        <w:rPr>
          <w:rFonts w:asciiTheme="minorHAnsi" w:hAnsiTheme="minorHAnsi" w:cstheme="minorHAnsi"/>
          <w:sz w:val="22"/>
          <w:szCs w:val="22"/>
          <w:lang w:val="en-GB"/>
        </w:rPr>
        <w:t xml:space="preserve">Mahar, M. Golden, J. Rowe, D and Raedeke, T (2007) ‘Effects of a Classroom-Based Program on Physical Activity and On-Task Behavior’, </w:t>
      </w:r>
      <w:r w:rsidRPr="00790F71">
        <w:rPr>
          <w:rFonts w:asciiTheme="minorHAnsi" w:hAnsiTheme="minorHAnsi" w:cstheme="minorHAnsi"/>
          <w:i/>
          <w:iCs/>
          <w:sz w:val="22"/>
          <w:szCs w:val="22"/>
          <w:lang w:val="en-GB"/>
        </w:rPr>
        <w:t>Medicine and Science in Sports and Exercise,</w:t>
      </w:r>
      <w:r w:rsidRPr="00790F71">
        <w:rPr>
          <w:rFonts w:asciiTheme="minorHAnsi" w:hAnsiTheme="minorHAnsi" w:cstheme="minorHAnsi"/>
          <w:sz w:val="22"/>
          <w:szCs w:val="22"/>
          <w:lang w:val="en-GB"/>
        </w:rPr>
        <w:t xml:space="preserve"> 38(12). Available at: 10.1249/01.mss.0000235359. 16685.a3. (Accessed: 2</w:t>
      </w:r>
      <w:r w:rsidRPr="00790F71">
        <w:rPr>
          <w:rFonts w:asciiTheme="minorHAnsi" w:hAnsiTheme="minorHAnsi" w:cstheme="minorHAnsi"/>
          <w:sz w:val="22"/>
          <w:szCs w:val="22"/>
          <w:vertAlign w:val="superscript"/>
          <w:lang w:val="en-GB"/>
        </w:rPr>
        <w:t>nd</w:t>
      </w:r>
      <w:r w:rsidRPr="00790F71">
        <w:rPr>
          <w:rFonts w:asciiTheme="minorHAnsi" w:hAnsiTheme="minorHAnsi" w:cstheme="minorHAnsi"/>
          <w:sz w:val="22"/>
          <w:szCs w:val="22"/>
          <w:lang w:val="en-GB"/>
        </w:rPr>
        <w:t xml:space="preserve"> May 2024).</w:t>
      </w:r>
    </w:p>
    <w:p w14:paraId="4FBAB08D" w14:textId="77777777" w:rsidR="00D53986" w:rsidRPr="00790F71" w:rsidRDefault="00D53986" w:rsidP="00D53986">
      <w:pPr>
        <w:pStyle w:val="first"/>
        <w:spacing w:line="480" w:lineRule="auto"/>
        <w:rPr>
          <w:rFonts w:asciiTheme="minorHAnsi" w:hAnsiTheme="minorHAnsi" w:cstheme="minorHAnsi"/>
          <w:sz w:val="22"/>
          <w:szCs w:val="22"/>
          <w:shd w:val="clear" w:color="auto" w:fill="FFFFFF"/>
          <w:lang w:val="en-GB"/>
        </w:rPr>
      </w:pPr>
      <w:r w:rsidRPr="00790F71">
        <w:rPr>
          <w:rFonts w:asciiTheme="minorHAnsi" w:hAnsiTheme="minorHAnsi" w:cstheme="minorHAnsi"/>
          <w:sz w:val="22"/>
          <w:szCs w:val="22"/>
          <w:shd w:val="clear" w:color="auto" w:fill="FFFFFF"/>
          <w:lang w:val="en-GB"/>
        </w:rPr>
        <w:t>Miller, T.</w:t>
      </w:r>
      <w:r w:rsidRPr="00790F71">
        <w:rPr>
          <w:rFonts w:asciiTheme="minorHAnsi" w:hAnsiTheme="minorHAnsi" w:cstheme="minorHAnsi"/>
          <w:sz w:val="22"/>
          <w:szCs w:val="22"/>
          <w:lang w:val="en-GB"/>
        </w:rPr>
        <w:t xml:space="preserve"> Birch, M, Mauthner, M and Jessop, J</w:t>
      </w:r>
      <w:r w:rsidRPr="00790F71">
        <w:rPr>
          <w:rFonts w:asciiTheme="minorHAnsi" w:hAnsiTheme="minorHAnsi" w:cstheme="minorHAnsi"/>
          <w:sz w:val="22"/>
          <w:szCs w:val="22"/>
          <w:shd w:val="clear" w:color="auto" w:fill="FFFFFF"/>
          <w:lang w:val="en-GB"/>
        </w:rPr>
        <w:t xml:space="preserve"> (2012) </w:t>
      </w:r>
      <w:r w:rsidRPr="00790F71">
        <w:rPr>
          <w:rFonts w:asciiTheme="minorHAnsi" w:hAnsiTheme="minorHAnsi" w:cstheme="minorHAnsi"/>
          <w:i/>
          <w:iCs/>
          <w:sz w:val="22"/>
          <w:szCs w:val="22"/>
          <w:shd w:val="clear" w:color="auto" w:fill="FFFFFF"/>
          <w:lang w:val="en-GB"/>
        </w:rPr>
        <w:t>Ethics in qualitative research</w:t>
      </w:r>
      <w:r w:rsidRPr="00790F71">
        <w:rPr>
          <w:rFonts w:asciiTheme="minorHAnsi" w:hAnsiTheme="minorHAnsi" w:cstheme="minorHAnsi"/>
          <w:sz w:val="22"/>
          <w:szCs w:val="22"/>
          <w:shd w:val="clear" w:color="auto" w:fill="FFFFFF"/>
          <w:lang w:val="en-GB"/>
        </w:rPr>
        <w:t>. 2nd ed. London: SAGE.</w:t>
      </w:r>
    </w:p>
    <w:p w14:paraId="4813FB9F" w14:textId="77777777" w:rsidR="00D53986" w:rsidRPr="00790F71" w:rsidRDefault="00D53986" w:rsidP="00D53986">
      <w:pPr>
        <w:shd w:val="clear" w:color="auto" w:fill="FFFFFF"/>
        <w:spacing w:line="480" w:lineRule="auto"/>
        <w:rPr>
          <w:rFonts w:eastAsia="Times New Roman" w:cstheme="minorHAnsi"/>
          <w:kern w:val="0"/>
          <w:lang w:eastAsia="cy-GB"/>
          <w14:ligatures w14:val="none"/>
        </w:rPr>
      </w:pPr>
      <w:r w:rsidRPr="00790F71">
        <w:rPr>
          <w:rFonts w:cstheme="minorHAnsi"/>
        </w:rPr>
        <w:t xml:space="preserve">Minero, E. (2015) </w:t>
      </w:r>
      <w:r w:rsidRPr="00790F71">
        <w:rPr>
          <w:rFonts w:cstheme="minorHAnsi"/>
          <w:i/>
          <w:iCs/>
        </w:rPr>
        <w:t>Flexible Seating Elevates Student Engagement</w:t>
      </w:r>
      <w:r w:rsidRPr="00790F71">
        <w:rPr>
          <w:rFonts w:cstheme="minorHAnsi"/>
        </w:rPr>
        <w:t xml:space="preserve">. Available at: </w:t>
      </w:r>
      <w:r w:rsidRPr="00790F71">
        <w:rPr>
          <w:rFonts w:eastAsia="Times New Roman" w:cstheme="minorHAnsi"/>
          <w:kern w:val="0"/>
          <w:lang w:eastAsia="cy-GB"/>
          <w14:ligatures w14:val="none"/>
        </w:rPr>
        <w:t>https://www.edutopia.org/practice/flexible-classrooms-providing-learning-environment-kids-need (Accessed: 18th May 2024)</w:t>
      </w:r>
    </w:p>
    <w:p w14:paraId="41A8D9E7" w14:textId="77777777" w:rsidR="00D53986" w:rsidRPr="00790F71" w:rsidRDefault="00D53986" w:rsidP="00D53986">
      <w:pPr>
        <w:pStyle w:val="first"/>
        <w:spacing w:line="480" w:lineRule="auto"/>
        <w:rPr>
          <w:rFonts w:asciiTheme="minorHAnsi" w:hAnsiTheme="minorHAnsi" w:cstheme="minorHAnsi"/>
          <w:sz w:val="22"/>
          <w:szCs w:val="22"/>
          <w:lang w:val="en-GB"/>
        </w:rPr>
      </w:pPr>
      <w:r w:rsidRPr="00790F71">
        <w:rPr>
          <w:rFonts w:asciiTheme="minorHAnsi" w:hAnsiTheme="minorHAnsi" w:cstheme="minorHAnsi"/>
          <w:sz w:val="22"/>
          <w:szCs w:val="22"/>
          <w:lang w:val="en-GB"/>
        </w:rPr>
        <w:t xml:space="preserve">Morin, A (2024) </w:t>
      </w:r>
      <w:r w:rsidRPr="00790F71">
        <w:rPr>
          <w:rFonts w:asciiTheme="minorHAnsi" w:hAnsiTheme="minorHAnsi" w:cstheme="minorHAnsi"/>
          <w:i/>
          <w:iCs/>
          <w:sz w:val="22"/>
          <w:szCs w:val="22"/>
          <w:lang w:val="en-GB"/>
        </w:rPr>
        <w:t>Brain breaks: An evidence-based behavior strategy</w:t>
      </w:r>
      <w:r w:rsidRPr="00790F71">
        <w:rPr>
          <w:rFonts w:asciiTheme="minorHAnsi" w:hAnsiTheme="minorHAnsi" w:cstheme="minorHAnsi"/>
          <w:sz w:val="22"/>
          <w:szCs w:val="22"/>
          <w:lang w:val="en-GB"/>
        </w:rPr>
        <w:t>. Available at: https://www.understood.org/en/articles/evidence-based-behavior-strategy-brain-breaks#Research_behind_this_strategy (Accessed: 19</w:t>
      </w:r>
      <w:r w:rsidRPr="00790F71">
        <w:rPr>
          <w:rFonts w:asciiTheme="minorHAnsi" w:hAnsiTheme="minorHAnsi" w:cstheme="minorHAnsi"/>
          <w:sz w:val="22"/>
          <w:szCs w:val="22"/>
          <w:vertAlign w:val="superscript"/>
          <w:lang w:val="en-GB"/>
        </w:rPr>
        <w:t>th</w:t>
      </w:r>
      <w:r w:rsidRPr="00790F71">
        <w:rPr>
          <w:rFonts w:asciiTheme="minorHAnsi" w:hAnsiTheme="minorHAnsi" w:cstheme="minorHAnsi"/>
          <w:sz w:val="22"/>
          <w:szCs w:val="22"/>
          <w:lang w:val="en-GB"/>
        </w:rPr>
        <w:t xml:space="preserve"> May 2024). </w:t>
      </w:r>
    </w:p>
    <w:p w14:paraId="05BC5647" w14:textId="77777777" w:rsidR="00D53986" w:rsidRPr="00790F71" w:rsidRDefault="00D53986" w:rsidP="00D53986">
      <w:pPr>
        <w:shd w:val="clear" w:color="auto" w:fill="FFFFFF"/>
        <w:spacing w:after="0" w:line="480" w:lineRule="auto"/>
        <w:rPr>
          <w:rFonts w:cstheme="minorHAnsi"/>
          <w:shd w:val="clear" w:color="auto" w:fill="FFFFFF"/>
        </w:rPr>
      </w:pPr>
      <w:r w:rsidRPr="00790F71">
        <w:rPr>
          <w:rFonts w:cstheme="minorHAnsi"/>
          <w:shd w:val="clear" w:color="auto" w:fill="FFFFFF"/>
        </w:rPr>
        <w:t xml:space="preserve">Morrell, P. D., and Carroll, J. B. (2010). </w:t>
      </w:r>
      <w:r w:rsidRPr="00790F71">
        <w:rPr>
          <w:rFonts w:cstheme="minorHAnsi"/>
          <w:i/>
          <w:iCs/>
          <w:shd w:val="clear" w:color="auto" w:fill="FFFFFF"/>
        </w:rPr>
        <w:t>Analysing Data: Qualitative Methodologies</w:t>
      </w:r>
      <w:r w:rsidRPr="00790F71">
        <w:rPr>
          <w:rFonts w:cstheme="minorHAnsi"/>
          <w:shd w:val="clear" w:color="auto" w:fill="FFFFFF"/>
        </w:rPr>
        <w:t xml:space="preserve"> </w:t>
      </w:r>
      <w:proofErr w:type="gramStart"/>
      <w:r w:rsidRPr="00790F71">
        <w:rPr>
          <w:rFonts w:cstheme="minorHAnsi"/>
          <w:shd w:val="clear" w:color="auto" w:fill="FFFFFF"/>
        </w:rPr>
        <w:t>In</w:t>
      </w:r>
      <w:proofErr w:type="gramEnd"/>
      <w:r w:rsidRPr="00790F71">
        <w:rPr>
          <w:rFonts w:cstheme="minorHAnsi"/>
          <w:shd w:val="clear" w:color="auto" w:fill="FFFFFF"/>
        </w:rPr>
        <w:t> </w:t>
      </w:r>
      <w:r w:rsidRPr="00790F71">
        <w:rPr>
          <w:rStyle w:val="Pwyslais"/>
          <w:rFonts w:cstheme="minorHAnsi"/>
          <w:shd w:val="clear" w:color="auto" w:fill="FFFFFF"/>
        </w:rPr>
        <w:t>Conducting Educational Research</w:t>
      </w:r>
      <w:r w:rsidRPr="00790F71">
        <w:rPr>
          <w:rFonts w:cstheme="minorHAnsi"/>
          <w:i/>
          <w:iCs/>
          <w:shd w:val="clear" w:color="auto" w:fill="FFFFFF"/>
        </w:rPr>
        <w:t>,</w:t>
      </w:r>
      <w:r w:rsidRPr="00790F71">
        <w:rPr>
          <w:rFonts w:cstheme="minorHAnsi"/>
          <w:shd w:val="clear" w:color="auto" w:fill="FFFFFF"/>
        </w:rPr>
        <w:t xml:space="preserve"> Leiden, The Netherlands: Brill. </w:t>
      </w:r>
    </w:p>
    <w:p w14:paraId="25468FBA" w14:textId="77777777" w:rsidR="00D53986" w:rsidRPr="00790F71" w:rsidRDefault="00D53986" w:rsidP="00D53986">
      <w:pPr>
        <w:spacing w:after="0" w:line="480" w:lineRule="auto"/>
        <w:rPr>
          <w:rFonts w:eastAsia="Times New Roman" w:cstheme="minorHAnsi"/>
          <w:kern w:val="0"/>
          <w:lang w:eastAsia="cy-GB"/>
          <w14:ligatures w14:val="none"/>
        </w:rPr>
      </w:pPr>
      <w:r w:rsidRPr="008D7958">
        <w:rPr>
          <w:rFonts w:eastAsia="Times New Roman" w:cstheme="minorHAnsi"/>
          <w:kern w:val="0"/>
          <w:lang w:eastAsia="cy-GB"/>
          <w14:ligatures w14:val="none"/>
        </w:rPr>
        <w:lastRenderedPageBreak/>
        <w:t xml:space="preserve">Mukherji, P. and Albon, D. (2015) </w:t>
      </w:r>
      <w:r w:rsidRPr="008D7958">
        <w:rPr>
          <w:rFonts w:eastAsia="Times New Roman" w:cstheme="minorHAnsi"/>
          <w:i/>
          <w:iCs/>
          <w:kern w:val="0"/>
          <w:lang w:eastAsia="cy-GB"/>
          <w14:ligatures w14:val="none"/>
        </w:rPr>
        <w:t>Research methods in early childhood: an introductory guide</w:t>
      </w:r>
      <w:r w:rsidRPr="008D7958">
        <w:rPr>
          <w:rFonts w:eastAsia="Times New Roman" w:cstheme="minorHAnsi"/>
          <w:kern w:val="0"/>
          <w:lang w:eastAsia="cy-GB"/>
          <w14:ligatures w14:val="none"/>
        </w:rPr>
        <w:t>. 2nd edition. London; SAGE Publications.</w:t>
      </w:r>
    </w:p>
    <w:p w14:paraId="1F049350" w14:textId="77777777" w:rsidR="00D53986" w:rsidRPr="008D7958" w:rsidRDefault="00D53986" w:rsidP="00D53986">
      <w:pPr>
        <w:spacing w:after="0" w:line="480" w:lineRule="auto"/>
        <w:rPr>
          <w:rFonts w:eastAsia="Times New Roman" w:cstheme="minorHAnsi"/>
          <w:kern w:val="0"/>
          <w:lang w:eastAsia="cy-GB"/>
          <w14:ligatures w14:val="none"/>
        </w:rPr>
      </w:pPr>
    </w:p>
    <w:p w14:paraId="0D941525" w14:textId="77777777" w:rsidR="00D53986" w:rsidRPr="00790F71" w:rsidRDefault="00D53986" w:rsidP="00D53986">
      <w:pPr>
        <w:shd w:val="clear" w:color="auto" w:fill="FFFFFF"/>
        <w:spacing w:after="0" w:line="480" w:lineRule="auto"/>
        <w:rPr>
          <w:rFonts w:cstheme="minorHAnsi"/>
          <w:shd w:val="clear" w:color="auto" w:fill="FFFFFF"/>
        </w:rPr>
      </w:pPr>
      <w:r w:rsidRPr="00790F71">
        <w:rPr>
          <w:rFonts w:cstheme="minorHAnsi"/>
          <w:shd w:val="clear" w:color="auto" w:fill="FFFFFF"/>
        </w:rPr>
        <w:t xml:space="preserve">NHS (2021) </w:t>
      </w:r>
      <w:r w:rsidRPr="00790F71">
        <w:rPr>
          <w:rFonts w:cstheme="minorHAnsi"/>
          <w:i/>
          <w:iCs/>
          <w:shd w:val="clear" w:color="auto" w:fill="FFFFFF"/>
        </w:rPr>
        <w:t>A guide for parents and teachers, Movement Breaks</w:t>
      </w:r>
      <w:r w:rsidRPr="00790F71">
        <w:rPr>
          <w:rFonts w:cstheme="minorHAnsi"/>
          <w:shd w:val="clear" w:color="auto" w:fill="FFFFFF"/>
        </w:rPr>
        <w:t>. Available at: https://www.cambscommunityservices.nhs.uk/docs/default-source/Beds---OT/0736---movement-breaks.pdf?sfvrsn=4 (Accessed: 10</w:t>
      </w:r>
      <w:r w:rsidRPr="00790F71">
        <w:rPr>
          <w:rFonts w:cstheme="minorHAnsi"/>
          <w:shd w:val="clear" w:color="auto" w:fill="FFFFFF"/>
          <w:vertAlign w:val="superscript"/>
        </w:rPr>
        <w:t>th</w:t>
      </w:r>
      <w:r w:rsidRPr="00790F71">
        <w:rPr>
          <w:rFonts w:cstheme="minorHAnsi"/>
          <w:shd w:val="clear" w:color="auto" w:fill="FFFFFF"/>
        </w:rPr>
        <w:t xml:space="preserve"> April 2024). </w:t>
      </w:r>
    </w:p>
    <w:p w14:paraId="04FBDEF2" w14:textId="77777777" w:rsidR="00D53986" w:rsidRPr="00790F71" w:rsidRDefault="00D53986" w:rsidP="00D53986">
      <w:pPr>
        <w:shd w:val="clear" w:color="auto" w:fill="FFFFFF"/>
        <w:spacing w:after="0" w:line="480" w:lineRule="auto"/>
        <w:rPr>
          <w:rFonts w:cstheme="minorHAnsi"/>
          <w:shd w:val="clear" w:color="auto" w:fill="FFFFFF"/>
        </w:rPr>
      </w:pPr>
    </w:p>
    <w:p w14:paraId="4DA4ADB9" w14:textId="77777777" w:rsidR="00D53986" w:rsidRPr="00790F71" w:rsidRDefault="00D53986" w:rsidP="00D53986">
      <w:pPr>
        <w:spacing w:line="480" w:lineRule="auto"/>
        <w:rPr>
          <w:rFonts w:cstheme="minorHAnsi"/>
        </w:rPr>
      </w:pPr>
      <w:r w:rsidRPr="00790F71">
        <w:rPr>
          <w:rFonts w:cstheme="minorHAnsi"/>
        </w:rPr>
        <w:t xml:space="preserve">NSPCC (2024) </w:t>
      </w:r>
      <w:r w:rsidRPr="00790F71">
        <w:rPr>
          <w:rFonts w:cstheme="minorHAnsi"/>
          <w:i/>
          <w:iCs/>
        </w:rPr>
        <w:t>Research with children: ethics, safety and promoting inclusion</w:t>
      </w:r>
      <w:r w:rsidRPr="00790F71">
        <w:rPr>
          <w:rFonts w:cstheme="minorHAnsi"/>
        </w:rPr>
        <w:t>. Available at: https://learning.nspcc.org.uk/research-resources/briefings/research-with-children-ethics-safety-promoting-inclusion (Accessed: 8</w:t>
      </w:r>
      <w:r w:rsidRPr="00790F71">
        <w:rPr>
          <w:rFonts w:cstheme="minorHAnsi"/>
          <w:vertAlign w:val="superscript"/>
        </w:rPr>
        <w:t>th</w:t>
      </w:r>
      <w:r w:rsidRPr="00790F71">
        <w:rPr>
          <w:rFonts w:cstheme="minorHAnsi"/>
        </w:rPr>
        <w:t xml:space="preserve"> May 2024). </w:t>
      </w:r>
    </w:p>
    <w:p w14:paraId="41A97ACF" w14:textId="77777777" w:rsidR="00D53986" w:rsidRPr="00790F71" w:rsidRDefault="00D53986" w:rsidP="00D53986">
      <w:pPr>
        <w:shd w:val="clear" w:color="auto" w:fill="FFFFFF"/>
        <w:spacing w:line="480" w:lineRule="auto"/>
        <w:rPr>
          <w:rFonts w:cstheme="minorHAnsi"/>
          <w:shd w:val="clear" w:color="auto" w:fill="FFFFFF"/>
        </w:rPr>
      </w:pPr>
      <w:r w:rsidRPr="00790F71">
        <w:rPr>
          <w:rFonts w:cstheme="minorHAnsi"/>
          <w:shd w:val="clear" w:color="auto" w:fill="FFFFFF"/>
        </w:rPr>
        <w:t>Patton M. Q. (2015). </w:t>
      </w:r>
      <w:r w:rsidRPr="00790F71">
        <w:rPr>
          <w:rStyle w:val="Pwyslais"/>
          <w:rFonts w:cstheme="minorHAnsi"/>
          <w:shd w:val="clear" w:color="auto" w:fill="FFFFFF"/>
        </w:rPr>
        <w:t>Qualitative research &amp; evaluation methods</w:t>
      </w:r>
      <w:r w:rsidRPr="00790F71">
        <w:rPr>
          <w:rFonts w:cstheme="minorHAnsi"/>
          <w:shd w:val="clear" w:color="auto" w:fill="FFFFFF"/>
        </w:rPr>
        <w:t> (4th ed.). Thousand Oaks, CA: Sage.</w:t>
      </w:r>
    </w:p>
    <w:p w14:paraId="1DD9208E" w14:textId="77777777" w:rsidR="00D53986" w:rsidRPr="00790F71" w:rsidRDefault="00D53986" w:rsidP="00D53986">
      <w:pPr>
        <w:pStyle w:val="first"/>
        <w:spacing w:line="480" w:lineRule="auto"/>
        <w:rPr>
          <w:rFonts w:asciiTheme="minorHAnsi" w:hAnsiTheme="minorHAnsi" w:cstheme="minorHAnsi"/>
          <w:sz w:val="22"/>
          <w:szCs w:val="22"/>
          <w:lang w:val="en-GB"/>
        </w:rPr>
      </w:pPr>
      <w:r w:rsidRPr="00790F71">
        <w:rPr>
          <w:rFonts w:asciiTheme="minorHAnsi" w:hAnsiTheme="minorHAnsi" w:cstheme="minorHAnsi"/>
          <w:sz w:val="22"/>
          <w:szCs w:val="22"/>
          <w:lang w:val="en-GB"/>
        </w:rPr>
        <w:t xml:space="preserve">Peiris, C.L.; O’Donoghue, G.; Rippon, L.; Meyers, D.; Hahne, A.; De Noronha, M.; Lynch, J.; Hanson, L.C. (2021) ‘Classroom Movement Breaks Reduce Sedentary Behavior and Increase Concentration, Alertness and Enjoyment during University Classes: A Mixed-Methods Feasibility Study’, </w:t>
      </w:r>
      <w:r w:rsidRPr="00790F71">
        <w:rPr>
          <w:rFonts w:asciiTheme="minorHAnsi" w:hAnsiTheme="minorHAnsi" w:cstheme="minorHAnsi"/>
          <w:i/>
          <w:iCs/>
          <w:sz w:val="22"/>
          <w:szCs w:val="22"/>
          <w:lang w:val="en-GB"/>
        </w:rPr>
        <w:t>Public Health</w:t>
      </w:r>
      <w:r w:rsidRPr="00790F71">
        <w:rPr>
          <w:rFonts w:asciiTheme="minorHAnsi" w:hAnsiTheme="minorHAnsi" w:cstheme="minorHAnsi"/>
          <w:sz w:val="22"/>
          <w:szCs w:val="22"/>
          <w:lang w:val="en-GB"/>
        </w:rPr>
        <w:t>, 18.  Available at: https://doi.org/10.3390/ ijerph18115589 (Accessed: 6</w:t>
      </w:r>
      <w:r w:rsidRPr="00790F71">
        <w:rPr>
          <w:rFonts w:asciiTheme="minorHAnsi" w:hAnsiTheme="minorHAnsi" w:cstheme="minorHAnsi"/>
          <w:sz w:val="22"/>
          <w:szCs w:val="22"/>
          <w:vertAlign w:val="superscript"/>
          <w:lang w:val="en-GB"/>
        </w:rPr>
        <w:t>th</w:t>
      </w:r>
      <w:r w:rsidRPr="00790F71">
        <w:rPr>
          <w:rFonts w:asciiTheme="minorHAnsi" w:hAnsiTheme="minorHAnsi" w:cstheme="minorHAnsi"/>
          <w:sz w:val="22"/>
          <w:szCs w:val="22"/>
          <w:lang w:val="en-GB"/>
        </w:rPr>
        <w:t xml:space="preserve"> May 2024).</w:t>
      </w:r>
    </w:p>
    <w:p w14:paraId="2DC2BAC2" w14:textId="77777777" w:rsidR="00D53986" w:rsidRPr="00790F71" w:rsidRDefault="00D53986" w:rsidP="00D53986">
      <w:pPr>
        <w:spacing w:after="0" w:line="480" w:lineRule="auto"/>
        <w:rPr>
          <w:rFonts w:eastAsia="Times New Roman" w:cstheme="minorHAnsi"/>
          <w:kern w:val="0"/>
          <w:lang w:eastAsia="cy-GB"/>
          <w14:ligatures w14:val="none"/>
        </w:rPr>
      </w:pPr>
      <w:r w:rsidRPr="00D13D4C">
        <w:rPr>
          <w:rFonts w:eastAsia="Times New Roman" w:cstheme="minorHAnsi"/>
          <w:kern w:val="0"/>
          <w:lang w:eastAsia="cy-GB"/>
          <w14:ligatures w14:val="none"/>
        </w:rPr>
        <w:t xml:space="preserve">Simons, H. (2009) </w:t>
      </w:r>
      <w:r w:rsidRPr="00D13D4C">
        <w:rPr>
          <w:rFonts w:eastAsia="Times New Roman" w:cstheme="minorHAnsi"/>
          <w:i/>
          <w:iCs/>
          <w:kern w:val="0"/>
          <w:lang w:eastAsia="cy-GB"/>
          <w14:ligatures w14:val="none"/>
        </w:rPr>
        <w:t>Case study research in practice</w:t>
      </w:r>
      <w:r w:rsidRPr="00D13D4C">
        <w:rPr>
          <w:rFonts w:eastAsia="Times New Roman" w:cstheme="minorHAnsi"/>
          <w:kern w:val="0"/>
          <w:lang w:eastAsia="cy-GB"/>
          <w14:ligatures w14:val="none"/>
        </w:rPr>
        <w:t xml:space="preserve">. </w:t>
      </w:r>
      <w:r w:rsidRPr="00790F71">
        <w:rPr>
          <w:rFonts w:eastAsia="Times New Roman" w:cstheme="minorHAnsi"/>
          <w:kern w:val="0"/>
          <w:lang w:eastAsia="cy-GB"/>
          <w14:ligatures w14:val="none"/>
        </w:rPr>
        <w:t>Sage Publications: Los</w:t>
      </w:r>
      <w:r w:rsidRPr="00D13D4C">
        <w:rPr>
          <w:rFonts w:eastAsia="Times New Roman" w:cstheme="minorHAnsi"/>
          <w:kern w:val="0"/>
          <w:lang w:eastAsia="cy-GB"/>
          <w14:ligatures w14:val="none"/>
        </w:rPr>
        <w:t xml:space="preserve"> Angeles</w:t>
      </w:r>
      <w:r w:rsidRPr="00790F71">
        <w:rPr>
          <w:rFonts w:eastAsia="Times New Roman" w:cstheme="minorHAnsi"/>
          <w:kern w:val="0"/>
          <w:lang w:eastAsia="cy-GB"/>
          <w14:ligatures w14:val="none"/>
        </w:rPr>
        <w:t>.</w:t>
      </w:r>
    </w:p>
    <w:p w14:paraId="22836FC8" w14:textId="77777777" w:rsidR="00D53986" w:rsidRPr="00790F71" w:rsidRDefault="00D53986" w:rsidP="00D53986">
      <w:pPr>
        <w:pStyle w:val="first"/>
        <w:spacing w:line="480" w:lineRule="auto"/>
        <w:rPr>
          <w:rFonts w:asciiTheme="minorHAnsi" w:hAnsiTheme="minorHAnsi" w:cstheme="minorHAnsi"/>
          <w:sz w:val="22"/>
          <w:szCs w:val="22"/>
          <w:lang w:val="en-GB"/>
        </w:rPr>
      </w:pPr>
      <w:r w:rsidRPr="00790F71">
        <w:rPr>
          <w:rFonts w:asciiTheme="minorHAnsi" w:hAnsiTheme="minorHAnsi" w:cstheme="minorHAnsi"/>
          <w:sz w:val="22"/>
          <w:szCs w:val="22"/>
          <w:lang w:val="en-GB"/>
        </w:rPr>
        <w:t xml:space="preserve">The university of Newcastle (2024) </w:t>
      </w:r>
      <w:r w:rsidRPr="00790F71">
        <w:rPr>
          <w:rFonts w:asciiTheme="minorHAnsi" w:hAnsiTheme="minorHAnsi" w:cstheme="minorHAnsi"/>
          <w:i/>
          <w:iCs/>
          <w:sz w:val="22"/>
          <w:szCs w:val="22"/>
          <w:lang w:val="en-GB"/>
        </w:rPr>
        <w:t>Research Methods: What are research methods?</w:t>
      </w:r>
      <w:r w:rsidRPr="00790F71">
        <w:rPr>
          <w:rFonts w:asciiTheme="minorHAnsi" w:hAnsiTheme="minorHAnsi" w:cstheme="minorHAnsi"/>
          <w:sz w:val="22"/>
          <w:szCs w:val="22"/>
          <w:lang w:val="en-GB"/>
        </w:rPr>
        <w:t xml:space="preserve"> Available at: https://libguides.newcastle.edu.au/researchmethods (Accessed: 18</w:t>
      </w:r>
      <w:r w:rsidRPr="00790F71">
        <w:rPr>
          <w:rFonts w:asciiTheme="minorHAnsi" w:hAnsiTheme="minorHAnsi" w:cstheme="minorHAnsi"/>
          <w:sz w:val="22"/>
          <w:szCs w:val="22"/>
          <w:vertAlign w:val="superscript"/>
          <w:lang w:val="en-GB"/>
        </w:rPr>
        <w:t>th</w:t>
      </w:r>
      <w:r w:rsidRPr="00790F71">
        <w:rPr>
          <w:rFonts w:asciiTheme="minorHAnsi" w:hAnsiTheme="minorHAnsi" w:cstheme="minorHAnsi"/>
          <w:sz w:val="22"/>
          <w:szCs w:val="22"/>
          <w:lang w:val="en-GB"/>
        </w:rPr>
        <w:t xml:space="preserve"> May 2024). </w:t>
      </w:r>
    </w:p>
    <w:p w14:paraId="27641430" w14:textId="77777777" w:rsidR="00D53986" w:rsidRPr="00790F71" w:rsidRDefault="00D53986" w:rsidP="00D53986">
      <w:pPr>
        <w:spacing w:line="480" w:lineRule="auto"/>
        <w:rPr>
          <w:rFonts w:cstheme="minorHAnsi"/>
        </w:rPr>
      </w:pPr>
      <w:r w:rsidRPr="00790F71">
        <w:rPr>
          <w:rFonts w:cstheme="minorHAnsi"/>
        </w:rPr>
        <w:t xml:space="preserve">UK Research and Innovation (2023) </w:t>
      </w:r>
      <w:r w:rsidRPr="00790F71">
        <w:rPr>
          <w:rFonts w:cstheme="minorHAnsi"/>
          <w:i/>
          <w:iCs/>
        </w:rPr>
        <w:t>Research with children and young people</w:t>
      </w:r>
      <w:r w:rsidRPr="00790F71">
        <w:rPr>
          <w:rFonts w:cstheme="minorHAnsi"/>
        </w:rPr>
        <w:t>. Available at: https://www.ukri.org/councils/esrc/guidance-for-applicants/research-ethics-guidance/research-with-children-and-young-people/ (Accessed: 2</w:t>
      </w:r>
      <w:r w:rsidRPr="00790F71">
        <w:rPr>
          <w:rFonts w:cstheme="minorHAnsi"/>
          <w:vertAlign w:val="superscript"/>
        </w:rPr>
        <w:t>nd</w:t>
      </w:r>
      <w:r w:rsidRPr="00790F71">
        <w:rPr>
          <w:rFonts w:cstheme="minorHAnsi"/>
        </w:rPr>
        <w:t xml:space="preserve"> April 2024). </w:t>
      </w:r>
    </w:p>
    <w:p w14:paraId="456748AF" w14:textId="77777777" w:rsidR="00D53986" w:rsidRPr="00790F71" w:rsidRDefault="00D53986" w:rsidP="00D53986">
      <w:pPr>
        <w:pStyle w:val="nova-legacy-e-listitem"/>
        <w:shd w:val="clear" w:color="auto" w:fill="FFFFFF"/>
        <w:spacing w:line="480" w:lineRule="auto"/>
        <w:rPr>
          <w:rFonts w:asciiTheme="minorHAnsi" w:hAnsiTheme="minorHAnsi" w:cstheme="minorHAnsi"/>
          <w:sz w:val="22"/>
          <w:szCs w:val="22"/>
          <w:lang w:val="en-GB"/>
        </w:rPr>
      </w:pPr>
      <w:r w:rsidRPr="00790F71">
        <w:rPr>
          <w:rFonts w:asciiTheme="minorHAnsi" w:hAnsiTheme="minorHAnsi" w:cstheme="minorHAnsi"/>
          <w:sz w:val="22"/>
          <w:szCs w:val="22"/>
          <w:lang w:val="en-GB"/>
        </w:rPr>
        <w:t xml:space="preserve">UNICEF (2004) </w:t>
      </w:r>
      <w:r w:rsidRPr="00790F71">
        <w:rPr>
          <w:rFonts w:asciiTheme="minorHAnsi" w:hAnsiTheme="minorHAnsi" w:cstheme="minorHAnsi"/>
          <w:i/>
          <w:iCs/>
          <w:sz w:val="22"/>
          <w:szCs w:val="22"/>
          <w:lang w:val="en-GB"/>
        </w:rPr>
        <w:t>Convention on the Rights of the Child</w:t>
      </w:r>
      <w:r w:rsidRPr="00790F71">
        <w:rPr>
          <w:rFonts w:asciiTheme="minorHAnsi" w:hAnsiTheme="minorHAnsi" w:cstheme="minorHAnsi"/>
          <w:sz w:val="22"/>
          <w:szCs w:val="22"/>
          <w:lang w:val="en-GB"/>
        </w:rPr>
        <w:t>. Available at: https://www.unicef.org.uk/wp-content/uploads/2016/08/unicef-convention-rights-child-uncrc.pdf (Accessed: 25</w:t>
      </w:r>
      <w:r w:rsidRPr="00790F71">
        <w:rPr>
          <w:rFonts w:asciiTheme="minorHAnsi" w:hAnsiTheme="minorHAnsi" w:cstheme="minorHAnsi"/>
          <w:sz w:val="22"/>
          <w:szCs w:val="22"/>
          <w:vertAlign w:val="superscript"/>
          <w:lang w:val="en-GB"/>
        </w:rPr>
        <w:t>th</w:t>
      </w:r>
      <w:r w:rsidRPr="00790F71">
        <w:rPr>
          <w:rFonts w:asciiTheme="minorHAnsi" w:hAnsiTheme="minorHAnsi" w:cstheme="minorHAnsi"/>
          <w:sz w:val="22"/>
          <w:szCs w:val="22"/>
          <w:lang w:val="en-GB"/>
        </w:rPr>
        <w:t xml:space="preserve"> April 2024). </w:t>
      </w:r>
    </w:p>
    <w:p w14:paraId="265C33D9" w14:textId="77777777" w:rsidR="00D53986" w:rsidRPr="00790F71" w:rsidRDefault="00D53986" w:rsidP="00D53986">
      <w:pPr>
        <w:spacing w:line="480" w:lineRule="auto"/>
        <w:rPr>
          <w:rFonts w:cstheme="minorHAnsi"/>
        </w:rPr>
      </w:pPr>
      <w:r w:rsidRPr="00790F71">
        <w:rPr>
          <w:rFonts w:cstheme="minorHAnsi"/>
        </w:rPr>
        <w:lastRenderedPageBreak/>
        <w:t xml:space="preserve">University of Bath (2024) </w:t>
      </w:r>
      <w:r w:rsidRPr="00790F71">
        <w:rPr>
          <w:rFonts w:cstheme="minorHAnsi"/>
          <w:i/>
          <w:iCs/>
        </w:rPr>
        <w:t>Sampling in research</w:t>
      </w:r>
      <w:r w:rsidRPr="00790F71">
        <w:rPr>
          <w:rFonts w:cstheme="minorHAnsi"/>
        </w:rPr>
        <w:t>. Available at: https://www.bath.ac.uk/guides/sampling-in-research/#non-probabilistic-sampling (Accessed: 2</w:t>
      </w:r>
      <w:r w:rsidRPr="00790F71">
        <w:rPr>
          <w:rFonts w:cstheme="minorHAnsi"/>
          <w:vertAlign w:val="superscript"/>
        </w:rPr>
        <w:t>nd</w:t>
      </w:r>
      <w:r w:rsidRPr="00790F71">
        <w:rPr>
          <w:rFonts w:cstheme="minorHAnsi"/>
        </w:rPr>
        <w:t xml:space="preserve"> April 2024). </w:t>
      </w:r>
    </w:p>
    <w:p w14:paraId="3A3DD03E" w14:textId="77777777" w:rsidR="00D53986" w:rsidRPr="00790F71" w:rsidRDefault="00D53986" w:rsidP="00D53986">
      <w:pPr>
        <w:pStyle w:val="first"/>
        <w:spacing w:line="480" w:lineRule="auto"/>
        <w:rPr>
          <w:rFonts w:asciiTheme="minorHAnsi" w:hAnsiTheme="minorHAnsi" w:cstheme="minorHAnsi"/>
          <w:sz w:val="22"/>
          <w:szCs w:val="22"/>
          <w:lang w:val="en-GB"/>
        </w:rPr>
      </w:pPr>
      <w:r w:rsidRPr="00790F71">
        <w:rPr>
          <w:rFonts w:asciiTheme="minorHAnsi" w:hAnsiTheme="minorHAnsi" w:cstheme="minorHAnsi"/>
          <w:sz w:val="22"/>
          <w:szCs w:val="22"/>
          <w:lang w:val="en-GB"/>
        </w:rPr>
        <w:t xml:space="preserve">Watson, A. Timperio, A. Brown, H, Best, K and Hesketh (2017) ‘Effect of classroom-based physical activity interventions on academic and physical activity outcomes: a systematic review and meta-analysis’, </w:t>
      </w:r>
      <w:r w:rsidRPr="00790F71">
        <w:rPr>
          <w:rFonts w:asciiTheme="minorHAnsi" w:hAnsiTheme="minorHAnsi" w:cstheme="minorHAnsi"/>
          <w:i/>
          <w:iCs/>
          <w:sz w:val="22"/>
          <w:szCs w:val="22"/>
          <w:lang w:val="en-GB"/>
        </w:rPr>
        <w:t>International Journal of Behavioral Nutrition and Physical Activity</w:t>
      </w:r>
      <w:r w:rsidRPr="00790F71">
        <w:rPr>
          <w:rFonts w:asciiTheme="minorHAnsi" w:hAnsiTheme="minorHAnsi" w:cstheme="minorHAnsi"/>
          <w:sz w:val="22"/>
          <w:szCs w:val="22"/>
          <w:lang w:val="en-GB"/>
        </w:rPr>
        <w:t>, 14:114. Available at: https://pubmed.ncbi.nlm.nih.gov/28841890/ (Accessed: 7</w:t>
      </w:r>
      <w:r w:rsidRPr="00790F71">
        <w:rPr>
          <w:rFonts w:asciiTheme="minorHAnsi" w:hAnsiTheme="minorHAnsi" w:cstheme="minorHAnsi"/>
          <w:sz w:val="22"/>
          <w:szCs w:val="22"/>
          <w:vertAlign w:val="superscript"/>
          <w:lang w:val="en-GB"/>
        </w:rPr>
        <w:t>th</w:t>
      </w:r>
      <w:r w:rsidRPr="00790F71">
        <w:rPr>
          <w:rFonts w:asciiTheme="minorHAnsi" w:hAnsiTheme="minorHAnsi" w:cstheme="minorHAnsi"/>
          <w:sz w:val="22"/>
          <w:szCs w:val="22"/>
          <w:lang w:val="en-GB"/>
        </w:rPr>
        <w:t xml:space="preserve"> May 2024). </w:t>
      </w:r>
    </w:p>
    <w:p w14:paraId="706AAE24" w14:textId="77777777" w:rsidR="00D53986" w:rsidRPr="00790F71" w:rsidRDefault="00D53986" w:rsidP="00D53986">
      <w:pPr>
        <w:shd w:val="clear" w:color="auto" w:fill="FFFFFF"/>
        <w:spacing w:after="0" w:line="480" w:lineRule="auto"/>
        <w:rPr>
          <w:rFonts w:cstheme="minorHAnsi"/>
        </w:rPr>
      </w:pPr>
      <w:r w:rsidRPr="00790F71">
        <w:rPr>
          <w:rFonts w:cstheme="minorHAnsi"/>
        </w:rPr>
        <w:t xml:space="preserve">Welsh Government (2019a) </w:t>
      </w:r>
      <w:r w:rsidRPr="00790F71">
        <w:rPr>
          <w:rFonts w:cstheme="minorHAnsi"/>
          <w:i/>
          <w:iCs/>
        </w:rPr>
        <w:t>Professional standards for teaching and leadership</w:t>
      </w:r>
      <w:r w:rsidRPr="00790F71">
        <w:rPr>
          <w:rFonts w:cstheme="minorHAnsi"/>
        </w:rPr>
        <w:t>. Available at: https://hwb.gov.wales/api/storage/19bc948b-8a3f-41e0-944a-7bf2cadf7d18/professional-standards-for-teaching-and-leadership-interactive-pdf-for-pc.pdf (Accessed: 12th April 2024).</w:t>
      </w:r>
    </w:p>
    <w:p w14:paraId="47A79031" w14:textId="77777777" w:rsidR="00D53986" w:rsidRPr="00790F71" w:rsidRDefault="00D53986" w:rsidP="00D53986">
      <w:pPr>
        <w:shd w:val="clear" w:color="auto" w:fill="FFFFFF"/>
        <w:spacing w:after="0" w:line="480" w:lineRule="auto"/>
        <w:rPr>
          <w:rFonts w:cstheme="minorHAnsi"/>
          <w:i/>
          <w:iCs/>
        </w:rPr>
      </w:pPr>
    </w:p>
    <w:p w14:paraId="02537E0C" w14:textId="77777777" w:rsidR="00D53986" w:rsidRPr="00790F71" w:rsidRDefault="00D53986" w:rsidP="00D53986">
      <w:pPr>
        <w:shd w:val="clear" w:color="auto" w:fill="FFFFFF"/>
        <w:spacing w:line="480" w:lineRule="auto"/>
        <w:rPr>
          <w:rFonts w:eastAsia="Times New Roman" w:cstheme="minorHAnsi"/>
          <w:kern w:val="0"/>
          <w:lang w:eastAsia="cy-GB"/>
          <w14:ligatures w14:val="none"/>
        </w:rPr>
      </w:pPr>
      <w:r w:rsidRPr="00790F71">
        <w:rPr>
          <w:rFonts w:eastAsia="Times New Roman" w:cstheme="minorHAnsi"/>
          <w:kern w:val="0"/>
          <w:lang w:eastAsia="cy-GB"/>
          <w14:ligatures w14:val="none"/>
        </w:rPr>
        <w:t>Welsh Government (2020b) ‘</w:t>
      </w:r>
      <w:r w:rsidRPr="00790F71">
        <w:rPr>
          <w:rFonts w:eastAsia="Times New Roman" w:cstheme="minorHAnsi"/>
          <w:i/>
          <w:iCs/>
          <w:kern w:val="0"/>
          <w:lang w:eastAsia="cy-GB"/>
          <w14:ligatures w14:val="none"/>
        </w:rPr>
        <w:t>Areas of Learning and Experience’ as a central element of the new curriculum</w:t>
      </w:r>
      <w:r w:rsidRPr="00790F71">
        <w:rPr>
          <w:rFonts w:eastAsia="Times New Roman" w:cstheme="minorHAnsi"/>
          <w:kern w:val="0"/>
          <w:lang w:eastAsia="cy-GB"/>
          <w14:ligatures w14:val="none"/>
        </w:rPr>
        <w:t>. Available at: https://educationwales.blog.gov.wales/2020/03/02/areas-of-learning-and-experience-as-a-central-element-of-the-new-curriculum/#:~:text=Expressive%20Arts%3B%20Health%20and%20Well,and%20what%20do%20they%20comprise%3F (Accessed: 10th May 2024).</w:t>
      </w:r>
    </w:p>
    <w:p w14:paraId="58174875" w14:textId="77777777" w:rsidR="00D53986" w:rsidRPr="00790F71" w:rsidRDefault="00D53986" w:rsidP="00D53986">
      <w:pPr>
        <w:pStyle w:val="first"/>
        <w:spacing w:line="480" w:lineRule="auto"/>
        <w:rPr>
          <w:rFonts w:asciiTheme="minorHAnsi" w:hAnsiTheme="minorHAnsi" w:cstheme="minorHAnsi"/>
          <w:sz w:val="22"/>
          <w:szCs w:val="22"/>
          <w:lang w:val="en-GB"/>
        </w:rPr>
      </w:pPr>
      <w:r w:rsidRPr="00790F71">
        <w:rPr>
          <w:rFonts w:asciiTheme="minorHAnsi" w:hAnsiTheme="minorHAnsi" w:cstheme="minorHAnsi"/>
          <w:sz w:val="22"/>
          <w:szCs w:val="22"/>
          <w:lang w:val="en-GB"/>
        </w:rPr>
        <w:t xml:space="preserve">World Health Organisation (2021) </w:t>
      </w:r>
      <w:r w:rsidRPr="00790F71">
        <w:rPr>
          <w:rFonts w:asciiTheme="minorHAnsi" w:hAnsiTheme="minorHAnsi" w:cstheme="minorHAnsi"/>
          <w:i/>
          <w:iCs/>
          <w:sz w:val="22"/>
          <w:szCs w:val="22"/>
          <w:lang w:val="en-GB"/>
        </w:rPr>
        <w:t xml:space="preserve">WHO reviews effect of physical activity on enhancing academic achievement at school. </w:t>
      </w:r>
      <w:r w:rsidRPr="00790F71">
        <w:rPr>
          <w:rFonts w:asciiTheme="minorHAnsi" w:hAnsiTheme="minorHAnsi" w:cstheme="minorHAnsi"/>
          <w:sz w:val="22"/>
          <w:szCs w:val="22"/>
          <w:lang w:val="en-GB"/>
        </w:rPr>
        <w:t>Available at: https://www.who.int/europe/news/item/17-02-2021-who-reviews-effect-of-physical-activity-on-enhancing-academic-achievement-at-school (Accessed: 12</w:t>
      </w:r>
      <w:r w:rsidRPr="00790F71">
        <w:rPr>
          <w:rFonts w:asciiTheme="minorHAnsi" w:hAnsiTheme="minorHAnsi" w:cstheme="minorHAnsi"/>
          <w:sz w:val="22"/>
          <w:szCs w:val="22"/>
          <w:vertAlign w:val="superscript"/>
          <w:lang w:val="en-GB"/>
        </w:rPr>
        <w:t>th</w:t>
      </w:r>
      <w:r w:rsidRPr="00790F71">
        <w:rPr>
          <w:rFonts w:asciiTheme="minorHAnsi" w:hAnsiTheme="minorHAnsi" w:cstheme="minorHAnsi"/>
          <w:sz w:val="22"/>
          <w:szCs w:val="22"/>
          <w:lang w:val="en-GB"/>
        </w:rPr>
        <w:t xml:space="preserve"> May 2024).</w:t>
      </w:r>
    </w:p>
    <w:p w14:paraId="19788541" w14:textId="77446E0B" w:rsidR="00EE3D2D" w:rsidRPr="00790F71" w:rsidRDefault="00EE3D2D" w:rsidP="0095733E">
      <w:pPr>
        <w:spacing w:line="600" w:lineRule="auto"/>
        <w:rPr>
          <w:rFonts w:cstheme="minorHAnsi"/>
        </w:rPr>
      </w:pPr>
      <w:r w:rsidRPr="00790F71">
        <w:rPr>
          <w:rFonts w:cstheme="minorHAnsi"/>
        </w:rPr>
        <w:t xml:space="preserve"> </w:t>
      </w:r>
    </w:p>
    <w:sectPr w:rsidR="00EE3D2D" w:rsidRPr="00790F71" w:rsidSect="00AA77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97221A"/>
    <w:multiLevelType w:val="hybridMultilevel"/>
    <w:tmpl w:val="0C0A4A1C"/>
    <w:lvl w:ilvl="0" w:tplc="0452000F">
      <w:start w:val="1"/>
      <w:numFmt w:val="decimal"/>
      <w:lvlText w:val="%1."/>
      <w:lvlJc w:val="left"/>
      <w:pPr>
        <w:ind w:left="720" w:hanging="360"/>
      </w:p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abstractNum w:abstractNumId="1" w15:restartNumberingAfterBreak="0">
    <w:nsid w:val="397872B4"/>
    <w:multiLevelType w:val="hybridMultilevel"/>
    <w:tmpl w:val="49BE8CEA"/>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 w15:restartNumberingAfterBreak="0">
    <w:nsid w:val="406054B4"/>
    <w:multiLevelType w:val="hybridMultilevel"/>
    <w:tmpl w:val="924CD504"/>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 w15:restartNumberingAfterBreak="0">
    <w:nsid w:val="56FB184D"/>
    <w:multiLevelType w:val="multilevel"/>
    <w:tmpl w:val="1042F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FD42F22"/>
    <w:multiLevelType w:val="hybridMultilevel"/>
    <w:tmpl w:val="DDF0BFF0"/>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num w:numId="1" w16cid:durableId="182940612">
    <w:abstractNumId w:val="3"/>
  </w:num>
  <w:num w:numId="2" w16cid:durableId="1759712910">
    <w:abstractNumId w:val="4"/>
  </w:num>
  <w:num w:numId="3" w16cid:durableId="1039823550">
    <w:abstractNumId w:val="2"/>
  </w:num>
  <w:num w:numId="4" w16cid:durableId="1860851181">
    <w:abstractNumId w:val="1"/>
  </w:num>
  <w:num w:numId="5" w16cid:durableId="11566526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7F4"/>
    <w:rsid w:val="00014D95"/>
    <w:rsid w:val="00064C83"/>
    <w:rsid w:val="00087539"/>
    <w:rsid w:val="0009362A"/>
    <w:rsid w:val="000A33EA"/>
    <w:rsid w:val="000A4AA0"/>
    <w:rsid w:val="000B7858"/>
    <w:rsid w:val="000D0781"/>
    <w:rsid w:val="000F77D2"/>
    <w:rsid w:val="0011197D"/>
    <w:rsid w:val="00145352"/>
    <w:rsid w:val="00152273"/>
    <w:rsid w:val="00193D6B"/>
    <w:rsid w:val="001B142F"/>
    <w:rsid w:val="001C572B"/>
    <w:rsid w:val="001C6277"/>
    <w:rsid w:val="001F6521"/>
    <w:rsid w:val="00215178"/>
    <w:rsid w:val="00224C74"/>
    <w:rsid w:val="002271C9"/>
    <w:rsid w:val="0023726E"/>
    <w:rsid w:val="00240E79"/>
    <w:rsid w:val="00267B27"/>
    <w:rsid w:val="002812AE"/>
    <w:rsid w:val="002845D1"/>
    <w:rsid w:val="00285512"/>
    <w:rsid w:val="002C7CA5"/>
    <w:rsid w:val="002C7D06"/>
    <w:rsid w:val="002D17EC"/>
    <w:rsid w:val="002D67FA"/>
    <w:rsid w:val="002E254A"/>
    <w:rsid w:val="002E4D07"/>
    <w:rsid w:val="00324416"/>
    <w:rsid w:val="003B4638"/>
    <w:rsid w:val="003D3ECF"/>
    <w:rsid w:val="003D49B1"/>
    <w:rsid w:val="00407971"/>
    <w:rsid w:val="00437878"/>
    <w:rsid w:val="00457F0E"/>
    <w:rsid w:val="0046346B"/>
    <w:rsid w:val="00466B79"/>
    <w:rsid w:val="00477D7F"/>
    <w:rsid w:val="00492A59"/>
    <w:rsid w:val="004B4FE2"/>
    <w:rsid w:val="004B668F"/>
    <w:rsid w:val="004F0A65"/>
    <w:rsid w:val="004F1440"/>
    <w:rsid w:val="00521AB7"/>
    <w:rsid w:val="0052626D"/>
    <w:rsid w:val="005621B5"/>
    <w:rsid w:val="00575A5E"/>
    <w:rsid w:val="00592746"/>
    <w:rsid w:val="00597A9D"/>
    <w:rsid w:val="005B531F"/>
    <w:rsid w:val="005C1D47"/>
    <w:rsid w:val="005C7E5A"/>
    <w:rsid w:val="005E4B36"/>
    <w:rsid w:val="005F7AE6"/>
    <w:rsid w:val="00603C66"/>
    <w:rsid w:val="0063050A"/>
    <w:rsid w:val="0063181C"/>
    <w:rsid w:val="00657B1E"/>
    <w:rsid w:val="00657BAB"/>
    <w:rsid w:val="006C0CA5"/>
    <w:rsid w:val="006C4168"/>
    <w:rsid w:val="00710970"/>
    <w:rsid w:val="00790E7E"/>
    <w:rsid w:val="00790F71"/>
    <w:rsid w:val="007B05BC"/>
    <w:rsid w:val="007C4C8E"/>
    <w:rsid w:val="007D00DC"/>
    <w:rsid w:val="007F09D5"/>
    <w:rsid w:val="008155EE"/>
    <w:rsid w:val="008A283C"/>
    <w:rsid w:val="00912649"/>
    <w:rsid w:val="00917672"/>
    <w:rsid w:val="009257B8"/>
    <w:rsid w:val="009375FC"/>
    <w:rsid w:val="0095733E"/>
    <w:rsid w:val="00977CC2"/>
    <w:rsid w:val="009912A2"/>
    <w:rsid w:val="009A281F"/>
    <w:rsid w:val="009B0B07"/>
    <w:rsid w:val="009C0A04"/>
    <w:rsid w:val="009D4404"/>
    <w:rsid w:val="009D5ABE"/>
    <w:rsid w:val="009E5041"/>
    <w:rsid w:val="00A02DEE"/>
    <w:rsid w:val="00A34944"/>
    <w:rsid w:val="00A51E6E"/>
    <w:rsid w:val="00A57F68"/>
    <w:rsid w:val="00A757DC"/>
    <w:rsid w:val="00A960C8"/>
    <w:rsid w:val="00A9705F"/>
    <w:rsid w:val="00AA02C8"/>
    <w:rsid w:val="00AA0C22"/>
    <w:rsid w:val="00AA77F4"/>
    <w:rsid w:val="00AC5184"/>
    <w:rsid w:val="00AC73B0"/>
    <w:rsid w:val="00B00A53"/>
    <w:rsid w:val="00B12B5A"/>
    <w:rsid w:val="00B17436"/>
    <w:rsid w:val="00B725D1"/>
    <w:rsid w:val="00B82BAB"/>
    <w:rsid w:val="00B97C80"/>
    <w:rsid w:val="00BA6A2B"/>
    <w:rsid w:val="00BE7950"/>
    <w:rsid w:val="00C17CE2"/>
    <w:rsid w:val="00C23C74"/>
    <w:rsid w:val="00C33266"/>
    <w:rsid w:val="00C56F87"/>
    <w:rsid w:val="00C626E7"/>
    <w:rsid w:val="00C800F4"/>
    <w:rsid w:val="00C84ED0"/>
    <w:rsid w:val="00CC7924"/>
    <w:rsid w:val="00D0297C"/>
    <w:rsid w:val="00D30B5B"/>
    <w:rsid w:val="00D45C8C"/>
    <w:rsid w:val="00D53986"/>
    <w:rsid w:val="00D75A8B"/>
    <w:rsid w:val="00D86DA3"/>
    <w:rsid w:val="00DF74F2"/>
    <w:rsid w:val="00E057A4"/>
    <w:rsid w:val="00E101A6"/>
    <w:rsid w:val="00E112B9"/>
    <w:rsid w:val="00E22674"/>
    <w:rsid w:val="00E41FB7"/>
    <w:rsid w:val="00E94CD6"/>
    <w:rsid w:val="00EB2985"/>
    <w:rsid w:val="00ED3282"/>
    <w:rsid w:val="00EE2F82"/>
    <w:rsid w:val="00EE3D2D"/>
    <w:rsid w:val="00EF1579"/>
    <w:rsid w:val="00F23E0F"/>
    <w:rsid w:val="00F900B0"/>
    <w:rsid w:val="00FA375A"/>
    <w:rsid w:val="00FA41E0"/>
    <w:rsid w:val="00FC43A1"/>
    <w:rsid w:val="00FD100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9F6C2"/>
  <w15:chartTrackingRefBased/>
  <w15:docId w15:val="{9F283C09-E5CC-40C1-BA45-52C08FA29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cy-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NormalGwe">
    <w:name w:val="Normal (Web)"/>
    <w:basedOn w:val="Normal"/>
    <w:uiPriority w:val="99"/>
    <w:semiHidden/>
    <w:unhideWhenUsed/>
    <w:rsid w:val="00A757DC"/>
    <w:pPr>
      <w:spacing w:before="100" w:beforeAutospacing="1" w:after="100" w:afterAutospacing="1" w:line="240" w:lineRule="auto"/>
    </w:pPr>
    <w:rPr>
      <w:rFonts w:ascii="Times New Roman" w:eastAsia="Times New Roman" w:hAnsi="Times New Roman" w:cs="Times New Roman"/>
      <w:kern w:val="0"/>
      <w:sz w:val="24"/>
      <w:szCs w:val="24"/>
      <w:lang w:val="cy-GB" w:eastAsia="cy-GB"/>
      <w14:ligatures w14:val="none"/>
    </w:rPr>
  </w:style>
  <w:style w:type="paragraph" w:styleId="ParagraffRhestr">
    <w:name w:val="List Paragraph"/>
    <w:basedOn w:val="Normal"/>
    <w:uiPriority w:val="34"/>
    <w:qFormat/>
    <w:rsid w:val="00E41FB7"/>
    <w:pPr>
      <w:spacing w:after="0" w:line="240" w:lineRule="auto"/>
      <w:ind w:left="720"/>
      <w:contextualSpacing/>
    </w:pPr>
    <w:rPr>
      <w:rFonts w:ascii="Calibri" w:eastAsia="Calibri" w:hAnsi="Calibri" w:cs="Times New Roman"/>
      <w:kern w:val="0"/>
      <w14:ligatures w14:val="none"/>
    </w:rPr>
  </w:style>
  <w:style w:type="character" w:styleId="Hyperddolen">
    <w:name w:val="Hyperlink"/>
    <w:basedOn w:val="FfontParagraffDdiofyn"/>
    <w:uiPriority w:val="99"/>
    <w:unhideWhenUsed/>
    <w:rsid w:val="00B725D1"/>
    <w:rPr>
      <w:color w:val="0563C1" w:themeColor="hyperlink"/>
      <w:u w:val="single"/>
    </w:rPr>
  </w:style>
  <w:style w:type="character" w:styleId="SnhebeiDdatrys">
    <w:name w:val="Unresolved Mention"/>
    <w:basedOn w:val="FfontParagraffDdiofyn"/>
    <w:uiPriority w:val="99"/>
    <w:semiHidden/>
    <w:unhideWhenUsed/>
    <w:rsid w:val="00B725D1"/>
    <w:rPr>
      <w:color w:val="605E5C"/>
      <w:shd w:val="clear" w:color="auto" w:fill="E1DFDD"/>
    </w:rPr>
  </w:style>
  <w:style w:type="paragraph" w:styleId="z-BrigyFfurflen">
    <w:name w:val="HTML Top of Form"/>
    <w:basedOn w:val="Normal"/>
    <w:next w:val="Normal"/>
    <w:link w:val="z-BrigyFfurflenNod"/>
    <w:hidden/>
    <w:uiPriority w:val="99"/>
    <w:semiHidden/>
    <w:unhideWhenUsed/>
    <w:rsid w:val="00A02DEE"/>
    <w:pPr>
      <w:pBdr>
        <w:bottom w:val="single" w:sz="6" w:space="1" w:color="auto"/>
      </w:pBdr>
      <w:spacing w:after="0" w:line="240" w:lineRule="auto"/>
      <w:jc w:val="center"/>
    </w:pPr>
    <w:rPr>
      <w:rFonts w:ascii="Arial" w:eastAsia="Times New Roman" w:hAnsi="Arial" w:cs="Arial"/>
      <w:vanish/>
      <w:kern w:val="0"/>
      <w:sz w:val="16"/>
      <w:szCs w:val="16"/>
      <w:lang w:val="cy-GB" w:eastAsia="cy-GB"/>
      <w14:ligatures w14:val="none"/>
    </w:rPr>
  </w:style>
  <w:style w:type="character" w:customStyle="1" w:styleId="z-BrigyFfurflenNod">
    <w:name w:val="z-Brig y Ffurflen Nod"/>
    <w:basedOn w:val="FfontParagraffDdiofyn"/>
    <w:link w:val="z-BrigyFfurflen"/>
    <w:uiPriority w:val="99"/>
    <w:semiHidden/>
    <w:rsid w:val="00A02DEE"/>
    <w:rPr>
      <w:rFonts w:ascii="Arial" w:eastAsia="Times New Roman" w:hAnsi="Arial" w:cs="Arial"/>
      <w:vanish/>
      <w:kern w:val="0"/>
      <w:sz w:val="16"/>
      <w:szCs w:val="16"/>
      <w:lang w:eastAsia="cy-GB"/>
      <w14:ligatures w14:val="none"/>
    </w:rPr>
  </w:style>
  <w:style w:type="character" w:styleId="Pwyslais">
    <w:name w:val="Emphasis"/>
    <w:basedOn w:val="FfontParagraffDdiofyn"/>
    <w:uiPriority w:val="20"/>
    <w:qFormat/>
    <w:rsid w:val="00D53986"/>
    <w:rPr>
      <w:i/>
      <w:iCs/>
    </w:rPr>
  </w:style>
  <w:style w:type="paragraph" w:customStyle="1" w:styleId="first">
    <w:name w:val="first"/>
    <w:basedOn w:val="Normal"/>
    <w:rsid w:val="00D53986"/>
    <w:pPr>
      <w:spacing w:before="100" w:beforeAutospacing="1" w:after="100" w:afterAutospacing="1" w:line="240" w:lineRule="auto"/>
    </w:pPr>
    <w:rPr>
      <w:rFonts w:ascii="Times New Roman" w:eastAsia="Times New Roman" w:hAnsi="Times New Roman" w:cs="Times New Roman"/>
      <w:kern w:val="0"/>
      <w:sz w:val="24"/>
      <w:szCs w:val="24"/>
      <w:lang w:val="cy-GB" w:eastAsia="cy-GB"/>
      <w14:ligatures w14:val="none"/>
    </w:rPr>
  </w:style>
  <w:style w:type="paragraph" w:customStyle="1" w:styleId="nova-legacy-e-listitem">
    <w:name w:val="nova-legacy-e-list__item"/>
    <w:basedOn w:val="Normal"/>
    <w:rsid w:val="00D53986"/>
    <w:pPr>
      <w:spacing w:before="100" w:beforeAutospacing="1" w:after="100" w:afterAutospacing="1" w:line="240" w:lineRule="auto"/>
    </w:pPr>
    <w:rPr>
      <w:rFonts w:ascii="Times New Roman" w:eastAsia="Times New Roman" w:hAnsi="Times New Roman" w:cs="Times New Roman"/>
      <w:kern w:val="0"/>
      <w:sz w:val="24"/>
      <w:szCs w:val="24"/>
      <w:lang w:val="cy-GB" w:eastAsia="cy-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8379502">
      <w:bodyDiv w:val="1"/>
      <w:marLeft w:val="0"/>
      <w:marRight w:val="0"/>
      <w:marTop w:val="0"/>
      <w:marBottom w:val="0"/>
      <w:divBdr>
        <w:top w:val="none" w:sz="0" w:space="0" w:color="auto"/>
        <w:left w:val="none" w:sz="0" w:space="0" w:color="auto"/>
        <w:bottom w:val="none" w:sz="0" w:space="0" w:color="auto"/>
        <w:right w:val="none" w:sz="0" w:space="0" w:color="auto"/>
      </w:divBdr>
      <w:divsChild>
        <w:div w:id="184445034">
          <w:marLeft w:val="0"/>
          <w:marRight w:val="0"/>
          <w:marTop w:val="0"/>
          <w:marBottom w:val="0"/>
          <w:divBdr>
            <w:top w:val="single" w:sz="2" w:space="0" w:color="E3E3E3"/>
            <w:left w:val="single" w:sz="2" w:space="0" w:color="E3E3E3"/>
            <w:bottom w:val="single" w:sz="2" w:space="0" w:color="E3E3E3"/>
            <w:right w:val="single" w:sz="2" w:space="0" w:color="E3E3E3"/>
          </w:divBdr>
          <w:divsChild>
            <w:div w:id="1717436877">
              <w:marLeft w:val="0"/>
              <w:marRight w:val="0"/>
              <w:marTop w:val="0"/>
              <w:marBottom w:val="0"/>
              <w:divBdr>
                <w:top w:val="single" w:sz="2" w:space="0" w:color="E3E3E3"/>
                <w:left w:val="single" w:sz="2" w:space="0" w:color="E3E3E3"/>
                <w:bottom w:val="single" w:sz="2" w:space="0" w:color="E3E3E3"/>
                <w:right w:val="single" w:sz="2" w:space="0" w:color="E3E3E3"/>
              </w:divBdr>
              <w:divsChild>
                <w:div w:id="397099606">
                  <w:marLeft w:val="0"/>
                  <w:marRight w:val="0"/>
                  <w:marTop w:val="0"/>
                  <w:marBottom w:val="0"/>
                  <w:divBdr>
                    <w:top w:val="single" w:sz="2" w:space="0" w:color="E3E3E3"/>
                    <w:left w:val="single" w:sz="2" w:space="0" w:color="E3E3E3"/>
                    <w:bottom w:val="single" w:sz="2" w:space="0" w:color="E3E3E3"/>
                    <w:right w:val="single" w:sz="2" w:space="0" w:color="E3E3E3"/>
                  </w:divBdr>
                  <w:divsChild>
                    <w:div w:id="130875566">
                      <w:marLeft w:val="0"/>
                      <w:marRight w:val="0"/>
                      <w:marTop w:val="0"/>
                      <w:marBottom w:val="0"/>
                      <w:divBdr>
                        <w:top w:val="single" w:sz="2" w:space="0" w:color="E3E3E3"/>
                        <w:left w:val="single" w:sz="2" w:space="0" w:color="E3E3E3"/>
                        <w:bottom w:val="single" w:sz="2" w:space="0" w:color="E3E3E3"/>
                        <w:right w:val="single" w:sz="2" w:space="0" w:color="E3E3E3"/>
                      </w:divBdr>
                      <w:divsChild>
                        <w:div w:id="1256280120">
                          <w:marLeft w:val="0"/>
                          <w:marRight w:val="0"/>
                          <w:marTop w:val="0"/>
                          <w:marBottom w:val="0"/>
                          <w:divBdr>
                            <w:top w:val="single" w:sz="2" w:space="0" w:color="E3E3E3"/>
                            <w:left w:val="single" w:sz="2" w:space="0" w:color="E3E3E3"/>
                            <w:bottom w:val="single" w:sz="2" w:space="0" w:color="E3E3E3"/>
                            <w:right w:val="single" w:sz="2" w:space="0" w:color="E3E3E3"/>
                          </w:divBdr>
                          <w:divsChild>
                            <w:div w:id="2022009035">
                              <w:marLeft w:val="0"/>
                              <w:marRight w:val="0"/>
                              <w:marTop w:val="0"/>
                              <w:marBottom w:val="0"/>
                              <w:divBdr>
                                <w:top w:val="single" w:sz="2" w:space="0" w:color="E3E3E3"/>
                                <w:left w:val="single" w:sz="2" w:space="0" w:color="E3E3E3"/>
                                <w:bottom w:val="single" w:sz="2" w:space="0" w:color="E3E3E3"/>
                                <w:right w:val="single" w:sz="2" w:space="0" w:color="E3E3E3"/>
                              </w:divBdr>
                              <w:divsChild>
                                <w:div w:id="441999767">
                                  <w:marLeft w:val="0"/>
                                  <w:marRight w:val="0"/>
                                  <w:marTop w:val="100"/>
                                  <w:marBottom w:val="100"/>
                                  <w:divBdr>
                                    <w:top w:val="single" w:sz="2" w:space="0" w:color="E3E3E3"/>
                                    <w:left w:val="single" w:sz="2" w:space="0" w:color="E3E3E3"/>
                                    <w:bottom w:val="single" w:sz="2" w:space="0" w:color="E3E3E3"/>
                                    <w:right w:val="single" w:sz="2" w:space="0" w:color="E3E3E3"/>
                                  </w:divBdr>
                                  <w:divsChild>
                                    <w:div w:id="1037462519">
                                      <w:marLeft w:val="0"/>
                                      <w:marRight w:val="0"/>
                                      <w:marTop w:val="0"/>
                                      <w:marBottom w:val="0"/>
                                      <w:divBdr>
                                        <w:top w:val="single" w:sz="2" w:space="0" w:color="E3E3E3"/>
                                        <w:left w:val="single" w:sz="2" w:space="0" w:color="E3E3E3"/>
                                        <w:bottom w:val="single" w:sz="2" w:space="0" w:color="E3E3E3"/>
                                        <w:right w:val="single" w:sz="2" w:space="0" w:color="E3E3E3"/>
                                      </w:divBdr>
                                      <w:divsChild>
                                        <w:div w:id="1936400795">
                                          <w:marLeft w:val="0"/>
                                          <w:marRight w:val="0"/>
                                          <w:marTop w:val="0"/>
                                          <w:marBottom w:val="0"/>
                                          <w:divBdr>
                                            <w:top w:val="single" w:sz="2" w:space="0" w:color="E3E3E3"/>
                                            <w:left w:val="single" w:sz="2" w:space="0" w:color="E3E3E3"/>
                                            <w:bottom w:val="single" w:sz="2" w:space="0" w:color="E3E3E3"/>
                                            <w:right w:val="single" w:sz="2" w:space="0" w:color="E3E3E3"/>
                                          </w:divBdr>
                                          <w:divsChild>
                                            <w:div w:id="1246575780">
                                              <w:marLeft w:val="0"/>
                                              <w:marRight w:val="0"/>
                                              <w:marTop w:val="0"/>
                                              <w:marBottom w:val="0"/>
                                              <w:divBdr>
                                                <w:top w:val="single" w:sz="2" w:space="0" w:color="E3E3E3"/>
                                                <w:left w:val="single" w:sz="2" w:space="0" w:color="E3E3E3"/>
                                                <w:bottom w:val="single" w:sz="2" w:space="0" w:color="E3E3E3"/>
                                                <w:right w:val="single" w:sz="2" w:space="0" w:color="E3E3E3"/>
                                              </w:divBdr>
                                              <w:divsChild>
                                                <w:div w:id="839583059">
                                                  <w:marLeft w:val="0"/>
                                                  <w:marRight w:val="0"/>
                                                  <w:marTop w:val="0"/>
                                                  <w:marBottom w:val="0"/>
                                                  <w:divBdr>
                                                    <w:top w:val="single" w:sz="2" w:space="0" w:color="E3E3E3"/>
                                                    <w:left w:val="single" w:sz="2" w:space="0" w:color="E3E3E3"/>
                                                    <w:bottom w:val="single" w:sz="2" w:space="0" w:color="E3E3E3"/>
                                                    <w:right w:val="single" w:sz="2" w:space="0" w:color="E3E3E3"/>
                                                  </w:divBdr>
                                                  <w:divsChild>
                                                    <w:div w:id="1028414515">
                                                      <w:marLeft w:val="0"/>
                                                      <w:marRight w:val="0"/>
                                                      <w:marTop w:val="0"/>
                                                      <w:marBottom w:val="0"/>
                                                      <w:divBdr>
                                                        <w:top w:val="single" w:sz="2" w:space="0" w:color="E3E3E3"/>
                                                        <w:left w:val="single" w:sz="2" w:space="0" w:color="E3E3E3"/>
                                                        <w:bottom w:val="single" w:sz="2" w:space="0" w:color="E3E3E3"/>
                                                        <w:right w:val="single" w:sz="2" w:space="0" w:color="E3E3E3"/>
                                                      </w:divBdr>
                                                      <w:divsChild>
                                                        <w:div w:id="7036740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26492676">
          <w:marLeft w:val="0"/>
          <w:marRight w:val="0"/>
          <w:marTop w:val="0"/>
          <w:marBottom w:val="0"/>
          <w:divBdr>
            <w:top w:val="none" w:sz="0" w:space="0" w:color="auto"/>
            <w:left w:val="none" w:sz="0" w:space="0" w:color="auto"/>
            <w:bottom w:val="none" w:sz="0" w:space="0" w:color="auto"/>
            <w:right w:val="none" w:sz="0" w:space="0" w:color="auto"/>
          </w:divBdr>
        </w:div>
      </w:divsChild>
    </w:div>
    <w:div w:id="1916741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20</Pages>
  <Words>6040</Words>
  <Characters>34429</Characters>
  <Application>Microsoft Office Word</Application>
  <DocSecurity>0</DocSecurity>
  <Lines>286</Lines>
  <Paragraphs>80</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parkhouse-kingsbury</dc:creator>
  <cp:keywords/>
  <dc:description/>
  <cp:lastModifiedBy>chelsea parkhouse-kingsbury</cp:lastModifiedBy>
  <cp:revision>3</cp:revision>
  <cp:lastPrinted>2024-05-19T07:29:00Z</cp:lastPrinted>
  <dcterms:created xsi:type="dcterms:W3CDTF">2024-05-21T20:45:00Z</dcterms:created>
  <dcterms:modified xsi:type="dcterms:W3CDTF">2024-05-21T20:58:00Z</dcterms:modified>
</cp:coreProperties>
</file>