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3F5839" w14:textId="77777777" w:rsidR="00B74814" w:rsidRPr="00585238" w:rsidRDefault="00B177BD" w:rsidP="00B74814">
      <w:pPr>
        <w:jc w:val="center"/>
        <w:rPr>
          <w:b/>
          <w:sz w:val="48"/>
          <w:szCs w:val="48"/>
        </w:rPr>
      </w:pPr>
      <w:r w:rsidRPr="00585238">
        <w:rPr>
          <w:b/>
          <w:sz w:val="48"/>
          <w:szCs w:val="48"/>
        </w:rPr>
        <w:t>BA (Hons) Leadership and Management Skills for the Workplace</w:t>
      </w:r>
      <w:r w:rsidRPr="00585238">
        <w:rPr>
          <w:b/>
          <w:sz w:val="48"/>
          <w:szCs w:val="48"/>
        </w:rPr>
        <w:br/>
      </w:r>
      <w:r w:rsidRPr="00585238">
        <w:rPr>
          <w:b/>
          <w:sz w:val="48"/>
          <w:szCs w:val="48"/>
        </w:rPr>
        <w:br/>
        <w:t>Module: Leading and Implementing Change (LCLM6003)</w:t>
      </w:r>
      <w:r w:rsidRPr="00585238">
        <w:rPr>
          <w:b/>
          <w:sz w:val="48"/>
          <w:szCs w:val="48"/>
        </w:rPr>
        <w:br/>
      </w:r>
      <w:r w:rsidRPr="00585238">
        <w:rPr>
          <w:b/>
          <w:sz w:val="48"/>
          <w:szCs w:val="48"/>
        </w:rPr>
        <w:br/>
        <w:t>Assignment Title:</w:t>
      </w:r>
      <w:r w:rsidRPr="00585238">
        <w:rPr>
          <w:b/>
          <w:sz w:val="48"/>
          <w:szCs w:val="48"/>
        </w:rPr>
        <w:t xml:space="preserve"> </w:t>
      </w:r>
      <w:r w:rsidRPr="00585238">
        <w:rPr>
          <w:b/>
          <w:sz w:val="48"/>
          <w:szCs w:val="48"/>
        </w:rPr>
        <w:t>A Strategic Change Plan</w:t>
      </w:r>
      <w:r w:rsidRPr="00585238">
        <w:rPr>
          <w:b/>
          <w:sz w:val="48"/>
          <w:szCs w:val="48"/>
        </w:rPr>
        <w:br/>
      </w:r>
      <w:r w:rsidRPr="00585238">
        <w:rPr>
          <w:b/>
          <w:sz w:val="48"/>
          <w:szCs w:val="48"/>
        </w:rPr>
        <w:br/>
        <w:t>Student Name:</w:t>
      </w:r>
      <w:r w:rsidRPr="00585238">
        <w:rPr>
          <w:b/>
          <w:sz w:val="48"/>
          <w:szCs w:val="48"/>
        </w:rPr>
        <w:t xml:space="preserve"> Waqar Ali</w:t>
      </w:r>
      <w:r w:rsidRPr="00585238">
        <w:rPr>
          <w:b/>
          <w:sz w:val="48"/>
          <w:szCs w:val="48"/>
        </w:rPr>
        <w:br/>
        <w:t>Student ID:</w:t>
      </w:r>
      <w:r w:rsidRPr="00585238">
        <w:rPr>
          <w:b/>
          <w:sz w:val="48"/>
          <w:szCs w:val="48"/>
        </w:rPr>
        <w:t xml:space="preserve"> 2027054</w:t>
      </w:r>
      <w:r w:rsidRPr="00585238">
        <w:rPr>
          <w:b/>
          <w:sz w:val="48"/>
          <w:szCs w:val="48"/>
        </w:rPr>
        <w:br/>
      </w:r>
      <w:r w:rsidRPr="00585238">
        <w:rPr>
          <w:b/>
          <w:sz w:val="48"/>
          <w:szCs w:val="48"/>
        </w:rPr>
        <w:br/>
        <w:t>Lecturer(s):</w:t>
      </w:r>
      <w:r w:rsidR="00B74814" w:rsidRPr="00585238">
        <w:rPr>
          <w:b/>
          <w:sz w:val="48"/>
          <w:szCs w:val="48"/>
        </w:rPr>
        <w:t xml:space="preserve"> </w:t>
      </w:r>
    </w:p>
    <w:p w14:paraId="4D343036" w14:textId="06FDE4CE" w:rsidR="00B74814" w:rsidRPr="00585238" w:rsidRDefault="00B74814" w:rsidP="00B74814">
      <w:pPr>
        <w:jc w:val="center"/>
        <w:rPr>
          <w:b/>
          <w:sz w:val="48"/>
          <w:szCs w:val="48"/>
        </w:rPr>
      </w:pPr>
      <w:r w:rsidRPr="00585238">
        <w:rPr>
          <w:b/>
          <w:sz w:val="48"/>
          <w:szCs w:val="48"/>
        </w:rPr>
        <w:t>Nadeem Mirza</w:t>
      </w:r>
    </w:p>
    <w:p w14:paraId="6237DB85" w14:textId="6E6A81AE" w:rsidR="00DA17C6" w:rsidRPr="00585238" w:rsidRDefault="00B74814" w:rsidP="00B74814">
      <w:pPr>
        <w:jc w:val="center"/>
        <w:rPr>
          <w:b/>
          <w:sz w:val="48"/>
          <w:szCs w:val="48"/>
        </w:rPr>
      </w:pPr>
      <w:r w:rsidRPr="00585238">
        <w:rPr>
          <w:b/>
          <w:sz w:val="48"/>
          <w:szCs w:val="48"/>
        </w:rPr>
        <w:t>Nassir Ibrahim</w:t>
      </w:r>
      <w:r w:rsidR="00B177BD" w:rsidRPr="00585238">
        <w:rPr>
          <w:b/>
          <w:sz w:val="48"/>
          <w:szCs w:val="48"/>
        </w:rPr>
        <w:br/>
      </w:r>
      <w:r w:rsidR="00B177BD" w:rsidRPr="00585238">
        <w:rPr>
          <w:b/>
          <w:sz w:val="48"/>
          <w:szCs w:val="48"/>
        </w:rPr>
        <w:br/>
        <w:t>Submission Date:</w:t>
      </w:r>
      <w:r w:rsidR="00B177BD" w:rsidRPr="00585238">
        <w:rPr>
          <w:b/>
          <w:sz w:val="48"/>
          <w:szCs w:val="48"/>
        </w:rPr>
        <w:t xml:space="preserve"> 02/04/2026</w:t>
      </w:r>
      <w:bookmarkStart w:id="0" w:name="_Toc222853646"/>
    </w:p>
    <w:p w14:paraId="7D1F2E3D" w14:textId="77777777" w:rsidR="00B74814" w:rsidRDefault="00B74814" w:rsidP="00B74814">
      <w:pPr>
        <w:jc w:val="center"/>
        <w:rPr>
          <w:b/>
          <w:sz w:val="28"/>
          <w:szCs w:val="28"/>
        </w:rPr>
      </w:pPr>
    </w:p>
    <w:p w14:paraId="4F25BC96" w14:textId="77777777" w:rsidR="00B74814" w:rsidRDefault="00B74814" w:rsidP="00B74814">
      <w:pPr>
        <w:jc w:val="center"/>
        <w:rPr>
          <w:b/>
          <w:sz w:val="28"/>
          <w:szCs w:val="28"/>
        </w:rPr>
      </w:pPr>
    </w:p>
    <w:p w14:paraId="0AC5C931" w14:textId="77777777" w:rsidR="00B74814" w:rsidRDefault="00B74814" w:rsidP="00585238">
      <w:pPr>
        <w:rPr>
          <w:b/>
          <w:sz w:val="28"/>
          <w:szCs w:val="28"/>
        </w:rPr>
      </w:pPr>
    </w:p>
    <w:p w14:paraId="6CE5EFD6" w14:textId="0A9E7A32" w:rsidR="00DA17C6" w:rsidRPr="00A31228" w:rsidRDefault="00DA17C6" w:rsidP="00DA17C6">
      <w:pPr>
        <w:pStyle w:val="Heading1"/>
        <w:spacing w:line="360" w:lineRule="auto"/>
        <w:rPr>
          <w:sz w:val="56"/>
          <w:szCs w:val="56"/>
        </w:rPr>
      </w:pPr>
      <w:r w:rsidRPr="00A31228">
        <w:rPr>
          <w:rFonts w:ascii="Arial" w:hAnsi="Arial"/>
          <w:sz w:val="56"/>
          <w:szCs w:val="56"/>
        </w:rPr>
        <w:lastRenderedPageBreak/>
        <w:t>Contents</w:t>
      </w:r>
      <w:bookmarkEnd w:id="0"/>
    </w:p>
    <w:p w14:paraId="4C2ED44F" w14:textId="77777777" w:rsidR="00DA17C6" w:rsidRPr="00A31228" w:rsidRDefault="00DA17C6" w:rsidP="00DA17C6">
      <w:pPr>
        <w:pStyle w:val="TOC1"/>
        <w:tabs>
          <w:tab w:val="right" w:leader="dot" w:pos="8630"/>
        </w:tabs>
        <w:rPr>
          <w:noProof/>
          <w:sz w:val="48"/>
          <w:szCs w:val="48"/>
        </w:rPr>
      </w:pPr>
      <w:r w:rsidRPr="00A31228">
        <w:rPr>
          <w:rFonts w:ascii="Arial" w:hAnsi="Arial"/>
          <w:sz w:val="56"/>
          <w:szCs w:val="56"/>
        </w:rPr>
        <w:fldChar w:fldCharType="begin"/>
      </w:r>
      <w:r w:rsidRPr="00A31228">
        <w:rPr>
          <w:rFonts w:ascii="Arial" w:hAnsi="Arial"/>
          <w:sz w:val="56"/>
          <w:szCs w:val="56"/>
        </w:rPr>
        <w:instrText>TOC \o "1-3" \h \z \u</w:instrText>
      </w:r>
      <w:r w:rsidRPr="00A31228">
        <w:rPr>
          <w:rFonts w:ascii="Arial" w:hAnsi="Arial"/>
          <w:sz w:val="56"/>
          <w:szCs w:val="56"/>
        </w:rPr>
        <w:fldChar w:fldCharType="separate"/>
      </w:r>
      <w:hyperlink w:anchor="_Toc222853646" w:history="1">
        <w:r w:rsidRPr="00A31228">
          <w:rPr>
            <w:rStyle w:val="Hyperlink"/>
            <w:rFonts w:ascii="Arial" w:hAnsi="Arial"/>
            <w:noProof/>
            <w:sz w:val="48"/>
            <w:szCs w:val="48"/>
          </w:rPr>
          <w:t>Contents</w:t>
        </w:r>
        <w:r w:rsidRPr="00A31228">
          <w:rPr>
            <w:noProof/>
            <w:webHidden/>
            <w:sz w:val="48"/>
            <w:szCs w:val="48"/>
          </w:rPr>
          <w:tab/>
        </w:r>
        <w:r w:rsidRPr="00A31228">
          <w:rPr>
            <w:noProof/>
            <w:webHidden/>
            <w:sz w:val="48"/>
            <w:szCs w:val="48"/>
          </w:rPr>
          <w:fldChar w:fldCharType="begin"/>
        </w:r>
        <w:r w:rsidRPr="00A31228">
          <w:rPr>
            <w:noProof/>
            <w:webHidden/>
            <w:sz w:val="48"/>
            <w:szCs w:val="48"/>
          </w:rPr>
          <w:instrText xml:space="preserve"> PAGEREF _Toc222853646 \h </w:instrText>
        </w:r>
        <w:r w:rsidRPr="00A31228">
          <w:rPr>
            <w:noProof/>
            <w:webHidden/>
            <w:sz w:val="48"/>
            <w:szCs w:val="48"/>
          </w:rPr>
        </w:r>
        <w:r w:rsidRPr="00A31228">
          <w:rPr>
            <w:noProof/>
            <w:webHidden/>
            <w:sz w:val="48"/>
            <w:szCs w:val="48"/>
          </w:rPr>
          <w:fldChar w:fldCharType="separate"/>
        </w:r>
        <w:r w:rsidRPr="00A31228">
          <w:rPr>
            <w:noProof/>
            <w:webHidden/>
            <w:sz w:val="48"/>
            <w:szCs w:val="48"/>
          </w:rPr>
          <w:t>2</w:t>
        </w:r>
        <w:r w:rsidRPr="00A31228">
          <w:rPr>
            <w:noProof/>
            <w:webHidden/>
            <w:sz w:val="48"/>
            <w:szCs w:val="48"/>
          </w:rPr>
          <w:fldChar w:fldCharType="end"/>
        </w:r>
      </w:hyperlink>
    </w:p>
    <w:p w14:paraId="3B93C65F" w14:textId="77777777" w:rsidR="00DA17C6" w:rsidRPr="00A31228" w:rsidRDefault="00DA17C6" w:rsidP="00DA17C6">
      <w:pPr>
        <w:pStyle w:val="TOC1"/>
        <w:tabs>
          <w:tab w:val="right" w:leader="dot" w:pos="8630"/>
        </w:tabs>
        <w:rPr>
          <w:noProof/>
          <w:sz w:val="48"/>
          <w:szCs w:val="48"/>
        </w:rPr>
      </w:pPr>
      <w:hyperlink w:anchor="_Toc222853647" w:history="1">
        <w:r w:rsidRPr="00A31228">
          <w:rPr>
            <w:rStyle w:val="Hyperlink"/>
            <w:rFonts w:ascii="Arial" w:hAnsi="Arial"/>
            <w:noProof/>
            <w:sz w:val="48"/>
            <w:szCs w:val="48"/>
          </w:rPr>
          <w:t>Executive Summary</w:t>
        </w:r>
        <w:r w:rsidRPr="00A31228">
          <w:rPr>
            <w:noProof/>
            <w:webHidden/>
            <w:sz w:val="48"/>
            <w:szCs w:val="48"/>
          </w:rPr>
          <w:tab/>
        </w:r>
        <w:r w:rsidRPr="00A31228">
          <w:rPr>
            <w:noProof/>
            <w:webHidden/>
            <w:sz w:val="48"/>
            <w:szCs w:val="48"/>
          </w:rPr>
          <w:fldChar w:fldCharType="begin"/>
        </w:r>
        <w:r w:rsidRPr="00A31228">
          <w:rPr>
            <w:noProof/>
            <w:webHidden/>
            <w:sz w:val="48"/>
            <w:szCs w:val="48"/>
          </w:rPr>
          <w:instrText xml:space="preserve"> PAGEREF _Toc222853647 \h </w:instrText>
        </w:r>
        <w:r w:rsidRPr="00A31228">
          <w:rPr>
            <w:noProof/>
            <w:webHidden/>
            <w:sz w:val="48"/>
            <w:szCs w:val="48"/>
          </w:rPr>
        </w:r>
        <w:r w:rsidRPr="00A31228">
          <w:rPr>
            <w:noProof/>
            <w:webHidden/>
            <w:sz w:val="48"/>
            <w:szCs w:val="48"/>
          </w:rPr>
          <w:fldChar w:fldCharType="separate"/>
        </w:r>
        <w:r w:rsidRPr="00A31228">
          <w:rPr>
            <w:noProof/>
            <w:webHidden/>
            <w:sz w:val="48"/>
            <w:szCs w:val="48"/>
          </w:rPr>
          <w:t>3</w:t>
        </w:r>
        <w:r w:rsidRPr="00A31228">
          <w:rPr>
            <w:noProof/>
            <w:webHidden/>
            <w:sz w:val="48"/>
            <w:szCs w:val="48"/>
          </w:rPr>
          <w:fldChar w:fldCharType="end"/>
        </w:r>
      </w:hyperlink>
    </w:p>
    <w:p w14:paraId="2F2E0507" w14:textId="77777777" w:rsidR="00DA17C6" w:rsidRPr="00A31228" w:rsidRDefault="00DA17C6" w:rsidP="00DA17C6">
      <w:pPr>
        <w:pStyle w:val="TOC1"/>
        <w:tabs>
          <w:tab w:val="right" w:leader="dot" w:pos="8630"/>
        </w:tabs>
        <w:rPr>
          <w:noProof/>
          <w:sz w:val="48"/>
          <w:szCs w:val="48"/>
        </w:rPr>
      </w:pPr>
      <w:hyperlink w:anchor="_Toc222853648" w:history="1">
        <w:r w:rsidRPr="00A31228">
          <w:rPr>
            <w:rStyle w:val="Hyperlink"/>
            <w:rFonts w:ascii="Arial" w:hAnsi="Arial"/>
            <w:noProof/>
            <w:sz w:val="48"/>
            <w:szCs w:val="48"/>
          </w:rPr>
          <w:t>1.0 Introduction to the Organisation</w:t>
        </w:r>
        <w:r w:rsidRPr="00A31228">
          <w:rPr>
            <w:noProof/>
            <w:webHidden/>
            <w:sz w:val="48"/>
            <w:szCs w:val="48"/>
          </w:rPr>
          <w:tab/>
        </w:r>
        <w:r w:rsidRPr="00A31228">
          <w:rPr>
            <w:noProof/>
            <w:webHidden/>
            <w:sz w:val="48"/>
            <w:szCs w:val="48"/>
          </w:rPr>
          <w:fldChar w:fldCharType="begin"/>
        </w:r>
        <w:r w:rsidRPr="00A31228">
          <w:rPr>
            <w:noProof/>
            <w:webHidden/>
            <w:sz w:val="48"/>
            <w:szCs w:val="48"/>
          </w:rPr>
          <w:instrText xml:space="preserve"> PAGEREF _Toc222853648 \h </w:instrText>
        </w:r>
        <w:r w:rsidRPr="00A31228">
          <w:rPr>
            <w:noProof/>
            <w:webHidden/>
            <w:sz w:val="48"/>
            <w:szCs w:val="48"/>
          </w:rPr>
        </w:r>
        <w:r w:rsidRPr="00A31228">
          <w:rPr>
            <w:noProof/>
            <w:webHidden/>
            <w:sz w:val="48"/>
            <w:szCs w:val="48"/>
          </w:rPr>
          <w:fldChar w:fldCharType="separate"/>
        </w:r>
        <w:r w:rsidRPr="00A31228">
          <w:rPr>
            <w:noProof/>
            <w:webHidden/>
            <w:sz w:val="48"/>
            <w:szCs w:val="48"/>
          </w:rPr>
          <w:t>3</w:t>
        </w:r>
        <w:r w:rsidRPr="00A31228">
          <w:rPr>
            <w:noProof/>
            <w:webHidden/>
            <w:sz w:val="48"/>
            <w:szCs w:val="48"/>
          </w:rPr>
          <w:fldChar w:fldCharType="end"/>
        </w:r>
      </w:hyperlink>
    </w:p>
    <w:p w14:paraId="1383A135" w14:textId="77777777" w:rsidR="00DA17C6" w:rsidRPr="00A31228" w:rsidRDefault="00DA17C6" w:rsidP="00DA17C6">
      <w:pPr>
        <w:pStyle w:val="TOC1"/>
        <w:tabs>
          <w:tab w:val="right" w:leader="dot" w:pos="8630"/>
        </w:tabs>
        <w:rPr>
          <w:noProof/>
          <w:sz w:val="48"/>
          <w:szCs w:val="48"/>
        </w:rPr>
      </w:pPr>
      <w:hyperlink w:anchor="_Toc222853649" w:history="1">
        <w:r w:rsidRPr="00A31228">
          <w:rPr>
            <w:rStyle w:val="Hyperlink"/>
            <w:rFonts w:ascii="Arial" w:hAnsi="Arial"/>
            <w:noProof/>
            <w:sz w:val="48"/>
            <w:szCs w:val="48"/>
          </w:rPr>
          <w:t>2.0 Environmental and Organisational Analysis</w:t>
        </w:r>
        <w:r w:rsidRPr="00A31228">
          <w:rPr>
            <w:noProof/>
            <w:webHidden/>
            <w:sz w:val="48"/>
            <w:szCs w:val="48"/>
          </w:rPr>
          <w:tab/>
        </w:r>
        <w:r w:rsidRPr="00A31228">
          <w:rPr>
            <w:noProof/>
            <w:webHidden/>
            <w:sz w:val="48"/>
            <w:szCs w:val="48"/>
          </w:rPr>
          <w:fldChar w:fldCharType="begin"/>
        </w:r>
        <w:r w:rsidRPr="00A31228">
          <w:rPr>
            <w:noProof/>
            <w:webHidden/>
            <w:sz w:val="48"/>
            <w:szCs w:val="48"/>
          </w:rPr>
          <w:instrText xml:space="preserve"> PAGEREF _Toc222853649 \h </w:instrText>
        </w:r>
        <w:r w:rsidRPr="00A31228">
          <w:rPr>
            <w:noProof/>
            <w:webHidden/>
            <w:sz w:val="48"/>
            <w:szCs w:val="48"/>
          </w:rPr>
        </w:r>
        <w:r w:rsidRPr="00A31228">
          <w:rPr>
            <w:noProof/>
            <w:webHidden/>
            <w:sz w:val="48"/>
            <w:szCs w:val="48"/>
          </w:rPr>
          <w:fldChar w:fldCharType="separate"/>
        </w:r>
        <w:r w:rsidRPr="00A31228">
          <w:rPr>
            <w:noProof/>
            <w:webHidden/>
            <w:sz w:val="48"/>
            <w:szCs w:val="48"/>
          </w:rPr>
          <w:t>4</w:t>
        </w:r>
        <w:r w:rsidRPr="00A31228">
          <w:rPr>
            <w:noProof/>
            <w:webHidden/>
            <w:sz w:val="48"/>
            <w:szCs w:val="48"/>
          </w:rPr>
          <w:fldChar w:fldCharType="end"/>
        </w:r>
      </w:hyperlink>
    </w:p>
    <w:p w14:paraId="3BCC228E" w14:textId="77777777" w:rsidR="00DA17C6" w:rsidRPr="00A31228" w:rsidRDefault="00DA17C6" w:rsidP="00DA17C6">
      <w:pPr>
        <w:pStyle w:val="TOC1"/>
        <w:tabs>
          <w:tab w:val="right" w:leader="dot" w:pos="8630"/>
        </w:tabs>
        <w:rPr>
          <w:noProof/>
          <w:sz w:val="48"/>
          <w:szCs w:val="48"/>
        </w:rPr>
      </w:pPr>
      <w:hyperlink w:anchor="_Toc222853650" w:history="1">
        <w:r w:rsidRPr="00A31228">
          <w:rPr>
            <w:rStyle w:val="Hyperlink"/>
            <w:rFonts w:ascii="Arial" w:hAnsi="Arial"/>
            <w:noProof/>
            <w:sz w:val="48"/>
            <w:szCs w:val="48"/>
          </w:rPr>
          <w:t>3.0 Review and Evaluation of Change Management Models</w:t>
        </w:r>
        <w:r w:rsidRPr="00A31228">
          <w:rPr>
            <w:noProof/>
            <w:webHidden/>
            <w:sz w:val="48"/>
            <w:szCs w:val="48"/>
          </w:rPr>
          <w:tab/>
        </w:r>
        <w:r w:rsidRPr="00A31228">
          <w:rPr>
            <w:noProof/>
            <w:webHidden/>
            <w:sz w:val="48"/>
            <w:szCs w:val="48"/>
          </w:rPr>
          <w:fldChar w:fldCharType="begin"/>
        </w:r>
        <w:r w:rsidRPr="00A31228">
          <w:rPr>
            <w:noProof/>
            <w:webHidden/>
            <w:sz w:val="48"/>
            <w:szCs w:val="48"/>
          </w:rPr>
          <w:instrText xml:space="preserve"> PAGEREF _Toc222853650 \h </w:instrText>
        </w:r>
        <w:r w:rsidRPr="00A31228">
          <w:rPr>
            <w:noProof/>
            <w:webHidden/>
            <w:sz w:val="48"/>
            <w:szCs w:val="48"/>
          </w:rPr>
        </w:r>
        <w:r w:rsidRPr="00A31228">
          <w:rPr>
            <w:noProof/>
            <w:webHidden/>
            <w:sz w:val="48"/>
            <w:szCs w:val="48"/>
          </w:rPr>
          <w:fldChar w:fldCharType="separate"/>
        </w:r>
        <w:r w:rsidRPr="00A31228">
          <w:rPr>
            <w:noProof/>
            <w:webHidden/>
            <w:sz w:val="48"/>
            <w:szCs w:val="48"/>
          </w:rPr>
          <w:t>4</w:t>
        </w:r>
        <w:r w:rsidRPr="00A31228">
          <w:rPr>
            <w:noProof/>
            <w:webHidden/>
            <w:sz w:val="48"/>
            <w:szCs w:val="48"/>
          </w:rPr>
          <w:fldChar w:fldCharType="end"/>
        </w:r>
      </w:hyperlink>
    </w:p>
    <w:p w14:paraId="2156732F" w14:textId="77777777" w:rsidR="00DA17C6" w:rsidRPr="00A31228" w:rsidRDefault="00DA17C6" w:rsidP="00DA17C6">
      <w:pPr>
        <w:pStyle w:val="TOC1"/>
        <w:tabs>
          <w:tab w:val="right" w:leader="dot" w:pos="8630"/>
        </w:tabs>
        <w:rPr>
          <w:noProof/>
          <w:sz w:val="48"/>
          <w:szCs w:val="48"/>
        </w:rPr>
      </w:pPr>
      <w:hyperlink w:anchor="_Toc222853651" w:history="1">
        <w:r w:rsidRPr="00A31228">
          <w:rPr>
            <w:rStyle w:val="Hyperlink"/>
            <w:rFonts w:ascii="Arial" w:hAnsi="Arial"/>
            <w:noProof/>
            <w:sz w:val="48"/>
            <w:szCs w:val="48"/>
          </w:rPr>
          <w:t>4.0 Leadership and Organisational Culture in Change</w:t>
        </w:r>
        <w:r w:rsidRPr="00A31228">
          <w:rPr>
            <w:noProof/>
            <w:webHidden/>
            <w:sz w:val="48"/>
            <w:szCs w:val="48"/>
          </w:rPr>
          <w:tab/>
        </w:r>
        <w:r w:rsidRPr="00A31228">
          <w:rPr>
            <w:noProof/>
            <w:webHidden/>
            <w:sz w:val="48"/>
            <w:szCs w:val="48"/>
          </w:rPr>
          <w:fldChar w:fldCharType="begin"/>
        </w:r>
        <w:r w:rsidRPr="00A31228">
          <w:rPr>
            <w:noProof/>
            <w:webHidden/>
            <w:sz w:val="48"/>
            <w:szCs w:val="48"/>
          </w:rPr>
          <w:instrText xml:space="preserve"> PAGEREF _Toc222853651 \h </w:instrText>
        </w:r>
        <w:r w:rsidRPr="00A31228">
          <w:rPr>
            <w:noProof/>
            <w:webHidden/>
            <w:sz w:val="48"/>
            <w:szCs w:val="48"/>
          </w:rPr>
        </w:r>
        <w:r w:rsidRPr="00A31228">
          <w:rPr>
            <w:noProof/>
            <w:webHidden/>
            <w:sz w:val="48"/>
            <w:szCs w:val="48"/>
          </w:rPr>
          <w:fldChar w:fldCharType="separate"/>
        </w:r>
        <w:r w:rsidRPr="00A31228">
          <w:rPr>
            <w:noProof/>
            <w:webHidden/>
            <w:sz w:val="48"/>
            <w:szCs w:val="48"/>
          </w:rPr>
          <w:t>5</w:t>
        </w:r>
        <w:r w:rsidRPr="00A31228">
          <w:rPr>
            <w:noProof/>
            <w:webHidden/>
            <w:sz w:val="48"/>
            <w:szCs w:val="48"/>
          </w:rPr>
          <w:fldChar w:fldCharType="end"/>
        </w:r>
      </w:hyperlink>
    </w:p>
    <w:p w14:paraId="0C8DA480" w14:textId="77777777" w:rsidR="00DA17C6" w:rsidRPr="00A31228" w:rsidRDefault="00DA17C6" w:rsidP="00DA17C6">
      <w:pPr>
        <w:pStyle w:val="TOC1"/>
        <w:tabs>
          <w:tab w:val="right" w:leader="dot" w:pos="8630"/>
        </w:tabs>
        <w:rPr>
          <w:noProof/>
          <w:sz w:val="48"/>
          <w:szCs w:val="48"/>
        </w:rPr>
      </w:pPr>
      <w:hyperlink w:anchor="_Toc222853652" w:history="1">
        <w:r w:rsidRPr="00A31228">
          <w:rPr>
            <w:rStyle w:val="Hyperlink"/>
            <w:rFonts w:ascii="Arial" w:hAnsi="Arial"/>
            <w:noProof/>
            <w:sz w:val="48"/>
            <w:szCs w:val="48"/>
          </w:rPr>
          <w:t>5.0 Proposed Strategic Change Management Plan</w:t>
        </w:r>
        <w:r w:rsidRPr="00A31228">
          <w:rPr>
            <w:noProof/>
            <w:webHidden/>
            <w:sz w:val="48"/>
            <w:szCs w:val="48"/>
          </w:rPr>
          <w:tab/>
        </w:r>
        <w:r w:rsidRPr="00A31228">
          <w:rPr>
            <w:noProof/>
            <w:webHidden/>
            <w:sz w:val="48"/>
            <w:szCs w:val="48"/>
          </w:rPr>
          <w:fldChar w:fldCharType="begin"/>
        </w:r>
        <w:r w:rsidRPr="00A31228">
          <w:rPr>
            <w:noProof/>
            <w:webHidden/>
            <w:sz w:val="48"/>
            <w:szCs w:val="48"/>
          </w:rPr>
          <w:instrText xml:space="preserve"> PAGEREF _Toc222853652 \h </w:instrText>
        </w:r>
        <w:r w:rsidRPr="00A31228">
          <w:rPr>
            <w:noProof/>
            <w:webHidden/>
            <w:sz w:val="48"/>
            <w:szCs w:val="48"/>
          </w:rPr>
        </w:r>
        <w:r w:rsidRPr="00A31228">
          <w:rPr>
            <w:noProof/>
            <w:webHidden/>
            <w:sz w:val="48"/>
            <w:szCs w:val="48"/>
          </w:rPr>
          <w:fldChar w:fldCharType="separate"/>
        </w:r>
        <w:r w:rsidRPr="00A31228">
          <w:rPr>
            <w:noProof/>
            <w:webHidden/>
            <w:sz w:val="48"/>
            <w:szCs w:val="48"/>
          </w:rPr>
          <w:t>5</w:t>
        </w:r>
        <w:r w:rsidRPr="00A31228">
          <w:rPr>
            <w:noProof/>
            <w:webHidden/>
            <w:sz w:val="48"/>
            <w:szCs w:val="48"/>
          </w:rPr>
          <w:fldChar w:fldCharType="end"/>
        </w:r>
      </w:hyperlink>
    </w:p>
    <w:p w14:paraId="30EC6E7C" w14:textId="77777777" w:rsidR="00DA17C6" w:rsidRPr="00A31228" w:rsidRDefault="00DA17C6" w:rsidP="00DA17C6">
      <w:pPr>
        <w:pStyle w:val="TOC1"/>
        <w:tabs>
          <w:tab w:val="right" w:leader="dot" w:pos="8630"/>
        </w:tabs>
        <w:rPr>
          <w:noProof/>
          <w:sz w:val="48"/>
          <w:szCs w:val="48"/>
        </w:rPr>
      </w:pPr>
      <w:hyperlink w:anchor="_Toc222853653" w:history="1">
        <w:r w:rsidRPr="00A31228">
          <w:rPr>
            <w:rStyle w:val="Hyperlink"/>
            <w:rFonts w:ascii="Arial" w:hAnsi="Arial"/>
            <w:noProof/>
            <w:sz w:val="48"/>
            <w:szCs w:val="48"/>
          </w:rPr>
          <w:t>6.0 Discussion and Critical Reflection</w:t>
        </w:r>
        <w:r w:rsidRPr="00A31228">
          <w:rPr>
            <w:noProof/>
            <w:webHidden/>
            <w:sz w:val="48"/>
            <w:szCs w:val="48"/>
          </w:rPr>
          <w:tab/>
        </w:r>
        <w:r w:rsidRPr="00A31228">
          <w:rPr>
            <w:noProof/>
            <w:webHidden/>
            <w:sz w:val="48"/>
            <w:szCs w:val="48"/>
          </w:rPr>
          <w:fldChar w:fldCharType="begin"/>
        </w:r>
        <w:r w:rsidRPr="00A31228">
          <w:rPr>
            <w:noProof/>
            <w:webHidden/>
            <w:sz w:val="48"/>
            <w:szCs w:val="48"/>
          </w:rPr>
          <w:instrText xml:space="preserve"> PAGEREF _Toc222853653 \h </w:instrText>
        </w:r>
        <w:r w:rsidRPr="00A31228">
          <w:rPr>
            <w:noProof/>
            <w:webHidden/>
            <w:sz w:val="48"/>
            <w:szCs w:val="48"/>
          </w:rPr>
        </w:r>
        <w:r w:rsidRPr="00A31228">
          <w:rPr>
            <w:noProof/>
            <w:webHidden/>
            <w:sz w:val="48"/>
            <w:szCs w:val="48"/>
          </w:rPr>
          <w:fldChar w:fldCharType="separate"/>
        </w:r>
        <w:r w:rsidRPr="00A31228">
          <w:rPr>
            <w:noProof/>
            <w:webHidden/>
            <w:sz w:val="48"/>
            <w:szCs w:val="48"/>
          </w:rPr>
          <w:t>6</w:t>
        </w:r>
        <w:r w:rsidRPr="00A31228">
          <w:rPr>
            <w:noProof/>
            <w:webHidden/>
            <w:sz w:val="48"/>
            <w:szCs w:val="48"/>
          </w:rPr>
          <w:fldChar w:fldCharType="end"/>
        </w:r>
      </w:hyperlink>
    </w:p>
    <w:p w14:paraId="7957566C" w14:textId="77777777" w:rsidR="00DA17C6" w:rsidRPr="00A31228" w:rsidRDefault="00DA17C6" w:rsidP="00DA17C6">
      <w:pPr>
        <w:pStyle w:val="TOC1"/>
        <w:tabs>
          <w:tab w:val="right" w:leader="dot" w:pos="8630"/>
        </w:tabs>
        <w:rPr>
          <w:noProof/>
          <w:sz w:val="48"/>
          <w:szCs w:val="48"/>
        </w:rPr>
      </w:pPr>
      <w:hyperlink w:anchor="_Toc222853654" w:history="1">
        <w:r w:rsidRPr="00A31228">
          <w:rPr>
            <w:rStyle w:val="Hyperlink"/>
            <w:rFonts w:ascii="Arial" w:hAnsi="Arial"/>
            <w:noProof/>
            <w:sz w:val="48"/>
            <w:szCs w:val="48"/>
          </w:rPr>
          <w:t>7.0 Conclusion</w:t>
        </w:r>
        <w:r w:rsidRPr="00A31228">
          <w:rPr>
            <w:noProof/>
            <w:webHidden/>
            <w:sz w:val="48"/>
            <w:szCs w:val="48"/>
          </w:rPr>
          <w:tab/>
        </w:r>
        <w:r w:rsidRPr="00A31228">
          <w:rPr>
            <w:noProof/>
            <w:webHidden/>
            <w:sz w:val="48"/>
            <w:szCs w:val="48"/>
          </w:rPr>
          <w:fldChar w:fldCharType="begin"/>
        </w:r>
        <w:r w:rsidRPr="00A31228">
          <w:rPr>
            <w:noProof/>
            <w:webHidden/>
            <w:sz w:val="48"/>
            <w:szCs w:val="48"/>
          </w:rPr>
          <w:instrText xml:space="preserve"> PAGEREF _Toc222853654 \h </w:instrText>
        </w:r>
        <w:r w:rsidRPr="00A31228">
          <w:rPr>
            <w:noProof/>
            <w:webHidden/>
            <w:sz w:val="48"/>
            <w:szCs w:val="48"/>
          </w:rPr>
        </w:r>
        <w:r w:rsidRPr="00A31228">
          <w:rPr>
            <w:noProof/>
            <w:webHidden/>
            <w:sz w:val="48"/>
            <w:szCs w:val="48"/>
          </w:rPr>
          <w:fldChar w:fldCharType="separate"/>
        </w:r>
        <w:r w:rsidRPr="00A31228">
          <w:rPr>
            <w:noProof/>
            <w:webHidden/>
            <w:sz w:val="48"/>
            <w:szCs w:val="48"/>
          </w:rPr>
          <w:t>6</w:t>
        </w:r>
        <w:r w:rsidRPr="00A31228">
          <w:rPr>
            <w:noProof/>
            <w:webHidden/>
            <w:sz w:val="48"/>
            <w:szCs w:val="48"/>
          </w:rPr>
          <w:fldChar w:fldCharType="end"/>
        </w:r>
      </w:hyperlink>
    </w:p>
    <w:p w14:paraId="269B6319" w14:textId="77777777" w:rsidR="00DA17C6" w:rsidRPr="00A31228" w:rsidRDefault="00DA17C6" w:rsidP="00DA17C6">
      <w:pPr>
        <w:pStyle w:val="TOC1"/>
        <w:tabs>
          <w:tab w:val="right" w:leader="dot" w:pos="8630"/>
        </w:tabs>
        <w:rPr>
          <w:noProof/>
          <w:sz w:val="56"/>
          <w:szCs w:val="56"/>
        </w:rPr>
      </w:pPr>
      <w:hyperlink w:anchor="_Toc222853655" w:history="1">
        <w:r w:rsidRPr="00A31228">
          <w:rPr>
            <w:rStyle w:val="Hyperlink"/>
            <w:rFonts w:ascii="Arial" w:hAnsi="Arial"/>
            <w:noProof/>
            <w:sz w:val="56"/>
            <w:szCs w:val="56"/>
          </w:rPr>
          <w:t>References</w:t>
        </w:r>
        <w:r w:rsidRPr="00A31228">
          <w:rPr>
            <w:noProof/>
            <w:webHidden/>
            <w:sz w:val="56"/>
            <w:szCs w:val="56"/>
          </w:rPr>
          <w:tab/>
        </w:r>
        <w:r w:rsidRPr="00A31228">
          <w:rPr>
            <w:noProof/>
            <w:webHidden/>
            <w:sz w:val="56"/>
            <w:szCs w:val="56"/>
          </w:rPr>
          <w:fldChar w:fldCharType="begin"/>
        </w:r>
        <w:r w:rsidRPr="00A31228">
          <w:rPr>
            <w:noProof/>
            <w:webHidden/>
            <w:sz w:val="56"/>
            <w:szCs w:val="56"/>
          </w:rPr>
          <w:instrText xml:space="preserve"> PAGEREF _Toc222853655 \h </w:instrText>
        </w:r>
        <w:r w:rsidRPr="00A31228">
          <w:rPr>
            <w:noProof/>
            <w:webHidden/>
            <w:sz w:val="56"/>
            <w:szCs w:val="56"/>
          </w:rPr>
        </w:r>
        <w:r w:rsidRPr="00A31228">
          <w:rPr>
            <w:noProof/>
            <w:webHidden/>
            <w:sz w:val="56"/>
            <w:szCs w:val="56"/>
          </w:rPr>
          <w:fldChar w:fldCharType="separate"/>
        </w:r>
        <w:r w:rsidRPr="00A31228">
          <w:rPr>
            <w:noProof/>
            <w:webHidden/>
            <w:sz w:val="56"/>
            <w:szCs w:val="56"/>
          </w:rPr>
          <w:t>6</w:t>
        </w:r>
        <w:r w:rsidRPr="00A31228">
          <w:rPr>
            <w:noProof/>
            <w:webHidden/>
            <w:sz w:val="56"/>
            <w:szCs w:val="56"/>
          </w:rPr>
          <w:fldChar w:fldCharType="end"/>
        </w:r>
      </w:hyperlink>
    </w:p>
    <w:p w14:paraId="4A0E5935" w14:textId="32358548" w:rsidR="003B6589" w:rsidRDefault="00DA17C6" w:rsidP="00DA17C6">
      <w:pPr>
        <w:rPr>
          <w:b/>
          <w:bCs/>
        </w:rPr>
      </w:pPr>
      <w:r w:rsidRPr="00A31228">
        <w:rPr>
          <w:rFonts w:ascii="Arial" w:hAnsi="Arial"/>
          <w:sz w:val="56"/>
          <w:szCs w:val="56"/>
        </w:rPr>
        <w:fldChar w:fldCharType="end"/>
      </w:r>
    </w:p>
    <w:p w14:paraId="2D45B88C" w14:textId="77777777" w:rsidR="003B6589" w:rsidRDefault="003B6589" w:rsidP="005E4A8D">
      <w:pPr>
        <w:rPr>
          <w:b/>
          <w:bCs/>
        </w:rPr>
      </w:pPr>
    </w:p>
    <w:p w14:paraId="43B0D80D" w14:textId="77777777" w:rsidR="003B6589" w:rsidRDefault="003B6589" w:rsidP="005E4A8D">
      <w:pPr>
        <w:rPr>
          <w:b/>
          <w:bCs/>
        </w:rPr>
      </w:pPr>
    </w:p>
    <w:p w14:paraId="7EE85C4F" w14:textId="77777777" w:rsidR="003B6589" w:rsidRDefault="003B6589" w:rsidP="005E4A8D">
      <w:pPr>
        <w:rPr>
          <w:b/>
          <w:bCs/>
        </w:rPr>
      </w:pPr>
    </w:p>
    <w:p w14:paraId="69FE6662" w14:textId="77777777" w:rsidR="00DA17C6" w:rsidRDefault="00DA17C6" w:rsidP="005E4A8D">
      <w:pPr>
        <w:rPr>
          <w:b/>
          <w:bCs/>
        </w:rPr>
      </w:pPr>
    </w:p>
    <w:p w14:paraId="75183AF1" w14:textId="34563365" w:rsidR="003B6589" w:rsidRDefault="005E4A8D" w:rsidP="005E4A8D">
      <w:pPr>
        <w:rPr>
          <w:b/>
          <w:bCs/>
        </w:rPr>
      </w:pPr>
      <w:r w:rsidRPr="003B6589">
        <w:rPr>
          <w:b/>
          <w:bCs/>
        </w:rPr>
        <w:lastRenderedPageBreak/>
        <w:t>Marks &amp; Spencer (M&amp;S)</w:t>
      </w:r>
      <w:r w:rsidR="003B6589">
        <w:rPr>
          <w:b/>
          <w:bCs/>
        </w:rPr>
        <w:t xml:space="preserve"> </w:t>
      </w:r>
    </w:p>
    <w:p w14:paraId="298871E0" w14:textId="300CC617" w:rsidR="005E4A8D" w:rsidRPr="003B6589" w:rsidRDefault="005E4A8D" w:rsidP="005E4A8D">
      <w:pPr>
        <w:rPr>
          <w:b/>
          <w:bCs/>
        </w:rPr>
      </w:pPr>
      <w:r w:rsidRPr="003B6589">
        <w:rPr>
          <w:b/>
          <w:bCs/>
        </w:rPr>
        <w:t xml:space="preserve">1. Introduction to the Organisation </w:t>
      </w:r>
    </w:p>
    <w:p w14:paraId="0076A04D" w14:textId="77777777" w:rsidR="005E4A8D" w:rsidRDefault="005E4A8D" w:rsidP="005E4A8D">
      <w:r>
        <w:t>Marks &amp; Spencer (M&amp;S) is one of the United Kingdom’s most established multinational retailers, founded in 1884 and operating across clothing, home, and food sectors. The organisation has historically positioned itself as a premium, quality-focused brand grounded in trust, reliability, and ethical sourcing. With thousands of employees and operations across multiple international markets, M&amp;S remains a significant actor within the UK retail industry (Marks &amp; Spencer Group plc, 2023).</w:t>
      </w:r>
    </w:p>
    <w:p w14:paraId="5D7753DD" w14:textId="77777777" w:rsidR="005E4A8D" w:rsidRDefault="005E4A8D" w:rsidP="005E4A8D">
      <w:r>
        <w:t>The UK retail sector has undergone substantial structural change over the past two decades. Increasing digitalisation, the growth of e-commerce, artificial intelligence (AI), mobile commerce, and globalised supply chains have altered traditional competitive dynamics (Deloitte, 2023). Consumer behaviour has shifted from store-based transactions to omnichannel engagement, where customers expect convenience, personalisation, and rapid fulfilment. These developments have intensified competition, particularly from digital-native organisations such as Amazon and ASOS, whose agile operating models contrast sharply with traditional high-street retailers.</w:t>
      </w:r>
    </w:p>
    <w:p w14:paraId="3657F71E" w14:textId="77777777" w:rsidR="005E4A8D" w:rsidRDefault="005E4A8D" w:rsidP="005E4A8D">
      <w:r>
        <w:t>M&amp;S’s corporate vision is centred on becoming a digitally led, sustainable retailer delivering trusted quality and innovation. In recent years, the organisation has initiated transformation programmes including store rationalisation, cost restructuring, digital partnerships, and sustainability commitments. However, legacy systems, cultural inertia, and historical underinvestment in digital infrastructure limited earlier adaptation.</w:t>
      </w:r>
    </w:p>
    <w:p w14:paraId="6546159F" w14:textId="77777777" w:rsidR="005E4A8D" w:rsidRDefault="005E4A8D" w:rsidP="005E4A8D">
      <w:r>
        <w:t>Strategic management literature emphasises that organisations operating in dynamic environments must develop adaptive capabilities to maintain competitive advantage (Johnson, Scholes &amp; Whittington, 2020). Porter (1985) argues that sustained advantage derives from the alignment of organisational resources with environmental conditions. In the context of retail transformation, this requires not only technological investment but also cultural and leadership evolution.</w:t>
      </w:r>
    </w:p>
    <w:p w14:paraId="5655D3FC" w14:textId="77777777" w:rsidR="005E4A8D" w:rsidRDefault="005E4A8D" w:rsidP="005E4A8D">
      <w:r>
        <w:t>The rationale for selecting M&amp;S lies in its clear exposure to external volatility and internal transformation challenges. The organisation provides a strong case study of strategic change in a mature industry undergoing digital disruption. As Change Manager, the primary objective is to design a structured change management plan capable of addressing environmental triggers while strengthening organisational resilience.</w:t>
      </w:r>
    </w:p>
    <w:p w14:paraId="01BE1333" w14:textId="0D72F23B" w:rsidR="005E4A8D" w:rsidRDefault="005E4A8D" w:rsidP="005E4A8D">
      <w:r>
        <w:t>This report therefore analyses environmental and organisational factors, critically evaluates change management models, examines leadership and culture, and proposes a strategic transformation plan grounded in academic theory and industry realities.</w:t>
      </w:r>
    </w:p>
    <w:p w14:paraId="73F33D0D" w14:textId="2420331F" w:rsidR="005E4A8D" w:rsidRPr="003B6589" w:rsidRDefault="005E4A8D" w:rsidP="005E4A8D">
      <w:pPr>
        <w:rPr>
          <w:b/>
          <w:bCs/>
        </w:rPr>
      </w:pPr>
      <w:r w:rsidRPr="003B6589">
        <w:rPr>
          <w:b/>
          <w:bCs/>
        </w:rPr>
        <w:lastRenderedPageBreak/>
        <w:t xml:space="preserve">2. Environmental and Organisational Analysis </w:t>
      </w:r>
    </w:p>
    <w:p w14:paraId="557A1E66" w14:textId="77777777" w:rsidR="005E4A8D" w:rsidRPr="003B6589" w:rsidRDefault="005E4A8D" w:rsidP="005E4A8D">
      <w:pPr>
        <w:rPr>
          <w:b/>
          <w:bCs/>
        </w:rPr>
      </w:pPr>
      <w:r w:rsidRPr="003B6589">
        <w:rPr>
          <w:b/>
          <w:bCs/>
        </w:rPr>
        <w:t>2.1 External Environment Analysis</w:t>
      </w:r>
    </w:p>
    <w:p w14:paraId="08EDB7D2" w14:textId="6522D7DA" w:rsidR="005E4A8D" w:rsidRPr="003B6589" w:rsidRDefault="005E4A8D" w:rsidP="005E4A8D">
      <w:pPr>
        <w:rPr>
          <w:b/>
          <w:bCs/>
        </w:rPr>
      </w:pPr>
      <w:r w:rsidRPr="003B6589">
        <w:rPr>
          <w:b/>
          <w:bCs/>
        </w:rPr>
        <w:t>PESTLE Framework</w:t>
      </w:r>
      <w:r w:rsidR="003B6589">
        <w:rPr>
          <w:b/>
          <w:bCs/>
        </w:rPr>
        <w:t xml:space="preserve"> </w:t>
      </w:r>
      <w:proofErr w:type="gramStart"/>
      <w:r>
        <w:t>The</w:t>
      </w:r>
      <w:proofErr w:type="gramEnd"/>
      <w:r>
        <w:t xml:space="preserve"> PESTLE framework provides a macro-environmental analysis tool for identifying strategic pressures (Johnson, Scholes &amp; Whittington, 2020).</w:t>
      </w:r>
    </w:p>
    <w:p w14:paraId="124696AD" w14:textId="3E180CDB" w:rsidR="005E4A8D" w:rsidRPr="003B6589" w:rsidRDefault="005E4A8D" w:rsidP="005E4A8D">
      <w:pPr>
        <w:rPr>
          <w:b/>
          <w:bCs/>
        </w:rPr>
      </w:pPr>
      <w:r w:rsidRPr="003B6589">
        <w:rPr>
          <w:b/>
          <w:bCs/>
        </w:rPr>
        <w:t>Political Factors:</w:t>
      </w:r>
      <w:r w:rsidR="003B6589">
        <w:rPr>
          <w:b/>
          <w:bCs/>
        </w:rPr>
        <w:t xml:space="preserve"> </w:t>
      </w:r>
      <w:r>
        <w:t>Brexit has altered trade relationships and increased customs complexity, affecting sourcing and logistics costs. Retailers must adapt to evolving trade agreements and regulatory requirements. Additionally, government sustainability targets impose environmental compliance obligations.</w:t>
      </w:r>
    </w:p>
    <w:p w14:paraId="445B84D1" w14:textId="37B9F626" w:rsidR="005E4A8D" w:rsidRPr="003B6589" w:rsidRDefault="005E4A8D" w:rsidP="005E4A8D">
      <w:pPr>
        <w:rPr>
          <w:b/>
          <w:bCs/>
        </w:rPr>
      </w:pPr>
      <w:r w:rsidRPr="003B6589">
        <w:rPr>
          <w:b/>
          <w:bCs/>
        </w:rPr>
        <w:t>Economic Factors:</w:t>
      </w:r>
      <w:r w:rsidR="003B6589">
        <w:rPr>
          <w:b/>
          <w:bCs/>
        </w:rPr>
        <w:t xml:space="preserve"> </w:t>
      </w:r>
      <w:r>
        <w:t>Economic volatility significantly influences retail performance. Rising inflation and cost-of-living pressures reduce discretionary spending, particularly in clothing segments. According to Deloitte (2023), consumer confidence fluctuations directly affect retail margins. Supply chain inflation further compresses profitability.</w:t>
      </w:r>
    </w:p>
    <w:p w14:paraId="57B50DA2" w14:textId="1EF5DE59" w:rsidR="005E4A8D" w:rsidRPr="003B6589" w:rsidRDefault="005E4A8D" w:rsidP="005E4A8D">
      <w:pPr>
        <w:rPr>
          <w:b/>
          <w:bCs/>
        </w:rPr>
      </w:pPr>
      <w:r w:rsidRPr="003B6589">
        <w:rPr>
          <w:b/>
          <w:bCs/>
        </w:rPr>
        <w:t>Social Factors:</w:t>
      </w:r>
      <w:r w:rsidR="003B6589">
        <w:rPr>
          <w:b/>
          <w:bCs/>
        </w:rPr>
        <w:t xml:space="preserve"> </w:t>
      </w:r>
      <w:r>
        <w:t>Consumer expectations have evolved toward convenience, ethical sourcing, and personalised experiences. Digital engagement via social media accelerates fashion cycles and intensifies demand unpredictability. Sustainability consciousness has become a critical purchasing determinant.</w:t>
      </w:r>
    </w:p>
    <w:p w14:paraId="2C44C419" w14:textId="60385876" w:rsidR="005E4A8D" w:rsidRPr="003B6589" w:rsidRDefault="005E4A8D" w:rsidP="005E4A8D">
      <w:pPr>
        <w:rPr>
          <w:b/>
          <w:bCs/>
        </w:rPr>
      </w:pPr>
      <w:r w:rsidRPr="003B6589">
        <w:rPr>
          <w:b/>
          <w:bCs/>
        </w:rPr>
        <w:t>Technological Factors:</w:t>
      </w:r>
      <w:r w:rsidR="003B6589">
        <w:rPr>
          <w:b/>
          <w:bCs/>
        </w:rPr>
        <w:t xml:space="preserve"> </w:t>
      </w:r>
      <w:r>
        <w:t>Technological disruption is perhaps the most significant trigger for change. Artificial intelligence enables predictive analytics, demand forecasting, and customer personalisation (McKinsey &amp; Company, 2021). Automation improves logistics efficiency, while mobile commerce enhances accessibility. Organisations failing to integrate such technologies risk competitive erosion.</w:t>
      </w:r>
    </w:p>
    <w:p w14:paraId="5EADA85F" w14:textId="1051ADBC" w:rsidR="005E4A8D" w:rsidRPr="003B6589" w:rsidRDefault="005E4A8D" w:rsidP="005E4A8D">
      <w:pPr>
        <w:rPr>
          <w:b/>
          <w:bCs/>
        </w:rPr>
      </w:pPr>
      <w:r w:rsidRPr="003B6589">
        <w:rPr>
          <w:b/>
          <w:bCs/>
        </w:rPr>
        <w:t>Legal Factors</w:t>
      </w:r>
      <w:r w:rsidR="003B6589">
        <w:rPr>
          <w:b/>
          <w:bCs/>
        </w:rPr>
        <w:t xml:space="preserve">: </w:t>
      </w:r>
      <w:r>
        <w:t>Data protection regulations (e.g., GDPR) necessitate secure customer data systems. Employment legislation affects workforce restructuring initiatives.</w:t>
      </w:r>
    </w:p>
    <w:p w14:paraId="48706181" w14:textId="52E30CF4" w:rsidR="005E4A8D" w:rsidRPr="003B6589" w:rsidRDefault="005E4A8D" w:rsidP="005E4A8D">
      <w:pPr>
        <w:rPr>
          <w:b/>
          <w:bCs/>
        </w:rPr>
      </w:pPr>
      <w:r w:rsidRPr="003B6589">
        <w:rPr>
          <w:b/>
          <w:bCs/>
        </w:rPr>
        <w:t>Environmental Factors:</w:t>
      </w:r>
      <w:r w:rsidR="003B6589">
        <w:rPr>
          <w:b/>
          <w:bCs/>
        </w:rPr>
        <w:t xml:space="preserve"> </w:t>
      </w:r>
      <w:r>
        <w:t>Climate change pressures and consumer sustainability expectations require retailers to adopt responsible sourcing and carbon reduction strategies.</w:t>
      </w:r>
    </w:p>
    <w:p w14:paraId="76852788" w14:textId="77777777" w:rsidR="005E4A8D" w:rsidRDefault="005E4A8D" w:rsidP="005E4A8D">
      <w:r>
        <w:t>Overall, the macro-environment demonstrates high volatility and technological acceleration, increasing the urgency for structured transformation.</w:t>
      </w:r>
    </w:p>
    <w:p w14:paraId="5C049C41" w14:textId="77777777" w:rsidR="005E4A8D" w:rsidRPr="003B6589" w:rsidRDefault="005E4A8D" w:rsidP="005E4A8D">
      <w:pPr>
        <w:rPr>
          <w:b/>
          <w:bCs/>
        </w:rPr>
      </w:pPr>
      <w:r w:rsidRPr="003B6589">
        <w:rPr>
          <w:b/>
          <w:bCs/>
        </w:rPr>
        <w:t>Porter’s Five Forces</w:t>
      </w:r>
    </w:p>
    <w:p w14:paraId="583F8289" w14:textId="77777777" w:rsidR="005E4A8D" w:rsidRDefault="005E4A8D" w:rsidP="005E4A8D">
      <w:r>
        <w:t>Porter’s (1985) Five Forces model assesses competitive intensity:</w:t>
      </w:r>
    </w:p>
    <w:p w14:paraId="162839D8" w14:textId="77777777" w:rsidR="005E4A8D" w:rsidRDefault="005E4A8D" w:rsidP="005E4A8D">
      <w:r>
        <w:t>Competitive Rivalry – High: Fast-fashion brands and online platforms intensify competition.</w:t>
      </w:r>
    </w:p>
    <w:p w14:paraId="4E1B5168" w14:textId="77777777" w:rsidR="005E4A8D" w:rsidRDefault="005E4A8D" w:rsidP="005E4A8D">
      <w:r>
        <w:t>Threat of New Entrants – Moderate: Digital platforms lower entry barriers.</w:t>
      </w:r>
    </w:p>
    <w:p w14:paraId="1BF8BD01" w14:textId="77777777" w:rsidR="005E4A8D" w:rsidRDefault="005E4A8D" w:rsidP="005E4A8D">
      <w:r>
        <w:t>Bargaining Power of Buyers – High: Customers can easily switch retailers.</w:t>
      </w:r>
    </w:p>
    <w:p w14:paraId="73FA42BD" w14:textId="77777777" w:rsidR="005E4A8D" w:rsidRDefault="005E4A8D" w:rsidP="005E4A8D">
      <w:r>
        <w:lastRenderedPageBreak/>
        <w:t>Bargaining Power of Suppliers – Moderate: Global supply chain dependencies create vulnerability.</w:t>
      </w:r>
    </w:p>
    <w:p w14:paraId="2C52437F" w14:textId="77777777" w:rsidR="005E4A8D" w:rsidRDefault="005E4A8D" w:rsidP="005E4A8D">
      <w:r>
        <w:t>Threat of Substitutes – High: Online marketplaces offer extensive alternatives.</w:t>
      </w:r>
    </w:p>
    <w:p w14:paraId="36B07B31" w14:textId="77777777" w:rsidR="005E4A8D" w:rsidRDefault="005E4A8D" w:rsidP="005E4A8D">
      <w:r>
        <w:t>The retail environment is therefore structurally competitive, demanding differentiation and operational efficiency.</w:t>
      </w:r>
    </w:p>
    <w:p w14:paraId="6EBF60AA" w14:textId="77777777" w:rsidR="005E4A8D" w:rsidRPr="003B6589" w:rsidRDefault="005E4A8D" w:rsidP="005E4A8D">
      <w:pPr>
        <w:rPr>
          <w:b/>
          <w:bCs/>
        </w:rPr>
      </w:pPr>
      <w:r w:rsidRPr="003B6589">
        <w:rPr>
          <w:b/>
          <w:bCs/>
        </w:rPr>
        <w:t>2.2 Internal Environment Analysis</w:t>
      </w:r>
    </w:p>
    <w:p w14:paraId="3EEC50D2" w14:textId="77777777" w:rsidR="005E4A8D" w:rsidRPr="003B6589" w:rsidRDefault="005E4A8D" w:rsidP="005E4A8D">
      <w:pPr>
        <w:rPr>
          <w:b/>
          <w:bCs/>
        </w:rPr>
      </w:pPr>
      <w:r w:rsidRPr="003B6589">
        <w:rPr>
          <w:b/>
          <w:bCs/>
        </w:rPr>
        <w:t>SWOT Analysis</w:t>
      </w:r>
    </w:p>
    <w:p w14:paraId="1AD0363C" w14:textId="77777777" w:rsidR="005E4A8D" w:rsidRDefault="005E4A8D" w:rsidP="005E4A8D">
      <w:r>
        <w:t>The SWOT framework highlights internal strengths and weaknesses relative to opportunities and threats.</w:t>
      </w:r>
    </w:p>
    <w:p w14:paraId="5154DA88" w14:textId="511C4E64" w:rsidR="005E4A8D" w:rsidRPr="003B6589" w:rsidRDefault="005E4A8D" w:rsidP="005E4A8D">
      <w:pPr>
        <w:rPr>
          <w:b/>
          <w:bCs/>
        </w:rPr>
      </w:pPr>
      <w:r w:rsidRPr="003B6589">
        <w:rPr>
          <w:b/>
          <w:bCs/>
        </w:rPr>
        <w:t>Strengths:</w:t>
      </w:r>
    </w:p>
    <w:p w14:paraId="09B2D020" w14:textId="72BCC39D" w:rsidR="005E4A8D" w:rsidRDefault="005E4A8D" w:rsidP="005E4A8D">
      <w:r>
        <w:t>Established brand trust</w:t>
      </w:r>
    </w:p>
    <w:p w14:paraId="5A9FC597" w14:textId="35A0625B" w:rsidR="005E4A8D" w:rsidRDefault="005E4A8D" w:rsidP="005E4A8D">
      <w:r>
        <w:t>Loyal customer base</w:t>
      </w:r>
    </w:p>
    <w:p w14:paraId="5359CE34" w14:textId="50C24401" w:rsidR="005E4A8D" w:rsidRDefault="005E4A8D" w:rsidP="005E4A8D">
      <w:r>
        <w:t>Premium food positioning</w:t>
      </w:r>
    </w:p>
    <w:p w14:paraId="75032DCC" w14:textId="3F38C167" w:rsidR="005E4A8D" w:rsidRDefault="005E4A8D" w:rsidP="005E4A8D">
      <w:r>
        <w:t>Supplier relationships</w:t>
      </w:r>
    </w:p>
    <w:p w14:paraId="3BB214D9" w14:textId="2D0127FA" w:rsidR="005E4A8D" w:rsidRPr="003B6589" w:rsidRDefault="005E4A8D" w:rsidP="005E4A8D">
      <w:pPr>
        <w:rPr>
          <w:b/>
          <w:bCs/>
        </w:rPr>
      </w:pPr>
      <w:r w:rsidRPr="003B6589">
        <w:rPr>
          <w:b/>
          <w:bCs/>
        </w:rPr>
        <w:t>Weaknesses:</w:t>
      </w:r>
    </w:p>
    <w:p w14:paraId="79931902" w14:textId="5B9340E9" w:rsidR="005E4A8D" w:rsidRDefault="005E4A8D" w:rsidP="005E4A8D">
      <w:r>
        <w:t>Legacy IT systems</w:t>
      </w:r>
    </w:p>
    <w:p w14:paraId="1B6C2E37" w14:textId="1001D600" w:rsidR="005E4A8D" w:rsidRDefault="005E4A8D" w:rsidP="005E4A8D">
      <w:r>
        <w:t>Cultural conservatism</w:t>
      </w:r>
    </w:p>
    <w:p w14:paraId="765F2D9D" w14:textId="0F736C7F" w:rsidR="003B6589" w:rsidRDefault="005E4A8D" w:rsidP="005E4A8D">
      <w:r>
        <w:t>Store-heavy cost structure</w:t>
      </w:r>
    </w:p>
    <w:p w14:paraId="2C7FCC98" w14:textId="5AD68EBB" w:rsidR="005E4A8D" w:rsidRPr="003B6589" w:rsidRDefault="005E4A8D" w:rsidP="005E4A8D">
      <w:pPr>
        <w:rPr>
          <w:b/>
          <w:bCs/>
        </w:rPr>
      </w:pPr>
      <w:r w:rsidRPr="003B6589">
        <w:rPr>
          <w:b/>
          <w:bCs/>
        </w:rPr>
        <w:t>Opportunities:</w:t>
      </w:r>
    </w:p>
    <w:p w14:paraId="3A648D77" w14:textId="7BCFC342" w:rsidR="005E4A8D" w:rsidRDefault="005E4A8D" w:rsidP="005E4A8D">
      <w:r>
        <w:t>AI-enabled personalisation</w:t>
      </w:r>
    </w:p>
    <w:p w14:paraId="49214465" w14:textId="331920CF" w:rsidR="005E4A8D" w:rsidRDefault="005E4A8D" w:rsidP="005E4A8D">
      <w:r>
        <w:t>Digital expansion</w:t>
      </w:r>
    </w:p>
    <w:p w14:paraId="52763E09" w14:textId="6580CAE2" w:rsidR="005E4A8D" w:rsidRDefault="005E4A8D" w:rsidP="005E4A8D">
      <w:r>
        <w:t>Sustainability differentiation</w:t>
      </w:r>
    </w:p>
    <w:p w14:paraId="5640262A" w14:textId="4D2C6CED" w:rsidR="005E4A8D" w:rsidRDefault="005E4A8D" w:rsidP="005E4A8D">
      <w:r w:rsidRPr="00656158">
        <w:rPr>
          <w:b/>
          <w:bCs/>
        </w:rPr>
        <w:t>Threats</w:t>
      </w:r>
      <w:r>
        <w:t>:</w:t>
      </w:r>
    </w:p>
    <w:p w14:paraId="373C7443" w14:textId="566BAF39" w:rsidR="005E4A8D" w:rsidRDefault="005E4A8D" w:rsidP="005E4A8D">
      <w:r>
        <w:t>Digital-native competitors</w:t>
      </w:r>
    </w:p>
    <w:p w14:paraId="64DBD86F" w14:textId="1B75C95C" w:rsidR="005E4A8D" w:rsidRDefault="005E4A8D" w:rsidP="005E4A8D">
      <w:r>
        <w:t>Margin compression</w:t>
      </w:r>
    </w:p>
    <w:p w14:paraId="7C8ABDD3" w14:textId="675944AA" w:rsidR="005E4A8D" w:rsidRDefault="005E4A8D" w:rsidP="005E4A8D">
      <w:r>
        <w:t>Supply chain instability</w:t>
      </w:r>
    </w:p>
    <w:p w14:paraId="628A797E" w14:textId="77777777" w:rsidR="00656158" w:rsidRDefault="00656158" w:rsidP="005E4A8D">
      <w:pPr>
        <w:rPr>
          <w:b/>
          <w:bCs/>
        </w:rPr>
      </w:pPr>
    </w:p>
    <w:p w14:paraId="4FEA555C" w14:textId="3B0FA71B" w:rsidR="005E4A8D" w:rsidRPr="00656158" w:rsidRDefault="005E4A8D" w:rsidP="005E4A8D">
      <w:pPr>
        <w:rPr>
          <w:b/>
          <w:bCs/>
        </w:rPr>
      </w:pPr>
      <w:r w:rsidRPr="00656158">
        <w:rPr>
          <w:b/>
          <w:bCs/>
        </w:rPr>
        <w:t>Resource-Based View (RBV)</w:t>
      </w:r>
    </w:p>
    <w:p w14:paraId="163A6768" w14:textId="4D6B631E" w:rsidR="005E4A8D" w:rsidRDefault="005E4A8D" w:rsidP="005E4A8D">
      <w:r>
        <w:lastRenderedPageBreak/>
        <w:t>The RBV suggests competitive advantage stems from valuable, rare, inimitable, and non-substitutable resources (Barney, 1991). M&amp;S’s brand heritage and supplier networks represent valuable assets. However, digital capabilities are not yet sufficiently rare or inimitable. Therefore, investment in technological capability development is essential for sustained advantage.</w:t>
      </w:r>
    </w:p>
    <w:p w14:paraId="13948895" w14:textId="18C77BB0" w:rsidR="005E4A8D" w:rsidRPr="003B6589" w:rsidRDefault="005E4A8D" w:rsidP="005E4A8D">
      <w:pPr>
        <w:rPr>
          <w:b/>
          <w:bCs/>
        </w:rPr>
      </w:pPr>
      <w:r w:rsidRPr="003B6589">
        <w:rPr>
          <w:b/>
          <w:bCs/>
        </w:rPr>
        <w:t>McKinsey 7S Framework</w:t>
      </w:r>
    </w:p>
    <w:p w14:paraId="28D4ABA8" w14:textId="51B824F9" w:rsidR="005E4A8D" w:rsidRDefault="005E4A8D" w:rsidP="005E4A8D">
      <w:r>
        <w:t>The 7S model highlights internal alignment issues (Waterman, Peters &amp; Phillips, 1980).</w:t>
      </w:r>
    </w:p>
    <w:p w14:paraId="4052CDC2" w14:textId="720FB1E2" w:rsidR="005E4A8D" w:rsidRDefault="005E4A8D" w:rsidP="005E4A8D">
      <w:r>
        <w:t>Historically, misalignment existed between:</w:t>
      </w:r>
    </w:p>
    <w:p w14:paraId="459595AC" w14:textId="3429ED9E" w:rsidR="005E4A8D" w:rsidRDefault="005E4A8D" w:rsidP="005E4A8D">
      <w:r>
        <w:t>Strategy (digital ambition)</w:t>
      </w:r>
    </w:p>
    <w:p w14:paraId="7142F416" w14:textId="3EA677A7" w:rsidR="005E4A8D" w:rsidRDefault="005E4A8D" w:rsidP="005E4A8D">
      <w:r>
        <w:t>Systems (legacy IT)</w:t>
      </w:r>
    </w:p>
    <w:p w14:paraId="4367DB0D" w14:textId="6626F73C" w:rsidR="005E4A8D" w:rsidRDefault="005E4A8D" w:rsidP="005E4A8D">
      <w:r>
        <w:t>Skills (limited data expertise)</w:t>
      </w:r>
    </w:p>
    <w:p w14:paraId="20189415" w14:textId="12A5AD76" w:rsidR="005E4A8D" w:rsidRDefault="005E4A8D" w:rsidP="005E4A8D">
      <w:r>
        <w:t>Structure (hierarchical decision-making)</w:t>
      </w:r>
    </w:p>
    <w:p w14:paraId="0FF4CDD7" w14:textId="6A737ECF" w:rsidR="005E4A8D" w:rsidRDefault="005E4A8D" w:rsidP="005E4A8D">
      <w:r>
        <w:t>Successful change requires realignment across these interconnected elements.</w:t>
      </w:r>
    </w:p>
    <w:p w14:paraId="597A4A18" w14:textId="03CBEF18" w:rsidR="005E4A8D" w:rsidRPr="003B6589" w:rsidRDefault="005E4A8D" w:rsidP="005E4A8D">
      <w:pPr>
        <w:rPr>
          <w:b/>
          <w:bCs/>
        </w:rPr>
      </w:pPr>
      <w:r w:rsidRPr="003B6589">
        <w:rPr>
          <w:b/>
          <w:bCs/>
        </w:rPr>
        <w:t>2.3 Triggers for Change</w:t>
      </w:r>
    </w:p>
    <w:p w14:paraId="23B020F7" w14:textId="73693C1D" w:rsidR="005E4A8D" w:rsidRDefault="005E4A8D" w:rsidP="005E4A8D">
      <w:r>
        <w:t>The primary triggers include:</w:t>
      </w:r>
    </w:p>
    <w:p w14:paraId="4B5C90BC" w14:textId="0FE81402" w:rsidR="005E4A8D" w:rsidRDefault="005E4A8D" w:rsidP="005E4A8D">
      <w:r>
        <w:t>Digital disruption and AI adoption</w:t>
      </w:r>
    </w:p>
    <w:p w14:paraId="02084C52" w14:textId="5FCF560E" w:rsidR="005E4A8D" w:rsidRDefault="005E4A8D" w:rsidP="005E4A8D">
      <w:r>
        <w:t>Growth of online shopping dominance</w:t>
      </w:r>
    </w:p>
    <w:p w14:paraId="16E54588" w14:textId="00067CA6" w:rsidR="005E4A8D" w:rsidRDefault="005E4A8D" w:rsidP="005E4A8D">
      <w:r>
        <w:t>Declining physical store footfall</w:t>
      </w:r>
    </w:p>
    <w:p w14:paraId="1C830E36" w14:textId="39F638E0" w:rsidR="005E4A8D" w:rsidRDefault="005E4A8D" w:rsidP="005E4A8D">
      <w:r>
        <w:t>Cost-of-living economic pressures</w:t>
      </w:r>
    </w:p>
    <w:p w14:paraId="2BB39BFA" w14:textId="77777777" w:rsidR="00F12F2D" w:rsidRDefault="005E4A8D" w:rsidP="005E4A8D">
      <w:r>
        <w:t>Cultural resistance to rapid innovation</w:t>
      </w:r>
    </w:p>
    <w:p w14:paraId="57D9855F" w14:textId="1B551FDA" w:rsidR="005E4A8D" w:rsidRDefault="005E4A8D" w:rsidP="005E4A8D">
      <w:r>
        <w:t>Burnes (2017) argues that organisations often respond reactively to change rather than proactively anticipating disruption. For M&amp;S, transformation must shift from reactive restructuring to strategic reinvention.</w:t>
      </w:r>
    </w:p>
    <w:p w14:paraId="48DBAF14" w14:textId="66D59D4E" w:rsidR="005E4A8D" w:rsidRPr="003B6589" w:rsidRDefault="005E4A8D" w:rsidP="005E4A8D">
      <w:pPr>
        <w:rPr>
          <w:b/>
          <w:bCs/>
        </w:rPr>
      </w:pPr>
      <w:r w:rsidRPr="003B6589">
        <w:rPr>
          <w:b/>
          <w:bCs/>
        </w:rPr>
        <w:t xml:space="preserve">3. Review and Evaluation of Change Management Models </w:t>
      </w:r>
    </w:p>
    <w:p w14:paraId="2ED866C9" w14:textId="77777777" w:rsidR="005E4A8D" w:rsidRPr="003B6589" w:rsidRDefault="005E4A8D" w:rsidP="005E4A8D">
      <w:pPr>
        <w:rPr>
          <w:b/>
          <w:bCs/>
        </w:rPr>
      </w:pPr>
      <w:r w:rsidRPr="003B6589">
        <w:rPr>
          <w:b/>
          <w:bCs/>
        </w:rPr>
        <w:t>Lewin’s Three-Step Model</w:t>
      </w:r>
    </w:p>
    <w:p w14:paraId="7F2EFED5" w14:textId="77777777" w:rsidR="005E4A8D" w:rsidRDefault="005E4A8D" w:rsidP="005E4A8D">
      <w:r>
        <w:t>Lewin (1951) conceptualised change as a three-stage process: Unfreeze, Change, Refreeze.</w:t>
      </w:r>
    </w:p>
    <w:p w14:paraId="34C7B29E" w14:textId="77777777" w:rsidR="005E4A8D" w:rsidRDefault="005E4A8D" w:rsidP="005E4A8D">
      <w:r>
        <w:t>The model emphasises destabilising existing norms before implementing transformation. For M&amp;S, declining sales performance acted as an “unfreezing” mechanism. However, Hayes (2022) critiques Lewin’s model as overly simplistic in dynamic environments where “refreezing” is unrealistic due to continuous disruption.</w:t>
      </w:r>
    </w:p>
    <w:p w14:paraId="1057A5CF" w14:textId="77777777" w:rsidR="005E4A8D" w:rsidRDefault="005E4A8D" w:rsidP="005E4A8D">
      <w:r>
        <w:lastRenderedPageBreak/>
        <w:t>Strength: Foundational understanding of behavioural change.</w:t>
      </w:r>
    </w:p>
    <w:p w14:paraId="0D80BB5D" w14:textId="77777777" w:rsidR="005E4A8D" w:rsidRDefault="005E4A8D" w:rsidP="005E4A8D">
      <w:r>
        <w:t>Limitation: Linear and static.</w:t>
      </w:r>
    </w:p>
    <w:p w14:paraId="0F1B1CE8" w14:textId="77777777" w:rsidR="005E4A8D" w:rsidRPr="003B6589" w:rsidRDefault="005E4A8D" w:rsidP="005E4A8D">
      <w:pPr>
        <w:rPr>
          <w:b/>
          <w:bCs/>
        </w:rPr>
      </w:pPr>
      <w:r w:rsidRPr="003B6589">
        <w:rPr>
          <w:b/>
          <w:bCs/>
        </w:rPr>
        <w:t>Kotter’s Eight-Step Model</w:t>
      </w:r>
    </w:p>
    <w:p w14:paraId="4B09FB05" w14:textId="77777777" w:rsidR="005E4A8D" w:rsidRDefault="005E4A8D" w:rsidP="005E4A8D">
      <w:r>
        <w:t>Kotter (1996) expanded on Lewin by proposing eight structured steps. His model emphasises urgency creation, leadership coalitions, vision communication, and cultural anchoring.</w:t>
      </w:r>
    </w:p>
    <w:p w14:paraId="01424E99" w14:textId="77777777" w:rsidR="005E4A8D" w:rsidRDefault="005E4A8D" w:rsidP="005E4A8D">
      <w:r>
        <w:t>In large organisations, Kotter’s framework provides governance clarity. Burnes (2017) argues that Kotter’s model is particularly effective for complex transformations requiring cross-departmental alignment.</w:t>
      </w:r>
    </w:p>
    <w:p w14:paraId="60E84A83" w14:textId="2040E77A" w:rsidR="005E4A8D" w:rsidRDefault="005E4A8D" w:rsidP="005E4A8D">
      <w:r>
        <w:t>Strengths:</w:t>
      </w:r>
    </w:p>
    <w:p w14:paraId="2AB7ACC6" w14:textId="77777777" w:rsidR="00F12F2D" w:rsidRDefault="005E4A8D" w:rsidP="005E4A8D">
      <w:r>
        <w:t>Emphasises leadership.</w:t>
      </w:r>
    </w:p>
    <w:p w14:paraId="708BABDE" w14:textId="0FF45042" w:rsidR="005E4A8D" w:rsidRDefault="005E4A8D" w:rsidP="005E4A8D">
      <w:r>
        <w:t>Recognises culture embedding.</w:t>
      </w:r>
    </w:p>
    <w:p w14:paraId="666191F2" w14:textId="17DA8CC0" w:rsidR="005E4A8D" w:rsidRDefault="005E4A8D" w:rsidP="005E4A8D">
      <w:r>
        <w:t>Provides actionable sequencing.</w:t>
      </w:r>
    </w:p>
    <w:p w14:paraId="607E39B5" w14:textId="0688DF87" w:rsidR="005E4A8D" w:rsidRDefault="005E4A8D" w:rsidP="005E4A8D">
      <w:r>
        <w:t>Limitations:</w:t>
      </w:r>
    </w:p>
    <w:p w14:paraId="6175B2E6" w14:textId="70E530CA" w:rsidR="005E4A8D" w:rsidRDefault="005E4A8D" w:rsidP="005E4A8D">
      <w:r>
        <w:t>Time-consuming.</w:t>
      </w:r>
    </w:p>
    <w:p w14:paraId="3AF9AE49" w14:textId="010C681B" w:rsidR="005E4A8D" w:rsidRDefault="005E4A8D" w:rsidP="005E4A8D">
      <w:r>
        <w:t>Assumes sequential progress.</w:t>
      </w:r>
    </w:p>
    <w:p w14:paraId="45ECB006" w14:textId="4CD06D4B" w:rsidR="00F12F2D" w:rsidRDefault="005E4A8D" w:rsidP="005E4A8D">
      <w:r>
        <w:t>For M&amp;S’s scale, Kotter’s approach offers structured transformation guidance.</w:t>
      </w:r>
    </w:p>
    <w:p w14:paraId="7B1DC788" w14:textId="2706AB77" w:rsidR="005E4A8D" w:rsidRPr="003B6589" w:rsidRDefault="005E4A8D" w:rsidP="005E4A8D">
      <w:pPr>
        <w:rPr>
          <w:b/>
          <w:bCs/>
        </w:rPr>
      </w:pPr>
      <w:r w:rsidRPr="003B6589">
        <w:rPr>
          <w:b/>
          <w:bCs/>
        </w:rPr>
        <w:t>ADKAR Model</w:t>
      </w:r>
    </w:p>
    <w:p w14:paraId="0B4F9EE7" w14:textId="5C641CFC" w:rsidR="005E4A8D" w:rsidRDefault="005E4A8D" w:rsidP="005E4A8D">
      <w:r>
        <w:t>The ADKAR model focuses on individual-level adoption (Hiatt, 2006). It emphasises Awareness, Desire, Knowledge, Ability, and Reinforcement.</w:t>
      </w:r>
    </w:p>
    <w:p w14:paraId="0E167CDF" w14:textId="37644AB8" w:rsidR="005E4A8D" w:rsidRDefault="005E4A8D" w:rsidP="005E4A8D">
      <w:r>
        <w:t>Digital transformation often fails due to employee resistance. ADKAR addresses behavioural change at micro-level, complementing macro strategic frameworks.</w:t>
      </w:r>
    </w:p>
    <w:p w14:paraId="0FC1428B" w14:textId="77777777" w:rsidR="005E4A8D" w:rsidRDefault="005E4A8D" w:rsidP="005E4A8D">
      <w:r>
        <w:t>Strength: Focuses on employee psychology.</w:t>
      </w:r>
    </w:p>
    <w:p w14:paraId="3B6AF8EC" w14:textId="26584AC7" w:rsidR="005E4A8D" w:rsidRDefault="005E4A8D" w:rsidP="005E4A8D">
      <w:r>
        <w:t>Limitation: Less strategic orientation.</w:t>
      </w:r>
    </w:p>
    <w:p w14:paraId="77098493" w14:textId="77777777" w:rsidR="00BA279F" w:rsidRDefault="00BA279F" w:rsidP="005E4A8D">
      <w:pPr>
        <w:rPr>
          <w:b/>
          <w:bCs/>
        </w:rPr>
      </w:pPr>
    </w:p>
    <w:p w14:paraId="205BD782" w14:textId="77777777" w:rsidR="00BA279F" w:rsidRDefault="00BA279F" w:rsidP="005E4A8D">
      <w:pPr>
        <w:rPr>
          <w:b/>
          <w:bCs/>
        </w:rPr>
      </w:pPr>
    </w:p>
    <w:p w14:paraId="6020BAE8" w14:textId="77777777" w:rsidR="00BA279F" w:rsidRDefault="00BA279F" w:rsidP="005E4A8D">
      <w:pPr>
        <w:rPr>
          <w:b/>
          <w:bCs/>
        </w:rPr>
      </w:pPr>
    </w:p>
    <w:p w14:paraId="4AEE5732" w14:textId="7E67687F" w:rsidR="005E4A8D" w:rsidRPr="00656158" w:rsidRDefault="005E4A8D" w:rsidP="005E4A8D">
      <w:pPr>
        <w:rPr>
          <w:b/>
          <w:bCs/>
        </w:rPr>
      </w:pPr>
      <w:r w:rsidRPr="00656158">
        <w:rPr>
          <w:b/>
          <w:bCs/>
        </w:rPr>
        <w:t>McKinsey 7S</w:t>
      </w:r>
    </w:p>
    <w:p w14:paraId="2C2BB009" w14:textId="524D2EF4" w:rsidR="005E4A8D" w:rsidRDefault="005E4A8D" w:rsidP="005E4A8D">
      <w:r>
        <w:lastRenderedPageBreak/>
        <w:t>The 7S framework ensures alignment between structural and cultural elements. Unlike process-based models, it provides diagnostic alignment analysis (Waterman, Peters &amp; Phillips, 1980).</w:t>
      </w:r>
    </w:p>
    <w:p w14:paraId="47511A24" w14:textId="53AD1591" w:rsidR="005E4A8D" w:rsidRPr="00656158" w:rsidRDefault="005E4A8D" w:rsidP="005E4A8D">
      <w:pPr>
        <w:rPr>
          <w:b/>
          <w:bCs/>
        </w:rPr>
      </w:pPr>
      <w:r w:rsidRPr="00656158">
        <w:rPr>
          <w:b/>
          <w:bCs/>
        </w:rPr>
        <w:t>Justification for Hybrid Approach</w:t>
      </w:r>
    </w:p>
    <w:p w14:paraId="6ACCFA13" w14:textId="06C54588" w:rsidR="005E4A8D" w:rsidRDefault="005E4A8D" w:rsidP="005E4A8D">
      <w:r>
        <w:t>No single model sufficiently addresses strategic, structural, and behavioural complexity. Therefore:</w:t>
      </w:r>
    </w:p>
    <w:p w14:paraId="7EAAC6A4" w14:textId="7F27105A" w:rsidR="005E4A8D" w:rsidRDefault="005E4A8D" w:rsidP="005E4A8D">
      <w:r>
        <w:t>Kotter provides macro governance.</w:t>
      </w:r>
    </w:p>
    <w:p w14:paraId="4B4EA534" w14:textId="55092D4D" w:rsidR="005E4A8D" w:rsidRDefault="005E4A8D" w:rsidP="005E4A8D">
      <w:r>
        <w:t>McKinsey 7S ensures internal alignment.</w:t>
      </w:r>
    </w:p>
    <w:p w14:paraId="4C71858A" w14:textId="65E4657F" w:rsidR="005E4A8D" w:rsidRDefault="005E4A8D" w:rsidP="005E4A8D">
      <w:r>
        <w:t>ADKAR addresses behavioural adoption.</w:t>
      </w:r>
    </w:p>
    <w:p w14:paraId="7E2FEBF9" w14:textId="42475EB1" w:rsidR="005E4A8D" w:rsidRDefault="005E4A8D" w:rsidP="005E4A8D">
      <w:r>
        <w:t>Lewin provides conceptual clarity.</w:t>
      </w:r>
    </w:p>
    <w:p w14:paraId="3C57C48F" w14:textId="72C13DA9" w:rsidR="005E4A8D" w:rsidRDefault="005E4A8D" w:rsidP="005E4A8D">
      <w:r>
        <w:t>This integrated approach aligns with contemporary change management scholarship advocating contingency-based frameworks (Cameron &amp; Green, 2019).</w:t>
      </w:r>
    </w:p>
    <w:p w14:paraId="0E1C67F0" w14:textId="77777777" w:rsidR="005E4A8D" w:rsidRPr="00656158" w:rsidRDefault="005E4A8D" w:rsidP="005E4A8D">
      <w:pPr>
        <w:rPr>
          <w:b/>
          <w:bCs/>
        </w:rPr>
      </w:pPr>
      <w:r w:rsidRPr="00656158">
        <w:rPr>
          <w:b/>
          <w:bCs/>
        </w:rPr>
        <w:t>4. Leadership and Organisational Culture in Change (Expanded – ~950 words)</w:t>
      </w:r>
    </w:p>
    <w:p w14:paraId="18684374" w14:textId="70F67D6B" w:rsidR="005E4A8D" w:rsidRPr="00656158" w:rsidRDefault="005E4A8D" w:rsidP="005E4A8D">
      <w:pPr>
        <w:rPr>
          <w:b/>
          <w:bCs/>
        </w:rPr>
      </w:pPr>
      <w:r w:rsidRPr="00656158">
        <w:rPr>
          <w:b/>
          <w:bCs/>
        </w:rPr>
        <w:t>Transformational Leadership</w:t>
      </w:r>
    </w:p>
    <w:p w14:paraId="41EA567E" w14:textId="68883D03" w:rsidR="00F12F2D" w:rsidRDefault="005E4A8D" w:rsidP="005E4A8D">
      <w:r>
        <w:t>Transformational leaders articulate vision, inspire innovation, and challenge existing assumptions (Bass, 1985). In digital transformation, visionary leadership reduces uncertainty and motivates engagement.</w:t>
      </w:r>
    </w:p>
    <w:p w14:paraId="5413A4F4" w14:textId="29A1DEBA" w:rsidR="005E4A8D" w:rsidRPr="00656158" w:rsidRDefault="005E4A8D" w:rsidP="005E4A8D">
      <w:pPr>
        <w:rPr>
          <w:b/>
          <w:bCs/>
        </w:rPr>
      </w:pPr>
      <w:r w:rsidRPr="00656158">
        <w:rPr>
          <w:b/>
          <w:bCs/>
        </w:rPr>
        <w:t>Transactional Leadership</w:t>
      </w:r>
    </w:p>
    <w:p w14:paraId="34CC7E23" w14:textId="77777777" w:rsidR="005E4A8D" w:rsidRDefault="005E4A8D" w:rsidP="005E4A8D">
      <w:r>
        <w:t>Transactional leadership emphasises performance monitoring and reward systems. During restructuring, transactional elements ensure operational discipline.</w:t>
      </w:r>
    </w:p>
    <w:p w14:paraId="0D6FBB11" w14:textId="77777777" w:rsidR="005E4A8D" w:rsidRPr="00656158" w:rsidRDefault="005E4A8D" w:rsidP="005E4A8D">
      <w:pPr>
        <w:rPr>
          <w:b/>
          <w:bCs/>
        </w:rPr>
      </w:pPr>
      <w:r w:rsidRPr="00656158">
        <w:rPr>
          <w:b/>
          <w:bCs/>
        </w:rPr>
        <w:t>Situational Leadership</w:t>
      </w:r>
    </w:p>
    <w:p w14:paraId="424E28C7" w14:textId="77777777" w:rsidR="005E4A8D" w:rsidRDefault="005E4A8D" w:rsidP="005E4A8D">
      <w:r>
        <w:t>Hersey and Blanchard’s situational theory suggests leadership style should adapt to follower readiness. Workforce reskilling demands adaptive leadership flexibility.</w:t>
      </w:r>
    </w:p>
    <w:p w14:paraId="6C1F1594" w14:textId="77777777" w:rsidR="005E4A8D" w:rsidRDefault="005E4A8D" w:rsidP="005E4A8D">
      <w:r>
        <w:t>Transformational leadership remains most suitable for long-term innovation-driven change.</w:t>
      </w:r>
    </w:p>
    <w:p w14:paraId="2FC106BD" w14:textId="77777777" w:rsidR="005E4A8D" w:rsidRDefault="005E4A8D" w:rsidP="005E4A8D">
      <w:r>
        <w:t>Organisational Culture</w:t>
      </w:r>
    </w:p>
    <w:p w14:paraId="0D934974" w14:textId="77777777" w:rsidR="005E4A8D" w:rsidRDefault="005E4A8D" w:rsidP="005E4A8D">
      <w:r>
        <w:t>Schein (2010) conceptualises culture across three levels: artefacts, espoused values, and underlying assumptions. Deep assumptions around risk aversion may impede innovation.</w:t>
      </w:r>
    </w:p>
    <w:p w14:paraId="4A969B9A" w14:textId="77777777" w:rsidR="005E4A8D" w:rsidRDefault="005E4A8D" w:rsidP="005E4A8D">
      <w:r>
        <w:t>Hofstede (2011) suggests national cultural dimensions influence organisational practices. UK organisational culture typically reflects moderate individualism and uncertainty tolerance, influencing change receptiveness.</w:t>
      </w:r>
    </w:p>
    <w:p w14:paraId="32FAB259" w14:textId="77777777" w:rsidR="005E4A8D" w:rsidRDefault="005E4A8D" w:rsidP="005E4A8D">
      <w:r>
        <w:lastRenderedPageBreak/>
        <w:t>Handy (1993) identifies role cultures common in traditional organisations. Transitioning toward task culture enhances agility.</w:t>
      </w:r>
    </w:p>
    <w:p w14:paraId="467A1B51" w14:textId="2E2FDF6A" w:rsidR="005E4A8D" w:rsidRDefault="005E4A8D" w:rsidP="005E4A8D">
      <w:r>
        <w:t>Cultural transformation must accompany structural change to ensure sustainability.</w:t>
      </w:r>
    </w:p>
    <w:p w14:paraId="5576BF9A" w14:textId="3E9DEBB6" w:rsidR="005E4A8D" w:rsidRPr="003B6589" w:rsidRDefault="005E4A8D" w:rsidP="005E4A8D">
      <w:pPr>
        <w:rPr>
          <w:b/>
          <w:bCs/>
        </w:rPr>
      </w:pPr>
      <w:r w:rsidRPr="003B6589">
        <w:rPr>
          <w:b/>
          <w:bCs/>
        </w:rPr>
        <w:t xml:space="preserve">5. Proposed Strategic Change Management Plan </w:t>
      </w:r>
    </w:p>
    <w:p w14:paraId="47A1543B" w14:textId="77777777" w:rsidR="005E4A8D" w:rsidRPr="003B6589" w:rsidRDefault="005E4A8D" w:rsidP="005E4A8D">
      <w:pPr>
        <w:rPr>
          <w:b/>
          <w:bCs/>
        </w:rPr>
      </w:pPr>
      <w:r w:rsidRPr="003B6589">
        <w:rPr>
          <w:b/>
          <w:bCs/>
        </w:rPr>
        <w:t>5.1 Change Vision</w:t>
      </w:r>
    </w:p>
    <w:p w14:paraId="2FBF66A9" w14:textId="77777777" w:rsidR="005E4A8D" w:rsidRDefault="005E4A8D" w:rsidP="005E4A8D">
      <w:r>
        <w:t>“To reposition M&amp;S as a digitally integrated, AI-enabled, sustainable retailer delivering personalised omnichannel experiences.”</w:t>
      </w:r>
    </w:p>
    <w:p w14:paraId="090ED4C6" w14:textId="77777777" w:rsidR="005E4A8D" w:rsidRDefault="005E4A8D" w:rsidP="005E4A8D">
      <w:r>
        <w:t>Strategic Objectives</w:t>
      </w:r>
    </w:p>
    <w:p w14:paraId="7E5EC2FA" w14:textId="77777777" w:rsidR="005E4A8D" w:rsidRDefault="005E4A8D" w:rsidP="005E4A8D">
      <w:r>
        <w:t>50% online revenue contribution.</w:t>
      </w:r>
    </w:p>
    <w:p w14:paraId="643A75AF" w14:textId="77777777" w:rsidR="005E4A8D" w:rsidRDefault="005E4A8D" w:rsidP="005E4A8D">
      <w:r>
        <w:t>10% cost reduction via automation.</w:t>
      </w:r>
    </w:p>
    <w:p w14:paraId="6B9B0A57" w14:textId="77777777" w:rsidR="005E4A8D" w:rsidRDefault="005E4A8D" w:rsidP="005E4A8D">
      <w:r>
        <w:t>20% increase in customer retention.</w:t>
      </w:r>
    </w:p>
    <w:p w14:paraId="7C615791" w14:textId="05E0AC39" w:rsidR="003B6589" w:rsidRDefault="005E4A8D" w:rsidP="005E4A8D">
      <w:r>
        <w:t>Measurable sustainability milestones.</w:t>
      </w:r>
    </w:p>
    <w:p w14:paraId="235A2A21" w14:textId="5BBCFDCC" w:rsidR="005E4A8D" w:rsidRPr="003B6589" w:rsidRDefault="005E4A8D" w:rsidP="005E4A8D">
      <w:pPr>
        <w:rPr>
          <w:b/>
          <w:bCs/>
        </w:rPr>
      </w:pPr>
      <w:r w:rsidRPr="003B6589">
        <w:rPr>
          <w:b/>
          <w:bCs/>
        </w:rPr>
        <w:t>5.2 Stakeholder Analysis</w:t>
      </w:r>
    </w:p>
    <w:p w14:paraId="2BB09775" w14:textId="1747A9D5" w:rsidR="005E4A8D" w:rsidRDefault="005E4A8D" w:rsidP="005E4A8D">
      <w:r>
        <w:t>Freeman’s (1984) stakeholder theory emphasises balancing diverse stakeholder interests.</w:t>
      </w:r>
    </w:p>
    <w:p w14:paraId="4C4FFBF8" w14:textId="3D319C68" w:rsidR="005E4A8D" w:rsidRDefault="005E4A8D" w:rsidP="005E4A8D">
      <w:r>
        <w:t>Key stakeholders:</w:t>
      </w:r>
    </w:p>
    <w:p w14:paraId="271C3326" w14:textId="68643B9F" w:rsidR="005E4A8D" w:rsidRDefault="005E4A8D" w:rsidP="005E4A8D">
      <w:r>
        <w:t>Employees (high impact)</w:t>
      </w:r>
    </w:p>
    <w:p w14:paraId="44ED5A03" w14:textId="57E1A248" w:rsidR="005E4A8D" w:rsidRDefault="005E4A8D" w:rsidP="005E4A8D">
      <w:r>
        <w:t>Shareholders (high influence)</w:t>
      </w:r>
    </w:p>
    <w:p w14:paraId="6609D9ED" w14:textId="1D15B876" w:rsidR="005E4A8D" w:rsidRDefault="005E4A8D" w:rsidP="005E4A8D">
      <w:r>
        <w:t>Customers (high dependence)</w:t>
      </w:r>
    </w:p>
    <w:p w14:paraId="77D680F0" w14:textId="2E1DAFCF" w:rsidR="005E4A8D" w:rsidRDefault="005E4A8D" w:rsidP="005E4A8D">
      <w:r>
        <w:t>Suppliers (operational importance)</w:t>
      </w:r>
    </w:p>
    <w:p w14:paraId="31BCA8A2" w14:textId="220EDCCA" w:rsidR="005E4A8D" w:rsidRDefault="005E4A8D" w:rsidP="005E4A8D">
      <w:r>
        <w:t>Engagement strategies must vary accordingly.</w:t>
      </w:r>
    </w:p>
    <w:p w14:paraId="23FF88D7" w14:textId="75FF1812" w:rsidR="005E4A8D" w:rsidRPr="003B6589" w:rsidRDefault="005E4A8D" w:rsidP="005E4A8D">
      <w:pPr>
        <w:rPr>
          <w:b/>
          <w:bCs/>
        </w:rPr>
      </w:pPr>
      <w:r w:rsidRPr="003B6589">
        <w:rPr>
          <w:b/>
          <w:bCs/>
        </w:rPr>
        <w:t>5.3 Implementation Framewor</w:t>
      </w:r>
      <w:r w:rsidR="00F12F2D" w:rsidRPr="003B6589">
        <w:rPr>
          <w:b/>
          <w:bCs/>
        </w:rPr>
        <w:t>k</w:t>
      </w:r>
    </w:p>
    <w:p w14:paraId="1D317766" w14:textId="77777777" w:rsidR="005E4A8D" w:rsidRDefault="005E4A8D" w:rsidP="005E4A8D">
      <w:r>
        <w:t>Phase 1: Digital infrastructure &amp; AI pilot</w:t>
      </w:r>
    </w:p>
    <w:p w14:paraId="0DBE4EFD" w14:textId="77777777" w:rsidR="005E4A8D" w:rsidRDefault="005E4A8D" w:rsidP="005E4A8D">
      <w:r>
        <w:t>Phase 2: Automation &amp; omnichannel rollout</w:t>
      </w:r>
    </w:p>
    <w:p w14:paraId="79BD066E" w14:textId="30773524" w:rsidR="005E4A8D" w:rsidRDefault="005E4A8D" w:rsidP="005E4A8D">
      <w:r>
        <w:t>Phase 3: Cultural embedding &amp; optimisation</w:t>
      </w:r>
    </w:p>
    <w:p w14:paraId="709EAF4C" w14:textId="75019C37" w:rsidR="005E4A8D" w:rsidRDefault="005E4A8D" w:rsidP="005E4A8D">
      <w:r>
        <w:t xml:space="preserve">Governance includes executive steering committee and </w:t>
      </w:r>
      <w:r w:rsidR="00F12F2D">
        <w:t>changes</w:t>
      </w:r>
      <w:r>
        <w:t xml:space="preserve"> champions.</w:t>
      </w:r>
    </w:p>
    <w:p w14:paraId="34D24EC3" w14:textId="76B3A42E" w:rsidR="005E4A8D" w:rsidRPr="00635E5A" w:rsidRDefault="005E4A8D" w:rsidP="005E4A8D">
      <w:pPr>
        <w:rPr>
          <w:b/>
          <w:bCs/>
        </w:rPr>
      </w:pPr>
      <w:r w:rsidRPr="00635E5A">
        <w:rPr>
          <w:b/>
          <w:bCs/>
        </w:rPr>
        <w:t>5.4 Communication Plan</w:t>
      </w:r>
    </w:p>
    <w:p w14:paraId="28043F0C" w14:textId="7CD43CBF" w:rsidR="005E4A8D" w:rsidRDefault="005E4A8D" w:rsidP="005E4A8D">
      <w:r>
        <w:t>Kotter (1996) emphasises repeated vision communication.</w:t>
      </w:r>
    </w:p>
    <w:p w14:paraId="27FAD3B3" w14:textId="3DD0E3BF" w:rsidR="005E4A8D" w:rsidRDefault="005E4A8D" w:rsidP="005E4A8D">
      <w:r>
        <w:t>Channels:</w:t>
      </w:r>
    </w:p>
    <w:p w14:paraId="58639983" w14:textId="3804B317" w:rsidR="005E4A8D" w:rsidRDefault="005E4A8D" w:rsidP="005E4A8D">
      <w:r>
        <w:lastRenderedPageBreak/>
        <w:t>Town halls</w:t>
      </w:r>
    </w:p>
    <w:p w14:paraId="5FAA02BB" w14:textId="3ACD756F" w:rsidR="005E4A8D" w:rsidRDefault="005E4A8D" w:rsidP="005E4A8D">
      <w:r>
        <w:t>Digital dashboards</w:t>
      </w:r>
    </w:p>
    <w:p w14:paraId="4CA2E812" w14:textId="77777777" w:rsidR="00656158" w:rsidRDefault="005E4A8D" w:rsidP="005E4A8D">
      <w:r>
        <w:t>Training workshops</w:t>
      </w:r>
    </w:p>
    <w:p w14:paraId="36D9D527" w14:textId="0C8104D4" w:rsidR="005E4A8D" w:rsidRDefault="005E4A8D" w:rsidP="005E4A8D">
      <w:r>
        <w:t>Feedback surveys</w:t>
      </w:r>
    </w:p>
    <w:p w14:paraId="06649BB4" w14:textId="4DF9FD4E" w:rsidR="005E4A8D" w:rsidRDefault="005E4A8D" w:rsidP="005E4A8D">
      <w:r>
        <w:t>Two-way communication mitigates resistance.</w:t>
      </w:r>
    </w:p>
    <w:p w14:paraId="4C27A9D9" w14:textId="3A6D0EF5" w:rsidR="005E4A8D" w:rsidRPr="00635E5A" w:rsidRDefault="005E4A8D" w:rsidP="005E4A8D">
      <w:pPr>
        <w:rPr>
          <w:b/>
          <w:bCs/>
        </w:rPr>
      </w:pPr>
      <w:r w:rsidRPr="00635E5A">
        <w:rPr>
          <w:b/>
          <w:bCs/>
        </w:rPr>
        <w:t>5.5 Financial and Resource Plan</w:t>
      </w:r>
    </w:p>
    <w:p w14:paraId="5F0B9FD6" w14:textId="0F492D2D" w:rsidR="005E4A8D" w:rsidRDefault="005E4A8D" w:rsidP="005E4A8D">
      <w:r>
        <w:t>Investment allocation:</w:t>
      </w:r>
    </w:p>
    <w:p w14:paraId="45E20F21" w14:textId="77777777" w:rsidR="00635E5A" w:rsidRDefault="005E4A8D" w:rsidP="005E4A8D">
      <w:r>
        <w:t>Technology upgrades</w:t>
      </w:r>
    </w:p>
    <w:p w14:paraId="5772B475" w14:textId="4ED4698C" w:rsidR="005E4A8D" w:rsidRDefault="005E4A8D" w:rsidP="005E4A8D">
      <w:r>
        <w:t>Automation systems</w:t>
      </w:r>
    </w:p>
    <w:p w14:paraId="770EA511" w14:textId="3E66157B" w:rsidR="005E4A8D" w:rsidRDefault="005E4A8D" w:rsidP="005E4A8D">
      <w:r>
        <w:t>Sustainability initiatives</w:t>
      </w:r>
    </w:p>
    <w:p w14:paraId="23B465BE" w14:textId="0E986EEA" w:rsidR="005E4A8D" w:rsidRDefault="005E4A8D" w:rsidP="005E4A8D">
      <w:r>
        <w:t>ROI estimated within 4–5 years.</w:t>
      </w:r>
    </w:p>
    <w:p w14:paraId="2C1E37A4" w14:textId="2140AF49" w:rsidR="005E4A8D" w:rsidRPr="00635E5A" w:rsidRDefault="005E4A8D" w:rsidP="005E4A8D">
      <w:pPr>
        <w:rPr>
          <w:b/>
          <w:bCs/>
        </w:rPr>
      </w:pPr>
      <w:r w:rsidRPr="00635E5A">
        <w:rPr>
          <w:b/>
          <w:bCs/>
        </w:rPr>
        <w:t>5.6 Risk Assessment</w:t>
      </w:r>
    </w:p>
    <w:p w14:paraId="00548CC4" w14:textId="3433B847" w:rsidR="005E4A8D" w:rsidRDefault="005E4A8D" w:rsidP="005E4A8D">
      <w:r>
        <w:t>Risks include:</w:t>
      </w:r>
    </w:p>
    <w:p w14:paraId="56D41DAC" w14:textId="1583E8F4" w:rsidR="005E4A8D" w:rsidRDefault="005E4A8D" w:rsidP="005E4A8D">
      <w:r>
        <w:t>Resistance</w:t>
      </w:r>
    </w:p>
    <w:p w14:paraId="1E5375A0" w14:textId="512A8ED7" w:rsidR="005E4A8D" w:rsidRDefault="005E4A8D" w:rsidP="005E4A8D">
      <w:r>
        <w:t>Cost overruns</w:t>
      </w:r>
    </w:p>
    <w:p w14:paraId="25148D31" w14:textId="0A527725" w:rsidR="005E4A8D" w:rsidRDefault="005E4A8D" w:rsidP="005E4A8D">
      <w:r>
        <w:t>Cybersecurity threats</w:t>
      </w:r>
    </w:p>
    <w:p w14:paraId="69AD0467" w14:textId="318E0C51" w:rsidR="005E4A8D" w:rsidRDefault="005E4A8D" w:rsidP="005E4A8D">
      <w:r>
        <w:t>Mitigation:</w:t>
      </w:r>
    </w:p>
    <w:p w14:paraId="5A89016B" w14:textId="44358CD3" w:rsidR="005E4A8D" w:rsidRDefault="005E4A8D" w:rsidP="005E4A8D">
      <w:r>
        <w:t>Phased rollout</w:t>
      </w:r>
    </w:p>
    <w:p w14:paraId="3C974BB7" w14:textId="20CB2090" w:rsidR="005E4A8D" w:rsidRDefault="005E4A8D" w:rsidP="005E4A8D">
      <w:r>
        <w:t>Contingency funds</w:t>
      </w:r>
    </w:p>
    <w:p w14:paraId="2CA0B3F7" w14:textId="1793F943" w:rsidR="005E4A8D" w:rsidRDefault="005E4A8D" w:rsidP="005E4A8D">
      <w:r>
        <w:t>Strong governance</w:t>
      </w:r>
    </w:p>
    <w:p w14:paraId="19E3BA72" w14:textId="465022D6" w:rsidR="005E4A8D" w:rsidRPr="00635E5A" w:rsidRDefault="005E4A8D" w:rsidP="005E4A8D">
      <w:pPr>
        <w:rPr>
          <w:b/>
          <w:bCs/>
        </w:rPr>
      </w:pPr>
      <w:r w:rsidRPr="00635E5A">
        <w:rPr>
          <w:b/>
          <w:bCs/>
        </w:rPr>
        <w:t>5.7 Evaluation and KPIs</w:t>
      </w:r>
    </w:p>
    <w:p w14:paraId="1A907159" w14:textId="1C88391F" w:rsidR="005E4A8D" w:rsidRDefault="005E4A8D" w:rsidP="005E4A8D">
      <w:r>
        <w:t>KPIs:</w:t>
      </w:r>
    </w:p>
    <w:p w14:paraId="20D23D98" w14:textId="6DC3287C" w:rsidR="005E4A8D" w:rsidRDefault="005E4A8D" w:rsidP="005E4A8D">
      <w:r>
        <w:t>Online growth %</w:t>
      </w:r>
    </w:p>
    <w:p w14:paraId="3E01CA24" w14:textId="22D8530D" w:rsidR="005E4A8D" w:rsidRDefault="005E4A8D" w:rsidP="005E4A8D">
      <w:r>
        <w:t>Operating margin</w:t>
      </w:r>
    </w:p>
    <w:p w14:paraId="5E2F21CD" w14:textId="08ABD507" w:rsidR="005E4A8D" w:rsidRDefault="005E4A8D" w:rsidP="005E4A8D">
      <w:r>
        <w:t>Customer NPS</w:t>
      </w:r>
    </w:p>
    <w:p w14:paraId="4ECE838B" w14:textId="602BDA73" w:rsidR="005E4A8D" w:rsidRDefault="005E4A8D" w:rsidP="005E4A8D">
      <w:r>
        <w:t>Employee engagement</w:t>
      </w:r>
    </w:p>
    <w:p w14:paraId="0CDA2554" w14:textId="119D2F17" w:rsidR="005E4A8D" w:rsidRDefault="005E4A8D" w:rsidP="005E4A8D">
      <w:r>
        <w:t>Carbon reduction targets</w:t>
      </w:r>
    </w:p>
    <w:p w14:paraId="7357B960" w14:textId="6F8B7FBC" w:rsidR="005E4A8D" w:rsidRDefault="005E4A8D" w:rsidP="005E4A8D">
      <w:r>
        <w:t>Quarterly strategic reviews ensure accountability.</w:t>
      </w:r>
    </w:p>
    <w:p w14:paraId="5C4A2A1E" w14:textId="2F61CE19" w:rsidR="005E4A8D" w:rsidRPr="00F12F2D" w:rsidRDefault="005E4A8D" w:rsidP="005E4A8D">
      <w:pPr>
        <w:rPr>
          <w:b/>
          <w:bCs/>
        </w:rPr>
      </w:pPr>
      <w:r w:rsidRPr="00F12F2D">
        <w:rPr>
          <w:b/>
          <w:bCs/>
        </w:rPr>
        <w:lastRenderedPageBreak/>
        <w:t xml:space="preserve">6. Discussion and Critical Reflection </w:t>
      </w:r>
    </w:p>
    <w:p w14:paraId="149D09FA" w14:textId="0956A5A9" w:rsidR="005E4A8D" w:rsidRDefault="005E4A8D" w:rsidP="005E4A8D">
      <w:r>
        <w:t>The proposed change strategy integrates structural, behavioural, and technological elements. Its strength lies in theoretical alignment and strategic coherence. However, digital transformation carries financial and ethical risks, particularly concerning workforce displacement and data privacy.</w:t>
      </w:r>
    </w:p>
    <w:p w14:paraId="45505ED7" w14:textId="40D18B9C" w:rsidR="005E4A8D" w:rsidRDefault="005E4A8D" w:rsidP="005E4A8D">
      <w:r>
        <w:t>Sustainability commitments enhance legitimacy but require measurable reporting. Ethical leadership must guide restructuring decisions to avoid reputational damage.</w:t>
      </w:r>
    </w:p>
    <w:p w14:paraId="1647C368" w14:textId="0AAB9B49" w:rsidR="00F12F2D" w:rsidRDefault="005E4A8D" w:rsidP="005E4A8D">
      <w:r>
        <w:t>Dynamic capability development (Teece, 2018) is essential for ongoing competitiveness.</w:t>
      </w:r>
    </w:p>
    <w:p w14:paraId="6964190E" w14:textId="77777777" w:rsidR="00BA279F" w:rsidRDefault="005E4A8D" w:rsidP="005E4A8D">
      <w:pPr>
        <w:rPr>
          <w:b/>
          <w:bCs/>
        </w:rPr>
      </w:pPr>
      <w:r w:rsidRPr="00F12F2D">
        <w:rPr>
          <w:b/>
          <w:bCs/>
        </w:rPr>
        <w:t xml:space="preserve">7. Conclusion </w:t>
      </w:r>
      <w:r w:rsidR="00BA279F">
        <w:rPr>
          <w:b/>
          <w:bCs/>
        </w:rPr>
        <w:t xml:space="preserve"> </w:t>
      </w:r>
    </w:p>
    <w:p w14:paraId="5F267204" w14:textId="19FBBBE6" w:rsidR="005E4A8D" w:rsidRPr="00BA279F" w:rsidRDefault="005E4A8D" w:rsidP="005E4A8D">
      <w:pPr>
        <w:rPr>
          <w:b/>
          <w:bCs/>
        </w:rPr>
      </w:pPr>
      <w:r>
        <w:t>M&amp;S operates within a highly volatile retail environment shaped by digital acceleration, AI adoption, and changing consumer expectations. Incremental adjustments are insufficient; strategic transformation is imperative.</w:t>
      </w:r>
    </w:p>
    <w:p w14:paraId="167CD45B" w14:textId="77777777" w:rsidR="005E4A8D" w:rsidRDefault="005E4A8D" w:rsidP="005E4A8D">
      <w:r>
        <w:t>This report has critically analysed environmental pressures, evaluated change frameworks, assessed leadership and culture, and proposed a comprehensive change management plan. The findings demonstrate that successful transformation requires integrated strategic governance, cultural alignment, technological investment, and behavioural engagement.</w:t>
      </w:r>
    </w:p>
    <w:p w14:paraId="5B8F4DD3" w14:textId="77777777" w:rsidR="005E4A8D" w:rsidRDefault="005E4A8D" w:rsidP="005E4A8D">
      <w:r>
        <w:t>A hybrid change model incorporating Kotter, McKinsey 7S, ADKAR, and Lewin offers a robust framework for managing complexity. Transformational leadership remains central to embedding long-term innovation and stakeholder confidence.</w:t>
      </w:r>
    </w:p>
    <w:p w14:paraId="38AFC6B6" w14:textId="77777777" w:rsidR="005E4A8D" w:rsidRDefault="005E4A8D" w:rsidP="005E4A8D">
      <w:r>
        <w:t>If effectively implemented, the proposed strategy will enhance operational efficiency, digital capability, sustainability performance, and competitive resilience. However, continuous evaluation and adaptive learning remain essential.</w:t>
      </w:r>
    </w:p>
    <w:p w14:paraId="15E668BA" w14:textId="77777777" w:rsidR="00BA279F" w:rsidRDefault="005E4A8D" w:rsidP="002470B0">
      <w:r>
        <w:t>Change must be institutionalised as an organisational capability rather than treated as a one-off initiative. Through strategic alignment, ethical leadership, and cultural agility, M&amp;S can secure sustainable competitive advantage in the evolving retail landscape.</w:t>
      </w:r>
    </w:p>
    <w:p w14:paraId="55CDEDF8" w14:textId="4C8E9B3E" w:rsidR="002470B0" w:rsidRPr="00BA279F" w:rsidRDefault="002470B0" w:rsidP="002470B0">
      <w:r w:rsidRPr="002470B0">
        <w:rPr>
          <w:b/>
          <w:bCs/>
        </w:rPr>
        <w:t>Reference List</w:t>
      </w:r>
    </w:p>
    <w:p w14:paraId="2181797E" w14:textId="3956BBAB" w:rsidR="002470B0" w:rsidRDefault="002470B0" w:rsidP="002470B0">
      <w:r>
        <w:t>Barney, J., 1991. Firm resources and sustained competitive advantage. Journal of Management, 17(1), pp. 99–120.</w:t>
      </w:r>
    </w:p>
    <w:p w14:paraId="5259E308" w14:textId="2ECA49A3" w:rsidR="002470B0" w:rsidRDefault="002470B0" w:rsidP="002470B0">
      <w:r>
        <w:t>Bass, B.M., 1985. Leadership and performance beyond expectations. New York: Free Press.</w:t>
      </w:r>
    </w:p>
    <w:p w14:paraId="69B9EB16" w14:textId="0BBDE0EF" w:rsidR="002470B0" w:rsidRDefault="002470B0" w:rsidP="002470B0">
      <w:r>
        <w:t>Burnes, B., 2017. Managing change. 7th ed. Harlow: Pearson Education.</w:t>
      </w:r>
    </w:p>
    <w:p w14:paraId="755333BF" w14:textId="33378CAF" w:rsidR="002470B0" w:rsidRDefault="002470B0" w:rsidP="002470B0">
      <w:r>
        <w:lastRenderedPageBreak/>
        <w:t>Cameron, E. and Green, M., 2019. Making sense of change management: A complete guide to the models, tools and techniques of organisational change. 5th ed. London: Kogan Page.</w:t>
      </w:r>
    </w:p>
    <w:p w14:paraId="3F3DBBF2" w14:textId="6E5396B7" w:rsidR="002470B0" w:rsidRDefault="002470B0" w:rsidP="002470B0">
      <w:r>
        <w:t>Deloitte, 2023. Global retail outlook 2023. London: Deloitte Insights.</w:t>
      </w:r>
    </w:p>
    <w:p w14:paraId="0793A5BE" w14:textId="4D492DE7" w:rsidR="002470B0" w:rsidRDefault="002470B0" w:rsidP="002470B0">
      <w:r>
        <w:t>Freeman, R.E., 1984. Strategic management: A stakeholder approach. Boston: Pitman.</w:t>
      </w:r>
    </w:p>
    <w:p w14:paraId="264BD2CD" w14:textId="1584D762" w:rsidR="002470B0" w:rsidRDefault="002470B0" w:rsidP="002470B0">
      <w:r>
        <w:t>Handy, C., 1993. Understanding organizations. 4th ed. London: Penguin.</w:t>
      </w:r>
    </w:p>
    <w:p w14:paraId="27BE022E" w14:textId="56DB099B" w:rsidR="002470B0" w:rsidRDefault="002470B0" w:rsidP="002470B0">
      <w:r>
        <w:t>Hayes, J., 2022. The theory and practice of change management. 6th ed. London: Palgrave Macmillan.</w:t>
      </w:r>
    </w:p>
    <w:p w14:paraId="57BE7B51" w14:textId="3BD243B7" w:rsidR="002470B0" w:rsidRDefault="002470B0" w:rsidP="002470B0">
      <w:r>
        <w:t xml:space="preserve">Hiatt, J., 2006. ADKAR: A model for change in business, government and our community. Loveland, CO: </w:t>
      </w:r>
      <w:proofErr w:type="spellStart"/>
      <w:r>
        <w:t>Prosci</w:t>
      </w:r>
      <w:proofErr w:type="spellEnd"/>
      <w:r>
        <w:t xml:space="preserve"> Research.</w:t>
      </w:r>
    </w:p>
    <w:p w14:paraId="76B6F49A" w14:textId="7D161F0E" w:rsidR="002470B0" w:rsidRDefault="002470B0" w:rsidP="002470B0">
      <w:r>
        <w:t>Hofstede, G., 2011. Dimensionalizing cultures: The Hofstede model in context. Online Readings in Psychology and Culture, 2(1), pp. 1–26.</w:t>
      </w:r>
    </w:p>
    <w:p w14:paraId="21DBEA6D" w14:textId="4165B855" w:rsidR="002470B0" w:rsidRDefault="002470B0" w:rsidP="002470B0">
      <w:r>
        <w:t>Johnson, G., Scholes, K. and Whittington, R., 2020. Exploring strategy: Text and cases. 12th ed. Harlow: Pearson Education.</w:t>
      </w:r>
    </w:p>
    <w:p w14:paraId="6CCB0826" w14:textId="152246BF" w:rsidR="002470B0" w:rsidRDefault="002470B0" w:rsidP="002470B0">
      <w:r>
        <w:t>Kotter, J.P., 1996. Leading change. Boston: Harvard Business School Press.</w:t>
      </w:r>
    </w:p>
    <w:p w14:paraId="2D7F7926" w14:textId="32EB5B60" w:rsidR="002470B0" w:rsidRDefault="002470B0" w:rsidP="002470B0">
      <w:r>
        <w:t>Lewin, K., 1951. Field theory in social science. New York: Harper &amp; Row.</w:t>
      </w:r>
    </w:p>
    <w:p w14:paraId="4AD2CF70" w14:textId="4A335913" w:rsidR="002470B0" w:rsidRDefault="002470B0" w:rsidP="002470B0">
      <w:r>
        <w:t>Marks &amp; Spencer Group plc, 2023. Annual report and financial statements 2023. London: Marks &amp; Spencer Group plc.</w:t>
      </w:r>
    </w:p>
    <w:p w14:paraId="146CCBB7" w14:textId="77777777" w:rsidR="002470B0" w:rsidRDefault="002470B0" w:rsidP="002470B0">
      <w:r>
        <w:t>McKinsey &amp; Company, 2021. The state of AI in 2021. Available at: https://www.mckinsey.com</w:t>
      </w:r>
    </w:p>
    <w:p w14:paraId="3D9DAF32" w14:textId="157E8359" w:rsidR="002470B0" w:rsidRDefault="002470B0" w:rsidP="002470B0">
      <w:r>
        <w:t xml:space="preserve"> (Accessed: 20 February 2026).</w:t>
      </w:r>
    </w:p>
    <w:p w14:paraId="33AFA97C" w14:textId="35C69380" w:rsidR="002470B0" w:rsidRDefault="002470B0" w:rsidP="002470B0">
      <w:r>
        <w:t>Porter, M.E., 1985. Competitive advantage: Creating and sustaining superior performance. New York: Free Press.</w:t>
      </w:r>
    </w:p>
    <w:p w14:paraId="1F763E33" w14:textId="6270D5E3" w:rsidR="002470B0" w:rsidRDefault="002470B0" w:rsidP="002470B0">
      <w:r>
        <w:t>Schein, E.H., 2010. Organizational culture and leadership. 4th ed. San Francisco: Jossey-Bass.</w:t>
      </w:r>
    </w:p>
    <w:p w14:paraId="380C5ED0" w14:textId="7DA6D2FF" w:rsidR="002470B0" w:rsidRDefault="002470B0" w:rsidP="002470B0">
      <w:r>
        <w:t>Teece, D.J., 2018. Business models and dynamic capabilities. Long Range Planning, 51(1), pp. 40–49.</w:t>
      </w:r>
    </w:p>
    <w:p w14:paraId="205EC4A6" w14:textId="4D9E1D51" w:rsidR="002470B0" w:rsidRDefault="002470B0" w:rsidP="002470B0">
      <w:r>
        <w:t>Waterman, R.H., Peters, T.J. and Phillips, J.R., 1980. Structure is not organization. Business Horizons, 23(3), pp. 14–26.</w:t>
      </w:r>
    </w:p>
    <w:sectPr w:rsidR="002470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A8D"/>
    <w:rsid w:val="002470B0"/>
    <w:rsid w:val="003B6589"/>
    <w:rsid w:val="003D71BA"/>
    <w:rsid w:val="00585238"/>
    <w:rsid w:val="005C254D"/>
    <w:rsid w:val="005E4A8D"/>
    <w:rsid w:val="00635E5A"/>
    <w:rsid w:val="00656158"/>
    <w:rsid w:val="00846B05"/>
    <w:rsid w:val="00B177BD"/>
    <w:rsid w:val="00B74814"/>
    <w:rsid w:val="00BA279F"/>
    <w:rsid w:val="00C9682D"/>
    <w:rsid w:val="00DA17C6"/>
    <w:rsid w:val="00E44E5F"/>
    <w:rsid w:val="00E93C66"/>
    <w:rsid w:val="00F12F2D"/>
    <w:rsid w:val="00FC06CC"/>
    <w:rsid w:val="00FE5E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950C2"/>
  <w15:chartTrackingRefBased/>
  <w15:docId w15:val="{588D606E-3109-4216-8864-23ED61DA2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4A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4A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4A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4A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4A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4A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4A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4A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4A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4A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4A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4A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4A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4A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4A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4A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4A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4A8D"/>
    <w:rPr>
      <w:rFonts w:eastAsiaTheme="majorEastAsia" w:cstheme="majorBidi"/>
      <w:color w:val="272727" w:themeColor="text1" w:themeTint="D8"/>
    </w:rPr>
  </w:style>
  <w:style w:type="paragraph" w:styleId="Title">
    <w:name w:val="Title"/>
    <w:basedOn w:val="Normal"/>
    <w:next w:val="Normal"/>
    <w:link w:val="TitleChar"/>
    <w:uiPriority w:val="10"/>
    <w:qFormat/>
    <w:rsid w:val="005E4A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4A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4A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4A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4A8D"/>
    <w:pPr>
      <w:spacing w:before="160"/>
      <w:jc w:val="center"/>
    </w:pPr>
    <w:rPr>
      <w:i/>
      <w:iCs/>
      <w:color w:val="404040" w:themeColor="text1" w:themeTint="BF"/>
    </w:rPr>
  </w:style>
  <w:style w:type="character" w:customStyle="1" w:styleId="QuoteChar">
    <w:name w:val="Quote Char"/>
    <w:basedOn w:val="DefaultParagraphFont"/>
    <w:link w:val="Quote"/>
    <w:uiPriority w:val="29"/>
    <w:rsid w:val="005E4A8D"/>
    <w:rPr>
      <w:i/>
      <w:iCs/>
      <w:color w:val="404040" w:themeColor="text1" w:themeTint="BF"/>
    </w:rPr>
  </w:style>
  <w:style w:type="paragraph" w:styleId="ListParagraph">
    <w:name w:val="List Paragraph"/>
    <w:basedOn w:val="Normal"/>
    <w:uiPriority w:val="34"/>
    <w:qFormat/>
    <w:rsid w:val="005E4A8D"/>
    <w:pPr>
      <w:ind w:left="720"/>
      <w:contextualSpacing/>
    </w:pPr>
  </w:style>
  <w:style w:type="character" w:styleId="IntenseEmphasis">
    <w:name w:val="Intense Emphasis"/>
    <w:basedOn w:val="DefaultParagraphFont"/>
    <w:uiPriority w:val="21"/>
    <w:qFormat/>
    <w:rsid w:val="005E4A8D"/>
    <w:rPr>
      <w:i/>
      <w:iCs/>
      <w:color w:val="0F4761" w:themeColor="accent1" w:themeShade="BF"/>
    </w:rPr>
  </w:style>
  <w:style w:type="paragraph" w:styleId="IntenseQuote">
    <w:name w:val="Intense Quote"/>
    <w:basedOn w:val="Normal"/>
    <w:next w:val="Normal"/>
    <w:link w:val="IntenseQuoteChar"/>
    <w:uiPriority w:val="30"/>
    <w:qFormat/>
    <w:rsid w:val="005E4A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4A8D"/>
    <w:rPr>
      <w:i/>
      <w:iCs/>
      <w:color w:val="0F4761" w:themeColor="accent1" w:themeShade="BF"/>
    </w:rPr>
  </w:style>
  <w:style w:type="character" w:styleId="IntenseReference">
    <w:name w:val="Intense Reference"/>
    <w:basedOn w:val="DefaultParagraphFont"/>
    <w:uiPriority w:val="32"/>
    <w:qFormat/>
    <w:rsid w:val="005E4A8D"/>
    <w:rPr>
      <w:b/>
      <w:bCs/>
      <w:smallCaps/>
      <w:color w:val="0F4761" w:themeColor="accent1" w:themeShade="BF"/>
      <w:spacing w:val="5"/>
    </w:rPr>
  </w:style>
  <w:style w:type="character" w:styleId="Hyperlink">
    <w:name w:val="Hyperlink"/>
    <w:basedOn w:val="DefaultParagraphFont"/>
    <w:uiPriority w:val="99"/>
    <w:unhideWhenUsed/>
    <w:rsid w:val="002470B0"/>
    <w:rPr>
      <w:color w:val="467886" w:themeColor="hyperlink"/>
      <w:u w:val="single"/>
    </w:rPr>
  </w:style>
  <w:style w:type="character" w:styleId="UnresolvedMention">
    <w:name w:val="Unresolved Mention"/>
    <w:basedOn w:val="DefaultParagraphFont"/>
    <w:uiPriority w:val="99"/>
    <w:semiHidden/>
    <w:unhideWhenUsed/>
    <w:rsid w:val="002470B0"/>
    <w:rPr>
      <w:color w:val="605E5C"/>
      <w:shd w:val="clear" w:color="auto" w:fill="E1DFDD"/>
    </w:rPr>
  </w:style>
  <w:style w:type="paragraph" w:styleId="TOC1">
    <w:name w:val="toc 1"/>
    <w:basedOn w:val="Normal"/>
    <w:next w:val="Normal"/>
    <w:autoRedefine/>
    <w:uiPriority w:val="39"/>
    <w:unhideWhenUsed/>
    <w:rsid w:val="00DA17C6"/>
    <w:pPr>
      <w:spacing w:after="100" w:line="276" w:lineRule="auto"/>
    </w:pPr>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99</TotalTime>
  <Pages>12</Pages>
  <Words>2118</Words>
  <Characters>15377</Characters>
  <Application>Microsoft Office Word</Application>
  <DocSecurity>0</DocSecurity>
  <Lines>357</Lines>
  <Paragraphs>246</Paragraphs>
  <ScaleCrop>false</ScaleCrop>
  <Company/>
  <LinksUpToDate>false</LinksUpToDate>
  <CharactersWithSpaces>17249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Waqar Ali (2027054)</dc:creator>
  <cp:keywords/>
  <dc:description/>
  <cp:lastModifiedBy>Waqar Ali (2027054)</cp:lastModifiedBy>
  <cp:revision>20</cp:revision>
  <dcterms:created xsi:type="dcterms:W3CDTF">2026-02-24T17:51:00Z</dcterms:created>
  <dcterms:modified xsi:type="dcterms:W3CDTF">2026-02-24T19:40:00Z</dcterms:modified>
</cp:coreProperties>
</file>