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C8A059" w14:textId="77777777" w:rsidR="00DA335E" w:rsidRDefault="00DA335E" w:rsidP="00A41261">
      <w:pPr>
        <w:jc w:val="center"/>
        <w:rPr>
          <w:b/>
          <w:bCs/>
        </w:rPr>
      </w:pPr>
      <w:r>
        <w:rPr>
          <w:b/>
          <w:bCs/>
          <w:noProof/>
        </w:rPr>
        <w:drawing>
          <wp:inline distT="0" distB="0" distL="0" distR="0" wp14:anchorId="032078EA" wp14:editId="0FCB68B3">
            <wp:extent cx="4819650" cy="1595737"/>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1024x339.png"/>
                    <pic:cNvPicPr/>
                  </pic:nvPicPr>
                  <pic:blipFill>
                    <a:blip r:embed="rId7">
                      <a:extLst>
                        <a:ext uri="{28A0092B-C50C-407E-A947-70E740481C1C}">
                          <a14:useLocalDpi xmlns:a14="http://schemas.microsoft.com/office/drawing/2010/main" val="0"/>
                        </a:ext>
                      </a:extLst>
                    </a:blip>
                    <a:stretch>
                      <a:fillRect/>
                    </a:stretch>
                  </pic:blipFill>
                  <pic:spPr>
                    <a:xfrm>
                      <a:off x="0" y="0"/>
                      <a:ext cx="4828479" cy="1598660"/>
                    </a:xfrm>
                    <a:prstGeom prst="rect">
                      <a:avLst/>
                    </a:prstGeom>
                  </pic:spPr>
                </pic:pic>
              </a:graphicData>
            </a:graphic>
          </wp:inline>
        </w:drawing>
      </w:r>
    </w:p>
    <w:p w14:paraId="12BC410A" w14:textId="77777777" w:rsidR="00DA335E" w:rsidRDefault="00DA335E" w:rsidP="00A41261">
      <w:pPr>
        <w:jc w:val="center"/>
        <w:rPr>
          <w:b/>
          <w:bCs/>
        </w:rPr>
      </w:pPr>
    </w:p>
    <w:p w14:paraId="5B17D3C7" w14:textId="77777777" w:rsidR="00DA335E" w:rsidRDefault="00DA335E" w:rsidP="00A41261">
      <w:pPr>
        <w:jc w:val="center"/>
        <w:rPr>
          <w:b/>
          <w:bCs/>
        </w:rPr>
      </w:pPr>
    </w:p>
    <w:p w14:paraId="3C246D82" w14:textId="77777777" w:rsidR="00DA335E" w:rsidRPr="00DA335E" w:rsidRDefault="00DA335E" w:rsidP="00DA335E">
      <w:pPr>
        <w:spacing w:line="360" w:lineRule="auto"/>
        <w:jc w:val="center"/>
        <w:rPr>
          <w:b/>
          <w:bCs/>
          <w:sz w:val="36"/>
        </w:rPr>
      </w:pPr>
    </w:p>
    <w:p w14:paraId="5C89E380" w14:textId="77777777" w:rsidR="00DA335E" w:rsidRPr="00DA335E" w:rsidRDefault="00DA335E" w:rsidP="00DA335E">
      <w:pPr>
        <w:spacing w:line="360" w:lineRule="auto"/>
        <w:jc w:val="center"/>
        <w:rPr>
          <w:b/>
          <w:bCs/>
          <w:sz w:val="36"/>
        </w:rPr>
      </w:pPr>
      <w:r w:rsidRPr="00DA335E">
        <w:rPr>
          <w:b/>
          <w:bCs/>
          <w:sz w:val="36"/>
        </w:rPr>
        <w:t>MASTERS OF BUSINESS ADMINISTRATION</w:t>
      </w:r>
    </w:p>
    <w:p w14:paraId="30E98615" w14:textId="77777777" w:rsidR="00DA335E" w:rsidRDefault="00DA335E" w:rsidP="00DA335E">
      <w:pPr>
        <w:spacing w:line="360" w:lineRule="auto"/>
        <w:jc w:val="center"/>
        <w:rPr>
          <w:b/>
          <w:bCs/>
        </w:rPr>
      </w:pPr>
      <w:r>
        <w:rPr>
          <w:b/>
          <w:bCs/>
        </w:rPr>
        <w:t>LCMB7024 – MARKETING MANAGEMENT</w:t>
      </w:r>
    </w:p>
    <w:p w14:paraId="09C9B2A4" w14:textId="77777777" w:rsidR="00DA335E" w:rsidRDefault="00DA335E" w:rsidP="00DA335E">
      <w:pPr>
        <w:spacing w:line="360" w:lineRule="auto"/>
        <w:jc w:val="center"/>
        <w:rPr>
          <w:b/>
          <w:bCs/>
        </w:rPr>
      </w:pPr>
      <w:r>
        <w:rPr>
          <w:b/>
          <w:bCs/>
        </w:rPr>
        <w:t xml:space="preserve">Contribution to overall assessment – </w:t>
      </w:r>
      <w:r w:rsidRPr="00DA335E">
        <w:rPr>
          <w:b/>
          <w:bCs/>
          <w:sz w:val="36"/>
        </w:rPr>
        <w:t>50%</w:t>
      </w:r>
    </w:p>
    <w:p w14:paraId="19D6FD58" w14:textId="523A3560" w:rsidR="00DA335E" w:rsidRDefault="00E602B8" w:rsidP="00E602B8">
      <w:pPr>
        <w:tabs>
          <w:tab w:val="center" w:pos="4680"/>
          <w:tab w:val="left" w:pos="6495"/>
        </w:tabs>
        <w:spacing w:line="360" w:lineRule="auto"/>
        <w:rPr>
          <w:b/>
          <w:bCs/>
        </w:rPr>
      </w:pPr>
      <w:r>
        <w:rPr>
          <w:b/>
          <w:bCs/>
        </w:rPr>
        <w:tab/>
      </w:r>
      <w:r w:rsidR="00DA335E">
        <w:rPr>
          <w:b/>
          <w:bCs/>
        </w:rPr>
        <w:t xml:space="preserve">Lecturer – </w:t>
      </w:r>
      <w:r>
        <w:rPr>
          <w:b/>
          <w:bCs/>
        </w:rPr>
        <w:t>Taonga Kaonga Sobere-Snithers</w:t>
      </w:r>
    </w:p>
    <w:p w14:paraId="67C1E28C" w14:textId="77777777" w:rsidR="00DA335E" w:rsidRPr="00DA335E" w:rsidRDefault="00DA335E" w:rsidP="00DA335E">
      <w:pPr>
        <w:spacing w:line="360" w:lineRule="auto"/>
        <w:jc w:val="center"/>
        <w:rPr>
          <w:b/>
          <w:bCs/>
          <w:sz w:val="28"/>
        </w:rPr>
      </w:pPr>
      <w:r w:rsidRPr="00DA335E">
        <w:rPr>
          <w:b/>
          <w:bCs/>
          <w:sz w:val="28"/>
        </w:rPr>
        <w:t>Assignment title – Assignment component 2 Marketing Startegies Portfolio</w:t>
      </w:r>
    </w:p>
    <w:p w14:paraId="141CFCF0" w14:textId="77777777" w:rsidR="00DA335E" w:rsidRDefault="00DA335E" w:rsidP="00DA335E">
      <w:pPr>
        <w:spacing w:line="360" w:lineRule="auto"/>
        <w:jc w:val="center"/>
        <w:rPr>
          <w:b/>
          <w:bCs/>
        </w:rPr>
      </w:pPr>
      <w:r>
        <w:rPr>
          <w:b/>
          <w:bCs/>
        </w:rPr>
        <w:t>______________________________</w:t>
      </w:r>
      <w:r>
        <w:rPr>
          <w:b/>
          <w:bCs/>
        </w:rPr>
        <w:br/>
      </w:r>
    </w:p>
    <w:p w14:paraId="37204221" w14:textId="77777777" w:rsidR="00DA335E" w:rsidRDefault="00DA335E" w:rsidP="00DA335E">
      <w:pPr>
        <w:spacing w:line="360" w:lineRule="auto"/>
        <w:jc w:val="center"/>
        <w:rPr>
          <w:b/>
          <w:bCs/>
        </w:rPr>
      </w:pPr>
      <w:r>
        <w:rPr>
          <w:b/>
          <w:bCs/>
        </w:rPr>
        <w:t>SUBMITTED</w:t>
      </w:r>
    </w:p>
    <w:p w14:paraId="6B95B5A4" w14:textId="77777777" w:rsidR="00DA335E" w:rsidRDefault="00DA335E" w:rsidP="00DA335E">
      <w:pPr>
        <w:spacing w:line="360" w:lineRule="auto"/>
        <w:jc w:val="center"/>
        <w:rPr>
          <w:b/>
          <w:bCs/>
        </w:rPr>
      </w:pPr>
      <w:r>
        <w:rPr>
          <w:b/>
          <w:bCs/>
        </w:rPr>
        <w:t>BY</w:t>
      </w:r>
    </w:p>
    <w:p w14:paraId="4DFD9D33" w14:textId="77777777" w:rsidR="00E602B8" w:rsidRDefault="00E602B8" w:rsidP="00DA335E">
      <w:pPr>
        <w:spacing w:line="360" w:lineRule="auto"/>
        <w:jc w:val="center"/>
        <w:rPr>
          <w:b/>
          <w:bCs/>
        </w:rPr>
      </w:pPr>
      <w:r>
        <w:rPr>
          <w:b/>
          <w:bCs/>
        </w:rPr>
        <w:t xml:space="preserve">Name :- Neel Manishbhai Korat </w:t>
      </w:r>
    </w:p>
    <w:p w14:paraId="133D0C19" w14:textId="1C1CF2F1" w:rsidR="00DA335E" w:rsidRDefault="00E602B8" w:rsidP="00DA335E">
      <w:pPr>
        <w:spacing w:line="360" w:lineRule="auto"/>
        <w:jc w:val="center"/>
        <w:rPr>
          <w:b/>
          <w:bCs/>
        </w:rPr>
      </w:pPr>
      <w:r>
        <w:rPr>
          <w:b/>
          <w:bCs/>
        </w:rPr>
        <w:t xml:space="preserve">Student </w:t>
      </w:r>
      <w:r w:rsidR="00DA335E">
        <w:rPr>
          <w:b/>
          <w:bCs/>
        </w:rPr>
        <w:t>ID –</w:t>
      </w:r>
      <w:r>
        <w:rPr>
          <w:b/>
          <w:bCs/>
        </w:rPr>
        <w:t xml:space="preserve"> 2523741</w:t>
      </w:r>
    </w:p>
    <w:p w14:paraId="2805CCB0" w14:textId="77777777" w:rsidR="00DA335E" w:rsidRDefault="00DA335E" w:rsidP="00A41261">
      <w:pPr>
        <w:jc w:val="center"/>
        <w:rPr>
          <w:b/>
          <w:bCs/>
        </w:rPr>
      </w:pPr>
    </w:p>
    <w:p w14:paraId="018A38DC" w14:textId="77777777" w:rsidR="00A41261" w:rsidRPr="00A41261" w:rsidRDefault="00A41261" w:rsidP="00A41261">
      <w:pPr>
        <w:jc w:val="center"/>
      </w:pPr>
      <w:r>
        <w:br w:type="page"/>
      </w:r>
    </w:p>
    <w:sdt>
      <w:sdtPr>
        <w:rPr>
          <w:rFonts w:ascii="Times New Roman" w:eastAsiaTheme="minorHAnsi" w:hAnsi="Times New Roman" w:cs="Times New Roman"/>
          <w:b w:val="0"/>
          <w:bCs w:val="0"/>
          <w:color w:val="auto"/>
          <w:kern w:val="2"/>
          <w:sz w:val="24"/>
          <w:szCs w:val="24"/>
          <w14:ligatures w14:val="standardContextual"/>
        </w:rPr>
        <w:id w:val="-1484615123"/>
        <w:docPartObj>
          <w:docPartGallery w:val="Table of Contents"/>
          <w:docPartUnique/>
        </w:docPartObj>
      </w:sdtPr>
      <w:sdtEndPr>
        <w:rPr>
          <w:noProof/>
        </w:rPr>
      </w:sdtEndPr>
      <w:sdtContent>
        <w:p w14:paraId="2EB3F6E3" w14:textId="77777777" w:rsidR="00A41261" w:rsidRPr="005F6FA0" w:rsidRDefault="005F6FA0">
          <w:pPr>
            <w:pStyle w:val="TOCHeading"/>
            <w:rPr>
              <w:rFonts w:ascii="Times New Roman" w:hAnsi="Times New Roman" w:cs="Times New Roman"/>
            </w:rPr>
          </w:pPr>
          <w:r w:rsidRPr="005F6FA0">
            <w:rPr>
              <w:rFonts w:ascii="Times New Roman" w:hAnsi="Times New Roman" w:cs="Times New Roman"/>
            </w:rPr>
            <w:t>TABLE OF CONTENTS</w:t>
          </w:r>
        </w:p>
        <w:p w14:paraId="49132753" w14:textId="77777777" w:rsidR="00A41261" w:rsidRPr="005F6FA0" w:rsidRDefault="00A41261" w:rsidP="005F6FA0">
          <w:pPr>
            <w:pStyle w:val="TOC1"/>
            <w:tabs>
              <w:tab w:val="right" w:leader="dot" w:pos="9350"/>
            </w:tabs>
            <w:spacing w:line="276" w:lineRule="auto"/>
            <w:rPr>
              <w:noProof/>
              <w:sz w:val="24"/>
            </w:rPr>
          </w:pPr>
          <w:r w:rsidRPr="005F6FA0">
            <w:rPr>
              <w:b w:val="0"/>
              <w:bCs w:val="0"/>
              <w:sz w:val="24"/>
            </w:rPr>
            <w:fldChar w:fldCharType="begin"/>
          </w:r>
          <w:r w:rsidRPr="005F6FA0">
            <w:rPr>
              <w:sz w:val="24"/>
            </w:rPr>
            <w:instrText xml:space="preserve"> TOC \o "1-3" \h \z \u </w:instrText>
          </w:r>
          <w:r w:rsidRPr="005F6FA0">
            <w:rPr>
              <w:b w:val="0"/>
              <w:bCs w:val="0"/>
              <w:sz w:val="24"/>
            </w:rPr>
            <w:fldChar w:fldCharType="separate"/>
          </w:r>
          <w:hyperlink w:anchor="_Toc223535123" w:history="1">
            <w:r w:rsidRPr="005F6FA0">
              <w:rPr>
                <w:rStyle w:val="Hyperlink"/>
                <w:rFonts w:asciiTheme="majorBidi" w:hAnsiTheme="majorBidi"/>
                <w:noProof/>
                <w:sz w:val="24"/>
              </w:rPr>
              <w:t>Element 1: Brand Extensive Poster Presentation</w:t>
            </w:r>
            <w:r w:rsidRPr="005F6FA0">
              <w:rPr>
                <w:noProof/>
                <w:webHidden/>
                <w:sz w:val="24"/>
              </w:rPr>
              <w:tab/>
            </w:r>
            <w:r w:rsidRPr="005F6FA0">
              <w:rPr>
                <w:noProof/>
                <w:webHidden/>
                <w:sz w:val="24"/>
              </w:rPr>
              <w:fldChar w:fldCharType="begin"/>
            </w:r>
            <w:r w:rsidRPr="005F6FA0">
              <w:rPr>
                <w:noProof/>
                <w:webHidden/>
                <w:sz w:val="24"/>
              </w:rPr>
              <w:instrText xml:space="preserve"> PAGEREF _Toc223535123 \h </w:instrText>
            </w:r>
            <w:r w:rsidRPr="005F6FA0">
              <w:rPr>
                <w:noProof/>
                <w:webHidden/>
                <w:sz w:val="24"/>
              </w:rPr>
            </w:r>
            <w:r w:rsidRPr="005F6FA0">
              <w:rPr>
                <w:noProof/>
                <w:webHidden/>
                <w:sz w:val="24"/>
              </w:rPr>
              <w:fldChar w:fldCharType="separate"/>
            </w:r>
            <w:r w:rsidR="005F6FA0">
              <w:rPr>
                <w:noProof/>
                <w:webHidden/>
                <w:sz w:val="24"/>
              </w:rPr>
              <w:t>3</w:t>
            </w:r>
            <w:r w:rsidRPr="005F6FA0">
              <w:rPr>
                <w:noProof/>
                <w:webHidden/>
                <w:sz w:val="24"/>
              </w:rPr>
              <w:fldChar w:fldCharType="end"/>
            </w:r>
          </w:hyperlink>
        </w:p>
        <w:p w14:paraId="7ED87DB8" w14:textId="77777777" w:rsidR="00A41261" w:rsidRPr="005F6FA0" w:rsidRDefault="00A41261" w:rsidP="005F6FA0">
          <w:pPr>
            <w:pStyle w:val="TOC1"/>
            <w:tabs>
              <w:tab w:val="right" w:leader="dot" w:pos="9350"/>
            </w:tabs>
            <w:spacing w:line="276" w:lineRule="auto"/>
            <w:rPr>
              <w:noProof/>
              <w:sz w:val="24"/>
            </w:rPr>
          </w:pPr>
          <w:hyperlink w:anchor="_Toc223535124" w:history="1">
            <w:r w:rsidRPr="005F6FA0">
              <w:rPr>
                <w:rStyle w:val="Hyperlink"/>
                <w:rFonts w:asciiTheme="majorBidi" w:hAnsiTheme="majorBidi"/>
                <w:noProof/>
                <w:sz w:val="24"/>
              </w:rPr>
              <w:t>Element 2: Segmentation, Targeting, Differentiation, and Positioning (STDP) Analysis for the brand extension</w:t>
            </w:r>
            <w:r w:rsidRPr="005F6FA0">
              <w:rPr>
                <w:noProof/>
                <w:webHidden/>
                <w:sz w:val="24"/>
              </w:rPr>
              <w:tab/>
            </w:r>
            <w:r w:rsidRPr="005F6FA0">
              <w:rPr>
                <w:noProof/>
                <w:webHidden/>
                <w:sz w:val="24"/>
              </w:rPr>
              <w:fldChar w:fldCharType="begin"/>
            </w:r>
            <w:r w:rsidRPr="005F6FA0">
              <w:rPr>
                <w:noProof/>
                <w:webHidden/>
                <w:sz w:val="24"/>
              </w:rPr>
              <w:instrText xml:space="preserve"> PAGEREF _Toc223535124 \h </w:instrText>
            </w:r>
            <w:r w:rsidRPr="005F6FA0">
              <w:rPr>
                <w:noProof/>
                <w:webHidden/>
                <w:sz w:val="24"/>
              </w:rPr>
            </w:r>
            <w:r w:rsidRPr="005F6FA0">
              <w:rPr>
                <w:noProof/>
                <w:webHidden/>
                <w:sz w:val="24"/>
              </w:rPr>
              <w:fldChar w:fldCharType="separate"/>
            </w:r>
            <w:r w:rsidR="005F6FA0">
              <w:rPr>
                <w:noProof/>
                <w:webHidden/>
                <w:sz w:val="24"/>
              </w:rPr>
              <w:t>3</w:t>
            </w:r>
            <w:r w:rsidRPr="005F6FA0">
              <w:rPr>
                <w:noProof/>
                <w:webHidden/>
                <w:sz w:val="24"/>
              </w:rPr>
              <w:fldChar w:fldCharType="end"/>
            </w:r>
          </w:hyperlink>
        </w:p>
        <w:p w14:paraId="525BE6D7" w14:textId="77777777" w:rsidR="00A41261" w:rsidRPr="005F6FA0" w:rsidRDefault="00A41261" w:rsidP="005F6FA0">
          <w:pPr>
            <w:pStyle w:val="TOC2"/>
            <w:tabs>
              <w:tab w:val="right" w:leader="dot" w:pos="9350"/>
            </w:tabs>
            <w:spacing w:line="276" w:lineRule="auto"/>
            <w:rPr>
              <w:noProof/>
              <w:sz w:val="24"/>
            </w:rPr>
          </w:pPr>
          <w:hyperlink w:anchor="_Toc223535125" w:history="1">
            <w:r w:rsidRPr="005F6FA0">
              <w:rPr>
                <w:rStyle w:val="Hyperlink"/>
                <w:rFonts w:asciiTheme="majorBidi" w:hAnsiTheme="majorBidi"/>
                <w:noProof/>
                <w:sz w:val="24"/>
              </w:rPr>
              <w:t>Segmentation</w:t>
            </w:r>
            <w:r w:rsidRPr="005F6FA0">
              <w:rPr>
                <w:noProof/>
                <w:webHidden/>
                <w:sz w:val="24"/>
              </w:rPr>
              <w:tab/>
            </w:r>
            <w:r w:rsidRPr="005F6FA0">
              <w:rPr>
                <w:noProof/>
                <w:webHidden/>
                <w:sz w:val="24"/>
              </w:rPr>
              <w:fldChar w:fldCharType="begin"/>
            </w:r>
            <w:r w:rsidRPr="005F6FA0">
              <w:rPr>
                <w:noProof/>
                <w:webHidden/>
                <w:sz w:val="24"/>
              </w:rPr>
              <w:instrText xml:space="preserve"> PAGEREF _Toc223535125 \h </w:instrText>
            </w:r>
            <w:r w:rsidRPr="005F6FA0">
              <w:rPr>
                <w:noProof/>
                <w:webHidden/>
                <w:sz w:val="24"/>
              </w:rPr>
            </w:r>
            <w:r w:rsidRPr="005F6FA0">
              <w:rPr>
                <w:noProof/>
                <w:webHidden/>
                <w:sz w:val="24"/>
              </w:rPr>
              <w:fldChar w:fldCharType="separate"/>
            </w:r>
            <w:r w:rsidR="005F6FA0">
              <w:rPr>
                <w:noProof/>
                <w:webHidden/>
                <w:sz w:val="24"/>
              </w:rPr>
              <w:t>3</w:t>
            </w:r>
            <w:r w:rsidRPr="005F6FA0">
              <w:rPr>
                <w:noProof/>
                <w:webHidden/>
                <w:sz w:val="24"/>
              </w:rPr>
              <w:fldChar w:fldCharType="end"/>
            </w:r>
          </w:hyperlink>
        </w:p>
        <w:p w14:paraId="2AB3AEA2" w14:textId="77777777" w:rsidR="00A41261" w:rsidRPr="005F6FA0" w:rsidRDefault="00A41261" w:rsidP="005F6FA0">
          <w:pPr>
            <w:pStyle w:val="TOC2"/>
            <w:tabs>
              <w:tab w:val="right" w:leader="dot" w:pos="9350"/>
            </w:tabs>
            <w:spacing w:line="276" w:lineRule="auto"/>
            <w:rPr>
              <w:noProof/>
              <w:sz w:val="24"/>
            </w:rPr>
          </w:pPr>
          <w:hyperlink w:anchor="_Toc223535126" w:history="1">
            <w:r w:rsidRPr="005F6FA0">
              <w:rPr>
                <w:rStyle w:val="Hyperlink"/>
                <w:rFonts w:asciiTheme="majorBidi" w:hAnsiTheme="majorBidi"/>
                <w:noProof/>
                <w:sz w:val="24"/>
              </w:rPr>
              <w:t>Targeting</w:t>
            </w:r>
            <w:r w:rsidRPr="005F6FA0">
              <w:rPr>
                <w:noProof/>
                <w:webHidden/>
                <w:sz w:val="24"/>
              </w:rPr>
              <w:tab/>
            </w:r>
            <w:r w:rsidRPr="005F6FA0">
              <w:rPr>
                <w:noProof/>
                <w:webHidden/>
                <w:sz w:val="24"/>
              </w:rPr>
              <w:fldChar w:fldCharType="begin"/>
            </w:r>
            <w:r w:rsidRPr="005F6FA0">
              <w:rPr>
                <w:noProof/>
                <w:webHidden/>
                <w:sz w:val="24"/>
              </w:rPr>
              <w:instrText xml:space="preserve"> PAGEREF _Toc223535126 \h </w:instrText>
            </w:r>
            <w:r w:rsidRPr="005F6FA0">
              <w:rPr>
                <w:noProof/>
                <w:webHidden/>
                <w:sz w:val="24"/>
              </w:rPr>
            </w:r>
            <w:r w:rsidRPr="005F6FA0">
              <w:rPr>
                <w:noProof/>
                <w:webHidden/>
                <w:sz w:val="24"/>
              </w:rPr>
              <w:fldChar w:fldCharType="separate"/>
            </w:r>
            <w:r w:rsidR="005F6FA0">
              <w:rPr>
                <w:noProof/>
                <w:webHidden/>
                <w:sz w:val="24"/>
              </w:rPr>
              <w:t>4</w:t>
            </w:r>
            <w:r w:rsidRPr="005F6FA0">
              <w:rPr>
                <w:noProof/>
                <w:webHidden/>
                <w:sz w:val="24"/>
              </w:rPr>
              <w:fldChar w:fldCharType="end"/>
            </w:r>
          </w:hyperlink>
        </w:p>
        <w:p w14:paraId="4A3F3F3D" w14:textId="77777777" w:rsidR="00A41261" w:rsidRPr="005F6FA0" w:rsidRDefault="00A41261" w:rsidP="005F6FA0">
          <w:pPr>
            <w:pStyle w:val="TOC2"/>
            <w:tabs>
              <w:tab w:val="right" w:leader="dot" w:pos="9350"/>
            </w:tabs>
            <w:spacing w:line="276" w:lineRule="auto"/>
            <w:rPr>
              <w:noProof/>
              <w:sz w:val="24"/>
            </w:rPr>
          </w:pPr>
          <w:hyperlink w:anchor="_Toc223535127" w:history="1">
            <w:r w:rsidRPr="005F6FA0">
              <w:rPr>
                <w:rStyle w:val="Hyperlink"/>
                <w:rFonts w:asciiTheme="majorBidi" w:hAnsiTheme="majorBidi"/>
                <w:noProof/>
                <w:sz w:val="24"/>
              </w:rPr>
              <w:t>Differentiation</w:t>
            </w:r>
            <w:r w:rsidRPr="005F6FA0">
              <w:rPr>
                <w:noProof/>
                <w:webHidden/>
                <w:sz w:val="24"/>
              </w:rPr>
              <w:tab/>
            </w:r>
            <w:r w:rsidRPr="005F6FA0">
              <w:rPr>
                <w:noProof/>
                <w:webHidden/>
                <w:sz w:val="24"/>
              </w:rPr>
              <w:fldChar w:fldCharType="begin"/>
            </w:r>
            <w:r w:rsidRPr="005F6FA0">
              <w:rPr>
                <w:noProof/>
                <w:webHidden/>
                <w:sz w:val="24"/>
              </w:rPr>
              <w:instrText xml:space="preserve"> PAGEREF _Toc223535127 \h </w:instrText>
            </w:r>
            <w:r w:rsidRPr="005F6FA0">
              <w:rPr>
                <w:noProof/>
                <w:webHidden/>
                <w:sz w:val="24"/>
              </w:rPr>
            </w:r>
            <w:r w:rsidRPr="005F6FA0">
              <w:rPr>
                <w:noProof/>
                <w:webHidden/>
                <w:sz w:val="24"/>
              </w:rPr>
              <w:fldChar w:fldCharType="separate"/>
            </w:r>
            <w:r w:rsidR="005F6FA0">
              <w:rPr>
                <w:noProof/>
                <w:webHidden/>
                <w:sz w:val="24"/>
              </w:rPr>
              <w:t>4</w:t>
            </w:r>
            <w:r w:rsidRPr="005F6FA0">
              <w:rPr>
                <w:noProof/>
                <w:webHidden/>
                <w:sz w:val="24"/>
              </w:rPr>
              <w:fldChar w:fldCharType="end"/>
            </w:r>
          </w:hyperlink>
        </w:p>
        <w:p w14:paraId="7769DE73" w14:textId="77777777" w:rsidR="00A41261" w:rsidRPr="005F6FA0" w:rsidRDefault="00A41261" w:rsidP="005F6FA0">
          <w:pPr>
            <w:pStyle w:val="TOC2"/>
            <w:tabs>
              <w:tab w:val="right" w:leader="dot" w:pos="9350"/>
            </w:tabs>
            <w:spacing w:line="276" w:lineRule="auto"/>
            <w:rPr>
              <w:noProof/>
              <w:sz w:val="24"/>
            </w:rPr>
          </w:pPr>
          <w:hyperlink w:anchor="_Toc223535128" w:history="1">
            <w:r w:rsidRPr="005F6FA0">
              <w:rPr>
                <w:rStyle w:val="Hyperlink"/>
                <w:rFonts w:asciiTheme="majorBidi" w:hAnsiTheme="majorBidi"/>
                <w:noProof/>
                <w:sz w:val="24"/>
              </w:rPr>
              <w:t>Positioning</w:t>
            </w:r>
            <w:r w:rsidRPr="005F6FA0">
              <w:rPr>
                <w:noProof/>
                <w:webHidden/>
                <w:sz w:val="24"/>
              </w:rPr>
              <w:tab/>
            </w:r>
            <w:r w:rsidRPr="005F6FA0">
              <w:rPr>
                <w:noProof/>
                <w:webHidden/>
                <w:sz w:val="24"/>
              </w:rPr>
              <w:fldChar w:fldCharType="begin"/>
            </w:r>
            <w:r w:rsidRPr="005F6FA0">
              <w:rPr>
                <w:noProof/>
                <w:webHidden/>
                <w:sz w:val="24"/>
              </w:rPr>
              <w:instrText xml:space="preserve"> PAGEREF _Toc223535128 \h </w:instrText>
            </w:r>
            <w:r w:rsidRPr="005F6FA0">
              <w:rPr>
                <w:noProof/>
                <w:webHidden/>
                <w:sz w:val="24"/>
              </w:rPr>
            </w:r>
            <w:r w:rsidRPr="005F6FA0">
              <w:rPr>
                <w:noProof/>
                <w:webHidden/>
                <w:sz w:val="24"/>
              </w:rPr>
              <w:fldChar w:fldCharType="separate"/>
            </w:r>
            <w:r w:rsidR="005F6FA0">
              <w:rPr>
                <w:noProof/>
                <w:webHidden/>
                <w:sz w:val="24"/>
              </w:rPr>
              <w:t>5</w:t>
            </w:r>
            <w:r w:rsidRPr="005F6FA0">
              <w:rPr>
                <w:noProof/>
                <w:webHidden/>
                <w:sz w:val="24"/>
              </w:rPr>
              <w:fldChar w:fldCharType="end"/>
            </w:r>
          </w:hyperlink>
        </w:p>
        <w:p w14:paraId="3387D312" w14:textId="77777777" w:rsidR="00A41261" w:rsidRPr="005F6FA0" w:rsidRDefault="00A41261" w:rsidP="005F6FA0">
          <w:pPr>
            <w:pStyle w:val="TOC1"/>
            <w:tabs>
              <w:tab w:val="right" w:leader="dot" w:pos="9350"/>
            </w:tabs>
            <w:spacing w:line="276" w:lineRule="auto"/>
            <w:rPr>
              <w:noProof/>
              <w:sz w:val="24"/>
            </w:rPr>
          </w:pPr>
          <w:hyperlink w:anchor="_Toc223535129" w:history="1">
            <w:r w:rsidRPr="005F6FA0">
              <w:rPr>
                <w:rStyle w:val="Hyperlink"/>
                <w:rFonts w:asciiTheme="majorBidi" w:hAnsiTheme="majorBidi"/>
                <w:noProof/>
                <w:sz w:val="24"/>
              </w:rPr>
              <w:t>Element 3: Marketing Mix</w:t>
            </w:r>
            <w:r w:rsidRPr="005F6FA0">
              <w:rPr>
                <w:noProof/>
                <w:webHidden/>
                <w:sz w:val="24"/>
              </w:rPr>
              <w:tab/>
            </w:r>
            <w:r w:rsidRPr="005F6FA0">
              <w:rPr>
                <w:noProof/>
                <w:webHidden/>
                <w:sz w:val="24"/>
              </w:rPr>
              <w:fldChar w:fldCharType="begin"/>
            </w:r>
            <w:r w:rsidRPr="005F6FA0">
              <w:rPr>
                <w:noProof/>
                <w:webHidden/>
                <w:sz w:val="24"/>
              </w:rPr>
              <w:instrText xml:space="preserve"> PAGEREF _Toc223535129 \h </w:instrText>
            </w:r>
            <w:r w:rsidRPr="005F6FA0">
              <w:rPr>
                <w:noProof/>
                <w:webHidden/>
                <w:sz w:val="24"/>
              </w:rPr>
            </w:r>
            <w:r w:rsidRPr="005F6FA0">
              <w:rPr>
                <w:noProof/>
                <w:webHidden/>
                <w:sz w:val="24"/>
              </w:rPr>
              <w:fldChar w:fldCharType="separate"/>
            </w:r>
            <w:r w:rsidR="005F6FA0">
              <w:rPr>
                <w:noProof/>
                <w:webHidden/>
                <w:sz w:val="24"/>
              </w:rPr>
              <w:t>6</w:t>
            </w:r>
            <w:r w:rsidRPr="005F6FA0">
              <w:rPr>
                <w:noProof/>
                <w:webHidden/>
                <w:sz w:val="24"/>
              </w:rPr>
              <w:fldChar w:fldCharType="end"/>
            </w:r>
          </w:hyperlink>
        </w:p>
        <w:p w14:paraId="7CB92597" w14:textId="77777777" w:rsidR="00A41261" w:rsidRPr="005F6FA0" w:rsidRDefault="00A41261" w:rsidP="005F6FA0">
          <w:pPr>
            <w:pStyle w:val="TOC2"/>
            <w:tabs>
              <w:tab w:val="right" w:leader="dot" w:pos="9350"/>
            </w:tabs>
            <w:spacing w:line="276" w:lineRule="auto"/>
            <w:rPr>
              <w:noProof/>
              <w:sz w:val="24"/>
            </w:rPr>
          </w:pPr>
          <w:hyperlink w:anchor="_Toc223535130" w:history="1">
            <w:r w:rsidRPr="005F6FA0">
              <w:rPr>
                <w:rStyle w:val="Hyperlink"/>
                <w:rFonts w:asciiTheme="majorBidi" w:hAnsiTheme="majorBidi"/>
                <w:noProof/>
                <w:sz w:val="24"/>
              </w:rPr>
              <w:t>Product</w:t>
            </w:r>
            <w:r w:rsidRPr="005F6FA0">
              <w:rPr>
                <w:noProof/>
                <w:webHidden/>
                <w:sz w:val="24"/>
              </w:rPr>
              <w:tab/>
            </w:r>
            <w:r w:rsidRPr="005F6FA0">
              <w:rPr>
                <w:noProof/>
                <w:webHidden/>
                <w:sz w:val="24"/>
              </w:rPr>
              <w:fldChar w:fldCharType="begin"/>
            </w:r>
            <w:r w:rsidRPr="005F6FA0">
              <w:rPr>
                <w:noProof/>
                <w:webHidden/>
                <w:sz w:val="24"/>
              </w:rPr>
              <w:instrText xml:space="preserve"> PAGEREF _Toc223535130 \h </w:instrText>
            </w:r>
            <w:r w:rsidRPr="005F6FA0">
              <w:rPr>
                <w:noProof/>
                <w:webHidden/>
                <w:sz w:val="24"/>
              </w:rPr>
            </w:r>
            <w:r w:rsidRPr="005F6FA0">
              <w:rPr>
                <w:noProof/>
                <w:webHidden/>
                <w:sz w:val="24"/>
              </w:rPr>
              <w:fldChar w:fldCharType="separate"/>
            </w:r>
            <w:r w:rsidR="005F6FA0">
              <w:rPr>
                <w:noProof/>
                <w:webHidden/>
                <w:sz w:val="24"/>
              </w:rPr>
              <w:t>6</w:t>
            </w:r>
            <w:r w:rsidRPr="005F6FA0">
              <w:rPr>
                <w:noProof/>
                <w:webHidden/>
                <w:sz w:val="24"/>
              </w:rPr>
              <w:fldChar w:fldCharType="end"/>
            </w:r>
          </w:hyperlink>
        </w:p>
        <w:p w14:paraId="65E3F9B4" w14:textId="77777777" w:rsidR="00A41261" w:rsidRPr="005F6FA0" w:rsidRDefault="00A41261" w:rsidP="005F6FA0">
          <w:pPr>
            <w:pStyle w:val="TOC2"/>
            <w:tabs>
              <w:tab w:val="right" w:leader="dot" w:pos="9350"/>
            </w:tabs>
            <w:spacing w:line="276" w:lineRule="auto"/>
            <w:rPr>
              <w:noProof/>
              <w:sz w:val="24"/>
            </w:rPr>
          </w:pPr>
          <w:hyperlink w:anchor="_Toc223535131" w:history="1">
            <w:r w:rsidRPr="005F6FA0">
              <w:rPr>
                <w:rStyle w:val="Hyperlink"/>
                <w:rFonts w:asciiTheme="majorBidi" w:hAnsiTheme="majorBidi"/>
                <w:noProof/>
                <w:sz w:val="24"/>
              </w:rPr>
              <w:t>Price</w:t>
            </w:r>
            <w:r w:rsidRPr="005F6FA0">
              <w:rPr>
                <w:noProof/>
                <w:webHidden/>
                <w:sz w:val="24"/>
              </w:rPr>
              <w:tab/>
            </w:r>
            <w:r w:rsidRPr="005F6FA0">
              <w:rPr>
                <w:noProof/>
                <w:webHidden/>
                <w:sz w:val="24"/>
              </w:rPr>
              <w:fldChar w:fldCharType="begin"/>
            </w:r>
            <w:r w:rsidRPr="005F6FA0">
              <w:rPr>
                <w:noProof/>
                <w:webHidden/>
                <w:sz w:val="24"/>
              </w:rPr>
              <w:instrText xml:space="preserve"> PAGEREF _Toc223535131 \h </w:instrText>
            </w:r>
            <w:r w:rsidRPr="005F6FA0">
              <w:rPr>
                <w:noProof/>
                <w:webHidden/>
                <w:sz w:val="24"/>
              </w:rPr>
            </w:r>
            <w:r w:rsidRPr="005F6FA0">
              <w:rPr>
                <w:noProof/>
                <w:webHidden/>
                <w:sz w:val="24"/>
              </w:rPr>
              <w:fldChar w:fldCharType="separate"/>
            </w:r>
            <w:r w:rsidR="005F6FA0">
              <w:rPr>
                <w:noProof/>
                <w:webHidden/>
                <w:sz w:val="24"/>
              </w:rPr>
              <w:t>8</w:t>
            </w:r>
            <w:r w:rsidRPr="005F6FA0">
              <w:rPr>
                <w:noProof/>
                <w:webHidden/>
                <w:sz w:val="24"/>
              </w:rPr>
              <w:fldChar w:fldCharType="end"/>
            </w:r>
          </w:hyperlink>
        </w:p>
        <w:p w14:paraId="75EF654D" w14:textId="77777777" w:rsidR="00A41261" w:rsidRPr="005F6FA0" w:rsidRDefault="00A41261" w:rsidP="005F6FA0">
          <w:pPr>
            <w:pStyle w:val="TOC2"/>
            <w:tabs>
              <w:tab w:val="right" w:leader="dot" w:pos="9350"/>
            </w:tabs>
            <w:spacing w:line="276" w:lineRule="auto"/>
            <w:rPr>
              <w:noProof/>
              <w:sz w:val="24"/>
            </w:rPr>
          </w:pPr>
          <w:hyperlink w:anchor="_Toc223535132" w:history="1">
            <w:r w:rsidRPr="005F6FA0">
              <w:rPr>
                <w:rStyle w:val="Hyperlink"/>
                <w:rFonts w:asciiTheme="majorBidi" w:hAnsiTheme="majorBidi"/>
                <w:noProof/>
                <w:sz w:val="24"/>
              </w:rPr>
              <w:t>Place</w:t>
            </w:r>
            <w:r w:rsidRPr="005F6FA0">
              <w:rPr>
                <w:noProof/>
                <w:webHidden/>
                <w:sz w:val="24"/>
              </w:rPr>
              <w:tab/>
            </w:r>
            <w:r w:rsidRPr="005F6FA0">
              <w:rPr>
                <w:noProof/>
                <w:webHidden/>
                <w:sz w:val="24"/>
              </w:rPr>
              <w:fldChar w:fldCharType="begin"/>
            </w:r>
            <w:r w:rsidRPr="005F6FA0">
              <w:rPr>
                <w:noProof/>
                <w:webHidden/>
                <w:sz w:val="24"/>
              </w:rPr>
              <w:instrText xml:space="preserve"> PAGEREF _Toc223535132 \h </w:instrText>
            </w:r>
            <w:r w:rsidRPr="005F6FA0">
              <w:rPr>
                <w:noProof/>
                <w:webHidden/>
                <w:sz w:val="24"/>
              </w:rPr>
            </w:r>
            <w:r w:rsidRPr="005F6FA0">
              <w:rPr>
                <w:noProof/>
                <w:webHidden/>
                <w:sz w:val="24"/>
              </w:rPr>
              <w:fldChar w:fldCharType="separate"/>
            </w:r>
            <w:r w:rsidR="005F6FA0">
              <w:rPr>
                <w:noProof/>
                <w:webHidden/>
                <w:sz w:val="24"/>
              </w:rPr>
              <w:t>10</w:t>
            </w:r>
            <w:r w:rsidRPr="005F6FA0">
              <w:rPr>
                <w:noProof/>
                <w:webHidden/>
                <w:sz w:val="24"/>
              </w:rPr>
              <w:fldChar w:fldCharType="end"/>
            </w:r>
          </w:hyperlink>
        </w:p>
        <w:p w14:paraId="7C0E1EEC" w14:textId="77777777" w:rsidR="00A41261" w:rsidRPr="005F6FA0" w:rsidRDefault="00A41261" w:rsidP="005F6FA0">
          <w:pPr>
            <w:pStyle w:val="TOC2"/>
            <w:tabs>
              <w:tab w:val="right" w:leader="dot" w:pos="9350"/>
            </w:tabs>
            <w:spacing w:line="276" w:lineRule="auto"/>
            <w:rPr>
              <w:noProof/>
              <w:sz w:val="24"/>
            </w:rPr>
          </w:pPr>
          <w:hyperlink w:anchor="_Toc223535133" w:history="1">
            <w:r w:rsidRPr="005F6FA0">
              <w:rPr>
                <w:rStyle w:val="Hyperlink"/>
                <w:rFonts w:asciiTheme="majorBidi" w:hAnsiTheme="majorBidi"/>
                <w:noProof/>
                <w:sz w:val="24"/>
              </w:rPr>
              <w:t>Promotion</w:t>
            </w:r>
            <w:r w:rsidRPr="005F6FA0">
              <w:rPr>
                <w:noProof/>
                <w:webHidden/>
                <w:sz w:val="24"/>
              </w:rPr>
              <w:tab/>
            </w:r>
            <w:r w:rsidRPr="005F6FA0">
              <w:rPr>
                <w:noProof/>
                <w:webHidden/>
                <w:sz w:val="24"/>
              </w:rPr>
              <w:fldChar w:fldCharType="begin"/>
            </w:r>
            <w:r w:rsidRPr="005F6FA0">
              <w:rPr>
                <w:noProof/>
                <w:webHidden/>
                <w:sz w:val="24"/>
              </w:rPr>
              <w:instrText xml:space="preserve"> PAGEREF _Toc223535133 \h </w:instrText>
            </w:r>
            <w:r w:rsidRPr="005F6FA0">
              <w:rPr>
                <w:noProof/>
                <w:webHidden/>
                <w:sz w:val="24"/>
              </w:rPr>
            </w:r>
            <w:r w:rsidRPr="005F6FA0">
              <w:rPr>
                <w:noProof/>
                <w:webHidden/>
                <w:sz w:val="24"/>
              </w:rPr>
              <w:fldChar w:fldCharType="separate"/>
            </w:r>
            <w:r w:rsidR="005F6FA0">
              <w:rPr>
                <w:noProof/>
                <w:webHidden/>
                <w:sz w:val="24"/>
              </w:rPr>
              <w:t>11</w:t>
            </w:r>
            <w:r w:rsidRPr="005F6FA0">
              <w:rPr>
                <w:noProof/>
                <w:webHidden/>
                <w:sz w:val="24"/>
              </w:rPr>
              <w:fldChar w:fldCharType="end"/>
            </w:r>
          </w:hyperlink>
        </w:p>
        <w:p w14:paraId="44C54FED" w14:textId="77777777" w:rsidR="00A41261" w:rsidRPr="005F6FA0" w:rsidRDefault="00A41261" w:rsidP="005F6FA0">
          <w:pPr>
            <w:pStyle w:val="TOC1"/>
            <w:tabs>
              <w:tab w:val="right" w:leader="dot" w:pos="9350"/>
            </w:tabs>
            <w:spacing w:line="276" w:lineRule="auto"/>
            <w:rPr>
              <w:noProof/>
              <w:sz w:val="24"/>
            </w:rPr>
          </w:pPr>
          <w:hyperlink w:anchor="_Toc223535134" w:history="1">
            <w:r w:rsidRPr="005F6FA0">
              <w:rPr>
                <w:rStyle w:val="Hyperlink"/>
                <w:rFonts w:asciiTheme="majorBidi" w:hAnsiTheme="majorBidi"/>
                <w:noProof/>
                <w:sz w:val="24"/>
              </w:rPr>
              <w:t>Element 4: Reflection</w:t>
            </w:r>
            <w:r w:rsidRPr="005F6FA0">
              <w:rPr>
                <w:noProof/>
                <w:webHidden/>
                <w:sz w:val="24"/>
              </w:rPr>
              <w:tab/>
            </w:r>
            <w:r w:rsidRPr="005F6FA0">
              <w:rPr>
                <w:noProof/>
                <w:webHidden/>
                <w:sz w:val="24"/>
              </w:rPr>
              <w:fldChar w:fldCharType="begin"/>
            </w:r>
            <w:r w:rsidRPr="005F6FA0">
              <w:rPr>
                <w:noProof/>
                <w:webHidden/>
                <w:sz w:val="24"/>
              </w:rPr>
              <w:instrText xml:space="preserve"> PAGEREF _Toc223535134 \h </w:instrText>
            </w:r>
            <w:r w:rsidRPr="005F6FA0">
              <w:rPr>
                <w:noProof/>
                <w:webHidden/>
                <w:sz w:val="24"/>
              </w:rPr>
            </w:r>
            <w:r w:rsidRPr="005F6FA0">
              <w:rPr>
                <w:noProof/>
                <w:webHidden/>
                <w:sz w:val="24"/>
              </w:rPr>
              <w:fldChar w:fldCharType="separate"/>
            </w:r>
            <w:r w:rsidR="005F6FA0">
              <w:rPr>
                <w:noProof/>
                <w:webHidden/>
                <w:sz w:val="24"/>
              </w:rPr>
              <w:t>12</w:t>
            </w:r>
            <w:r w:rsidRPr="005F6FA0">
              <w:rPr>
                <w:noProof/>
                <w:webHidden/>
                <w:sz w:val="24"/>
              </w:rPr>
              <w:fldChar w:fldCharType="end"/>
            </w:r>
          </w:hyperlink>
        </w:p>
        <w:p w14:paraId="60980B3E" w14:textId="77777777" w:rsidR="00A41261" w:rsidRPr="005F6FA0" w:rsidRDefault="00A41261" w:rsidP="005F6FA0">
          <w:pPr>
            <w:pStyle w:val="TOC2"/>
            <w:tabs>
              <w:tab w:val="right" w:leader="dot" w:pos="9350"/>
            </w:tabs>
            <w:spacing w:line="276" w:lineRule="auto"/>
            <w:rPr>
              <w:noProof/>
              <w:sz w:val="24"/>
            </w:rPr>
          </w:pPr>
          <w:hyperlink w:anchor="_Toc223535135" w:history="1">
            <w:r w:rsidRPr="005F6FA0">
              <w:rPr>
                <w:rStyle w:val="Hyperlink"/>
                <w:rFonts w:asciiTheme="majorBidi" w:hAnsiTheme="majorBidi"/>
                <w:noProof/>
                <w:sz w:val="24"/>
              </w:rPr>
              <w:t>Concrete Experience</w:t>
            </w:r>
            <w:r w:rsidRPr="005F6FA0">
              <w:rPr>
                <w:noProof/>
                <w:webHidden/>
                <w:sz w:val="24"/>
              </w:rPr>
              <w:tab/>
            </w:r>
            <w:r w:rsidRPr="005F6FA0">
              <w:rPr>
                <w:noProof/>
                <w:webHidden/>
                <w:sz w:val="24"/>
              </w:rPr>
              <w:fldChar w:fldCharType="begin"/>
            </w:r>
            <w:r w:rsidRPr="005F6FA0">
              <w:rPr>
                <w:noProof/>
                <w:webHidden/>
                <w:sz w:val="24"/>
              </w:rPr>
              <w:instrText xml:space="preserve"> PAGEREF _Toc223535135 \h </w:instrText>
            </w:r>
            <w:r w:rsidRPr="005F6FA0">
              <w:rPr>
                <w:noProof/>
                <w:webHidden/>
                <w:sz w:val="24"/>
              </w:rPr>
            </w:r>
            <w:r w:rsidRPr="005F6FA0">
              <w:rPr>
                <w:noProof/>
                <w:webHidden/>
                <w:sz w:val="24"/>
              </w:rPr>
              <w:fldChar w:fldCharType="separate"/>
            </w:r>
            <w:r w:rsidR="005F6FA0">
              <w:rPr>
                <w:noProof/>
                <w:webHidden/>
                <w:sz w:val="24"/>
              </w:rPr>
              <w:t>12</w:t>
            </w:r>
            <w:r w:rsidRPr="005F6FA0">
              <w:rPr>
                <w:noProof/>
                <w:webHidden/>
                <w:sz w:val="24"/>
              </w:rPr>
              <w:fldChar w:fldCharType="end"/>
            </w:r>
          </w:hyperlink>
        </w:p>
        <w:p w14:paraId="43F422B0" w14:textId="77777777" w:rsidR="00A41261" w:rsidRPr="005F6FA0" w:rsidRDefault="00A41261" w:rsidP="005F6FA0">
          <w:pPr>
            <w:pStyle w:val="TOC2"/>
            <w:tabs>
              <w:tab w:val="right" w:leader="dot" w:pos="9350"/>
            </w:tabs>
            <w:spacing w:line="276" w:lineRule="auto"/>
            <w:rPr>
              <w:noProof/>
              <w:sz w:val="24"/>
            </w:rPr>
          </w:pPr>
          <w:hyperlink w:anchor="_Toc223535136" w:history="1">
            <w:r w:rsidRPr="005F6FA0">
              <w:rPr>
                <w:rStyle w:val="Hyperlink"/>
                <w:rFonts w:asciiTheme="majorBidi" w:hAnsiTheme="majorBidi"/>
                <w:noProof/>
                <w:sz w:val="24"/>
              </w:rPr>
              <w:t>Reflective Observation</w:t>
            </w:r>
            <w:r w:rsidRPr="005F6FA0">
              <w:rPr>
                <w:noProof/>
                <w:webHidden/>
                <w:sz w:val="24"/>
              </w:rPr>
              <w:tab/>
            </w:r>
            <w:r w:rsidRPr="005F6FA0">
              <w:rPr>
                <w:noProof/>
                <w:webHidden/>
                <w:sz w:val="24"/>
              </w:rPr>
              <w:fldChar w:fldCharType="begin"/>
            </w:r>
            <w:r w:rsidRPr="005F6FA0">
              <w:rPr>
                <w:noProof/>
                <w:webHidden/>
                <w:sz w:val="24"/>
              </w:rPr>
              <w:instrText xml:space="preserve"> PAGEREF _Toc223535136 \h </w:instrText>
            </w:r>
            <w:r w:rsidRPr="005F6FA0">
              <w:rPr>
                <w:noProof/>
                <w:webHidden/>
                <w:sz w:val="24"/>
              </w:rPr>
            </w:r>
            <w:r w:rsidRPr="005F6FA0">
              <w:rPr>
                <w:noProof/>
                <w:webHidden/>
                <w:sz w:val="24"/>
              </w:rPr>
              <w:fldChar w:fldCharType="separate"/>
            </w:r>
            <w:r w:rsidR="005F6FA0">
              <w:rPr>
                <w:noProof/>
                <w:webHidden/>
                <w:sz w:val="24"/>
              </w:rPr>
              <w:t>12</w:t>
            </w:r>
            <w:r w:rsidRPr="005F6FA0">
              <w:rPr>
                <w:noProof/>
                <w:webHidden/>
                <w:sz w:val="24"/>
              </w:rPr>
              <w:fldChar w:fldCharType="end"/>
            </w:r>
          </w:hyperlink>
        </w:p>
        <w:p w14:paraId="07E399A0" w14:textId="77777777" w:rsidR="00A41261" w:rsidRPr="005F6FA0" w:rsidRDefault="00A41261" w:rsidP="005F6FA0">
          <w:pPr>
            <w:pStyle w:val="TOC2"/>
            <w:tabs>
              <w:tab w:val="right" w:leader="dot" w:pos="9350"/>
            </w:tabs>
            <w:spacing w:line="276" w:lineRule="auto"/>
            <w:rPr>
              <w:noProof/>
              <w:sz w:val="24"/>
            </w:rPr>
          </w:pPr>
          <w:hyperlink w:anchor="_Toc223535137" w:history="1">
            <w:r w:rsidRPr="005F6FA0">
              <w:rPr>
                <w:rStyle w:val="Hyperlink"/>
                <w:rFonts w:asciiTheme="majorBidi" w:hAnsiTheme="majorBidi"/>
                <w:noProof/>
                <w:sz w:val="24"/>
              </w:rPr>
              <w:t>Abstract Conceptualisation</w:t>
            </w:r>
            <w:r w:rsidRPr="005F6FA0">
              <w:rPr>
                <w:noProof/>
                <w:webHidden/>
                <w:sz w:val="24"/>
              </w:rPr>
              <w:tab/>
            </w:r>
            <w:r w:rsidRPr="005F6FA0">
              <w:rPr>
                <w:noProof/>
                <w:webHidden/>
                <w:sz w:val="24"/>
              </w:rPr>
              <w:fldChar w:fldCharType="begin"/>
            </w:r>
            <w:r w:rsidRPr="005F6FA0">
              <w:rPr>
                <w:noProof/>
                <w:webHidden/>
                <w:sz w:val="24"/>
              </w:rPr>
              <w:instrText xml:space="preserve"> PAGEREF _Toc223535137 \h </w:instrText>
            </w:r>
            <w:r w:rsidRPr="005F6FA0">
              <w:rPr>
                <w:noProof/>
                <w:webHidden/>
                <w:sz w:val="24"/>
              </w:rPr>
            </w:r>
            <w:r w:rsidRPr="005F6FA0">
              <w:rPr>
                <w:noProof/>
                <w:webHidden/>
                <w:sz w:val="24"/>
              </w:rPr>
              <w:fldChar w:fldCharType="separate"/>
            </w:r>
            <w:r w:rsidR="005F6FA0">
              <w:rPr>
                <w:noProof/>
                <w:webHidden/>
                <w:sz w:val="24"/>
              </w:rPr>
              <w:t>13</w:t>
            </w:r>
            <w:r w:rsidRPr="005F6FA0">
              <w:rPr>
                <w:noProof/>
                <w:webHidden/>
                <w:sz w:val="24"/>
              </w:rPr>
              <w:fldChar w:fldCharType="end"/>
            </w:r>
          </w:hyperlink>
        </w:p>
        <w:p w14:paraId="418940E1" w14:textId="77777777" w:rsidR="00A41261" w:rsidRPr="005F6FA0" w:rsidRDefault="00A41261" w:rsidP="005F6FA0">
          <w:pPr>
            <w:pStyle w:val="TOC2"/>
            <w:tabs>
              <w:tab w:val="right" w:leader="dot" w:pos="9350"/>
            </w:tabs>
            <w:spacing w:line="276" w:lineRule="auto"/>
            <w:rPr>
              <w:noProof/>
              <w:sz w:val="24"/>
            </w:rPr>
          </w:pPr>
          <w:hyperlink w:anchor="_Toc223535138" w:history="1">
            <w:r w:rsidRPr="005F6FA0">
              <w:rPr>
                <w:rStyle w:val="Hyperlink"/>
                <w:rFonts w:asciiTheme="majorBidi" w:hAnsiTheme="majorBidi"/>
                <w:noProof/>
                <w:sz w:val="24"/>
              </w:rPr>
              <w:t>Active Experimentation</w:t>
            </w:r>
            <w:r w:rsidRPr="005F6FA0">
              <w:rPr>
                <w:noProof/>
                <w:webHidden/>
                <w:sz w:val="24"/>
              </w:rPr>
              <w:tab/>
            </w:r>
            <w:r w:rsidRPr="005F6FA0">
              <w:rPr>
                <w:noProof/>
                <w:webHidden/>
                <w:sz w:val="24"/>
              </w:rPr>
              <w:fldChar w:fldCharType="begin"/>
            </w:r>
            <w:r w:rsidRPr="005F6FA0">
              <w:rPr>
                <w:noProof/>
                <w:webHidden/>
                <w:sz w:val="24"/>
              </w:rPr>
              <w:instrText xml:space="preserve"> PAGEREF _Toc223535138 \h </w:instrText>
            </w:r>
            <w:r w:rsidRPr="005F6FA0">
              <w:rPr>
                <w:noProof/>
                <w:webHidden/>
                <w:sz w:val="24"/>
              </w:rPr>
            </w:r>
            <w:r w:rsidRPr="005F6FA0">
              <w:rPr>
                <w:noProof/>
                <w:webHidden/>
                <w:sz w:val="24"/>
              </w:rPr>
              <w:fldChar w:fldCharType="separate"/>
            </w:r>
            <w:r w:rsidR="005F6FA0">
              <w:rPr>
                <w:noProof/>
                <w:webHidden/>
                <w:sz w:val="24"/>
              </w:rPr>
              <w:t>13</w:t>
            </w:r>
            <w:r w:rsidRPr="005F6FA0">
              <w:rPr>
                <w:noProof/>
                <w:webHidden/>
                <w:sz w:val="24"/>
              </w:rPr>
              <w:fldChar w:fldCharType="end"/>
            </w:r>
          </w:hyperlink>
        </w:p>
        <w:p w14:paraId="498AC297" w14:textId="77777777" w:rsidR="00A41261" w:rsidRPr="005F6FA0" w:rsidRDefault="00A41261" w:rsidP="005F6FA0">
          <w:pPr>
            <w:pStyle w:val="TOC2"/>
            <w:tabs>
              <w:tab w:val="right" w:leader="dot" w:pos="9350"/>
            </w:tabs>
            <w:spacing w:line="276" w:lineRule="auto"/>
            <w:rPr>
              <w:noProof/>
              <w:sz w:val="24"/>
            </w:rPr>
          </w:pPr>
          <w:hyperlink w:anchor="_Toc223535139" w:history="1">
            <w:r w:rsidRPr="005F6FA0">
              <w:rPr>
                <w:rStyle w:val="Hyperlink"/>
                <w:rFonts w:asciiTheme="majorBidi" w:hAnsiTheme="majorBidi"/>
                <w:noProof/>
                <w:sz w:val="24"/>
              </w:rPr>
              <w:t>References</w:t>
            </w:r>
            <w:r w:rsidRPr="005F6FA0">
              <w:rPr>
                <w:noProof/>
                <w:webHidden/>
                <w:sz w:val="24"/>
              </w:rPr>
              <w:tab/>
            </w:r>
            <w:r w:rsidRPr="005F6FA0">
              <w:rPr>
                <w:noProof/>
                <w:webHidden/>
                <w:sz w:val="24"/>
              </w:rPr>
              <w:fldChar w:fldCharType="begin"/>
            </w:r>
            <w:r w:rsidRPr="005F6FA0">
              <w:rPr>
                <w:noProof/>
                <w:webHidden/>
                <w:sz w:val="24"/>
              </w:rPr>
              <w:instrText xml:space="preserve"> PAGEREF _Toc223535139 \h </w:instrText>
            </w:r>
            <w:r w:rsidRPr="005F6FA0">
              <w:rPr>
                <w:noProof/>
                <w:webHidden/>
                <w:sz w:val="24"/>
              </w:rPr>
            </w:r>
            <w:r w:rsidRPr="005F6FA0">
              <w:rPr>
                <w:noProof/>
                <w:webHidden/>
                <w:sz w:val="24"/>
              </w:rPr>
              <w:fldChar w:fldCharType="separate"/>
            </w:r>
            <w:r w:rsidR="005F6FA0">
              <w:rPr>
                <w:noProof/>
                <w:webHidden/>
                <w:sz w:val="24"/>
              </w:rPr>
              <w:t>14</w:t>
            </w:r>
            <w:r w:rsidRPr="005F6FA0">
              <w:rPr>
                <w:noProof/>
                <w:webHidden/>
                <w:sz w:val="24"/>
              </w:rPr>
              <w:fldChar w:fldCharType="end"/>
            </w:r>
          </w:hyperlink>
        </w:p>
        <w:p w14:paraId="6B58064D" w14:textId="77777777" w:rsidR="00A41261" w:rsidRPr="005F6FA0" w:rsidRDefault="00A41261" w:rsidP="005F6FA0">
          <w:pPr>
            <w:pStyle w:val="TOC1"/>
            <w:tabs>
              <w:tab w:val="right" w:leader="dot" w:pos="9350"/>
            </w:tabs>
            <w:spacing w:line="276" w:lineRule="auto"/>
            <w:rPr>
              <w:noProof/>
              <w:sz w:val="24"/>
            </w:rPr>
          </w:pPr>
          <w:hyperlink w:anchor="_Toc223535140" w:history="1">
            <w:r w:rsidRPr="005F6FA0">
              <w:rPr>
                <w:rStyle w:val="Hyperlink"/>
                <w:rFonts w:asciiTheme="majorBidi" w:hAnsiTheme="majorBidi"/>
                <w:noProof/>
                <w:sz w:val="24"/>
              </w:rPr>
              <w:t>Appendices</w:t>
            </w:r>
            <w:r w:rsidRPr="005F6FA0">
              <w:rPr>
                <w:noProof/>
                <w:webHidden/>
                <w:sz w:val="24"/>
              </w:rPr>
              <w:tab/>
            </w:r>
            <w:r w:rsidRPr="005F6FA0">
              <w:rPr>
                <w:noProof/>
                <w:webHidden/>
                <w:sz w:val="24"/>
              </w:rPr>
              <w:fldChar w:fldCharType="begin"/>
            </w:r>
            <w:r w:rsidRPr="005F6FA0">
              <w:rPr>
                <w:noProof/>
                <w:webHidden/>
                <w:sz w:val="24"/>
              </w:rPr>
              <w:instrText xml:space="preserve"> PAGEREF _Toc223535140 \h </w:instrText>
            </w:r>
            <w:r w:rsidRPr="005F6FA0">
              <w:rPr>
                <w:noProof/>
                <w:webHidden/>
                <w:sz w:val="24"/>
              </w:rPr>
            </w:r>
            <w:r w:rsidRPr="005F6FA0">
              <w:rPr>
                <w:noProof/>
                <w:webHidden/>
                <w:sz w:val="24"/>
              </w:rPr>
              <w:fldChar w:fldCharType="separate"/>
            </w:r>
            <w:r w:rsidR="005F6FA0">
              <w:rPr>
                <w:noProof/>
                <w:webHidden/>
                <w:sz w:val="24"/>
              </w:rPr>
              <w:t>19</w:t>
            </w:r>
            <w:r w:rsidRPr="005F6FA0">
              <w:rPr>
                <w:noProof/>
                <w:webHidden/>
                <w:sz w:val="24"/>
              </w:rPr>
              <w:fldChar w:fldCharType="end"/>
            </w:r>
          </w:hyperlink>
        </w:p>
        <w:p w14:paraId="2AF6A3F2" w14:textId="77777777" w:rsidR="00A41261" w:rsidRPr="005F6FA0" w:rsidRDefault="00A41261" w:rsidP="005F6FA0">
          <w:pPr>
            <w:pStyle w:val="TOC2"/>
            <w:tabs>
              <w:tab w:val="right" w:leader="dot" w:pos="9350"/>
            </w:tabs>
            <w:spacing w:line="276" w:lineRule="auto"/>
            <w:rPr>
              <w:noProof/>
              <w:sz w:val="24"/>
            </w:rPr>
          </w:pPr>
          <w:hyperlink w:anchor="_Toc223535141" w:history="1">
            <w:r w:rsidRPr="005F6FA0">
              <w:rPr>
                <w:rStyle w:val="Hyperlink"/>
                <w:rFonts w:asciiTheme="majorBidi" w:hAnsiTheme="majorBidi"/>
                <w:noProof/>
                <w:sz w:val="24"/>
              </w:rPr>
              <w:t>Appendix 1: Poster Presentation</w:t>
            </w:r>
            <w:r w:rsidRPr="005F6FA0">
              <w:rPr>
                <w:noProof/>
                <w:webHidden/>
                <w:sz w:val="24"/>
              </w:rPr>
              <w:tab/>
            </w:r>
            <w:r w:rsidRPr="005F6FA0">
              <w:rPr>
                <w:noProof/>
                <w:webHidden/>
                <w:sz w:val="24"/>
              </w:rPr>
              <w:fldChar w:fldCharType="begin"/>
            </w:r>
            <w:r w:rsidRPr="005F6FA0">
              <w:rPr>
                <w:noProof/>
                <w:webHidden/>
                <w:sz w:val="24"/>
              </w:rPr>
              <w:instrText xml:space="preserve"> PAGEREF _Toc223535141 \h </w:instrText>
            </w:r>
            <w:r w:rsidRPr="005F6FA0">
              <w:rPr>
                <w:noProof/>
                <w:webHidden/>
                <w:sz w:val="24"/>
              </w:rPr>
            </w:r>
            <w:r w:rsidRPr="005F6FA0">
              <w:rPr>
                <w:noProof/>
                <w:webHidden/>
                <w:sz w:val="24"/>
              </w:rPr>
              <w:fldChar w:fldCharType="separate"/>
            </w:r>
            <w:r w:rsidR="005F6FA0">
              <w:rPr>
                <w:noProof/>
                <w:webHidden/>
                <w:sz w:val="24"/>
              </w:rPr>
              <w:t>19</w:t>
            </w:r>
            <w:r w:rsidRPr="005F6FA0">
              <w:rPr>
                <w:noProof/>
                <w:webHidden/>
                <w:sz w:val="24"/>
              </w:rPr>
              <w:fldChar w:fldCharType="end"/>
            </w:r>
          </w:hyperlink>
        </w:p>
        <w:p w14:paraId="52FC4B03" w14:textId="77777777" w:rsidR="00A41261" w:rsidRPr="005F6FA0" w:rsidRDefault="00A41261" w:rsidP="005F6FA0">
          <w:pPr>
            <w:spacing w:line="276" w:lineRule="auto"/>
          </w:pPr>
          <w:r w:rsidRPr="005F6FA0">
            <w:rPr>
              <w:b/>
              <w:bCs/>
              <w:noProof/>
            </w:rPr>
            <w:fldChar w:fldCharType="end"/>
          </w:r>
        </w:p>
      </w:sdtContent>
    </w:sdt>
    <w:p w14:paraId="33D69299" w14:textId="77777777" w:rsidR="00A41261" w:rsidRDefault="00A41261">
      <w:pPr>
        <w:rPr>
          <w:rFonts w:asciiTheme="majorBidi" w:eastAsiaTheme="majorEastAsia" w:hAnsiTheme="majorBidi" w:cstheme="majorBidi"/>
          <w:b/>
          <w:color w:val="000000" w:themeColor="text1"/>
        </w:rPr>
      </w:pPr>
      <w:r>
        <w:rPr>
          <w:rFonts w:asciiTheme="majorBidi" w:hAnsiTheme="majorBidi"/>
        </w:rPr>
        <w:br w:type="page"/>
      </w:r>
    </w:p>
    <w:p w14:paraId="49C2CF9F" w14:textId="77777777" w:rsidR="00A41261" w:rsidRPr="00A41261" w:rsidRDefault="00A41261" w:rsidP="00A41261">
      <w:pPr>
        <w:pStyle w:val="Heading1"/>
        <w:spacing w:line="360" w:lineRule="auto"/>
        <w:jc w:val="both"/>
        <w:rPr>
          <w:rFonts w:asciiTheme="majorBidi" w:hAnsiTheme="majorBidi"/>
          <w:szCs w:val="24"/>
        </w:rPr>
      </w:pPr>
      <w:bookmarkStart w:id="0" w:name="_Toc223535123"/>
      <w:r w:rsidRPr="00A41261">
        <w:rPr>
          <w:rFonts w:asciiTheme="majorBidi" w:hAnsiTheme="majorBidi"/>
          <w:szCs w:val="24"/>
        </w:rPr>
        <w:lastRenderedPageBreak/>
        <w:t>Element 1: Brand Extensive Poster Presentation</w:t>
      </w:r>
      <w:bookmarkEnd w:id="0"/>
    </w:p>
    <w:p w14:paraId="51A3F102" w14:textId="77777777" w:rsidR="00A41261" w:rsidRPr="00A41261" w:rsidRDefault="00A41261" w:rsidP="00A41261">
      <w:pPr>
        <w:autoSpaceDE w:val="0"/>
        <w:autoSpaceDN w:val="0"/>
        <w:adjustRightInd w:val="0"/>
        <w:spacing w:line="360" w:lineRule="auto"/>
        <w:jc w:val="both"/>
        <w:rPr>
          <w:rFonts w:asciiTheme="majorBidi" w:hAnsiTheme="majorBidi" w:cstheme="majorBidi"/>
          <w:color w:val="000000"/>
          <w:kern w:val="0"/>
        </w:rPr>
      </w:pPr>
      <w:r>
        <w:rPr>
          <w:rFonts w:asciiTheme="majorBidi" w:hAnsiTheme="majorBidi" w:cstheme="majorBidi"/>
          <w:color w:val="000000"/>
          <w:kern w:val="0"/>
        </w:rPr>
        <w:t xml:space="preserve">The poster is attached in Appendix 1. </w:t>
      </w:r>
    </w:p>
    <w:p w14:paraId="1961C94C" w14:textId="77777777" w:rsidR="00A41261" w:rsidRPr="00A41261" w:rsidRDefault="00A41261" w:rsidP="00A41261">
      <w:pPr>
        <w:pStyle w:val="Heading1"/>
        <w:spacing w:line="360" w:lineRule="auto"/>
        <w:jc w:val="both"/>
        <w:rPr>
          <w:rFonts w:asciiTheme="majorBidi" w:hAnsiTheme="majorBidi"/>
          <w:szCs w:val="24"/>
        </w:rPr>
      </w:pPr>
      <w:bookmarkStart w:id="1" w:name="_Toc223535124"/>
      <w:r w:rsidRPr="00A41261">
        <w:rPr>
          <w:rFonts w:asciiTheme="majorBidi" w:hAnsiTheme="majorBidi"/>
          <w:szCs w:val="24"/>
        </w:rPr>
        <w:t>Element 2: Segmentation, Targeting, Differentiation, and Positioning (STDP) Analysis for the brand extension</w:t>
      </w:r>
      <w:bookmarkEnd w:id="1"/>
    </w:p>
    <w:p w14:paraId="57742DD8" w14:textId="77777777" w:rsidR="00A41261" w:rsidRPr="00A41261" w:rsidRDefault="00A41261" w:rsidP="00A41261">
      <w:pPr>
        <w:pStyle w:val="Heading2"/>
        <w:spacing w:line="360" w:lineRule="auto"/>
        <w:jc w:val="both"/>
        <w:rPr>
          <w:rFonts w:asciiTheme="majorBidi" w:hAnsiTheme="majorBidi"/>
          <w:szCs w:val="24"/>
        </w:rPr>
      </w:pPr>
      <w:bookmarkStart w:id="2" w:name="_Toc223535125"/>
      <w:r w:rsidRPr="00A41261">
        <w:rPr>
          <w:rFonts w:asciiTheme="majorBidi" w:hAnsiTheme="majorBidi"/>
          <w:szCs w:val="24"/>
        </w:rPr>
        <w:t>Segmentation</w:t>
      </w:r>
      <w:bookmarkEnd w:id="2"/>
    </w:p>
    <w:p w14:paraId="1F0F8B04" w14:textId="77777777" w:rsidR="00A41261" w:rsidRDefault="00A41261" w:rsidP="0030027F">
      <w:pPr>
        <w:autoSpaceDE w:val="0"/>
        <w:autoSpaceDN w:val="0"/>
        <w:adjustRightInd w:val="0"/>
        <w:spacing w:line="360" w:lineRule="auto"/>
        <w:jc w:val="both"/>
        <w:rPr>
          <w:rFonts w:asciiTheme="majorBidi" w:hAnsiTheme="majorBidi" w:cstheme="majorBidi"/>
          <w:color w:val="000000"/>
          <w:kern w:val="0"/>
        </w:rPr>
      </w:pPr>
      <w:r w:rsidRPr="00A41261">
        <w:rPr>
          <w:rFonts w:asciiTheme="majorBidi" w:hAnsiTheme="majorBidi" w:cstheme="majorBidi"/>
          <w:color w:val="000000"/>
          <w:kern w:val="0"/>
        </w:rPr>
        <w:t xml:space="preserve">Duolingo Career English Micro-Credentials segments where Duolingo can act through product, pricing, and channels. Geographic segmentation gives preference to mobile-first labour markets containing English-intensive entry occupations in outsourcing hubs and service economies, as speaking practice is determined by mobile internet access. GSMA estimates 4.7 billion people used mobile internet at the end of 2023, equal to 58% of the global population (GSMA, 2024). The demographic segmentation focuses on 18 to 34-year-olds who are first-time workers or those seeking promotions and have limited time to take long courses, and the secondary education level. Psychographic segmentation isolates income mobility and international aspiration-motivated learners, and in-app behavioural indicators such as streak stability, speaking feature adoption, and pre-interview study spikes are used to prioritise completion probability, which is consistent with evidence that latent class models signal discrete mobile usage groups can be targeted (Cui et al., 2023). </w:t>
      </w:r>
    </w:p>
    <w:p w14:paraId="3254E03C" w14:textId="77777777" w:rsidR="0030027F" w:rsidRDefault="0030027F" w:rsidP="0030027F">
      <w:pPr>
        <w:keepNext/>
        <w:autoSpaceDE w:val="0"/>
        <w:autoSpaceDN w:val="0"/>
        <w:adjustRightInd w:val="0"/>
        <w:spacing w:line="360" w:lineRule="auto"/>
        <w:jc w:val="center"/>
      </w:pPr>
      <w:r>
        <w:rPr>
          <w:rFonts w:asciiTheme="majorBidi" w:hAnsiTheme="majorBidi" w:cstheme="majorBidi"/>
          <w:noProof/>
          <w:color w:val="000000"/>
          <w:kern w:val="0"/>
        </w:rPr>
        <w:drawing>
          <wp:inline distT="0" distB="0" distL="0" distR="0" wp14:anchorId="097C5DA5" wp14:editId="0321396B">
            <wp:extent cx="4631647" cy="2817586"/>
            <wp:effectExtent l="12700" t="12700" r="17145" b="14605"/>
            <wp:docPr id="819587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87941" name="Picture 819587941"/>
                    <pic:cNvPicPr/>
                  </pic:nvPicPr>
                  <pic:blipFill>
                    <a:blip r:embed="rId8" cstate="print">
                      <a:extLst>
                        <a:ext uri="{28A0092B-C50C-407E-A947-70E740481C1C}">
                          <a14:useLocalDpi xmlns:a14="http://schemas.microsoft.com/office/drawing/2010/main" val="0"/>
                        </a:ext>
                      </a:extLst>
                    </a:blip>
                    <a:stretch>
                      <a:fillRect/>
                    </a:stretch>
                  </pic:blipFill>
                  <pic:spPr>
                    <a:xfrm>
                      <a:off x="0" y="0"/>
                      <a:ext cx="4653640" cy="2830965"/>
                    </a:xfrm>
                    <a:prstGeom prst="rect">
                      <a:avLst/>
                    </a:prstGeom>
                    <a:ln>
                      <a:solidFill>
                        <a:srgbClr val="000000"/>
                      </a:solidFill>
                    </a:ln>
                  </pic:spPr>
                </pic:pic>
              </a:graphicData>
            </a:graphic>
          </wp:inline>
        </w:drawing>
      </w:r>
    </w:p>
    <w:p w14:paraId="7D2B3815" w14:textId="77777777" w:rsidR="00A41261" w:rsidRPr="0030027F" w:rsidRDefault="0030027F" w:rsidP="0030027F">
      <w:pPr>
        <w:pStyle w:val="Caption"/>
        <w:shd w:val="clear" w:color="auto" w:fill="FBE4D5" w:themeFill="accent2" w:themeFillTint="33"/>
        <w:jc w:val="center"/>
        <w:rPr>
          <w:rFonts w:asciiTheme="majorBidi" w:hAnsiTheme="majorBidi" w:cstheme="majorBidi"/>
          <w:b/>
          <w:bCs/>
          <w:color w:val="000000"/>
          <w:kern w:val="0"/>
        </w:rPr>
      </w:pPr>
      <w:r w:rsidRPr="0030027F">
        <w:rPr>
          <w:b/>
          <w:bCs/>
        </w:rPr>
        <w:t xml:space="preserve">Figure </w:t>
      </w:r>
      <w:r w:rsidRPr="0030027F">
        <w:rPr>
          <w:b/>
          <w:bCs/>
        </w:rPr>
        <w:fldChar w:fldCharType="begin"/>
      </w:r>
      <w:r w:rsidRPr="0030027F">
        <w:rPr>
          <w:b/>
          <w:bCs/>
        </w:rPr>
        <w:instrText xml:space="preserve"> SEQ Figure \* ARABIC </w:instrText>
      </w:r>
      <w:r w:rsidRPr="0030027F">
        <w:rPr>
          <w:b/>
          <w:bCs/>
        </w:rPr>
        <w:fldChar w:fldCharType="separate"/>
      </w:r>
      <w:r w:rsidR="007C7346">
        <w:rPr>
          <w:b/>
          <w:bCs/>
          <w:noProof/>
        </w:rPr>
        <w:t>1</w:t>
      </w:r>
      <w:r w:rsidRPr="0030027F">
        <w:rPr>
          <w:b/>
          <w:bCs/>
        </w:rPr>
        <w:fldChar w:fldCharType="end"/>
      </w:r>
      <w:r w:rsidRPr="0030027F">
        <w:rPr>
          <w:b/>
          <w:bCs/>
        </w:rPr>
        <w:t>: Segmentation analysis (Author, 2026</w:t>
      </w:r>
      <w:r>
        <w:rPr>
          <w:b/>
          <w:bCs/>
        </w:rPr>
        <w:t>).</w:t>
      </w:r>
    </w:p>
    <w:p w14:paraId="7E13791B" w14:textId="77777777" w:rsidR="00A41261" w:rsidRPr="00A41261" w:rsidRDefault="00A41261" w:rsidP="0030027F">
      <w:pPr>
        <w:autoSpaceDE w:val="0"/>
        <w:autoSpaceDN w:val="0"/>
        <w:adjustRightInd w:val="0"/>
        <w:spacing w:line="360" w:lineRule="auto"/>
        <w:jc w:val="both"/>
        <w:rPr>
          <w:rFonts w:asciiTheme="majorBidi" w:hAnsiTheme="majorBidi" w:cstheme="majorBidi"/>
          <w:color w:val="000000"/>
          <w:kern w:val="0"/>
        </w:rPr>
      </w:pPr>
      <w:r w:rsidRPr="00A41261">
        <w:rPr>
          <w:rFonts w:asciiTheme="majorBidi" w:hAnsiTheme="majorBidi" w:cstheme="majorBidi"/>
          <w:color w:val="000000"/>
          <w:kern w:val="0"/>
        </w:rPr>
        <w:lastRenderedPageBreak/>
        <w:t xml:space="preserve">They are followed by four actionable segments, </w:t>
      </w:r>
      <w:r>
        <w:rPr>
          <w:rFonts w:asciiTheme="majorBidi" w:hAnsiTheme="majorBidi" w:cstheme="majorBidi"/>
          <w:color w:val="000000"/>
          <w:kern w:val="0"/>
        </w:rPr>
        <w:t>like</w:t>
      </w:r>
      <w:r w:rsidRPr="00A41261">
        <w:rPr>
          <w:rFonts w:asciiTheme="majorBidi" w:hAnsiTheme="majorBidi" w:cstheme="majorBidi"/>
          <w:color w:val="000000"/>
          <w:kern w:val="0"/>
        </w:rPr>
        <w:t>s customer operations job seekers, campus to career graduates, cross-border remote work and migration applicants, and employer-sponsored cohorts. Segment 4 is validated by concentrated demand signals in major service economies, for example, the Philippines, where the IT BPM industry reported $38 billion in revenue in 2024 and 1.82 million jobs, creating an employer audience for English readiness credentials (Philippine News Agency, 2025).</w:t>
      </w:r>
    </w:p>
    <w:p w14:paraId="4C1A0E33" w14:textId="77777777" w:rsidR="00A41261" w:rsidRPr="00A41261" w:rsidRDefault="00A41261" w:rsidP="00A41261">
      <w:pPr>
        <w:pStyle w:val="Heading2"/>
        <w:spacing w:line="360" w:lineRule="auto"/>
        <w:jc w:val="both"/>
        <w:rPr>
          <w:rFonts w:asciiTheme="majorBidi" w:hAnsiTheme="majorBidi"/>
          <w:szCs w:val="24"/>
        </w:rPr>
      </w:pPr>
      <w:bookmarkStart w:id="3" w:name="_Toc223535126"/>
      <w:r w:rsidRPr="00A41261">
        <w:rPr>
          <w:rFonts w:asciiTheme="majorBidi" w:hAnsiTheme="majorBidi"/>
          <w:szCs w:val="24"/>
        </w:rPr>
        <w:t>Targeting</w:t>
      </w:r>
      <w:bookmarkEnd w:id="3"/>
    </w:p>
    <w:p w14:paraId="1E9F8B14" w14:textId="77777777" w:rsidR="00A41261" w:rsidRPr="00A41261" w:rsidRDefault="00A41261" w:rsidP="0030027F">
      <w:pPr>
        <w:autoSpaceDE w:val="0"/>
        <w:autoSpaceDN w:val="0"/>
        <w:adjustRightInd w:val="0"/>
        <w:spacing w:line="360" w:lineRule="auto"/>
        <w:jc w:val="both"/>
        <w:rPr>
          <w:rFonts w:asciiTheme="majorBidi" w:hAnsiTheme="majorBidi" w:cstheme="majorBidi"/>
          <w:color w:val="000000"/>
          <w:kern w:val="0"/>
        </w:rPr>
      </w:pPr>
      <w:r w:rsidRPr="00A41261">
        <w:rPr>
          <w:rFonts w:asciiTheme="majorBidi" w:hAnsiTheme="majorBidi" w:cstheme="majorBidi"/>
          <w:color w:val="000000"/>
          <w:kern w:val="0"/>
        </w:rPr>
        <w:t>The targeting of Segment 1 is based on the readiness to pay, as hiring results and a pay raise are observable. The targeted user is a smartphone-first early-career applicant who will be applying to English-facing positions in customer service, sales, and operations and requires demonstration within weeks. Go to market objective will be to transform high-intent users already showing test or interview behaviour to a paid pathway to credential building for employers. This logic of targeting is indicative of the trend of skills-oriented hiring in which employers are no longer requiring degrees but are still required to have readable signals (Sigelman et al., 2024). It also deals with the risk that has been identified by policy evidence, that microcredential value in the labour market remains uneven, which means that initial success should be in jobs where communication tasks and measurable outcomes are evident (OECD, 2023). Duolingo has the funnel scale to execute this: its 2024 annual report discloses 40.5 million daily active users, 116.7 million monthly active users, and 9.5 million paid subscribers at year's end, plus the Duolingo English Test contributing about 6.1% of 2024 revenue, supporting an upsell from engagement to verified proof (Duolingo, 2025). Tiered monthly plans and employer packages are employed in pricing, ensuring optimisation of conversion.</w:t>
      </w:r>
    </w:p>
    <w:p w14:paraId="69A73BDB" w14:textId="77777777" w:rsidR="00A41261" w:rsidRPr="00A41261" w:rsidRDefault="00A41261" w:rsidP="00A41261">
      <w:pPr>
        <w:pStyle w:val="Heading2"/>
        <w:spacing w:line="360" w:lineRule="auto"/>
        <w:jc w:val="both"/>
        <w:rPr>
          <w:rFonts w:asciiTheme="majorBidi" w:hAnsiTheme="majorBidi"/>
          <w:szCs w:val="24"/>
        </w:rPr>
      </w:pPr>
      <w:bookmarkStart w:id="4" w:name="_Toc223535127"/>
      <w:r w:rsidRPr="00A41261">
        <w:rPr>
          <w:rFonts w:asciiTheme="majorBidi" w:hAnsiTheme="majorBidi"/>
          <w:szCs w:val="24"/>
        </w:rPr>
        <w:t>Differentiation</w:t>
      </w:r>
      <w:bookmarkEnd w:id="4"/>
    </w:p>
    <w:p w14:paraId="4FB0263C" w14:textId="77777777" w:rsidR="00A41261" w:rsidRPr="00A41261" w:rsidRDefault="00A41261" w:rsidP="0030027F">
      <w:pPr>
        <w:autoSpaceDE w:val="0"/>
        <w:autoSpaceDN w:val="0"/>
        <w:adjustRightInd w:val="0"/>
        <w:spacing w:line="360" w:lineRule="auto"/>
        <w:jc w:val="both"/>
        <w:rPr>
          <w:rFonts w:asciiTheme="majorBidi" w:hAnsiTheme="majorBidi" w:cstheme="majorBidi"/>
          <w:color w:val="000000"/>
          <w:kern w:val="0"/>
        </w:rPr>
      </w:pPr>
      <w:r w:rsidRPr="00A41261">
        <w:rPr>
          <w:rFonts w:asciiTheme="majorBidi" w:hAnsiTheme="majorBidi" w:cstheme="majorBidi"/>
          <w:color w:val="000000"/>
          <w:kern w:val="0"/>
        </w:rPr>
        <w:t xml:space="preserve">Differentiation is constructed as a framework of credibility as well as completion. At the assessment level, competitors like Versant English 4 Skills Essentials focus on scoring in workplace communication in recruitment (Pearson, 2024), whereas Linguaskill Business focuses on the scoring of certificated, on-demand business English testing in employers and institutions (Cambridge University Press and Assessment, 2026). Duolingo differentiates by combining role-mapped speaking simulations, stackable micro credentials with explicit outcomes, and proctored performance checks into one mobile flow, rather than splitting learning and verification across </w:t>
      </w:r>
      <w:r w:rsidRPr="00A41261">
        <w:rPr>
          <w:rFonts w:asciiTheme="majorBidi" w:hAnsiTheme="majorBidi" w:cstheme="majorBidi"/>
          <w:color w:val="000000"/>
          <w:kern w:val="0"/>
        </w:rPr>
        <w:lastRenderedPageBreak/>
        <w:t>providers. Such an approach to activity systems makes them more defensible owing to the fact that the components enhance each other and are less easily duplicated as a consequence (Hooley et al., 2024). The simulation layer is credible because Duolingo ships conversational AI, including Video Call with Lily, which can be adapted from general speaking practice into job scenarios (Duolingo Team, 2024), and research synthesis shows AI chatbot speaking practice can improve engagement and speaking outcomes (Du et al., 2024). Brand architecture is also a differentiator: positioning the credential as a Janus fit extension preserves Duolingo’s playful learning associations while adding employability proof, which can increase perceived brand innovativeness through moderated surprise (Falana et al., 2024), and it protects equity by grounding new meaning in strong existing associations (Kotler et al., 2022).</w:t>
      </w:r>
    </w:p>
    <w:p w14:paraId="33B7B84B" w14:textId="77777777" w:rsidR="00A41261" w:rsidRPr="00A41261" w:rsidRDefault="00A41261" w:rsidP="00A41261">
      <w:pPr>
        <w:pStyle w:val="Heading2"/>
        <w:spacing w:line="360" w:lineRule="auto"/>
        <w:jc w:val="both"/>
        <w:rPr>
          <w:rFonts w:asciiTheme="majorBidi" w:hAnsiTheme="majorBidi"/>
          <w:szCs w:val="24"/>
        </w:rPr>
      </w:pPr>
      <w:bookmarkStart w:id="5" w:name="_Toc223535128"/>
      <w:r w:rsidRPr="00A41261">
        <w:rPr>
          <w:rFonts w:asciiTheme="majorBidi" w:hAnsiTheme="majorBidi"/>
          <w:szCs w:val="24"/>
        </w:rPr>
        <w:t>Positioning</w:t>
      </w:r>
      <w:bookmarkEnd w:id="5"/>
    </w:p>
    <w:p w14:paraId="2A25EFB0" w14:textId="77777777" w:rsidR="00A41261" w:rsidRPr="00A41261" w:rsidRDefault="00A41261" w:rsidP="00A41261">
      <w:pPr>
        <w:autoSpaceDE w:val="0"/>
        <w:autoSpaceDN w:val="0"/>
        <w:adjustRightInd w:val="0"/>
        <w:spacing w:line="360" w:lineRule="auto"/>
        <w:jc w:val="both"/>
        <w:rPr>
          <w:rFonts w:asciiTheme="majorBidi" w:hAnsiTheme="majorBidi" w:cstheme="majorBidi"/>
          <w:color w:val="000000"/>
          <w:kern w:val="0"/>
        </w:rPr>
      </w:pPr>
      <w:r w:rsidRPr="00A41261">
        <w:rPr>
          <w:rFonts w:asciiTheme="majorBidi" w:hAnsiTheme="majorBidi" w:cstheme="majorBidi"/>
          <w:color w:val="000000"/>
          <w:kern w:val="0"/>
        </w:rPr>
        <w:t>Positioning makes the extension grounded in the category of trusted micro credential where design is used in accordance with the direction that micro credentials must indicate information on learning outcomes, assessment, workload and portability so that it can be read by employers (Council of the European Union, 2022). It appeals to the high engagement, high verification perceptual space, in which several providers trade off one or the other. The market urgency is supported by the future projections of the major job and skills transformation in the coming five years, the rising mobility towards a short cycle, job-related up-skilling (World Economic Forum, 2023). The positioning statement is: “For early career candidates pursuing English-intensive roles, Duolingo Career English Micro-Credentials is the mobile-first speaking verified credential that proves job-ready performance through role simulations and proctored checks, so learners get hired faster and employers reduce training time.” This is enabled by skills-first adoption priorities (which focus on skills signals that can be used in hiring processes) and mainstreaming evidence (as Coursera reports activity in micro credentialing in 850 plus institutions in 89 countries, which signals wide acceptance of stackable credentials) (Coursera, 2024).</w:t>
      </w:r>
    </w:p>
    <w:p w14:paraId="0C68EFA2" w14:textId="77777777" w:rsidR="00A41261" w:rsidRDefault="00A41261" w:rsidP="00A41261">
      <w:pPr>
        <w:autoSpaceDE w:val="0"/>
        <w:autoSpaceDN w:val="0"/>
        <w:adjustRightInd w:val="0"/>
        <w:spacing w:line="360" w:lineRule="auto"/>
        <w:jc w:val="both"/>
        <w:rPr>
          <w:rFonts w:asciiTheme="majorBidi" w:hAnsiTheme="majorBidi" w:cstheme="majorBidi"/>
          <w:color w:val="000000"/>
          <w:kern w:val="0"/>
        </w:rPr>
      </w:pPr>
    </w:p>
    <w:p w14:paraId="30BDD246" w14:textId="77777777" w:rsidR="00FC7825" w:rsidRDefault="00FC7825" w:rsidP="00A41261">
      <w:pPr>
        <w:autoSpaceDE w:val="0"/>
        <w:autoSpaceDN w:val="0"/>
        <w:adjustRightInd w:val="0"/>
        <w:spacing w:line="360" w:lineRule="auto"/>
        <w:jc w:val="both"/>
        <w:rPr>
          <w:rFonts w:asciiTheme="majorBidi" w:hAnsiTheme="majorBidi" w:cstheme="majorBidi"/>
          <w:color w:val="000000"/>
          <w:kern w:val="0"/>
        </w:rPr>
      </w:pPr>
    </w:p>
    <w:p w14:paraId="7D3898A6" w14:textId="77777777" w:rsidR="00FC7825" w:rsidRDefault="00FC7825" w:rsidP="00A41261">
      <w:pPr>
        <w:autoSpaceDE w:val="0"/>
        <w:autoSpaceDN w:val="0"/>
        <w:adjustRightInd w:val="0"/>
        <w:spacing w:line="360" w:lineRule="auto"/>
        <w:jc w:val="both"/>
        <w:rPr>
          <w:rFonts w:asciiTheme="majorBidi" w:hAnsiTheme="majorBidi" w:cstheme="majorBidi"/>
          <w:color w:val="000000"/>
          <w:kern w:val="0"/>
        </w:rPr>
      </w:pPr>
    </w:p>
    <w:p w14:paraId="7F45149B" w14:textId="77777777" w:rsidR="00FC7825" w:rsidRDefault="00FC7825" w:rsidP="00A41261">
      <w:pPr>
        <w:autoSpaceDE w:val="0"/>
        <w:autoSpaceDN w:val="0"/>
        <w:adjustRightInd w:val="0"/>
        <w:spacing w:line="360" w:lineRule="auto"/>
        <w:jc w:val="both"/>
        <w:rPr>
          <w:rFonts w:asciiTheme="majorBidi" w:hAnsiTheme="majorBidi" w:cstheme="majorBidi"/>
          <w:color w:val="000000"/>
          <w:kern w:val="0"/>
        </w:rPr>
      </w:pPr>
    </w:p>
    <w:p w14:paraId="18348BB3" w14:textId="77777777" w:rsidR="00FC7825" w:rsidRDefault="00FC7825" w:rsidP="00A41261">
      <w:pPr>
        <w:autoSpaceDE w:val="0"/>
        <w:autoSpaceDN w:val="0"/>
        <w:adjustRightInd w:val="0"/>
        <w:spacing w:line="360" w:lineRule="auto"/>
        <w:jc w:val="both"/>
        <w:rPr>
          <w:rFonts w:asciiTheme="majorBidi" w:hAnsiTheme="majorBidi" w:cstheme="majorBidi"/>
          <w:color w:val="000000"/>
          <w:kern w:val="0"/>
        </w:rPr>
      </w:pPr>
    </w:p>
    <w:p w14:paraId="32E02294" w14:textId="77777777" w:rsidR="00FC7825" w:rsidRDefault="00FC7825" w:rsidP="00FC7825">
      <w:pPr>
        <w:keepNext/>
        <w:autoSpaceDE w:val="0"/>
        <w:autoSpaceDN w:val="0"/>
        <w:adjustRightInd w:val="0"/>
        <w:spacing w:line="360" w:lineRule="auto"/>
        <w:jc w:val="center"/>
      </w:pPr>
      <w:r>
        <w:rPr>
          <w:rFonts w:asciiTheme="majorBidi" w:hAnsiTheme="majorBidi" w:cstheme="majorBidi"/>
          <w:noProof/>
          <w:color w:val="000000"/>
          <w:kern w:val="0"/>
        </w:rPr>
        <w:lastRenderedPageBreak/>
        <w:drawing>
          <wp:inline distT="0" distB="0" distL="0" distR="0" wp14:anchorId="2CA4735F" wp14:editId="3BEAD184">
            <wp:extent cx="5310414" cy="4904190"/>
            <wp:effectExtent l="12700" t="12700" r="11430" b="10795"/>
            <wp:docPr id="14638061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806176" name="Picture 1463806176"/>
                    <pic:cNvPicPr/>
                  </pic:nvPicPr>
                  <pic:blipFill>
                    <a:blip r:embed="rId9">
                      <a:extLst>
                        <a:ext uri="{28A0092B-C50C-407E-A947-70E740481C1C}">
                          <a14:useLocalDpi xmlns:a14="http://schemas.microsoft.com/office/drawing/2010/main" val="0"/>
                        </a:ext>
                      </a:extLst>
                    </a:blip>
                    <a:stretch>
                      <a:fillRect/>
                    </a:stretch>
                  </pic:blipFill>
                  <pic:spPr>
                    <a:xfrm>
                      <a:off x="0" y="0"/>
                      <a:ext cx="5315603" cy="4908982"/>
                    </a:xfrm>
                    <a:prstGeom prst="rect">
                      <a:avLst/>
                    </a:prstGeom>
                    <a:ln>
                      <a:solidFill>
                        <a:srgbClr val="000000"/>
                      </a:solidFill>
                    </a:ln>
                  </pic:spPr>
                </pic:pic>
              </a:graphicData>
            </a:graphic>
          </wp:inline>
        </w:drawing>
      </w:r>
    </w:p>
    <w:p w14:paraId="5B9B455B" w14:textId="77777777" w:rsidR="00FC7825" w:rsidRPr="00FC7825" w:rsidRDefault="00FC7825" w:rsidP="00FC7825">
      <w:pPr>
        <w:pStyle w:val="Caption"/>
        <w:shd w:val="clear" w:color="auto" w:fill="FBE4D5" w:themeFill="accent2" w:themeFillTint="33"/>
        <w:jc w:val="center"/>
        <w:rPr>
          <w:rFonts w:asciiTheme="majorBidi" w:hAnsiTheme="majorBidi" w:cstheme="majorBidi"/>
          <w:b/>
          <w:bCs/>
          <w:color w:val="000000"/>
          <w:kern w:val="0"/>
        </w:rPr>
      </w:pPr>
      <w:r w:rsidRPr="00FC7825">
        <w:rPr>
          <w:b/>
          <w:bCs/>
        </w:rPr>
        <w:t xml:space="preserve">Figure </w:t>
      </w:r>
      <w:r w:rsidRPr="00FC7825">
        <w:rPr>
          <w:b/>
          <w:bCs/>
        </w:rPr>
        <w:fldChar w:fldCharType="begin"/>
      </w:r>
      <w:r w:rsidRPr="00FC7825">
        <w:rPr>
          <w:b/>
          <w:bCs/>
        </w:rPr>
        <w:instrText xml:space="preserve"> SEQ Figure \* ARABIC </w:instrText>
      </w:r>
      <w:r w:rsidRPr="00FC7825">
        <w:rPr>
          <w:b/>
          <w:bCs/>
        </w:rPr>
        <w:fldChar w:fldCharType="separate"/>
      </w:r>
      <w:r w:rsidR="007C7346">
        <w:rPr>
          <w:b/>
          <w:bCs/>
          <w:noProof/>
        </w:rPr>
        <w:t>2</w:t>
      </w:r>
      <w:r w:rsidRPr="00FC7825">
        <w:rPr>
          <w:b/>
          <w:bCs/>
        </w:rPr>
        <w:fldChar w:fldCharType="end"/>
      </w:r>
      <w:r w:rsidRPr="00FC7825">
        <w:rPr>
          <w:b/>
          <w:bCs/>
        </w:rPr>
        <w:t>: Perception map (Author, 2026).</w:t>
      </w:r>
    </w:p>
    <w:p w14:paraId="6EC099BC" w14:textId="77777777" w:rsidR="00A41261" w:rsidRPr="00A41261" w:rsidRDefault="00A41261" w:rsidP="00A41261">
      <w:pPr>
        <w:pStyle w:val="Heading1"/>
        <w:spacing w:line="360" w:lineRule="auto"/>
        <w:jc w:val="both"/>
        <w:rPr>
          <w:rFonts w:asciiTheme="majorBidi" w:hAnsiTheme="majorBidi"/>
          <w:szCs w:val="24"/>
        </w:rPr>
      </w:pPr>
      <w:bookmarkStart w:id="6" w:name="_Toc223535129"/>
      <w:r w:rsidRPr="00A41261">
        <w:rPr>
          <w:rFonts w:asciiTheme="majorBidi" w:hAnsiTheme="majorBidi"/>
          <w:szCs w:val="24"/>
        </w:rPr>
        <w:t>Element 3: Marketing Mix</w:t>
      </w:r>
      <w:bookmarkEnd w:id="6"/>
    </w:p>
    <w:p w14:paraId="6DD6ADCA" w14:textId="77777777" w:rsidR="00A41261" w:rsidRPr="00A41261" w:rsidRDefault="00A41261" w:rsidP="00A41261">
      <w:pPr>
        <w:pStyle w:val="Heading2"/>
        <w:spacing w:line="360" w:lineRule="auto"/>
        <w:jc w:val="both"/>
        <w:rPr>
          <w:rFonts w:asciiTheme="majorBidi" w:hAnsiTheme="majorBidi"/>
          <w:szCs w:val="24"/>
        </w:rPr>
      </w:pPr>
      <w:bookmarkStart w:id="7" w:name="_Toc223535130"/>
      <w:r w:rsidRPr="00A41261">
        <w:rPr>
          <w:rFonts w:asciiTheme="majorBidi" w:hAnsiTheme="majorBidi"/>
          <w:szCs w:val="24"/>
        </w:rPr>
        <w:t>Product</w:t>
      </w:r>
      <w:bookmarkEnd w:id="7"/>
    </w:p>
    <w:p w14:paraId="5FD61F2F" w14:textId="77777777" w:rsidR="00A41261" w:rsidRPr="00A41261" w:rsidRDefault="00A41261" w:rsidP="00A41261">
      <w:pPr>
        <w:autoSpaceDE w:val="0"/>
        <w:autoSpaceDN w:val="0"/>
        <w:adjustRightInd w:val="0"/>
        <w:spacing w:line="360" w:lineRule="auto"/>
        <w:jc w:val="both"/>
        <w:rPr>
          <w:rFonts w:asciiTheme="majorBidi" w:hAnsiTheme="majorBidi" w:cstheme="majorBidi"/>
          <w:color w:val="000000"/>
          <w:kern w:val="0"/>
        </w:rPr>
      </w:pPr>
      <w:r w:rsidRPr="00A41261">
        <w:rPr>
          <w:rFonts w:asciiTheme="majorBidi" w:hAnsiTheme="majorBidi" w:cstheme="majorBidi"/>
          <w:color w:val="000000"/>
          <w:kern w:val="0"/>
        </w:rPr>
        <w:t xml:space="preserve">Duolingo Career English Micro-Credentials is designed as a verified employability product where the unit of value is a hiring-relevant performance signal. Applying the three levels of products defined by Kotler, the core product is a believable decrease in the friction of hiring English-intensive entry jobs with the exchange of self-claims with demonstration of task performance (Kotler et al., 2010). The real product is four-week role packs stackable Customer Support, Sales Development, Healthcare Front Desk and Junior Operations based on AI speaking simulations that resemble such duties as de-escalation, information checking and objection handling, as well as brief writing in the workplace. The augmented product makes the signal employer-readable with </w:t>
      </w:r>
      <w:r w:rsidRPr="00A41261">
        <w:rPr>
          <w:rFonts w:asciiTheme="majorBidi" w:hAnsiTheme="majorBidi" w:cstheme="majorBidi"/>
          <w:color w:val="000000"/>
          <w:kern w:val="0"/>
        </w:rPr>
        <w:lastRenderedPageBreak/>
        <w:t>identity verification, proctored capstones, and the rubric-linked transcripts, as it aligns with the services marketing principle, intangible performance has to be proven through process design (Hoffman et al., 2024).</w:t>
      </w:r>
    </w:p>
    <w:p w14:paraId="34773135" w14:textId="77777777" w:rsidR="00FC7825" w:rsidRDefault="00A41261" w:rsidP="00372775">
      <w:pPr>
        <w:autoSpaceDE w:val="0"/>
        <w:autoSpaceDN w:val="0"/>
        <w:adjustRightInd w:val="0"/>
        <w:spacing w:line="360" w:lineRule="auto"/>
        <w:jc w:val="both"/>
        <w:rPr>
          <w:rFonts w:asciiTheme="majorBidi" w:hAnsiTheme="majorBidi" w:cstheme="majorBidi"/>
          <w:color w:val="000000"/>
          <w:kern w:val="0"/>
        </w:rPr>
      </w:pPr>
      <w:r w:rsidRPr="00A41261">
        <w:rPr>
          <w:rFonts w:asciiTheme="majorBidi" w:hAnsiTheme="majorBidi" w:cstheme="majorBidi"/>
          <w:color w:val="000000"/>
          <w:kern w:val="0"/>
        </w:rPr>
        <w:t>Role packs adopt a practice-to-performance cycle. Simulations produce diagnostic feedback, which is followed by repeated errors that activate remediation. Motivation takes the form of streaks and milestones, whereas standards are fixed since a meta-analysis associates gamification with the most powerful motivational effects, such as autonomy and relatedness, which assumes design discipline instead of additional incentives (Li et al., 2024). Capstone scoring is limited to the types of tasks that AI works best on, and this indicates a demonstration that AI-assisted speaking tools score controlled speech more consistently than spontaneous speech unless task design is narrowed (Liu et al., 2025). The employer transcript shows the task-completion, the quality of interaction, the intelligibility and the tone control as different rubric bands, as well as a brief narrative summary and the QR-based verification link that verifies authenticity but does not disclose the raw learner information.</w:t>
      </w:r>
    </w:p>
    <w:p w14:paraId="5BA77DA4" w14:textId="77777777" w:rsidR="00372775" w:rsidRDefault="00372775" w:rsidP="00372775">
      <w:pPr>
        <w:keepNext/>
        <w:autoSpaceDE w:val="0"/>
        <w:autoSpaceDN w:val="0"/>
        <w:adjustRightInd w:val="0"/>
        <w:spacing w:line="360" w:lineRule="auto"/>
        <w:jc w:val="center"/>
      </w:pPr>
      <w:r>
        <w:rPr>
          <w:rFonts w:asciiTheme="majorBidi" w:hAnsiTheme="majorBidi" w:cstheme="majorBidi"/>
          <w:noProof/>
          <w:color w:val="000000"/>
          <w:kern w:val="0"/>
        </w:rPr>
        <w:drawing>
          <wp:inline distT="0" distB="0" distL="0" distR="0" wp14:anchorId="3A7482CE" wp14:editId="22CAE81D">
            <wp:extent cx="5386614" cy="2696184"/>
            <wp:effectExtent l="12700" t="12700" r="11430" b="9525"/>
            <wp:docPr id="19248105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4810509" name="Picture 192481050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390403" cy="2698080"/>
                    </a:xfrm>
                    <a:prstGeom prst="rect">
                      <a:avLst/>
                    </a:prstGeom>
                    <a:ln>
                      <a:solidFill>
                        <a:srgbClr val="000000"/>
                      </a:solidFill>
                    </a:ln>
                  </pic:spPr>
                </pic:pic>
              </a:graphicData>
            </a:graphic>
          </wp:inline>
        </w:drawing>
      </w:r>
    </w:p>
    <w:p w14:paraId="438BF00B" w14:textId="77777777" w:rsidR="00372775" w:rsidRPr="00372775" w:rsidRDefault="00372775" w:rsidP="00372775">
      <w:pPr>
        <w:pStyle w:val="Caption"/>
        <w:shd w:val="clear" w:color="auto" w:fill="FBE4D5" w:themeFill="accent2" w:themeFillTint="33"/>
        <w:jc w:val="center"/>
        <w:rPr>
          <w:rFonts w:asciiTheme="majorBidi" w:hAnsiTheme="majorBidi" w:cstheme="majorBidi"/>
          <w:b/>
          <w:bCs/>
          <w:color w:val="000000"/>
          <w:kern w:val="0"/>
        </w:rPr>
      </w:pPr>
      <w:r w:rsidRPr="00372775">
        <w:rPr>
          <w:b/>
          <w:bCs/>
        </w:rPr>
        <w:t xml:space="preserve">Figure </w:t>
      </w:r>
      <w:r w:rsidRPr="00372775">
        <w:rPr>
          <w:b/>
          <w:bCs/>
        </w:rPr>
        <w:fldChar w:fldCharType="begin"/>
      </w:r>
      <w:r w:rsidRPr="00372775">
        <w:rPr>
          <w:b/>
          <w:bCs/>
        </w:rPr>
        <w:instrText xml:space="preserve"> SEQ Figure \* ARABIC </w:instrText>
      </w:r>
      <w:r w:rsidRPr="00372775">
        <w:rPr>
          <w:b/>
          <w:bCs/>
        </w:rPr>
        <w:fldChar w:fldCharType="separate"/>
      </w:r>
      <w:r w:rsidR="007C7346">
        <w:rPr>
          <w:b/>
          <w:bCs/>
          <w:noProof/>
        </w:rPr>
        <w:t>3</w:t>
      </w:r>
      <w:r w:rsidRPr="00372775">
        <w:rPr>
          <w:b/>
          <w:bCs/>
        </w:rPr>
        <w:fldChar w:fldCharType="end"/>
      </w:r>
      <w:r w:rsidRPr="00372775">
        <w:rPr>
          <w:b/>
          <w:bCs/>
        </w:rPr>
        <w:t>: Kotler's product levels (Author, 2026).</w:t>
      </w:r>
    </w:p>
    <w:p w14:paraId="6A84AC50" w14:textId="77777777" w:rsidR="00A41261" w:rsidRDefault="00A41261" w:rsidP="00A41261">
      <w:pPr>
        <w:autoSpaceDE w:val="0"/>
        <w:autoSpaceDN w:val="0"/>
        <w:adjustRightInd w:val="0"/>
        <w:spacing w:line="360" w:lineRule="auto"/>
        <w:jc w:val="both"/>
        <w:rPr>
          <w:rFonts w:asciiTheme="majorBidi" w:hAnsiTheme="majorBidi" w:cstheme="majorBidi"/>
          <w:color w:val="000000"/>
          <w:kern w:val="0"/>
        </w:rPr>
      </w:pPr>
      <w:r w:rsidRPr="00A41261">
        <w:rPr>
          <w:rFonts w:asciiTheme="majorBidi" w:hAnsiTheme="majorBidi" w:cstheme="majorBidi"/>
          <w:color w:val="000000"/>
          <w:kern w:val="0"/>
        </w:rPr>
        <w:t xml:space="preserve">The decisions of the Product Life Cycle used in governance ensure safety of trust, even as it scales. In the introduction, Duolingo launches one role family with limited capstone slots and employer pilots that test whether transcripts predict interview progression. It proliferates in growth, extending to neighbouring packs and introduces cohort dashboards which render surfaced aggregate gaps like intelligibility and pragmatic appropriateness. At maturity, quarterly refreshing </w:t>
      </w:r>
      <w:r w:rsidRPr="00A41261">
        <w:rPr>
          <w:rFonts w:asciiTheme="majorBidi" w:hAnsiTheme="majorBidi" w:cstheme="majorBidi"/>
          <w:color w:val="000000"/>
          <w:kern w:val="0"/>
        </w:rPr>
        <w:lastRenderedPageBreak/>
        <w:t>of scenarios is used in practice, with comparability provided by calibration, which is consistent with PLC-as-portfolio-control advice in modern marketing planning (Kerin et al., 2024). Integrity design balances between fairness and security. Remote proctoring can reduce cheating but also create construct-irrelevant variance through unequal test conditions, so Duolingo offers low-bandwidth options and accommodation routes (Isbell et al., 2023). It also embraces privacy-minimalising integrity nudges, which are in line with the evidence that non-invasive interventions can help to minimise cheating without negatively affecting user experience in online assessments (Mukherjee et al., 2023).</w:t>
      </w:r>
    </w:p>
    <w:p w14:paraId="7ED35C7D" w14:textId="77777777" w:rsidR="00372775" w:rsidRDefault="00372775" w:rsidP="00372775">
      <w:pPr>
        <w:keepNext/>
        <w:autoSpaceDE w:val="0"/>
        <w:autoSpaceDN w:val="0"/>
        <w:adjustRightInd w:val="0"/>
        <w:spacing w:line="360" w:lineRule="auto"/>
        <w:jc w:val="center"/>
      </w:pPr>
      <w:r>
        <w:rPr>
          <w:rFonts w:asciiTheme="majorBidi" w:hAnsiTheme="majorBidi" w:cstheme="majorBidi"/>
          <w:noProof/>
          <w:color w:val="000000"/>
          <w:kern w:val="0"/>
        </w:rPr>
        <w:drawing>
          <wp:inline distT="0" distB="0" distL="0" distR="0" wp14:anchorId="5D375AC1" wp14:editId="2FA17D20">
            <wp:extent cx="5060043" cy="3176042"/>
            <wp:effectExtent l="12700" t="12700" r="7620" b="12065"/>
            <wp:docPr id="68718230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182304" name="Picture 68718230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63286" cy="3178077"/>
                    </a:xfrm>
                    <a:prstGeom prst="rect">
                      <a:avLst/>
                    </a:prstGeom>
                    <a:ln>
                      <a:solidFill>
                        <a:srgbClr val="000000"/>
                      </a:solidFill>
                    </a:ln>
                  </pic:spPr>
                </pic:pic>
              </a:graphicData>
            </a:graphic>
          </wp:inline>
        </w:drawing>
      </w:r>
    </w:p>
    <w:p w14:paraId="0D90290A" w14:textId="77777777" w:rsidR="00372775" w:rsidRPr="00372775" w:rsidRDefault="00372775" w:rsidP="00372775">
      <w:pPr>
        <w:pStyle w:val="Caption"/>
        <w:shd w:val="clear" w:color="auto" w:fill="FBE4D5" w:themeFill="accent2" w:themeFillTint="33"/>
        <w:jc w:val="center"/>
        <w:rPr>
          <w:rFonts w:asciiTheme="majorBidi" w:hAnsiTheme="majorBidi" w:cstheme="majorBidi"/>
          <w:b/>
          <w:bCs/>
          <w:color w:val="000000"/>
          <w:kern w:val="0"/>
          <w:sz w:val="24"/>
          <w:szCs w:val="24"/>
        </w:rPr>
      </w:pPr>
      <w:r w:rsidRPr="00372775">
        <w:rPr>
          <w:b/>
          <w:bCs/>
        </w:rPr>
        <w:t xml:space="preserve">Figure </w:t>
      </w:r>
      <w:r w:rsidRPr="00372775">
        <w:rPr>
          <w:b/>
          <w:bCs/>
        </w:rPr>
        <w:fldChar w:fldCharType="begin"/>
      </w:r>
      <w:r w:rsidRPr="00372775">
        <w:rPr>
          <w:b/>
          <w:bCs/>
        </w:rPr>
        <w:instrText xml:space="preserve"> SEQ Figure \* ARABIC </w:instrText>
      </w:r>
      <w:r w:rsidRPr="00372775">
        <w:rPr>
          <w:b/>
          <w:bCs/>
        </w:rPr>
        <w:fldChar w:fldCharType="separate"/>
      </w:r>
      <w:r w:rsidR="007C7346">
        <w:rPr>
          <w:b/>
          <w:bCs/>
          <w:noProof/>
        </w:rPr>
        <w:t>4</w:t>
      </w:r>
      <w:r w:rsidRPr="00372775">
        <w:rPr>
          <w:b/>
          <w:bCs/>
        </w:rPr>
        <w:fldChar w:fldCharType="end"/>
      </w:r>
      <w:r w:rsidRPr="00372775">
        <w:rPr>
          <w:b/>
          <w:bCs/>
        </w:rPr>
        <w:t>: PLC Model (Author, 2026).</w:t>
      </w:r>
    </w:p>
    <w:p w14:paraId="6E832166" w14:textId="77777777" w:rsidR="00A41261" w:rsidRPr="00A41261" w:rsidRDefault="00A41261" w:rsidP="00A41261">
      <w:pPr>
        <w:pStyle w:val="Heading2"/>
        <w:spacing w:line="360" w:lineRule="auto"/>
        <w:jc w:val="both"/>
        <w:rPr>
          <w:rFonts w:asciiTheme="majorBidi" w:hAnsiTheme="majorBidi"/>
          <w:szCs w:val="24"/>
        </w:rPr>
      </w:pPr>
      <w:bookmarkStart w:id="8" w:name="_Toc223535131"/>
      <w:r w:rsidRPr="00A41261">
        <w:rPr>
          <w:rFonts w:asciiTheme="majorBidi" w:hAnsiTheme="majorBidi"/>
          <w:szCs w:val="24"/>
        </w:rPr>
        <w:t>Price</w:t>
      </w:r>
      <w:bookmarkEnd w:id="8"/>
    </w:p>
    <w:p w14:paraId="37A52BCF" w14:textId="77777777" w:rsidR="00372775" w:rsidRDefault="00A41261" w:rsidP="00372775">
      <w:pPr>
        <w:autoSpaceDE w:val="0"/>
        <w:autoSpaceDN w:val="0"/>
        <w:adjustRightInd w:val="0"/>
        <w:spacing w:line="360" w:lineRule="auto"/>
        <w:jc w:val="both"/>
        <w:rPr>
          <w:rFonts w:asciiTheme="majorBidi" w:hAnsiTheme="majorBidi" w:cstheme="majorBidi"/>
          <w:color w:val="000000"/>
          <w:kern w:val="0"/>
        </w:rPr>
      </w:pPr>
      <w:r w:rsidRPr="00A41261">
        <w:rPr>
          <w:rFonts w:asciiTheme="majorBidi" w:hAnsiTheme="majorBidi" w:cstheme="majorBidi"/>
          <w:color w:val="000000"/>
          <w:kern w:val="0"/>
        </w:rPr>
        <w:t xml:space="preserve">Value-based versioning is applied in pricing since learners do not pay based on lesson volume; rather, they pay based on signal strength and verification. The ladder is Learn, Coach and Verify. There is one pack of roles and basic feedback of Learn. Coach introduces more frequent role-play, adaptive learning plans and diagnostic analytics. Verify contains proctored tries, a transcript that can be verified by the employer, and issuance of badges. This is consistent with the findings that value-based pricing is enhanced in the event that companies develop value-quantification abilities and price consistency to quantifiable results (Roll et al., 2025). The effective suggestion would be a low-commitment monthly price offer to individuals. Learn is the entry level, Coach is standard, </w:t>
      </w:r>
      <w:r w:rsidRPr="00A41261">
        <w:rPr>
          <w:rFonts w:asciiTheme="majorBidi" w:hAnsiTheme="majorBidi" w:cstheme="majorBidi"/>
          <w:color w:val="000000"/>
          <w:kern w:val="0"/>
        </w:rPr>
        <w:lastRenderedPageBreak/>
        <w:t>and Verify is charged with a definite premium as a result of the proctoring and verification costs. In the case of B2B cohorts, per-seat pricing is complemented with completion incentives and service-level reporting to HR departments, in which case the subscription acts as a quantifiable training investment, but not a manager perk.</w:t>
      </w:r>
    </w:p>
    <w:p w14:paraId="568E7173" w14:textId="77777777" w:rsidR="00372775" w:rsidRDefault="00372775" w:rsidP="00372775">
      <w:pPr>
        <w:keepNext/>
        <w:autoSpaceDE w:val="0"/>
        <w:autoSpaceDN w:val="0"/>
        <w:adjustRightInd w:val="0"/>
        <w:spacing w:line="360" w:lineRule="auto"/>
        <w:jc w:val="center"/>
      </w:pPr>
      <w:r>
        <w:rPr>
          <w:rFonts w:asciiTheme="majorBidi" w:hAnsiTheme="majorBidi" w:cstheme="majorBidi"/>
          <w:noProof/>
          <w:color w:val="000000"/>
          <w:kern w:val="0"/>
        </w:rPr>
        <w:drawing>
          <wp:inline distT="0" distB="0" distL="0" distR="0" wp14:anchorId="6149F463" wp14:editId="6D3169E8">
            <wp:extent cx="5147129" cy="3941733"/>
            <wp:effectExtent l="12700" t="12700" r="9525" b="8255"/>
            <wp:docPr id="191348415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484150" name="Picture 191348415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149769" cy="3943755"/>
                    </a:xfrm>
                    <a:prstGeom prst="rect">
                      <a:avLst/>
                    </a:prstGeom>
                    <a:ln>
                      <a:solidFill>
                        <a:srgbClr val="000000"/>
                      </a:solidFill>
                    </a:ln>
                  </pic:spPr>
                </pic:pic>
              </a:graphicData>
            </a:graphic>
          </wp:inline>
        </w:drawing>
      </w:r>
    </w:p>
    <w:p w14:paraId="31A32D08" w14:textId="77777777" w:rsidR="00372775" w:rsidRPr="00372775" w:rsidRDefault="00372775" w:rsidP="00372775">
      <w:pPr>
        <w:pStyle w:val="Caption"/>
        <w:shd w:val="clear" w:color="auto" w:fill="FBE4D5" w:themeFill="accent2" w:themeFillTint="33"/>
        <w:jc w:val="center"/>
        <w:rPr>
          <w:rFonts w:asciiTheme="majorBidi" w:hAnsiTheme="majorBidi" w:cstheme="majorBidi"/>
          <w:b/>
          <w:bCs/>
          <w:color w:val="000000"/>
          <w:kern w:val="0"/>
          <w:sz w:val="24"/>
          <w:szCs w:val="24"/>
        </w:rPr>
      </w:pPr>
      <w:r w:rsidRPr="00372775">
        <w:rPr>
          <w:b/>
          <w:bCs/>
        </w:rPr>
        <w:t xml:space="preserve">Figure </w:t>
      </w:r>
      <w:r w:rsidRPr="00372775">
        <w:rPr>
          <w:b/>
          <w:bCs/>
        </w:rPr>
        <w:fldChar w:fldCharType="begin"/>
      </w:r>
      <w:r w:rsidRPr="00372775">
        <w:rPr>
          <w:b/>
          <w:bCs/>
        </w:rPr>
        <w:instrText xml:space="preserve"> SEQ Figure \* ARABIC </w:instrText>
      </w:r>
      <w:r w:rsidRPr="00372775">
        <w:rPr>
          <w:b/>
          <w:bCs/>
        </w:rPr>
        <w:fldChar w:fldCharType="separate"/>
      </w:r>
      <w:r w:rsidR="007C7346">
        <w:rPr>
          <w:b/>
          <w:bCs/>
          <w:noProof/>
        </w:rPr>
        <w:t>5</w:t>
      </w:r>
      <w:r w:rsidRPr="00372775">
        <w:rPr>
          <w:b/>
          <w:bCs/>
        </w:rPr>
        <w:fldChar w:fldCharType="end"/>
      </w:r>
      <w:r w:rsidRPr="00372775">
        <w:rPr>
          <w:b/>
          <w:bCs/>
        </w:rPr>
        <w:t>: Overview of the brand's pricing strategy (Author, 2026).</w:t>
      </w:r>
    </w:p>
    <w:p w14:paraId="5C036718" w14:textId="77777777" w:rsidR="00A41261" w:rsidRPr="00A41261" w:rsidRDefault="00A41261" w:rsidP="00A41261">
      <w:pPr>
        <w:autoSpaceDE w:val="0"/>
        <w:autoSpaceDN w:val="0"/>
        <w:adjustRightInd w:val="0"/>
        <w:spacing w:line="360" w:lineRule="auto"/>
        <w:jc w:val="both"/>
        <w:rPr>
          <w:rFonts w:asciiTheme="majorBidi" w:hAnsiTheme="majorBidi" w:cstheme="majorBidi"/>
          <w:color w:val="000000"/>
          <w:kern w:val="0"/>
        </w:rPr>
      </w:pPr>
      <w:r w:rsidRPr="00A41261">
        <w:rPr>
          <w:rFonts w:asciiTheme="majorBidi" w:hAnsiTheme="majorBidi" w:cstheme="majorBidi"/>
          <w:color w:val="000000"/>
          <w:kern w:val="0"/>
        </w:rPr>
        <w:t>Monetisation minimises the freemium risk where the users remain free indefinitely. A free diagnostic simulation generates a partial snapshot, whereas the paid tiers are needed when capstone booking and verification are to be done. This matches evidence that premium uptake increases when the offer reduces uncertainty and increases predictability, so Duolingo previews the transcript format and evaluation criteria before payment (Biraglia et al., 2022). For employers, Duolingo sells annual seat bundles with a hybrid option where firms pay a base fee plus per-verification charges, supported by modelling that hybrid subscription strategies can outperform single-duration strategies under realistic conditions (Jia et al., 2026). In the freemium market, conversion is price elastic, meaning that the tier levels, discounts, and voucher time are experimented with in controlled experiments (Enache et al., 2023).</w:t>
      </w:r>
    </w:p>
    <w:p w14:paraId="0996DFBC" w14:textId="77777777" w:rsidR="00A41261" w:rsidRPr="00A41261" w:rsidRDefault="00A41261" w:rsidP="00A41261">
      <w:pPr>
        <w:pStyle w:val="Heading2"/>
        <w:spacing w:line="360" w:lineRule="auto"/>
        <w:jc w:val="both"/>
        <w:rPr>
          <w:rFonts w:asciiTheme="majorBidi" w:hAnsiTheme="majorBidi"/>
          <w:szCs w:val="24"/>
        </w:rPr>
      </w:pPr>
      <w:bookmarkStart w:id="9" w:name="_Toc223535132"/>
      <w:r w:rsidRPr="00A41261">
        <w:rPr>
          <w:rFonts w:asciiTheme="majorBidi" w:hAnsiTheme="majorBidi"/>
          <w:szCs w:val="24"/>
        </w:rPr>
        <w:lastRenderedPageBreak/>
        <w:t>Place</w:t>
      </w:r>
      <w:bookmarkEnd w:id="9"/>
    </w:p>
    <w:p w14:paraId="7C11E4DE" w14:textId="77777777" w:rsidR="00A41261" w:rsidRDefault="00A41261" w:rsidP="00A41261">
      <w:pPr>
        <w:autoSpaceDE w:val="0"/>
        <w:autoSpaceDN w:val="0"/>
        <w:adjustRightInd w:val="0"/>
        <w:spacing w:line="360" w:lineRule="auto"/>
        <w:jc w:val="both"/>
        <w:rPr>
          <w:rFonts w:asciiTheme="majorBidi" w:hAnsiTheme="majorBidi" w:cstheme="majorBidi"/>
          <w:color w:val="000000"/>
          <w:kern w:val="0"/>
        </w:rPr>
      </w:pPr>
      <w:r w:rsidRPr="00A41261">
        <w:rPr>
          <w:rFonts w:asciiTheme="majorBidi" w:hAnsiTheme="majorBidi" w:cstheme="majorBidi"/>
          <w:color w:val="000000"/>
          <w:kern w:val="0"/>
        </w:rPr>
        <w:t>Place is provided using a hybrid channel, which is the combination of direct scale and institutional credibility. The main channel is the direct-to-learner in the app and the web, and it relies on the introduction of the prompts based on the high intent behaviours: frequent use of speaking and the peaks of job search study. The second line is an indirect vertical marketing channel comprising BPO employers, staffing agencies and vocational institutes that require a standardised readiness credential and quicker onboarding. Partner agreements indicate proctoring regulations, permission of transcripts, and the minimum completed, and dashboards that promise accountability and renewal.</w:t>
      </w:r>
    </w:p>
    <w:p w14:paraId="558613FB" w14:textId="77777777" w:rsidR="00372775" w:rsidRDefault="00372775" w:rsidP="00372775">
      <w:pPr>
        <w:keepNext/>
        <w:autoSpaceDE w:val="0"/>
        <w:autoSpaceDN w:val="0"/>
        <w:adjustRightInd w:val="0"/>
        <w:spacing w:line="360" w:lineRule="auto"/>
        <w:jc w:val="center"/>
      </w:pPr>
      <w:r>
        <w:rPr>
          <w:rFonts w:asciiTheme="majorBidi" w:hAnsiTheme="majorBidi" w:cstheme="majorBidi"/>
          <w:noProof/>
          <w:color w:val="000000"/>
          <w:kern w:val="0"/>
        </w:rPr>
        <w:drawing>
          <wp:inline distT="0" distB="0" distL="0" distR="0" wp14:anchorId="1BB8D15C" wp14:editId="1C447570">
            <wp:extent cx="5223329" cy="4035803"/>
            <wp:effectExtent l="12700" t="12700" r="9525" b="15875"/>
            <wp:docPr id="42783604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836044" name="Picture 427836044"/>
                    <pic:cNvPicPr/>
                  </pic:nvPicPr>
                  <pic:blipFill>
                    <a:blip r:embed="rId13">
                      <a:extLst>
                        <a:ext uri="{28A0092B-C50C-407E-A947-70E740481C1C}">
                          <a14:useLocalDpi xmlns:a14="http://schemas.microsoft.com/office/drawing/2010/main" val="0"/>
                        </a:ext>
                      </a:extLst>
                    </a:blip>
                    <a:stretch>
                      <a:fillRect/>
                    </a:stretch>
                  </pic:blipFill>
                  <pic:spPr>
                    <a:xfrm>
                      <a:off x="0" y="0"/>
                      <a:ext cx="5227489" cy="4039017"/>
                    </a:xfrm>
                    <a:prstGeom prst="rect">
                      <a:avLst/>
                    </a:prstGeom>
                    <a:ln>
                      <a:solidFill>
                        <a:srgbClr val="000000"/>
                      </a:solidFill>
                    </a:ln>
                  </pic:spPr>
                </pic:pic>
              </a:graphicData>
            </a:graphic>
          </wp:inline>
        </w:drawing>
      </w:r>
    </w:p>
    <w:p w14:paraId="13B95D6D" w14:textId="77777777" w:rsidR="00372775" w:rsidRPr="00372775" w:rsidRDefault="00372775" w:rsidP="00372775">
      <w:pPr>
        <w:pStyle w:val="Caption"/>
        <w:shd w:val="clear" w:color="auto" w:fill="FBE4D5" w:themeFill="accent2" w:themeFillTint="33"/>
        <w:jc w:val="center"/>
        <w:rPr>
          <w:rFonts w:asciiTheme="majorBidi" w:hAnsiTheme="majorBidi" w:cstheme="majorBidi"/>
          <w:b/>
          <w:bCs/>
          <w:color w:val="000000"/>
          <w:kern w:val="0"/>
        </w:rPr>
      </w:pPr>
      <w:r w:rsidRPr="00372775">
        <w:rPr>
          <w:b/>
          <w:bCs/>
        </w:rPr>
        <w:t xml:space="preserve">Figure </w:t>
      </w:r>
      <w:r w:rsidRPr="00372775">
        <w:rPr>
          <w:b/>
          <w:bCs/>
        </w:rPr>
        <w:fldChar w:fldCharType="begin"/>
      </w:r>
      <w:r w:rsidRPr="00372775">
        <w:rPr>
          <w:b/>
          <w:bCs/>
        </w:rPr>
        <w:instrText xml:space="preserve"> SEQ Figure \* ARABIC </w:instrText>
      </w:r>
      <w:r w:rsidRPr="00372775">
        <w:rPr>
          <w:b/>
          <w:bCs/>
        </w:rPr>
        <w:fldChar w:fldCharType="separate"/>
      </w:r>
      <w:r w:rsidR="007C7346">
        <w:rPr>
          <w:b/>
          <w:bCs/>
          <w:noProof/>
        </w:rPr>
        <w:t>6</w:t>
      </w:r>
      <w:r w:rsidRPr="00372775">
        <w:rPr>
          <w:b/>
          <w:bCs/>
        </w:rPr>
        <w:fldChar w:fldCharType="end"/>
      </w:r>
      <w:r w:rsidRPr="00372775">
        <w:rPr>
          <w:b/>
          <w:bCs/>
        </w:rPr>
        <w:t>: Place strategy (Author, 2026).</w:t>
      </w:r>
    </w:p>
    <w:p w14:paraId="4941DEE3" w14:textId="77777777" w:rsidR="00A41261" w:rsidRPr="00A41261" w:rsidRDefault="00A41261" w:rsidP="00A41261">
      <w:pPr>
        <w:autoSpaceDE w:val="0"/>
        <w:autoSpaceDN w:val="0"/>
        <w:adjustRightInd w:val="0"/>
        <w:spacing w:line="360" w:lineRule="auto"/>
        <w:jc w:val="both"/>
        <w:rPr>
          <w:rFonts w:asciiTheme="majorBidi" w:hAnsiTheme="majorBidi" w:cstheme="majorBidi"/>
          <w:color w:val="000000"/>
          <w:kern w:val="0"/>
        </w:rPr>
      </w:pPr>
      <w:r w:rsidRPr="00A41261">
        <w:rPr>
          <w:rFonts w:asciiTheme="majorBidi" w:hAnsiTheme="majorBidi" w:cstheme="majorBidi"/>
          <w:color w:val="000000"/>
          <w:kern w:val="0"/>
        </w:rPr>
        <w:t xml:space="preserve">This architecture is justified by evidence that channel governance mechanisms improve performance but vary by country context, so Duolingo adapts governance intensity to institutional quality and market heterogeneity (Claro et al., 2025). Place, operationally, implies the availability of verification. Capstone scheduling has to operate on time </w:t>
      </w:r>
      <w:r w:rsidR="00372775" w:rsidRPr="00A41261">
        <w:rPr>
          <w:rFonts w:asciiTheme="majorBidi" w:hAnsiTheme="majorBidi" w:cstheme="majorBidi"/>
          <w:color w:val="000000"/>
          <w:kern w:val="0"/>
        </w:rPr>
        <w:t>zones;</w:t>
      </w:r>
      <w:r w:rsidRPr="00A41261">
        <w:rPr>
          <w:rFonts w:asciiTheme="majorBidi" w:hAnsiTheme="majorBidi" w:cstheme="majorBidi"/>
          <w:color w:val="000000"/>
          <w:kern w:val="0"/>
        </w:rPr>
        <w:t xml:space="preserve"> verification links should be tamper-free and cohort admins should be trained. Distribution also shapes brand meaning, so </w:t>
      </w:r>
      <w:r w:rsidRPr="00A41261">
        <w:rPr>
          <w:rFonts w:asciiTheme="majorBidi" w:hAnsiTheme="majorBidi" w:cstheme="majorBidi"/>
          <w:color w:val="000000"/>
          <w:kern w:val="0"/>
        </w:rPr>
        <w:lastRenderedPageBreak/>
        <w:t>Duolingo integrates verification into hiring workflows, for example, via ATS-friendly links and LinkedIn-ready credential artifacts, while keeping assessment rules centrally controlled, consistent with contemporary value-delivery and channel management principles (Grewal et al., 2025).</w:t>
      </w:r>
    </w:p>
    <w:p w14:paraId="7F107E75" w14:textId="77777777" w:rsidR="00A41261" w:rsidRPr="00A41261" w:rsidRDefault="00A41261" w:rsidP="00A41261">
      <w:pPr>
        <w:pStyle w:val="Heading2"/>
        <w:spacing w:line="360" w:lineRule="auto"/>
        <w:jc w:val="both"/>
        <w:rPr>
          <w:rFonts w:asciiTheme="majorBidi" w:hAnsiTheme="majorBidi"/>
          <w:szCs w:val="24"/>
        </w:rPr>
      </w:pPr>
      <w:bookmarkStart w:id="10" w:name="_Toc223535133"/>
      <w:r w:rsidRPr="00A41261">
        <w:rPr>
          <w:rFonts w:asciiTheme="majorBidi" w:hAnsiTheme="majorBidi"/>
          <w:szCs w:val="24"/>
        </w:rPr>
        <w:t>Promotion</w:t>
      </w:r>
      <w:bookmarkEnd w:id="10"/>
    </w:p>
    <w:p w14:paraId="36D04019" w14:textId="77777777" w:rsidR="00A41261" w:rsidRDefault="00A41261" w:rsidP="00A41261">
      <w:pPr>
        <w:autoSpaceDE w:val="0"/>
        <w:autoSpaceDN w:val="0"/>
        <w:adjustRightInd w:val="0"/>
        <w:spacing w:line="360" w:lineRule="auto"/>
        <w:jc w:val="both"/>
        <w:rPr>
          <w:rFonts w:asciiTheme="majorBidi" w:hAnsiTheme="majorBidi" w:cstheme="majorBidi"/>
          <w:color w:val="000000"/>
          <w:kern w:val="0"/>
        </w:rPr>
      </w:pPr>
      <w:r w:rsidRPr="00A41261">
        <w:rPr>
          <w:rFonts w:asciiTheme="majorBidi" w:hAnsiTheme="majorBidi" w:cstheme="majorBidi"/>
          <w:color w:val="000000"/>
          <w:kern w:val="0"/>
        </w:rPr>
        <w:t>Promotion is done after AIDA, and each level is linked with conversion and completion, rather than vanity reach. In Attention, creative shows a real stimulus of attention and the role performance that it trains. In the case of Interest, diagnostic completers are given material that explains what the four-week plan entails, practice cadence and the capstone format. In the case of Desire, messaging is replaced with evidence in the form of anonymised transcripts, verification disclosures and fairness provisions. In the case of Action, one-tap upgrades, bookable capstone slots, employer codes, and nudges in the process of onboarding are used to minimise friction. This indicates IMC planning applying hierarchy-of-effects logic wherein message goal, channel choice and measure are consistent throughout the funnel (Percy, 2023).</w:t>
      </w:r>
    </w:p>
    <w:p w14:paraId="6E37C0A4" w14:textId="77777777" w:rsidR="007C7346" w:rsidRDefault="007C7346" w:rsidP="007C7346">
      <w:pPr>
        <w:keepNext/>
        <w:autoSpaceDE w:val="0"/>
        <w:autoSpaceDN w:val="0"/>
        <w:adjustRightInd w:val="0"/>
        <w:spacing w:line="360" w:lineRule="auto"/>
        <w:jc w:val="center"/>
      </w:pPr>
      <w:r>
        <w:rPr>
          <w:rFonts w:asciiTheme="majorBidi" w:hAnsiTheme="majorBidi" w:cstheme="majorBidi"/>
          <w:noProof/>
          <w:color w:val="000000"/>
          <w:kern w:val="0"/>
        </w:rPr>
        <w:drawing>
          <wp:inline distT="0" distB="0" distL="0" distR="0" wp14:anchorId="095A1A50" wp14:editId="60B0339F">
            <wp:extent cx="4842329" cy="2366253"/>
            <wp:effectExtent l="12700" t="12700" r="9525" b="8890"/>
            <wp:docPr id="152289966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2899668" name="Picture 1522899668"/>
                    <pic:cNvPicPr/>
                  </pic:nvPicPr>
                  <pic:blipFill rotWithShape="1">
                    <a:blip r:embed="rId14" cstate="print">
                      <a:extLst>
                        <a:ext uri="{28A0092B-C50C-407E-A947-70E740481C1C}">
                          <a14:useLocalDpi xmlns:a14="http://schemas.microsoft.com/office/drawing/2010/main" val="0"/>
                        </a:ext>
                      </a:extLst>
                    </a:blip>
                    <a:srcRect t="5323"/>
                    <a:stretch>
                      <a:fillRect/>
                    </a:stretch>
                  </pic:blipFill>
                  <pic:spPr bwMode="auto">
                    <a:xfrm>
                      <a:off x="0" y="0"/>
                      <a:ext cx="4849021" cy="2369523"/>
                    </a:xfrm>
                    <a:prstGeom prst="rect">
                      <a:avLst/>
                    </a:prstGeom>
                    <a:ln>
                      <a:solidFill>
                        <a:srgbClr val="000000"/>
                      </a:solidFill>
                    </a:ln>
                    <a:extLst>
                      <a:ext uri="{53640926-AAD7-44D8-BBD7-CCE9431645EC}">
                        <a14:shadowObscured xmlns:a14="http://schemas.microsoft.com/office/drawing/2010/main"/>
                      </a:ext>
                    </a:extLst>
                  </pic:spPr>
                </pic:pic>
              </a:graphicData>
            </a:graphic>
          </wp:inline>
        </w:drawing>
      </w:r>
    </w:p>
    <w:p w14:paraId="6BE6514E" w14:textId="77777777" w:rsidR="007C7346" w:rsidRPr="007C7346" w:rsidRDefault="007C7346" w:rsidP="007C7346">
      <w:pPr>
        <w:pStyle w:val="Caption"/>
        <w:shd w:val="clear" w:color="auto" w:fill="FBE4D5" w:themeFill="accent2" w:themeFillTint="33"/>
        <w:jc w:val="center"/>
        <w:rPr>
          <w:rFonts w:asciiTheme="majorBidi" w:hAnsiTheme="majorBidi" w:cstheme="majorBidi"/>
          <w:b/>
          <w:bCs/>
          <w:color w:val="000000"/>
          <w:kern w:val="0"/>
        </w:rPr>
      </w:pPr>
      <w:r w:rsidRPr="007C7346">
        <w:rPr>
          <w:b/>
          <w:bCs/>
        </w:rPr>
        <w:t xml:space="preserve">Figure </w:t>
      </w:r>
      <w:r w:rsidRPr="007C7346">
        <w:rPr>
          <w:b/>
          <w:bCs/>
        </w:rPr>
        <w:fldChar w:fldCharType="begin"/>
      </w:r>
      <w:r w:rsidRPr="007C7346">
        <w:rPr>
          <w:b/>
          <w:bCs/>
        </w:rPr>
        <w:instrText xml:space="preserve"> SEQ Figure \* ARABIC </w:instrText>
      </w:r>
      <w:r w:rsidRPr="007C7346">
        <w:rPr>
          <w:b/>
          <w:bCs/>
        </w:rPr>
        <w:fldChar w:fldCharType="separate"/>
      </w:r>
      <w:r w:rsidRPr="007C7346">
        <w:rPr>
          <w:b/>
          <w:bCs/>
          <w:noProof/>
        </w:rPr>
        <w:t>7</w:t>
      </w:r>
      <w:r w:rsidRPr="007C7346">
        <w:rPr>
          <w:b/>
          <w:bCs/>
        </w:rPr>
        <w:fldChar w:fldCharType="end"/>
      </w:r>
      <w:r w:rsidRPr="007C7346">
        <w:rPr>
          <w:b/>
          <w:bCs/>
        </w:rPr>
        <w:t>: Promotional strategy (Author, 2026).</w:t>
      </w:r>
    </w:p>
    <w:p w14:paraId="7DCA15BE" w14:textId="77777777" w:rsidR="00A41261" w:rsidRPr="00A41261" w:rsidRDefault="00A41261" w:rsidP="00A41261">
      <w:pPr>
        <w:autoSpaceDE w:val="0"/>
        <w:autoSpaceDN w:val="0"/>
        <w:adjustRightInd w:val="0"/>
        <w:spacing w:line="360" w:lineRule="auto"/>
        <w:jc w:val="both"/>
        <w:rPr>
          <w:rFonts w:asciiTheme="majorBidi" w:hAnsiTheme="majorBidi" w:cstheme="majorBidi"/>
          <w:color w:val="000000"/>
          <w:kern w:val="0"/>
        </w:rPr>
      </w:pPr>
      <w:r w:rsidRPr="00A41261">
        <w:rPr>
          <w:rFonts w:asciiTheme="majorBidi" w:hAnsiTheme="majorBidi" w:cstheme="majorBidi"/>
          <w:color w:val="000000"/>
          <w:kern w:val="0"/>
        </w:rPr>
        <w:t xml:space="preserve">Digital execution prioritises credibility without abandoning Duolingo’s tone. The touchpoint of message design is attuned, as according to meta-analytic data, attitudes toward digital ads are conditioned by informativeness, entertainment, irritation, and credibility, and effects of these impact search, email, social, and websites differently (Lütjens et al., 2022). Measurement targets strategy-related KPIs: diagnostic-to-paid conversion, completion of credentials, share rate of verification, cohort re-employer, and reduction of time to readiness in partner pilots. These KPIs </w:t>
      </w:r>
      <w:r w:rsidRPr="00A41261">
        <w:rPr>
          <w:rFonts w:asciiTheme="majorBidi" w:hAnsiTheme="majorBidi" w:cstheme="majorBidi"/>
          <w:color w:val="000000"/>
          <w:kern w:val="0"/>
        </w:rPr>
        <w:lastRenderedPageBreak/>
        <w:t>are linked to weekly reporting and creative testing, where promotion is the direct driver of the growth logic of the brand extension.</w:t>
      </w:r>
    </w:p>
    <w:p w14:paraId="4CB11654" w14:textId="77777777" w:rsidR="00A41261" w:rsidRPr="00A41261" w:rsidRDefault="00A41261" w:rsidP="00A41261">
      <w:pPr>
        <w:pStyle w:val="Heading1"/>
        <w:spacing w:line="360" w:lineRule="auto"/>
        <w:jc w:val="both"/>
        <w:rPr>
          <w:rFonts w:asciiTheme="majorBidi" w:hAnsiTheme="majorBidi"/>
          <w:szCs w:val="24"/>
        </w:rPr>
      </w:pPr>
      <w:bookmarkStart w:id="11" w:name="_Toc223535134"/>
      <w:r w:rsidRPr="00A41261">
        <w:rPr>
          <w:rFonts w:asciiTheme="majorBidi" w:hAnsiTheme="majorBidi"/>
          <w:szCs w:val="24"/>
        </w:rPr>
        <w:t>Element 4: Reflection</w:t>
      </w:r>
      <w:bookmarkEnd w:id="11"/>
    </w:p>
    <w:p w14:paraId="40B27B8B" w14:textId="77777777" w:rsidR="00A41261" w:rsidRPr="00A41261" w:rsidRDefault="00A41261" w:rsidP="00A41261">
      <w:pPr>
        <w:autoSpaceDE w:val="0"/>
        <w:autoSpaceDN w:val="0"/>
        <w:adjustRightInd w:val="0"/>
        <w:spacing w:line="360" w:lineRule="auto"/>
        <w:jc w:val="both"/>
        <w:rPr>
          <w:rFonts w:asciiTheme="majorBidi" w:hAnsiTheme="majorBidi" w:cstheme="majorBidi"/>
          <w:color w:val="000000"/>
          <w:kern w:val="0"/>
        </w:rPr>
      </w:pPr>
      <w:r w:rsidRPr="00A41261">
        <w:rPr>
          <w:rFonts w:asciiTheme="majorBidi" w:hAnsiTheme="majorBidi" w:cstheme="majorBidi"/>
          <w:color w:val="000000"/>
          <w:kern w:val="0"/>
        </w:rPr>
        <w:t>This reflection is structured by applying Kolb’s reflective cycle.</w:t>
      </w:r>
    </w:p>
    <w:p w14:paraId="1A3A53F9" w14:textId="77777777" w:rsidR="00A41261" w:rsidRPr="00A41261" w:rsidRDefault="00A41261" w:rsidP="00A41261">
      <w:pPr>
        <w:pStyle w:val="Heading2"/>
        <w:spacing w:line="360" w:lineRule="auto"/>
        <w:jc w:val="both"/>
        <w:rPr>
          <w:rFonts w:asciiTheme="majorBidi" w:hAnsiTheme="majorBidi"/>
          <w:szCs w:val="24"/>
        </w:rPr>
      </w:pPr>
      <w:bookmarkStart w:id="12" w:name="_Toc223535135"/>
      <w:r w:rsidRPr="00A41261">
        <w:rPr>
          <w:rFonts w:asciiTheme="majorBidi" w:hAnsiTheme="majorBidi"/>
          <w:szCs w:val="24"/>
        </w:rPr>
        <w:t>Concrete Experience</w:t>
      </w:r>
      <w:bookmarkEnd w:id="12"/>
    </w:p>
    <w:p w14:paraId="4AB42E14" w14:textId="77777777" w:rsidR="00A41261" w:rsidRPr="00A41261" w:rsidRDefault="00A41261" w:rsidP="007C7346">
      <w:pPr>
        <w:autoSpaceDE w:val="0"/>
        <w:autoSpaceDN w:val="0"/>
        <w:adjustRightInd w:val="0"/>
        <w:spacing w:line="360" w:lineRule="auto"/>
        <w:jc w:val="both"/>
        <w:rPr>
          <w:rFonts w:asciiTheme="majorBidi" w:hAnsiTheme="majorBidi" w:cstheme="majorBidi"/>
          <w:color w:val="000000"/>
          <w:kern w:val="0"/>
        </w:rPr>
      </w:pPr>
      <w:r w:rsidRPr="00A41261">
        <w:rPr>
          <w:rFonts w:asciiTheme="majorBidi" w:hAnsiTheme="majorBidi" w:cstheme="majorBidi"/>
          <w:color w:val="000000"/>
          <w:kern w:val="0"/>
        </w:rPr>
        <w:t>I developed Duolingo Career English Micro-Credentials as a brand extension that converts Duolingo’s engagement strength into a verified employability signal. My actual experience consisted of a shift in my general conception of career English into a narrower offering of role packs, proctored capstones, and employer-readable transcripts. The hardest part was knowing what to include and what to omit to ensure that the extension remained credible. I faced a practical challenge balancing Duolingo’s playful tone with the seriousness of verification. I resolved this by dividing the experience into two: motivational learning within the app, and a professional assessment interface at the point of verification, in such a way that the brand remained the same but indicated trust. In creating the poster, my tangible experience involves interpreting a very complicated strategy into a one-page story readable by an academic audience and presented/justified in less than several minutes.</w:t>
      </w:r>
    </w:p>
    <w:p w14:paraId="7D589F10" w14:textId="77777777" w:rsidR="00A41261" w:rsidRPr="00A41261" w:rsidRDefault="00A41261" w:rsidP="00A41261">
      <w:pPr>
        <w:pStyle w:val="Heading2"/>
        <w:spacing w:line="360" w:lineRule="auto"/>
        <w:jc w:val="both"/>
        <w:rPr>
          <w:rFonts w:asciiTheme="majorBidi" w:hAnsiTheme="majorBidi"/>
          <w:szCs w:val="24"/>
        </w:rPr>
      </w:pPr>
      <w:bookmarkStart w:id="13" w:name="_Toc223535136"/>
      <w:r w:rsidRPr="00A41261">
        <w:rPr>
          <w:rFonts w:asciiTheme="majorBidi" w:hAnsiTheme="majorBidi"/>
          <w:szCs w:val="24"/>
        </w:rPr>
        <w:t>Reflective Observation</w:t>
      </w:r>
      <w:bookmarkEnd w:id="13"/>
    </w:p>
    <w:p w14:paraId="4BDB14EF" w14:textId="77777777" w:rsidR="00A41261" w:rsidRPr="00A41261" w:rsidRDefault="00A41261" w:rsidP="007C7346">
      <w:pPr>
        <w:autoSpaceDE w:val="0"/>
        <w:autoSpaceDN w:val="0"/>
        <w:adjustRightInd w:val="0"/>
        <w:spacing w:line="360" w:lineRule="auto"/>
        <w:jc w:val="both"/>
        <w:rPr>
          <w:rFonts w:asciiTheme="majorBidi" w:hAnsiTheme="majorBidi" w:cstheme="majorBidi"/>
          <w:color w:val="000000"/>
          <w:kern w:val="0"/>
        </w:rPr>
      </w:pPr>
      <w:r w:rsidRPr="00A41261">
        <w:rPr>
          <w:rFonts w:asciiTheme="majorBidi" w:hAnsiTheme="majorBidi" w:cstheme="majorBidi"/>
          <w:color w:val="000000"/>
          <w:kern w:val="0"/>
        </w:rPr>
        <w:t>In retrospect, I learned that my first drafts were highly feature-based rather than outcome-based, and this diluted the investment case. I also noticed that I was not really appreciating the extent to which channel design and governance are relevant when a credential engages employers. Another area of my gap was revealed when I practiced my poster: I had no issues explaining the frameworks, but I was not clear about how each decision minimised risk or increased adoption. One of the issues relating to the delivery was dealing with short and high-pressure questions, including Why would employers trust this? And how is this any different from the available tests? I conquered this by applying a coherent response scheme: proof mechanism, differentiation and measurable KPI, which enabled me to respond in the affirmative without contributing unsubstantiated assertions.</w:t>
      </w:r>
    </w:p>
    <w:p w14:paraId="2EBEF2DC" w14:textId="77777777" w:rsidR="00A41261" w:rsidRPr="00A41261" w:rsidRDefault="00A41261" w:rsidP="00A41261">
      <w:pPr>
        <w:pStyle w:val="Heading2"/>
        <w:spacing w:line="360" w:lineRule="auto"/>
        <w:jc w:val="both"/>
        <w:rPr>
          <w:rFonts w:asciiTheme="majorBidi" w:hAnsiTheme="majorBidi"/>
          <w:szCs w:val="24"/>
        </w:rPr>
      </w:pPr>
      <w:bookmarkStart w:id="14" w:name="_Toc223535137"/>
      <w:r w:rsidRPr="00A41261">
        <w:rPr>
          <w:rFonts w:asciiTheme="majorBidi" w:hAnsiTheme="majorBidi"/>
          <w:szCs w:val="24"/>
        </w:rPr>
        <w:lastRenderedPageBreak/>
        <w:t>Abstract Conceptualisation</w:t>
      </w:r>
      <w:bookmarkEnd w:id="14"/>
    </w:p>
    <w:p w14:paraId="6E77BA2F" w14:textId="77777777" w:rsidR="00A41261" w:rsidRPr="00A41261" w:rsidRDefault="00A41261" w:rsidP="00A41261">
      <w:pPr>
        <w:autoSpaceDE w:val="0"/>
        <w:autoSpaceDN w:val="0"/>
        <w:adjustRightInd w:val="0"/>
        <w:spacing w:line="360" w:lineRule="auto"/>
        <w:jc w:val="both"/>
        <w:rPr>
          <w:rFonts w:asciiTheme="majorBidi" w:hAnsiTheme="majorBidi" w:cstheme="majorBidi"/>
          <w:color w:val="000000"/>
          <w:kern w:val="0"/>
        </w:rPr>
      </w:pPr>
      <w:r w:rsidRPr="00A41261">
        <w:rPr>
          <w:rFonts w:asciiTheme="majorBidi" w:hAnsiTheme="majorBidi" w:cstheme="majorBidi"/>
          <w:color w:val="000000"/>
          <w:kern w:val="0"/>
        </w:rPr>
        <w:t>I have also acquired an insight that a successful brand extension is based on fit, defensibility, and quantifiable value creation rather than relevancy. I got to know how to use strategy tools as a system and not a label. I prioritised areas in which English performance is visible and rewarded using STDP. As product levels by Kotler would indicate, I explained that it is the augmented layer or in particular the verification and reporting, which generates investor-grade value. I took controlled rollout and calibration as the way to safeguard trust using PLC thinking. To promote it, I studied how to operationalise AIDA as behaviours, and transit between attention and action through diagnostics, proof assets, and reduction of friction. I also acquired practical knowledge of stakeholder communication: an investor requires scalability and logic of unit economics, whereas an educator requires fairness and integrity of learning; hence, my story had to have both.</w:t>
      </w:r>
    </w:p>
    <w:p w14:paraId="022E9C3B" w14:textId="77777777" w:rsidR="00A41261" w:rsidRPr="00A41261" w:rsidRDefault="00A41261" w:rsidP="00A41261">
      <w:pPr>
        <w:pStyle w:val="Heading2"/>
        <w:spacing w:line="360" w:lineRule="auto"/>
        <w:jc w:val="both"/>
        <w:rPr>
          <w:rFonts w:asciiTheme="majorBidi" w:hAnsiTheme="majorBidi"/>
          <w:szCs w:val="24"/>
        </w:rPr>
      </w:pPr>
      <w:bookmarkStart w:id="15" w:name="_Toc223535138"/>
      <w:r w:rsidRPr="00A41261">
        <w:rPr>
          <w:rFonts w:asciiTheme="majorBidi" w:hAnsiTheme="majorBidi"/>
          <w:szCs w:val="24"/>
        </w:rPr>
        <w:t>Active Experimentation</w:t>
      </w:r>
      <w:bookmarkEnd w:id="15"/>
    </w:p>
    <w:p w14:paraId="512C4059" w14:textId="77777777" w:rsidR="00A41261" w:rsidRPr="00A41261" w:rsidRDefault="00A41261" w:rsidP="00A41261">
      <w:pPr>
        <w:autoSpaceDE w:val="0"/>
        <w:autoSpaceDN w:val="0"/>
        <w:adjustRightInd w:val="0"/>
        <w:spacing w:line="360" w:lineRule="auto"/>
        <w:jc w:val="both"/>
        <w:rPr>
          <w:rFonts w:asciiTheme="majorBidi" w:hAnsiTheme="majorBidi" w:cstheme="majorBidi"/>
          <w:color w:val="000000"/>
          <w:kern w:val="0"/>
        </w:rPr>
      </w:pPr>
      <w:r w:rsidRPr="00A41261">
        <w:rPr>
          <w:rFonts w:asciiTheme="majorBidi" w:hAnsiTheme="majorBidi" w:cstheme="majorBidi"/>
          <w:color w:val="000000"/>
          <w:kern w:val="0"/>
        </w:rPr>
        <w:t>To improve my strategy in future projects, I will confirm the assumptions made in the initial stages through primary research, such as short interviews with recruiters, BPO trainers, and job seekers, and by conducting simple concept tests to compare the willingness to pay based on learning only versus verified proof. I would also enhance my results through developing a more compact measurement plan to finalise the marketing mix, targets, and diagnostics to paid conversion, credential completion and verification of share rate and employer renewal. In poster delivery, I will practice using time-based repetitions and get ready for an organised question and answer bank, with justifiable responses on trust, privacy, and competitive edge. Overall, this experience made me stronger in terms of my professional abilities to conduct strategic analysis, persuade using evidence, and explain sophisticated decisions and make them understandable, and it has made me more confident in my ability to create brand growth strategies that are not only creative and compelling but also operationally sound.</w:t>
      </w:r>
    </w:p>
    <w:p w14:paraId="29AD8A06" w14:textId="77777777" w:rsidR="00A41261" w:rsidRPr="00A41261" w:rsidRDefault="00A41261" w:rsidP="00A41261">
      <w:pPr>
        <w:autoSpaceDE w:val="0"/>
        <w:autoSpaceDN w:val="0"/>
        <w:adjustRightInd w:val="0"/>
        <w:spacing w:after="240" w:line="360" w:lineRule="auto"/>
        <w:jc w:val="both"/>
        <w:rPr>
          <w:rFonts w:asciiTheme="majorBidi" w:hAnsiTheme="majorBidi" w:cstheme="majorBidi"/>
          <w:color w:val="000000"/>
          <w:kern w:val="0"/>
        </w:rPr>
      </w:pPr>
    </w:p>
    <w:p w14:paraId="0194E40C" w14:textId="77777777" w:rsidR="00A41261" w:rsidRPr="00A41261" w:rsidRDefault="00A41261" w:rsidP="00A41261">
      <w:pPr>
        <w:autoSpaceDE w:val="0"/>
        <w:autoSpaceDN w:val="0"/>
        <w:adjustRightInd w:val="0"/>
        <w:spacing w:after="240" w:line="360" w:lineRule="auto"/>
        <w:jc w:val="both"/>
        <w:rPr>
          <w:rFonts w:asciiTheme="majorBidi" w:hAnsiTheme="majorBidi" w:cstheme="majorBidi"/>
          <w:color w:val="000000"/>
          <w:kern w:val="0"/>
        </w:rPr>
      </w:pPr>
    </w:p>
    <w:p w14:paraId="47FD47FF" w14:textId="77777777" w:rsidR="00A41261" w:rsidRPr="00A41261" w:rsidRDefault="00A41261" w:rsidP="00A41261">
      <w:pPr>
        <w:pStyle w:val="Heading2"/>
        <w:spacing w:line="360" w:lineRule="auto"/>
        <w:jc w:val="both"/>
        <w:rPr>
          <w:rFonts w:asciiTheme="majorBidi" w:hAnsiTheme="majorBidi"/>
          <w:szCs w:val="24"/>
        </w:rPr>
      </w:pPr>
      <w:bookmarkStart w:id="16" w:name="_Toc223535139"/>
      <w:r w:rsidRPr="00A41261">
        <w:rPr>
          <w:rFonts w:asciiTheme="majorBidi" w:hAnsiTheme="majorBidi"/>
          <w:szCs w:val="24"/>
        </w:rPr>
        <w:lastRenderedPageBreak/>
        <w:t>References</w:t>
      </w:r>
      <w:bookmarkEnd w:id="16"/>
    </w:p>
    <w:p w14:paraId="5ABFDED9" w14:textId="77777777" w:rsidR="00A41261" w:rsidRPr="00A41261" w:rsidRDefault="00A41261" w:rsidP="007C7346">
      <w:pPr>
        <w:autoSpaceDE w:val="0"/>
        <w:autoSpaceDN w:val="0"/>
        <w:adjustRightInd w:val="0"/>
        <w:spacing w:after="240" w:line="360" w:lineRule="auto"/>
        <w:ind w:left="540" w:hanging="540"/>
        <w:jc w:val="both"/>
        <w:rPr>
          <w:rFonts w:asciiTheme="majorBidi" w:hAnsiTheme="majorBidi" w:cstheme="majorBidi"/>
          <w:color w:val="000000"/>
          <w:kern w:val="0"/>
        </w:rPr>
      </w:pPr>
      <w:r w:rsidRPr="00A41261">
        <w:rPr>
          <w:rFonts w:asciiTheme="majorBidi" w:hAnsiTheme="majorBidi" w:cstheme="majorBidi"/>
          <w:color w:val="000000"/>
          <w:kern w:val="0"/>
        </w:rPr>
        <w:t>Biraglia, A., Bowen, K. T., Gerrath, M. H., and Musarra, G. (2022). How need for closure and deal proneness shape consumers’ freemium versus premium price choices. </w:t>
      </w:r>
      <w:r w:rsidRPr="00A41261">
        <w:rPr>
          <w:rFonts w:asciiTheme="majorBidi" w:hAnsiTheme="majorBidi" w:cstheme="majorBidi"/>
          <w:i/>
          <w:iCs/>
          <w:color w:val="000000"/>
          <w:kern w:val="0"/>
        </w:rPr>
        <w:t>Journal of Business Research</w:t>
      </w:r>
      <w:r w:rsidRPr="00A41261">
        <w:rPr>
          <w:rFonts w:asciiTheme="majorBidi" w:hAnsiTheme="majorBidi" w:cstheme="majorBidi"/>
          <w:color w:val="000000"/>
          <w:kern w:val="0"/>
        </w:rPr>
        <w:t>, </w:t>
      </w:r>
      <w:r w:rsidRPr="00A41261">
        <w:rPr>
          <w:rFonts w:asciiTheme="majorBidi" w:hAnsiTheme="majorBidi" w:cstheme="majorBidi"/>
          <w:i/>
          <w:iCs/>
          <w:color w:val="000000"/>
          <w:kern w:val="0"/>
        </w:rPr>
        <w:t>143</w:t>
      </w:r>
      <w:r w:rsidRPr="00A41261">
        <w:rPr>
          <w:rFonts w:asciiTheme="majorBidi" w:hAnsiTheme="majorBidi" w:cstheme="majorBidi"/>
          <w:color w:val="000000"/>
          <w:kern w:val="0"/>
        </w:rPr>
        <w:t>, 157-170.</w:t>
      </w:r>
    </w:p>
    <w:p w14:paraId="0DD50EA4" w14:textId="77777777" w:rsidR="00A41261" w:rsidRPr="00A41261" w:rsidRDefault="00A41261" w:rsidP="007C7346">
      <w:pPr>
        <w:autoSpaceDE w:val="0"/>
        <w:autoSpaceDN w:val="0"/>
        <w:adjustRightInd w:val="0"/>
        <w:spacing w:after="240" w:line="360" w:lineRule="auto"/>
        <w:ind w:left="540" w:hanging="540"/>
        <w:jc w:val="both"/>
        <w:rPr>
          <w:rFonts w:asciiTheme="majorBidi" w:hAnsiTheme="majorBidi" w:cstheme="majorBidi"/>
          <w:color w:val="000000"/>
          <w:kern w:val="0"/>
        </w:rPr>
      </w:pPr>
      <w:r w:rsidRPr="00A41261">
        <w:rPr>
          <w:rFonts w:asciiTheme="majorBidi" w:hAnsiTheme="majorBidi" w:cstheme="majorBidi"/>
          <w:color w:val="000000"/>
          <w:kern w:val="0"/>
        </w:rPr>
        <w:t xml:space="preserve">Cambridge University Press and Assessment (2026) ‘Linguaskill Business: The fast and online certificated Business English exam’. Available at: </w:t>
      </w:r>
      <w:hyperlink r:id="rId15" w:history="1">
        <w:r w:rsidRPr="00A41261">
          <w:rPr>
            <w:rFonts w:asciiTheme="majorBidi" w:hAnsiTheme="majorBidi" w:cstheme="majorBidi"/>
            <w:color w:val="000000"/>
            <w:kern w:val="0"/>
            <w:u w:val="single"/>
          </w:rPr>
          <w:t>https://www.cambridgeenglish.org/exams-and-tests/linguaskill/information-about-the-exam/linguaskill-business/</w:t>
        </w:r>
      </w:hyperlink>
      <w:r w:rsidRPr="00A41261">
        <w:rPr>
          <w:rFonts w:asciiTheme="majorBidi" w:hAnsiTheme="majorBidi" w:cstheme="majorBidi"/>
          <w:color w:val="000000"/>
          <w:kern w:val="0"/>
        </w:rPr>
        <w:t xml:space="preserve"> (Accessed: 26 February 2026).</w:t>
      </w:r>
    </w:p>
    <w:p w14:paraId="419F5AF5" w14:textId="77777777" w:rsidR="00A41261" w:rsidRPr="00A41261" w:rsidRDefault="00A41261" w:rsidP="007C7346">
      <w:pPr>
        <w:autoSpaceDE w:val="0"/>
        <w:autoSpaceDN w:val="0"/>
        <w:adjustRightInd w:val="0"/>
        <w:spacing w:after="240" w:line="360" w:lineRule="auto"/>
        <w:ind w:left="540" w:hanging="540"/>
        <w:jc w:val="both"/>
        <w:rPr>
          <w:rFonts w:asciiTheme="majorBidi" w:hAnsiTheme="majorBidi" w:cstheme="majorBidi"/>
          <w:color w:val="000000"/>
          <w:kern w:val="0"/>
        </w:rPr>
      </w:pPr>
      <w:r w:rsidRPr="00A41261">
        <w:rPr>
          <w:rFonts w:asciiTheme="majorBidi" w:hAnsiTheme="majorBidi" w:cstheme="majorBidi"/>
          <w:color w:val="000000"/>
          <w:kern w:val="0"/>
        </w:rPr>
        <w:t>Claro, D. P., Xue, J., Hong, A., Palmatier, R. W., and Wang, Y. (2025). Channel governance effectiveness and country contingencies: a meta-analysis. </w:t>
      </w:r>
      <w:r w:rsidRPr="00A41261">
        <w:rPr>
          <w:rFonts w:asciiTheme="majorBidi" w:hAnsiTheme="majorBidi" w:cstheme="majorBidi"/>
          <w:i/>
          <w:iCs/>
          <w:color w:val="000000"/>
          <w:kern w:val="0"/>
        </w:rPr>
        <w:t>Journal of the Academy of Marketing Science</w:t>
      </w:r>
      <w:r w:rsidRPr="00A41261">
        <w:rPr>
          <w:rFonts w:asciiTheme="majorBidi" w:hAnsiTheme="majorBidi" w:cstheme="majorBidi"/>
          <w:color w:val="000000"/>
          <w:kern w:val="0"/>
        </w:rPr>
        <w:t>, 1-24.</w:t>
      </w:r>
    </w:p>
    <w:p w14:paraId="19713762" w14:textId="77777777" w:rsidR="00A41261" w:rsidRPr="00A41261" w:rsidRDefault="00A41261" w:rsidP="007C7346">
      <w:pPr>
        <w:autoSpaceDE w:val="0"/>
        <w:autoSpaceDN w:val="0"/>
        <w:adjustRightInd w:val="0"/>
        <w:spacing w:after="240" w:line="360" w:lineRule="auto"/>
        <w:ind w:left="540" w:hanging="540"/>
        <w:jc w:val="both"/>
        <w:rPr>
          <w:rFonts w:asciiTheme="majorBidi" w:hAnsiTheme="majorBidi" w:cstheme="majorBidi"/>
          <w:color w:val="000000"/>
          <w:kern w:val="0"/>
        </w:rPr>
      </w:pPr>
      <w:r w:rsidRPr="00A41261">
        <w:rPr>
          <w:rFonts w:asciiTheme="majorBidi" w:hAnsiTheme="majorBidi" w:cstheme="majorBidi"/>
          <w:color w:val="000000"/>
          <w:kern w:val="0"/>
        </w:rPr>
        <w:t xml:space="preserve">Council of the European Union (2022) ‘Council Recommendation of 16 June 2022 on a European approach to micro-credentials for lifelong learning and employability (2022/C 243/02)’. Available at: </w:t>
      </w:r>
      <w:hyperlink r:id="rId16" w:history="1">
        <w:r w:rsidRPr="00A41261">
          <w:rPr>
            <w:rFonts w:asciiTheme="majorBidi" w:hAnsiTheme="majorBidi" w:cstheme="majorBidi"/>
            <w:color w:val="000000"/>
            <w:kern w:val="0"/>
            <w:u w:val="single"/>
          </w:rPr>
          <w:t>https://eur-lex.europa.eu/legal-content/EN/TXT/?uri=oj%3AJOC_2022_243_R_0002</w:t>
        </w:r>
      </w:hyperlink>
      <w:r w:rsidRPr="00A41261">
        <w:rPr>
          <w:rFonts w:asciiTheme="majorBidi" w:hAnsiTheme="majorBidi" w:cstheme="majorBidi"/>
          <w:color w:val="000000"/>
          <w:kern w:val="0"/>
        </w:rPr>
        <w:t xml:space="preserve">  (Accessed: 26 February 2026).</w:t>
      </w:r>
    </w:p>
    <w:p w14:paraId="27665DEE" w14:textId="77777777" w:rsidR="00A41261" w:rsidRPr="00A41261" w:rsidRDefault="00A41261" w:rsidP="007C7346">
      <w:pPr>
        <w:autoSpaceDE w:val="0"/>
        <w:autoSpaceDN w:val="0"/>
        <w:adjustRightInd w:val="0"/>
        <w:spacing w:after="240" w:line="360" w:lineRule="auto"/>
        <w:ind w:left="540" w:hanging="540"/>
        <w:jc w:val="both"/>
        <w:rPr>
          <w:rFonts w:asciiTheme="majorBidi" w:hAnsiTheme="majorBidi" w:cstheme="majorBidi"/>
          <w:color w:val="0000E9"/>
          <w:kern w:val="0"/>
          <w:u w:val="single" w:color="0000E9"/>
        </w:rPr>
      </w:pPr>
      <w:r w:rsidRPr="00A41261">
        <w:rPr>
          <w:rFonts w:asciiTheme="majorBidi" w:hAnsiTheme="majorBidi" w:cstheme="majorBidi"/>
          <w:color w:val="000000"/>
          <w:kern w:val="0"/>
        </w:rPr>
        <w:t xml:space="preserve">Coursera (2024) </w:t>
      </w:r>
      <w:r w:rsidRPr="00A41261">
        <w:rPr>
          <w:rFonts w:asciiTheme="majorBidi" w:hAnsiTheme="majorBidi" w:cstheme="majorBidi"/>
          <w:i/>
          <w:iCs/>
          <w:color w:val="000000"/>
          <w:kern w:val="0"/>
        </w:rPr>
        <w:t>Micro-Credentials Impact Report 2024</w:t>
      </w:r>
      <w:r w:rsidRPr="00A41261">
        <w:rPr>
          <w:rFonts w:asciiTheme="majorBidi" w:hAnsiTheme="majorBidi" w:cstheme="majorBidi"/>
          <w:color w:val="000000"/>
          <w:kern w:val="0"/>
        </w:rPr>
        <w:t xml:space="preserve">. Available at: </w:t>
      </w:r>
      <w:hyperlink r:id="rId17" w:history="1">
        <w:r w:rsidRPr="00A41261">
          <w:rPr>
            <w:rFonts w:asciiTheme="majorBidi" w:hAnsiTheme="majorBidi" w:cstheme="majorBidi"/>
            <w:color w:val="0000E9"/>
            <w:kern w:val="0"/>
            <w:u w:val="single" w:color="0000E9"/>
          </w:rPr>
          <w:t>https://assets.ctfassets.net/2pudprfttvy6/6kCSgjxcL69gh4ziZnlBhr/ff912d112d1afbdf705a893b6e9f99ea/Micro-Credentials_Impact_Report_2024.pdf</w:t>
        </w:r>
      </w:hyperlink>
      <w:r w:rsidRPr="00A41261">
        <w:rPr>
          <w:rFonts w:asciiTheme="majorBidi" w:hAnsiTheme="majorBidi" w:cstheme="majorBidi"/>
          <w:color w:val="000000"/>
          <w:kern w:val="0"/>
        </w:rPr>
        <w:t xml:space="preserve">  (Accessed: 26 February 2026).</w:t>
      </w:r>
    </w:p>
    <w:p w14:paraId="1D2E3733" w14:textId="77777777" w:rsidR="00A41261" w:rsidRPr="00A41261" w:rsidRDefault="00A41261" w:rsidP="007C734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A41261">
        <w:rPr>
          <w:rFonts w:asciiTheme="majorBidi" w:hAnsiTheme="majorBidi" w:cstheme="majorBidi"/>
          <w:color w:val="000000"/>
          <w:kern w:val="0"/>
          <w:u w:color="0000E9"/>
        </w:rPr>
        <w:t>Cui, X., and Jin, F. (2023). Unraveling mobile internet behavior through customer segmentation: a latent class analysis. </w:t>
      </w:r>
      <w:r w:rsidRPr="00A41261">
        <w:rPr>
          <w:rFonts w:asciiTheme="majorBidi" w:hAnsiTheme="majorBidi" w:cstheme="majorBidi"/>
          <w:i/>
          <w:iCs/>
          <w:color w:val="000000"/>
          <w:kern w:val="0"/>
          <w:u w:color="0000E9"/>
        </w:rPr>
        <w:t>Electronic Commerce Research</w:t>
      </w:r>
      <w:r w:rsidRPr="00A41261">
        <w:rPr>
          <w:rFonts w:asciiTheme="majorBidi" w:hAnsiTheme="majorBidi" w:cstheme="majorBidi"/>
          <w:color w:val="000000"/>
          <w:kern w:val="0"/>
          <w:u w:color="0000E9"/>
        </w:rPr>
        <w:t>, </w:t>
      </w:r>
      <w:r w:rsidRPr="00A41261">
        <w:rPr>
          <w:rFonts w:asciiTheme="majorBidi" w:hAnsiTheme="majorBidi" w:cstheme="majorBidi"/>
          <w:i/>
          <w:iCs/>
          <w:color w:val="000000"/>
          <w:kern w:val="0"/>
          <w:u w:color="0000E9"/>
        </w:rPr>
        <w:t>23</w:t>
      </w:r>
      <w:r w:rsidRPr="00A41261">
        <w:rPr>
          <w:rFonts w:asciiTheme="majorBidi" w:hAnsiTheme="majorBidi" w:cstheme="majorBidi"/>
          <w:color w:val="000000"/>
          <w:kern w:val="0"/>
          <w:u w:color="0000E9"/>
        </w:rPr>
        <w:t>(4), 2379-2398.</w:t>
      </w:r>
    </w:p>
    <w:p w14:paraId="11085ACC" w14:textId="77777777" w:rsidR="00A41261" w:rsidRPr="00A41261" w:rsidRDefault="00A41261" w:rsidP="007C734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A41261">
        <w:rPr>
          <w:rFonts w:asciiTheme="majorBidi" w:hAnsiTheme="majorBidi" w:cstheme="majorBidi"/>
          <w:color w:val="000000"/>
          <w:kern w:val="0"/>
          <w:u w:color="0000E9"/>
        </w:rPr>
        <w:t>Du, J., and Daniel, B. K. (2024). Transforming language education: A systematic review of AI-powered chatbots for English as a foreign language speaking practice. </w:t>
      </w:r>
      <w:r w:rsidRPr="00A41261">
        <w:rPr>
          <w:rFonts w:asciiTheme="majorBidi" w:hAnsiTheme="majorBidi" w:cstheme="majorBidi"/>
          <w:i/>
          <w:iCs/>
          <w:color w:val="000000"/>
          <w:kern w:val="0"/>
          <w:u w:color="0000E9"/>
        </w:rPr>
        <w:t>Computers and Education: Artificial Intelligence</w:t>
      </w:r>
      <w:r w:rsidRPr="00A41261">
        <w:rPr>
          <w:rFonts w:asciiTheme="majorBidi" w:hAnsiTheme="majorBidi" w:cstheme="majorBidi"/>
          <w:color w:val="000000"/>
          <w:kern w:val="0"/>
          <w:u w:color="0000E9"/>
        </w:rPr>
        <w:t>, </w:t>
      </w:r>
      <w:r w:rsidRPr="00A41261">
        <w:rPr>
          <w:rFonts w:asciiTheme="majorBidi" w:hAnsiTheme="majorBidi" w:cstheme="majorBidi"/>
          <w:i/>
          <w:iCs/>
          <w:color w:val="000000"/>
          <w:kern w:val="0"/>
          <w:u w:color="0000E9"/>
        </w:rPr>
        <w:t>6</w:t>
      </w:r>
      <w:r w:rsidRPr="00A41261">
        <w:rPr>
          <w:rFonts w:asciiTheme="majorBidi" w:hAnsiTheme="majorBidi" w:cstheme="majorBidi"/>
          <w:color w:val="000000"/>
          <w:kern w:val="0"/>
          <w:u w:color="0000E9"/>
        </w:rPr>
        <w:t>, 100230.</w:t>
      </w:r>
    </w:p>
    <w:p w14:paraId="08901197" w14:textId="77777777" w:rsidR="00A41261" w:rsidRPr="00A41261" w:rsidRDefault="00A41261" w:rsidP="007C734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A41261">
        <w:rPr>
          <w:rFonts w:asciiTheme="majorBidi" w:hAnsiTheme="majorBidi" w:cstheme="majorBidi"/>
          <w:color w:val="000000"/>
          <w:kern w:val="0"/>
          <w:u w:color="0000E9"/>
        </w:rPr>
        <w:t xml:space="preserve">Duolingo Team (2024) ‘Duolingo’s Video Call Offers Realistic Conversation Practice’. Available at: </w:t>
      </w:r>
      <w:hyperlink r:id="rId18" w:history="1">
        <w:r w:rsidRPr="00A41261">
          <w:rPr>
            <w:rFonts w:asciiTheme="majorBidi" w:hAnsiTheme="majorBidi" w:cstheme="majorBidi"/>
            <w:color w:val="000000"/>
            <w:kern w:val="0"/>
            <w:u w:val="single" w:color="0000E9"/>
          </w:rPr>
          <w:t>https://blog.duolingo.com/video-call/</w:t>
        </w:r>
      </w:hyperlink>
      <w:r w:rsidRPr="00A41261">
        <w:rPr>
          <w:rFonts w:asciiTheme="majorBidi" w:hAnsiTheme="majorBidi" w:cstheme="majorBidi"/>
          <w:color w:val="000000"/>
          <w:kern w:val="0"/>
          <w:u w:color="0000E9"/>
        </w:rPr>
        <w:t xml:space="preserve">  (Accessed: 26 February 2026).</w:t>
      </w:r>
    </w:p>
    <w:p w14:paraId="19FF7A4A" w14:textId="77777777" w:rsidR="00A41261" w:rsidRPr="00A41261" w:rsidRDefault="00A41261" w:rsidP="007C734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A41261">
        <w:rPr>
          <w:rFonts w:asciiTheme="majorBidi" w:hAnsiTheme="majorBidi" w:cstheme="majorBidi"/>
          <w:color w:val="000000"/>
          <w:kern w:val="0"/>
          <w:u w:color="0000E9"/>
        </w:rPr>
        <w:lastRenderedPageBreak/>
        <w:t xml:space="preserve">Duolingo, Inc. (2025) </w:t>
      </w:r>
      <w:r w:rsidRPr="00A41261">
        <w:rPr>
          <w:rFonts w:asciiTheme="majorBidi" w:hAnsiTheme="majorBidi" w:cstheme="majorBidi"/>
          <w:i/>
          <w:iCs/>
          <w:color w:val="000000"/>
          <w:kern w:val="0"/>
          <w:u w:color="0000E9"/>
        </w:rPr>
        <w:t>Form 10-K for the fiscal year ended December 31, 2024</w:t>
      </w:r>
      <w:r w:rsidRPr="00A41261">
        <w:rPr>
          <w:rFonts w:asciiTheme="majorBidi" w:hAnsiTheme="majorBidi" w:cstheme="majorBidi"/>
          <w:color w:val="000000"/>
          <w:kern w:val="0"/>
          <w:u w:color="0000E9"/>
        </w:rPr>
        <w:t xml:space="preserve">. U.S. Securities and Exchange Commission. Available at: </w:t>
      </w:r>
      <w:hyperlink r:id="rId19" w:history="1">
        <w:r w:rsidRPr="00A41261">
          <w:rPr>
            <w:rFonts w:asciiTheme="majorBidi" w:hAnsiTheme="majorBidi" w:cstheme="majorBidi"/>
            <w:color w:val="000000"/>
            <w:kern w:val="0"/>
            <w:u w:val="single" w:color="0000E9"/>
          </w:rPr>
          <w:t>https://www.sec.gov/Archives/edgar/data/1562088/000156208825000042/duol-20241231.htm</w:t>
        </w:r>
      </w:hyperlink>
      <w:r w:rsidRPr="00A41261">
        <w:rPr>
          <w:rFonts w:asciiTheme="majorBidi" w:hAnsiTheme="majorBidi" w:cstheme="majorBidi"/>
          <w:color w:val="000000"/>
          <w:kern w:val="0"/>
          <w:u w:color="0000E9"/>
        </w:rPr>
        <w:t xml:space="preserve">  (Accessed: 26 February 2026).</w:t>
      </w:r>
    </w:p>
    <w:p w14:paraId="790337B4" w14:textId="77777777" w:rsidR="00A41261" w:rsidRPr="00A41261" w:rsidRDefault="00A41261" w:rsidP="007C7346">
      <w:pPr>
        <w:autoSpaceDE w:val="0"/>
        <w:autoSpaceDN w:val="0"/>
        <w:adjustRightInd w:val="0"/>
        <w:spacing w:line="360" w:lineRule="auto"/>
        <w:ind w:left="540" w:hanging="540"/>
        <w:jc w:val="both"/>
        <w:rPr>
          <w:rFonts w:asciiTheme="majorBidi" w:hAnsiTheme="majorBidi" w:cstheme="majorBidi"/>
          <w:color w:val="000000"/>
          <w:kern w:val="0"/>
          <w:u w:color="0000E9"/>
        </w:rPr>
      </w:pPr>
      <w:r w:rsidRPr="00A41261">
        <w:rPr>
          <w:rFonts w:asciiTheme="majorBidi" w:hAnsiTheme="majorBidi" w:cstheme="majorBidi"/>
          <w:color w:val="000000"/>
          <w:kern w:val="0"/>
          <w:u w:color="0000E9"/>
        </w:rPr>
        <w:t xml:space="preserve">Duolingo, Inc. (2025) </w:t>
      </w:r>
      <w:r w:rsidRPr="00A41261">
        <w:rPr>
          <w:rFonts w:asciiTheme="majorBidi" w:hAnsiTheme="majorBidi" w:cstheme="majorBidi"/>
          <w:i/>
          <w:iCs/>
          <w:color w:val="000000"/>
          <w:kern w:val="0"/>
          <w:u w:color="0000E9"/>
        </w:rPr>
        <w:t>Form 10-K for year ended December 31, 2025</w:t>
      </w:r>
      <w:r w:rsidRPr="00A41261">
        <w:rPr>
          <w:rFonts w:asciiTheme="majorBidi" w:hAnsiTheme="majorBidi" w:cstheme="majorBidi"/>
          <w:color w:val="000000"/>
          <w:kern w:val="0"/>
          <w:u w:color="0000E9"/>
        </w:rPr>
        <w:t xml:space="preserve">. U.S. Securities and Exchange Commission. Available at: </w:t>
      </w:r>
      <w:hyperlink r:id="rId20" w:history="1">
        <w:r w:rsidRPr="00A41261">
          <w:rPr>
            <w:rFonts w:asciiTheme="majorBidi" w:hAnsiTheme="majorBidi" w:cstheme="majorBidi"/>
            <w:color w:val="000000"/>
            <w:kern w:val="0"/>
            <w:u w:val="single" w:color="0000E9"/>
          </w:rPr>
          <w:t>https://investors.duolingo.com/static-files/35b969fb-cc04-4c65-9b40-21c7e9777606</w:t>
        </w:r>
      </w:hyperlink>
    </w:p>
    <w:p w14:paraId="0B7CF7E5" w14:textId="77777777" w:rsidR="00A41261" w:rsidRPr="00A41261" w:rsidRDefault="00A41261" w:rsidP="007C734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A41261">
        <w:rPr>
          <w:rFonts w:asciiTheme="majorBidi" w:hAnsiTheme="majorBidi" w:cstheme="majorBidi"/>
          <w:color w:val="000000"/>
          <w:kern w:val="0"/>
          <w:u w:color="0000E9"/>
        </w:rPr>
        <w:t>Enache, A., Friberg, R., and Wiklander, M. (2023). Demand for in-app purchases in mobile apps—A difference-in-difference approach. </w:t>
      </w:r>
      <w:r w:rsidRPr="00A41261">
        <w:rPr>
          <w:rFonts w:asciiTheme="majorBidi" w:hAnsiTheme="majorBidi" w:cstheme="majorBidi"/>
          <w:i/>
          <w:iCs/>
          <w:color w:val="000000"/>
          <w:kern w:val="0"/>
          <w:u w:color="0000E9"/>
        </w:rPr>
        <w:t>International Journal of Industrial Organization</w:t>
      </w:r>
      <w:r w:rsidRPr="00A41261">
        <w:rPr>
          <w:rFonts w:asciiTheme="majorBidi" w:hAnsiTheme="majorBidi" w:cstheme="majorBidi"/>
          <w:color w:val="000000"/>
          <w:kern w:val="0"/>
          <w:u w:color="0000E9"/>
        </w:rPr>
        <w:t>, </w:t>
      </w:r>
      <w:r w:rsidRPr="00A41261">
        <w:rPr>
          <w:rFonts w:asciiTheme="majorBidi" w:hAnsiTheme="majorBidi" w:cstheme="majorBidi"/>
          <w:i/>
          <w:iCs/>
          <w:color w:val="000000"/>
          <w:kern w:val="0"/>
          <w:u w:color="0000E9"/>
        </w:rPr>
        <w:t>88</w:t>
      </w:r>
      <w:r w:rsidRPr="00A41261">
        <w:rPr>
          <w:rFonts w:asciiTheme="majorBidi" w:hAnsiTheme="majorBidi" w:cstheme="majorBidi"/>
          <w:color w:val="000000"/>
          <w:kern w:val="0"/>
          <w:u w:color="0000E9"/>
        </w:rPr>
        <w:t>, 102945.</w:t>
      </w:r>
    </w:p>
    <w:p w14:paraId="543EB746" w14:textId="77777777" w:rsidR="00A41261" w:rsidRPr="00A41261" w:rsidRDefault="00A41261" w:rsidP="007C734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A41261">
        <w:rPr>
          <w:rFonts w:asciiTheme="majorBidi" w:hAnsiTheme="majorBidi" w:cstheme="majorBidi"/>
          <w:color w:val="000000"/>
          <w:kern w:val="0"/>
          <w:u w:color="0000E9"/>
        </w:rPr>
        <w:t>Falana, W. O., Aspara, J., and Frösén, J. (2024). The impact of Janus fit brand extensions on perceived brand innovativeness. </w:t>
      </w:r>
      <w:r w:rsidRPr="00A41261">
        <w:rPr>
          <w:rFonts w:asciiTheme="majorBidi" w:hAnsiTheme="majorBidi" w:cstheme="majorBidi"/>
          <w:i/>
          <w:iCs/>
          <w:color w:val="000000"/>
          <w:kern w:val="0"/>
          <w:u w:color="0000E9"/>
        </w:rPr>
        <w:t>Journal of Business Research</w:t>
      </w:r>
      <w:r w:rsidRPr="00A41261">
        <w:rPr>
          <w:rFonts w:asciiTheme="majorBidi" w:hAnsiTheme="majorBidi" w:cstheme="majorBidi"/>
          <w:color w:val="000000"/>
          <w:kern w:val="0"/>
          <w:u w:color="0000E9"/>
        </w:rPr>
        <w:t>, </w:t>
      </w:r>
      <w:r w:rsidRPr="00A41261">
        <w:rPr>
          <w:rFonts w:asciiTheme="majorBidi" w:hAnsiTheme="majorBidi" w:cstheme="majorBidi"/>
          <w:i/>
          <w:iCs/>
          <w:color w:val="000000"/>
          <w:kern w:val="0"/>
          <w:u w:color="0000E9"/>
        </w:rPr>
        <w:t>179</w:t>
      </w:r>
      <w:r w:rsidRPr="00A41261">
        <w:rPr>
          <w:rFonts w:asciiTheme="majorBidi" w:hAnsiTheme="majorBidi" w:cstheme="majorBidi"/>
          <w:color w:val="000000"/>
          <w:kern w:val="0"/>
          <w:u w:color="0000E9"/>
        </w:rPr>
        <w:t>, 114674.</w:t>
      </w:r>
    </w:p>
    <w:p w14:paraId="0509E348" w14:textId="77777777" w:rsidR="00A41261" w:rsidRPr="00A41261" w:rsidRDefault="00A41261" w:rsidP="007C7346">
      <w:pPr>
        <w:autoSpaceDE w:val="0"/>
        <w:autoSpaceDN w:val="0"/>
        <w:adjustRightInd w:val="0"/>
        <w:spacing w:line="360" w:lineRule="auto"/>
        <w:ind w:left="540" w:hanging="540"/>
        <w:jc w:val="both"/>
        <w:rPr>
          <w:rFonts w:asciiTheme="majorBidi" w:hAnsiTheme="majorBidi" w:cstheme="majorBidi"/>
          <w:color w:val="000000"/>
          <w:kern w:val="0"/>
          <w:u w:color="0000E9"/>
        </w:rPr>
      </w:pPr>
      <w:r w:rsidRPr="00A41261">
        <w:rPr>
          <w:rFonts w:asciiTheme="majorBidi" w:hAnsiTheme="majorBidi" w:cstheme="majorBidi"/>
          <w:color w:val="000000"/>
          <w:kern w:val="0"/>
          <w:u w:color="0000E9"/>
        </w:rPr>
        <w:t xml:space="preserve">Financial Times (2026) ‘UK universities turn to Duolingo to test foreign students’ English’. Available at: </w:t>
      </w:r>
      <w:hyperlink r:id="rId21" w:history="1">
        <w:r w:rsidRPr="00A41261">
          <w:rPr>
            <w:rFonts w:asciiTheme="majorBidi" w:hAnsiTheme="majorBidi" w:cstheme="majorBidi"/>
            <w:color w:val="000000"/>
            <w:kern w:val="0"/>
            <w:u w:val="single" w:color="0000E9"/>
          </w:rPr>
          <w:t>https://www.ft.com/content/66a72257-2142-4188-8cb3-725c86b9fd9e</w:t>
        </w:r>
      </w:hyperlink>
      <w:r w:rsidRPr="00A41261">
        <w:rPr>
          <w:rFonts w:asciiTheme="majorBidi" w:hAnsiTheme="majorBidi" w:cstheme="majorBidi"/>
          <w:color w:val="000000"/>
          <w:kern w:val="0"/>
          <w:u w:color="0000E9"/>
        </w:rPr>
        <w:t xml:space="preserve"> (Accessed: 26 February 2026).</w:t>
      </w:r>
    </w:p>
    <w:p w14:paraId="6760F561" w14:textId="77777777" w:rsidR="00A41261" w:rsidRPr="00A41261" w:rsidRDefault="00A41261" w:rsidP="007C734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A41261">
        <w:rPr>
          <w:rFonts w:asciiTheme="majorBidi" w:hAnsiTheme="majorBidi" w:cstheme="majorBidi"/>
          <w:color w:val="000000"/>
          <w:kern w:val="0"/>
          <w:u w:color="0000E9"/>
        </w:rPr>
        <w:t>Grewal, D., Guha, A., Beccacece Satornino, C., and Becker, M. (2025). The future of marketing and marketing education. </w:t>
      </w:r>
      <w:r w:rsidRPr="00A41261">
        <w:rPr>
          <w:rFonts w:asciiTheme="majorBidi" w:hAnsiTheme="majorBidi" w:cstheme="majorBidi"/>
          <w:i/>
          <w:iCs/>
          <w:color w:val="000000"/>
          <w:kern w:val="0"/>
          <w:u w:color="0000E9"/>
        </w:rPr>
        <w:t>Journal of Marketing Education</w:t>
      </w:r>
      <w:r w:rsidRPr="00A41261">
        <w:rPr>
          <w:rFonts w:asciiTheme="majorBidi" w:hAnsiTheme="majorBidi" w:cstheme="majorBidi"/>
          <w:color w:val="000000"/>
          <w:kern w:val="0"/>
          <w:u w:color="0000E9"/>
        </w:rPr>
        <w:t>, </w:t>
      </w:r>
      <w:r w:rsidRPr="00A41261">
        <w:rPr>
          <w:rFonts w:asciiTheme="majorBidi" w:hAnsiTheme="majorBidi" w:cstheme="majorBidi"/>
          <w:i/>
          <w:iCs/>
          <w:color w:val="000000"/>
          <w:kern w:val="0"/>
          <w:u w:color="0000E9"/>
        </w:rPr>
        <w:t>47</w:t>
      </w:r>
      <w:r w:rsidRPr="00A41261">
        <w:rPr>
          <w:rFonts w:asciiTheme="majorBidi" w:hAnsiTheme="majorBidi" w:cstheme="majorBidi"/>
          <w:color w:val="000000"/>
          <w:kern w:val="0"/>
          <w:u w:color="0000E9"/>
        </w:rPr>
        <w:t>(1), 61-77.</w:t>
      </w:r>
    </w:p>
    <w:p w14:paraId="0DB27B3C" w14:textId="77777777" w:rsidR="00A41261" w:rsidRPr="00A41261" w:rsidRDefault="00A41261" w:rsidP="007C734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A41261">
        <w:rPr>
          <w:rFonts w:asciiTheme="majorBidi" w:hAnsiTheme="majorBidi" w:cstheme="majorBidi"/>
          <w:color w:val="000000"/>
          <w:kern w:val="0"/>
          <w:u w:color="0000E9"/>
        </w:rPr>
        <w:t xml:space="preserve">GSMA (2024) </w:t>
      </w:r>
      <w:r w:rsidRPr="00A41261">
        <w:rPr>
          <w:rFonts w:asciiTheme="majorBidi" w:hAnsiTheme="majorBidi" w:cstheme="majorBidi"/>
          <w:i/>
          <w:iCs/>
          <w:color w:val="000000"/>
          <w:kern w:val="0"/>
          <w:u w:color="0000E9"/>
        </w:rPr>
        <w:t>The Mobile Economy 2024</w:t>
      </w:r>
      <w:r w:rsidRPr="00A41261">
        <w:rPr>
          <w:rFonts w:asciiTheme="majorBidi" w:hAnsiTheme="majorBidi" w:cstheme="majorBidi"/>
          <w:color w:val="000000"/>
          <w:kern w:val="0"/>
          <w:u w:color="0000E9"/>
        </w:rPr>
        <w:t xml:space="preserve">. Available at: </w:t>
      </w:r>
      <w:hyperlink r:id="rId22" w:history="1">
        <w:r w:rsidRPr="00A41261">
          <w:rPr>
            <w:rFonts w:asciiTheme="majorBidi" w:hAnsiTheme="majorBidi" w:cstheme="majorBidi"/>
            <w:color w:val="000000"/>
            <w:kern w:val="0"/>
            <w:u w:val="single" w:color="0000E9"/>
          </w:rPr>
          <w:t>https://www.coit.es/sites/default/files/gsma_260224-the-mobile-economy-2024.pdf</w:t>
        </w:r>
      </w:hyperlink>
      <w:r w:rsidRPr="00A41261">
        <w:rPr>
          <w:rFonts w:asciiTheme="majorBidi" w:hAnsiTheme="majorBidi" w:cstheme="majorBidi"/>
          <w:color w:val="000000"/>
          <w:kern w:val="0"/>
          <w:u w:color="0000E9"/>
        </w:rPr>
        <w:t xml:space="preserve">  (Accessed: 26 February 2026).</w:t>
      </w:r>
    </w:p>
    <w:p w14:paraId="132E5CFB" w14:textId="77777777" w:rsidR="00A41261" w:rsidRPr="00A41261" w:rsidRDefault="00A41261" w:rsidP="007C734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A41261">
        <w:rPr>
          <w:rFonts w:asciiTheme="majorBidi" w:hAnsiTheme="majorBidi" w:cstheme="majorBidi"/>
          <w:color w:val="000000"/>
          <w:kern w:val="0"/>
          <w:u w:color="0000E9"/>
        </w:rPr>
        <w:t>Hoffman, K.D. and Bateson, J.E.G. (2024) Services Marketing: Concepts, Strategies, and Cases. 6th edn. Boston, MA: Cengage Learning.</w:t>
      </w:r>
    </w:p>
    <w:p w14:paraId="74B1B4CA" w14:textId="77777777" w:rsidR="00A41261" w:rsidRPr="00A41261" w:rsidRDefault="00A41261" w:rsidP="007C734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A41261">
        <w:rPr>
          <w:rFonts w:asciiTheme="majorBidi" w:hAnsiTheme="majorBidi" w:cstheme="majorBidi"/>
          <w:color w:val="000000"/>
          <w:kern w:val="0"/>
          <w:u w:color="0000E9"/>
        </w:rPr>
        <w:t xml:space="preserve">Hooley, G., Piercy, N., Nicoulaud, B., Rudd, J. and Lee, N. (2024) </w:t>
      </w:r>
      <w:r w:rsidRPr="00A41261">
        <w:rPr>
          <w:rFonts w:asciiTheme="majorBidi" w:hAnsiTheme="majorBidi" w:cstheme="majorBidi"/>
          <w:i/>
          <w:iCs/>
          <w:color w:val="000000"/>
          <w:kern w:val="0"/>
          <w:u w:color="0000E9"/>
        </w:rPr>
        <w:t>Marketing Strategy and Competitive Positioning</w:t>
      </w:r>
      <w:r w:rsidRPr="00A41261">
        <w:rPr>
          <w:rFonts w:asciiTheme="majorBidi" w:hAnsiTheme="majorBidi" w:cstheme="majorBidi"/>
          <w:color w:val="000000"/>
          <w:kern w:val="0"/>
          <w:u w:color="0000E9"/>
        </w:rPr>
        <w:t>. 8th edn. Harlow: Pearson.</w:t>
      </w:r>
    </w:p>
    <w:p w14:paraId="60719EA5" w14:textId="77777777" w:rsidR="00A41261" w:rsidRPr="00A41261" w:rsidRDefault="00A41261" w:rsidP="007C734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A41261">
        <w:rPr>
          <w:rFonts w:asciiTheme="majorBidi" w:hAnsiTheme="majorBidi" w:cstheme="majorBidi"/>
          <w:color w:val="000000"/>
          <w:kern w:val="0"/>
          <w:u w:color="0000E9"/>
        </w:rPr>
        <w:t>Isbell, D. R., Kremmel, B., and Kim, J. (2023). Remote proctoring in language testing: Implications for fairness and justice. </w:t>
      </w:r>
      <w:r w:rsidRPr="00A41261">
        <w:rPr>
          <w:rFonts w:asciiTheme="majorBidi" w:hAnsiTheme="majorBidi" w:cstheme="majorBidi"/>
          <w:i/>
          <w:iCs/>
          <w:color w:val="000000"/>
          <w:kern w:val="0"/>
          <w:u w:color="0000E9"/>
        </w:rPr>
        <w:t>Language Assessment Quarterly</w:t>
      </w:r>
      <w:r w:rsidRPr="00A41261">
        <w:rPr>
          <w:rFonts w:asciiTheme="majorBidi" w:hAnsiTheme="majorBidi" w:cstheme="majorBidi"/>
          <w:color w:val="000000"/>
          <w:kern w:val="0"/>
          <w:u w:color="0000E9"/>
        </w:rPr>
        <w:t>, </w:t>
      </w:r>
      <w:r w:rsidRPr="00A41261">
        <w:rPr>
          <w:rFonts w:asciiTheme="majorBidi" w:hAnsiTheme="majorBidi" w:cstheme="majorBidi"/>
          <w:i/>
          <w:iCs/>
          <w:color w:val="000000"/>
          <w:kern w:val="0"/>
          <w:u w:color="0000E9"/>
        </w:rPr>
        <w:t>20</w:t>
      </w:r>
      <w:r w:rsidRPr="00A41261">
        <w:rPr>
          <w:rFonts w:asciiTheme="majorBidi" w:hAnsiTheme="majorBidi" w:cstheme="majorBidi"/>
          <w:color w:val="000000"/>
          <w:kern w:val="0"/>
          <w:u w:color="0000E9"/>
        </w:rPr>
        <w:t>(4-5), 469-487.</w:t>
      </w:r>
    </w:p>
    <w:p w14:paraId="01E00420" w14:textId="77777777" w:rsidR="00A41261" w:rsidRPr="00A41261" w:rsidRDefault="00A41261" w:rsidP="007C734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A41261">
        <w:rPr>
          <w:rFonts w:asciiTheme="majorBidi" w:hAnsiTheme="majorBidi" w:cstheme="majorBidi"/>
          <w:color w:val="000000"/>
          <w:kern w:val="0"/>
          <w:u w:color="0000E9"/>
        </w:rPr>
        <w:lastRenderedPageBreak/>
        <w:t>Jia, K., Xu, H., Liao, X., and Xia, B. (2026). Optimal subscription pricing strategy for SaaS vendors: short-term, long-term or hybrid?. </w:t>
      </w:r>
      <w:r w:rsidRPr="00A41261">
        <w:rPr>
          <w:rFonts w:asciiTheme="majorBidi" w:hAnsiTheme="majorBidi" w:cstheme="majorBidi"/>
          <w:i/>
          <w:iCs/>
          <w:color w:val="000000"/>
          <w:kern w:val="0"/>
          <w:u w:color="0000E9"/>
        </w:rPr>
        <w:t>Information Technology and Management</w:t>
      </w:r>
      <w:r w:rsidRPr="00A41261">
        <w:rPr>
          <w:rFonts w:asciiTheme="majorBidi" w:hAnsiTheme="majorBidi" w:cstheme="majorBidi"/>
          <w:color w:val="000000"/>
          <w:kern w:val="0"/>
          <w:u w:color="0000E9"/>
        </w:rPr>
        <w:t>, 1-20.</w:t>
      </w:r>
    </w:p>
    <w:p w14:paraId="0A0AED7C" w14:textId="77777777" w:rsidR="00A41261" w:rsidRPr="00A41261" w:rsidRDefault="00A41261" w:rsidP="007C734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A41261">
        <w:rPr>
          <w:rFonts w:asciiTheme="majorBidi" w:hAnsiTheme="majorBidi" w:cstheme="majorBidi"/>
          <w:color w:val="000000"/>
          <w:kern w:val="0"/>
          <w:u w:color="0000E9"/>
        </w:rPr>
        <w:t>Kerin, R. A., Hartley, S. W., Bonifacio, A., Dumont, D., and Koufman, S. (2024). </w:t>
      </w:r>
      <w:r w:rsidRPr="00A41261">
        <w:rPr>
          <w:rFonts w:asciiTheme="majorBidi" w:hAnsiTheme="majorBidi" w:cstheme="majorBidi"/>
          <w:i/>
          <w:iCs/>
          <w:color w:val="000000"/>
          <w:kern w:val="0"/>
          <w:u w:color="0000E9"/>
        </w:rPr>
        <w:t>Marketing: The Core</w:t>
      </w:r>
      <w:r w:rsidRPr="00A41261">
        <w:rPr>
          <w:rFonts w:asciiTheme="majorBidi" w:hAnsiTheme="majorBidi" w:cstheme="majorBidi"/>
          <w:color w:val="000000"/>
          <w:kern w:val="0"/>
          <w:u w:color="0000E9"/>
        </w:rPr>
        <w:t>. McGraw Hill.</w:t>
      </w:r>
    </w:p>
    <w:p w14:paraId="604567D1" w14:textId="77777777" w:rsidR="00A41261" w:rsidRPr="00A41261" w:rsidRDefault="00A41261" w:rsidP="007C734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A41261">
        <w:rPr>
          <w:rFonts w:asciiTheme="majorBidi" w:hAnsiTheme="majorBidi" w:cstheme="majorBidi"/>
          <w:color w:val="000000"/>
          <w:kern w:val="0"/>
          <w:u w:color="0000E9"/>
        </w:rPr>
        <w:t>Kotler, P., and Armstrong, G. (2010). </w:t>
      </w:r>
      <w:r w:rsidRPr="00A41261">
        <w:rPr>
          <w:rFonts w:asciiTheme="majorBidi" w:hAnsiTheme="majorBidi" w:cstheme="majorBidi"/>
          <w:i/>
          <w:iCs/>
          <w:color w:val="000000"/>
          <w:kern w:val="0"/>
          <w:u w:color="0000E9"/>
        </w:rPr>
        <w:t>Principles of marketing</w:t>
      </w:r>
      <w:r w:rsidRPr="00A41261">
        <w:rPr>
          <w:rFonts w:asciiTheme="majorBidi" w:hAnsiTheme="majorBidi" w:cstheme="majorBidi"/>
          <w:color w:val="000000"/>
          <w:kern w:val="0"/>
          <w:u w:color="0000E9"/>
        </w:rPr>
        <w:t>. Pearson education.</w:t>
      </w:r>
    </w:p>
    <w:p w14:paraId="61ACAF7B" w14:textId="77777777" w:rsidR="00A41261" w:rsidRPr="00A41261" w:rsidRDefault="00A41261" w:rsidP="007C734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A41261">
        <w:rPr>
          <w:rFonts w:asciiTheme="majorBidi" w:hAnsiTheme="majorBidi" w:cstheme="majorBidi"/>
          <w:color w:val="000000"/>
          <w:kern w:val="0"/>
          <w:u w:color="0000E9"/>
        </w:rPr>
        <w:t>Kotler, P., Keller, K. L., and Chernev, A. (2022). Marketing Management Sixteenth.</w:t>
      </w:r>
    </w:p>
    <w:p w14:paraId="38D4E830" w14:textId="77777777" w:rsidR="00A41261" w:rsidRPr="00A41261" w:rsidRDefault="00A41261" w:rsidP="007C734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A41261">
        <w:rPr>
          <w:rFonts w:asciiTheme="majorBidi" w:hAnsiTheme="majorBidi" w:cstheme="majorBidi"/>
          <w:color w:val="000000"/>
          <w:kern w:val="0"/>
          <w:u w:color="0000E9"/>
        </w:rPr>
        <w:t xml:space="preserve">Kotler, P., Keller, K.L. and Chernev, A. (2022) </w:t>
      </w:r>
      <w:r w:rsidRPr="00A41261">
        <w:rPr>
          <w:rFonts w:asciiTheme="majorBidi" w:hAnsiTheme="majorBidi" w:cstheme="majorBidi"/>
          <w:i/>
          <w:iCs/>
          <w:color w:val="000000"/>
          <w:kern w:val="0"/>
          <w:u w:color="0000E9"/>
        </w:rPr>
        <w:t>Marketing Management</w:t>
      </w:r>
      <w:r w:rsidRPr="00A41261">
        <w:rPr>
          <w:rFonts w:asciiTheme="majorBidi" w:hAnsiTheme="majorBidi" w:cstheme="majorBidi"/>
          <w:color w:val="000000"/>
          <w:kern w:val="0"/>
          <w:u w:color="0000E9"/>
        </w:rPr>
        <w:t>. 16th edn. Harlow: Pearson.</w:t>
      </w:r>
    </w:p>
    <w:p w14:paraId="5ADC3F7F" w14:textId="77777777" w:rsidR="00A41261" w:rsidRPr="00A41261" w:rsidRDefault="00A41261" w:rsidP="007C734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A41261">
        <w:rPr>
          <w:rFonts w:asciiTheme="majorBidi" w:hAnsiTheme="majorBidi" w:cstheme="majorBidi"/>
          <w:color w:val="000000"/>
          <w:kern w:val="0"/>
          <w:u w:color="0000E9"/>
        </w:rPr>
        <w:t>Li, L., Hew, K. F., and Du, J. (2024). Gamification enhances student intrinsic motivation, perceptions of autonomy and relatedness, but minimal impact on competency: a meta-analysis and systematic review. </w:t>
      </w:r>
      <w:r w:rsidRPr="00A41261">
        <w:rPr>
          <w:rFonts w:asciiTheme="majorBidi" w:hAnsiTheme="majorBidi" w:cstheme="majorBidi"/>
          <w:i/>
          <w:iCs/>
          <w:color w:val="000000"/>
          <w:kern w:val="0"/>
          <w:u w:color="0000E9"/>
        </w:rPr>
        <w:t>Educational technology research and development</w:t>
      </w:r>
      <w:r w:rsidRPr="00A41261">
        <w:rPr>
          <w:rFonts w:asciiTheme="majorBidi" w:hAnsiTheme="majorBidi" w:cstheme="majorBidi"/>
          <w:color w:val="000000"/>
          <w:kern w:val="0"/>
          <w:u w:color="0000E9"/>
        </w:rPr>
        <w:t>, </w:t>
      </w:r>
      <w:r w:rsidRPr="00A41261">
        <w:rPr>
          <w:rFonts w:asciiTheme="majorBidi" w:hAnsiTheme="majorBidi" w:cstheme="majorBidi"/>
          <w:i/>
          <w:iCs/>
          <w:color w:val="000000"/>
          <w:kern w:val="0"/>
          <w:u w:color="0000E9"/>
        </w:rPr>
        <w:t>72</w:t>
      </w:r>
      <w:r w:rsidRPr="00A41261">
        <w:rPr>
          <w:rFonts w:asciiTheme="majorBidi" w:hAnsiTheme="majorBidi" w:cstheme="majorBidi"/>
          <w:color w:val="000000"/>
          <w:kern w:val="0"/>
          <w:u w:color="0000E9"/>
        </w:rPr>
        <w:t>(2), 765-796.</w:t>
      </w:r>
    </w:p>
    <w:p w14:paraId="4E7CBE9B" w14:textId="77777777" w:rsidR="00A41261" w:rsidRPr="00A41261" w:rsidRDefault="00A41261" w:rsidP="007C734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A41261">
        <w:rPr>
          <w:rFonts w:asciiTheme="majorBidi" w:hAnsiTheme="majorBidi" w:cstheme="majorBidi"/>
          <w:color w:val="000000"/>
          <w:kern w:val="0"/>
          <w:u w:color="0000E9"/>
        </w:rPr>
        <w:t>Liu, X. J., Wang, J., and Zou, B. (2025). Evaluating an AI speaking assessment tool: Score accuracy, perceived validity, and oral peer feedback as feedback enhancement. </w:t>
      </w:r>
      <w:r w:rsidRPr="00A41261">
        <w:rPr>
          <w:rFonts w:asciiTheme="majorBidi" w:hAnsiTheme="majorBidi" w:cstheme="majorBidi"/>
          <w:i/>
          <w:iCs/>
          <w:color w:val="000000"/>
          <w:kern w:val="0"/>
          <w:u w:color="0000E9"/>
        </w:rPr>
        <w:t>Journal of English for Academic Purposes</w:t>
      </w:r>
      <w:r w:rsidRPr="00A41261">
        <w:rPr>
          <w:rFonts w:asciiTheme="majorBidi" w:hAnsiTheme="majorBidi" w:cstheme="majorBidi"/>
          <w:color w:val="000000"/>
          <w:kern w:val="0"/>
          <w:u w:color="0000E9"/>
        </w:rPr>
        <w:t>, </w:t>
      </w:r>
      <w:r w:rsidRPr="00A41261">
        <w:rPr>
          <w:rFonts w:asciiTheme="majorBidi" w:hAnsiTheme="majorBidi" w:cstheme="majorBidi"/>
          <w:i/>
          <w:iCs/>
          <w:color w:val="000000"/>
          <w:kern w:val="0"/>
          <w:u w:color="0000E9"/>
        </w:rPr>
        <w:t>75</w:t>
      </w:r>
      <w:r w:rsidRPr="00A41261">
        <w:rPr>
          <w:rFonts w:asciiTheme="majorBidi" w:hAnsiTheme="majorBidi" w:cstheme="majorBidi"/>
          <w:color w:val="000000"/>
          <w:kern w:val="0"/>
          <w:u w:color="0000E9"/>
        </w:rPr>
        <w:t>, 101505.</w:t>
      </w:r>
    </w:p>
    <w:p w14:paraId="22A9277D" w14:textId="77777777" w:rsidR="00A41261" w:rsidRPr="00A41261" w:rsidRDefault="00A41261" w:rsidP="007C734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A41261">
        <w:rPr>
          <w:rFonts w:asciiTheme="majorBidi" w:hAnsiTheme="majorBidi" w:cstheme="majorBidi"/>
          <w:color w:val="000000"/>
          <w:kern w:val="0"/>
          <w:u w:color="0000E9"/>
        </w:rPr>
        <w:t>Lütjens, H., Eisenbeiss, M., Fiedler, M., and Bijmolt, T. (2022). Determinants of consumers’ attitudes towards digital advertising–A meta-analytic comparison across time and touchpoints. </w:t>
      </w:r>
      <w:r w:rsidRPr="00A41261">
        <w:rPr>
          <w:rFonts w:asciiTheme="majorBidi" w:hAnsiTheme="majorBidi" w:cstheme="majorBidi"/>
          <w:i/>
          <w:iCs/>
          <w:color w:val="000000"/>
          <w:kern w:val="0"/>
          <w:u w:color="0000E9"/>
        </w:rPr>
        <w:t>Journal of Business Research</w:t>
      </w:r>
      <w:r w:rsidRPr="00A41261">
        <w:rPr>
          <w:rFonts w:asciiTheme="majorBidi" w:hAnsiTheme="majorBidi" w:cstheme="majorBidi"/>
          <w:color w:val="000000"/>
          <w:kern w:val="0"/>
          <w:u w:color="0000E9"/>
        </w:rPr>
        <w:t>, </w:t>
      </w:r>
      <w:r w:rsidRPr="00A41261">
        <w:rPr>
          <w:rFonts w:asciiTheme="majorBidi" w:hAnsiTheme="majorBidi" w:cstheme="majorBidi"/>
          <w:i/>
          <w:iCs/>
          <w:color w:val="000000"/>
          <w:kern w:val="0"/>
          <w:u w:color="0000E9"/>
        </w:rPr>
        <w:t>153</w:t>
      </w:r>
      <w:r w:rsidRPr="00A41261">
        <w:rPr>
          <w:rFonts w:asciiTheme="majorBidi" w:hAnsiTheme="majorBidi" w:cstheme="majorBidi"/>
          <w:color w:val="000000"/>
          <w:kern w:val="0"/>
          <w:u w:color="0000E9"/>
        </w:rPr>
        <w:t>, 445-466.</w:t>
      </w:r>
    </w:p>
    <w:p w14:paraId="4E5C9E75" w14:textId="77777777" w:rsidR="00A41261" w:rsidRPr="00A41261" w:rsidRDefault="00A41261" w:rsidP="007C734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A41261">
        <w:rPr>
          <w:rFonts w:asciiTheme="majorBidi" w:hAnsiTheme="majorBidi" w:cstheme="majorBidi"/>
          <w:color w:val="000000"/>
          <w:kern w:val="0"/>
          <w:u w:color="0000E9"/>
        </w:rPr>
        <w:t>Mukherjee, S., Rohles, B., Distler, V., Lenzini, G., and Koenig, V. (2023). The effects of privacy-non-invasive interventions on cheating prevention and user experience in unproctored online assessments: An empirical study. </w:t>
      </w:r>
      <w:r w:rsidRPr="00A41261">
        <w:rPr>
          <w:rFonts w:asciiTheme="majorBidi" w:hAnsiTheme="majorBidi" w:cstheme="majorBidi"/>
          <w:i/>
          <w:iCs/>
          <w:color w:val="000000"/>
          <w:kern w:val="0"/>
          <w:u w:color="0000E9"/>
        </w:rPr>
        <w:t>Computers and Education</w:t>
      </w:r>
      <w:r w:rsidRPr="00A41261">
        <w:rPr>
          <w:rFonts w:asciiTheme="majorBidi" w:hAnsiTheme="majorBidi" w:cstheme="majorBidi"/>
          <w:color w:val="000000"/>
          <w:kern w:val="0"/>
          <w:u w:color="0000E9"/>
        </w:rPr>
        <w:t>, </w:t>
      </w:r>
      <w:r w:rsidRPr="00A41261">
        <w:rPr>
          <w:rFonts w:asciiTheme="majorBidi" w:hAnsiTheme="majorBidi" w:cstheme="majorBidi"/>
          <w:i/>
          <w:iCs/>
          <w:color w:val="000000"/>
          <w:kern w:val="0"/>
          <w:u w:color="0000E9"/>
        </w:rPr>
        <w:t>207</w:t>
      </w:r>
      <w:r w:rsidRPr="00A41261">
        <w:rPr>
          <w:rFonts w:asciiTheme="majorBidi" w:hAnsiTheme="majorBidi" w:cstheme="majorBidi"/>
          <w:color w:val="000000"/>
          <w:kern w:val="0"/>
          <w:u w:color="0000E9"/>
        </w:rPr>
        <w:t>, 104925.</w:t>
      </w:r>
    </w:p>
    <w:p w14:paraId="5237C33F" w14:textId="77777777" w:rsidR="00A41261" w:rsidRPr="00A41261" w:rsidRDefault="00A41261" w:rsidP="007C734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A41261">
        <w:rPr>
          <w:rFonts w:asciiTheme="majorBidi" w:hAnsiTheme="majorBidi" w:cstheme="majorBidi"/>
          <w:color w:val="000000"/>
          <w:kern w:val="0"/>
          <w:u w:color="0000E9"/>
        </w:rPr>
        <w:t xml:space="preserve">OECD (2023) </w:t>
      </w:r>
      <w:r w:rsidRPr="00A41261">
        <w:rPr>
          <w:rFonts w:asciiTheme="majorBidi" w:hAnsiTheme="majorBidi" w:cstheme="majorBidi"/>
          <w:i/>
          <w:iCs/>
          <w:color w:val="000000"/>
          <w:kern w:val="0"/>
          <w:u w:color="0000E9"/>
        </w:rPr>
        <w:t>Micro-credentials for lifelong learning and employability</w:t>
      </w:r>
      <w:r w:rsidRPr="00A41261">
        <w:rPr>
          <w:rFonts w:asciiTheme="majorBidi" w:hAnsiTheme="majorBidi" w:cstheme="majorBidi"/>
          <w:color w:val="000000"/>
          <w:kern w:val="0"/>
          <w:u w:color="0000E9"/>
        </w:rPr>
        <w:t xml:space="preserve">. OECD Education Policy Perspectives. Available at: </w:t>
      </w:r>
      <w:hyperlink r:id="rId23" w:history="1">
        <w:r w:rsidRPr="00A41261">
          <w:rPr>
            <w:rFonts w:asciiTheme="majorBidi" w:hAnsiTheme="majorBidi" w:cstheme="majorBidi"/>
            <w:color w:val="000000"/>
            <w:kern w:val="0"/>
            <w:u w:val="single" w:color="0000E9"/>
          </w:rPr>
          <w:t>https://www.oecd.org/en/publications/micro-credentials-for-lifelong-learning-and-employability_9c4b7b68-en.html</w:t>
        </w:r>
      </w:hyperlink>
      <w:r w:rsidRPr="00A41261">
        <w:rPr>
          <w:rFonts w:asciiTheme="majorBidi" w:hAnsiTheme="majorBidi" w:cstheme="majorBidi"/>
          <w:color w:val="000000"/>
          <w:kern w:val="0"/>
          <w:u w:color="0000E9"/>
        </w:rPr>
        <w:t xml:space="preserve"> (Accessed: 26 February 2026).</w:t>
      </w:r>
    </w:p>
    <w:p w14:paraId="404A326F" w14:textId="77777777" w:rsidR="00A41261" w:rsidRPr="00A41261" w:rsidRDefault="00A41261" w:rsidP="007C7346">
      <w:pPr>
        <w:autoSpaceDE w:val="0"/>
        <w:autoSpaceDN w:val="0"/>
        <w:adjustRightInd w:val="0"/>
        <w:spacing w:after="240" w:line="360" w:lineRule="auto"/>
        <w:ind w:left="540" w:hanging="540"/>
        <w:jc w:val="both"/>
        <w:rPr>
          <w:rFonts w:asciiTheme="majorBidi" w:hAnsiTheme="majorBidi" w:cstheme="majorBidi"/>
          <w:color w:val="0000E9"/>
          <w:kern w:val="0"/>
          <w:u w:val="single" w:color="0000E9"/>
        </w:rPr>
      </w:pPr>
      <w:r w:rsidRPr="00A41261">
        <w:rPr>
          <w:rFonts w:asciiTheme="majorBidi" w:hAnsiTheme="majorBidi" w:cstheme="majorBidi"/>
          <w:color w:val="000000"/>
          <w:kern w:val="0"/>
          <w:u w:color="0000E9"/>
        </w:rPr>
        <w:lastRenderedPageBreak/>
        <w:t xml:space="preserve">Pearson (2024) </w:t>
      </w:r>
      <w:r w:rsidRPr="00A41261">
        <w:rPr>
          <w:rFonts w:asciiTheme="majorBidi" w:hAnsiTheme="majorBidi" w:cstheme="majorBidi"/>
          <w:i/>
          <w:iCs/>
          <w:color w:val="000000"/>
          <w:kern w:val="0"/>
          <w:u w:color="0000E9"/>
        </w:rPr>
        <w:t>Versant by Pearson English 4-Skills Essentials Test: Official Guide for Test-Takers 2024</w:t>
      </w:r>
      <w:r w:rsidRPr="00A41261">
        <w:rPr>
          <w:rFonts w:asciiTheme="majorBidi" w:hAnsiTheme="majorBidi" w:cstheme="majorBidi"/>
          <w:color w:val="000000"/>
          <w:kern w:val="0"/>
          <w:u w:color="0000E9"/>
        </w:rPr>
        <w:t xml:space="preserve">. Available at: </w:t>
      </w:r>
      <w:hyperlink r:id="rId24" w:history="1">
        <w:r w:rsidRPr="00A41261">
          <w:rPr>
            <w:rFonts w:asciiTheme="majorBidi" w:hAnsiTheme="majorBidi" w:cstheme="majorBidi"/>
            <w:color w:val="0000E9"/>
            <w:kern w:val="0"/>
            <w:u w:val="single" w:color="0000E9"/>
          </w:rPr>
          <w:t>https://www.pearson.com/content/dam/one-dot-com/one-dot-com/pearson-languages/en-gb/pdfs/versant-resources/versant-by-pearson-4-skills-essentials-test-official-test-guide.pdf</w:t>
        </w:r>
      </w:hyperlink>
      <w:r w:rsidRPr="00A41261">
        <w:rPr>
          <w:rFonts w:asciiTheme="majorBidi" w:hAnsiTheme="majorBidi" w:cstheme="majorBidi"/>
          <w:color w:val="000000"/>
          <w:kern w:val="0"/>
          <w:u w:color="0000E9"/>
        </w:rPr>
        <w:t xml:space="preserve">  (Accessed: 26 February 2026).</w:t>
      </w:r>
    </w:p>
    <w:p w14:paraId="797DB166" w14:textId="77777777" w:rsidR="00A41261" w:rsidRPr="00A41261" w:rsidRDefault="00A41261" w:rsidP="007C734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A41261">
        <w:rPr>
          <w:rFonts w:asciiTheme="majorBidi" w:hAnsiTheme="majorBidi" w:cstheme="majorBidi"/>
          <w:color w:val="000000"/>
          <w:kern w:val="0"/>
          <w:u w:color="0000E9"/>
        </w:rPr>
        <w:t xml:space="preserve">Percy, L. (2023) </w:t>
      </w:r>
      <w:r w:rsidRPr="00A41261">
        <w:rPr>
          <w:rFonts w:asciiTheme="majorBidi" w:hAnsiTheme="majorBidi" w:cstheme="majorBidi"/>
          <w:i/>
          <w:iCs/>
          <w:color w:val="000000"/>
          <w:kern w:val="0"/>
          <w:u w:color="0000E9"/>
        </w:rPr>
        <w:t>Strategic Integrated Marketing Communications</w:t>
      </w:r>
      <w:r w:rsidRPr="00A41261">
        <w:rPr>
          <w:rFonts w:asciiTheme="majorBidi" w:hAnsiTheme="majorBidi" w:cstheme="majorBidi"/>
          <w:color w:val="000000"/>
          <w:kern w:val="0"/>
          <w:u w:color="0000E9"/>
        </w:rPr>
        <w:t xml:space="preserve">. 4th edn. Abingdon: Routledge. </w:t>
      </w:r>
      <w:hyperlink r:id="rId25" w:history="1">
        <w:r w:rsidRPr="00A41261">
          <w:rPr>
            <w:rFonts w:asciiTheme="majorBidi" w:hAnsiTheme="majorBidi" w:cstheme="majorBidi"/>
            <w:color w:val="000000"/>
            <w:kern w:val="0"/>
            <w:u w:val="single" w:color="0000E9"/>
          </w:rPr>
          <w:t>https://doi.org/10.4324/9781003169635</w:t>
        </w:r>
      </w:hyperlink>
      <w:r w:rsidRPr="00A41261">
        <w:rPr>
          <w:rFonts w:asciiTheme="majorBidi" w:hAnsiTheme="majorBidi" w:cstheme="majorBidi"/>
          <w:color w:val="000000"/>
          <w:kern w:val="0"/>
          <w:u w:color="0000E9"/>
        </w:rPr>
        <w:t>.</w:t>
      </w:r>
    </w:p>
    <w:p w14:paraId="660B9787" w14:textId="77777777" w:rsidR="00A41261" w:rsidRPr="00A41261" w:rsidRDefault="00A41261" w:rsidP="007C734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A41261">
        <w:rPr>
          <w:rFonts w:asciiTheme="majorBidi" w:hAnsiTheme="majorBidi" w:cstheme="majorBidi"/>
          <w:color w:val="000000"/>
          <w:kern w:val="0"/>
          <w:u w:color="0000E9"/>
        </w:rPr>
        <w:t xml:space="preserve">Philippine News Agency (2025) ‘PH’s ITBPM revenues grow 7% to $38-B in 2024’. Available at: </w:t>
      </w:r>
      <w:hyperlink r:id="rId26" w:history="1">
        <w:r w:rsidRPr="00A41261">
          <w:rPr>
            <w:rFonts w:asciiTheme="majorBidi" w:hAnsiTheme="majorBidi" w:cstheme="majorBidi"/>
            <w:color w:val="000000"/>
            <w:kern w:val="0"/>
            <w:u w:val="single" w:color="0000E9"/>
          </w:rPr>
          <w:t>https://www.pna.gov.ph/articles/1241876</w:t>
        </w:r>
      </w:hyperlink>
      <w:r w:rsidRPr="00A41261">
        <w:rPr>
          <w:rFonts w:asciiTheme="majorBidi" w:hAnsiTheme="majorBidi" w:cstheme="majorBidi"/>
          <w:color w:val="000000"/>
          <w:kern w:val="0"/>
          <w:u w:color="0000E9"/>
        </w:rPr>
        <w:t xml:space="preserve"> (Accessed: 26 February 2026).</w:t>
      </w:r>
    </w:p>
    <w:p w14:paraId="65C11173" w14:textId="77777777" w:rsidR="00A41261" w:rsidRPr="00A41261" w:rsidRDefault="00A41261" w:rsidP="007C734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A41261">
        <w:rPr>
          <w:rFonts w:asciiTheme="majorBidi" w:hAnsiTheme="majorBidi" w:cstheme="majorBidi"/>
          <w:color w:val="000000"/>
          <w:kern w:val="0"/>
          <w:u w:color="0000E9"/>
        </w:rPr>
        <w:t>Roll, O., and Geerties, J. L. (2025). Unlocking value-based pricing: the moderating roles of pricing capabilities and contingency factors in B2B markets: an empirical approach: O. Roll, JL Geerties. </w:t>
      </w:r>
      <w:r w:rsidRPr="00A41261">
        <w:rPr>
          <w:rFonts w:asciiTheme="majorBidi" w:hAnsiTheme="majorBidi" w:cstheme="majorBidi"/>
          <w:i/>
          <w:iCs/>
          <w:color w:val="000000"/>
          <w:kern w:val="0"/>
          <w:u w:color="0000E9"/>
        </w:rPr>
        <w:t>Journal of Revenue and Pricing Management</w:t>
      </w:r>
      <w:r w:rsidRPr="00A41261">
        <w:rPr>
          <w:rFonts w:asciiTheme="majorBidi" w:hAnsiTheme="majorBidi" w:cstheme="majorBidi"/>
          <w:color w:val="000000"/>
          <w:kern w:val="0"/>
          <w:u w:color="0000E9"/>
        </w:rPr>
        <w:t>, </w:t>
      </w:r>
      <w:r w:rsidRPr="00A41261">
        <w:rPr>
          <w:rFonts w:asciiTheme="majorBidi" w:hAnsiTheme="majorBidi" w:cstheme="majorBidi"/>
          <w:i/>
          <w:iCs/>
          <w:color w:val="000000"/>
          <w:kern w:val="0"/>
          <w:u w:color="0000E9"/>
        </w:rPr>
        <w:t>24</w:t>
      </w:r>
      <w:r w:rsidRPr="00A41261">
        <w:rPr>
          <w:rFonts w:asciiTheme="majorBidi" w:hAnsiTheme="majorBidi" w:cstheme="majorBidi"/>
          <w:color w:val="000000"/>
          <w:kern w:val="0"/>
          <w:u w:color="0000E9"/>
        </w:rPr>
        <w:t>(3), 232-253.</w:t>
      </w:r>
    </w:p>
    <w:p w14:paraId="3AC748D6" w14:textId="77777777" w:rsidR="00A41261" w:rsidRPr="00A41261" w:rsidRDefault="00A41261" w:rsidP="007C734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A41261">
        <w:rPr>
          <w:rFonts w:asciiTheme="majorBidi" w:hAnsiTheme="majorBidi" w:cstheme="majorBidi"/>
          <w:color w:val="000000"/>
          <w:kern w:val="0"/>
          <w:u w:color="0000E9"/>
        </w:rPr>
        <w:t xml:space="preserve">Sigelman, M., Fuller, J.B. and Martin, A. (2024) </w:t>
      </w:r>
      <w:r w:rsidRPr="00A41261">
        <w:rPr>
          <w:rFonts w:asciiTheme="majorBidi" w:hAnsiTheme="majorBidi" w:cstheme="majorBidi"/>
          <w:i/>
          <w:iCs/>
          <w:color w:val="000000"/>
          <w:kern w:val="0"/>
          <w:u w:color="0000E9"/>
        </w:rPr>
        <w:t>Skills-Based Hiring: The Long Road from Pronouncements to Practice</w:t>
      </w:r>
      <w:r w:rsidRPr="00A41261">
        <w:rPr>
          <w:rFonts w:asciiTheme="majorBidi" w:hAnsiTheme="majorBidi" w:cstheme="majorBidi"/>
          <w:color w:val="000000"/>
          <w:kern w:val="0"/>
          <w:u w:color="0000E9"/>
        </w:rPr>
        <w:t xml:space="preserve">. Burning Glass Institute and Harvard Business School Project on Managing the Future of Work. Available at: </w:t>
      </w:r>
      <w:hyperlink r:id="rId27" w:history="1">
        <w:r w:rsidRPr="00A41261">
          <w:rPr>
            <w:rFonts w:asciiTheme="majorBidi" w:hAnsiTheme="majorBidi" w:cstheme="majorBidi"/>
            <w:color w:val="000000"/>
            <w:kern w:val="0"/>
            <w:u w:val="single" w:color="0000E9"/>
          </w:rPr>
          <w:t>https://www.hbs.edu/managing-the-future-of-work/Documents/research/Skills-Based%20Hiring.pdf</w:t>
        </w:r>
      </w:hyperlink>
      <w:r w:rsidRPr="00A41261">
        <w:rPr>
          <w:rFonts w:asciiTheme="majorBidi" w:hAnsiTheme="majorBidi" w:cstheme="majorBidi"/>
          <w:color w:val="000000"/>
          <w:kern w:val="0"/>
          <w:u w:color="0000E9"/>
        </w:rPr>
        <w:t xml:space="preserve">  (Accessed: 26 February 2026).</w:t>
      </w:r>
    </w:p>
    <w:p w14:paraId="0A420E57" w14:textId="77777777" w:rsidR="00A41261" w:rsidRPr="00A41261" w:rsidRDefault="00A41261" w:rsidP="007C7346">
      <w:pPr>
        <w:autoSpaceDE w:val="0"/>
        <w:autoSpaceDN w:val="0"/>
        <w:adjustRightInd w:val="0"/>
        <w:spacing w:line="360" w:lineRule="auto"/>
        <w:ind w:left="540" w:hanging="540"/>
        <w:jc w:val="both"/>
        <w:rPr>
          <w:rFonts w:asciiTheme="majorBidi" w:hAnsiTheme="majorBidi" w:cstheme="majorBidi"/>
          <w:color w:val="000000"/>
          <w:kern w:val="0"/>
          <w:u w:color="0000E9"/>
        </w:rPr>
      </w:pPr>
      <w:r w:rsidRPr="00A41261">
        <w:rPr>
          <w:rFonts w:asciiTheme="majorBidi" w:hAnsiTheme="majorBidi" w:cstheme="majorBidi"/>
          <w:color w:val="000000"/>
          <w:kern w:val="0"/>
          <w:u w:color="0000E9"/>
        </w:rPr>
        <w:t>Varadarajan, S., Koh, J. H. L., and Daniel, B. K. (2023). A systematic review of the opportunities and challenges of micro-credentials for multiple stakeholders: learners, employers, higher education institutions and government. </w:t>
      </w:r>
      <w:r w:rsidRPr="00A41261">
        <w:rPr>
          <w:rFonts w:asciiTheme="majorBidi" w:hAnsiTheme="majorBidi" w:cstheme="majorBidi"/>
          <w:i/>
          <w:iCs/>
          <w:color w:val="000000"/>
          <w:kern w:val="0"/>
          <w:u w:color="0000E9"/>
        </w:rPr>
        <w:t>International Journal of Educational Technology in Higher Education</w:t>
      </w:r>
      <w:r w:rsidRPr="00A41261">
        <w:rPr>
          <w:rFonts w:asciiTheme="majorBidi" w:hAnsiTheme="majorBidi" w:cstheme="majorBidi"/>
          <w:color w:val="000000"/>
          <w:kern w:val="0"/>
          <w:u w:color="0000E9"/>
        </w:rPr>
        <w:t>, </w:t>
      </w:r>
      <w:r w:rsidRPr="00A41261">
        <w:rPr>
          <w:rFonts w:asciiTheme="majorBidi" w:hAnsiTheme="majorBidi" w:cstheme="majorBidi"/>
          <w:i/>
          <w:iCs/>
          <w:color w:val="000000"/>
          <w:kern w:val="0"/>
          <w:u w:color="0000E9"/>
        </w:rPr>
        <w:t>20</w:t>
      </w:r>
      <w:r w:rsidRPr="00A41261">
        <w:rPr>
          <w:rFonts w:asciiTheme="majorBidi" w:hAnsiTheme="majorBidi" w:cstheme="majorBidi"/>
          <w:color w:val="000000"/>
          <w:kern w:val="0"/>
          <w:u w:color="0000E9"/>
        </w:rPr>
        <w:t>(1), 13.</w:t>
      </w:r>
    </w:p>
    <w:p w14:paraId="232CD5DB" w14:textId="77777777" w:rsidR="00A41261" w:rsidRPr="00A41261" w:rsidRDefault="00A41261" w:rsidP="007C7346">
      <w:pPr>
        <w:autoSpaceDE w:val="0"/>
        <w:autoSpaceDN w:val="0"/>
        <w:adjustRightInd w:val="0"/>
        <w:spacing w:line="360" w:lineRule="auto"/>
        <w:ind w:left="540" w:hanging="540"/>
        <w:jc w:val="both"/>
        <w:rPr>
          <w:rFonts w:asciiTheme="majorBidi" w:hAnsiTheme="majorBidi" w:cstheme="majorBidi"/>
          <w:color w:val="000000"/>
          <w:kern w:val="0"/>
          <w:u w:color="0000E9"/>
        </w:rPr>
      </w:pPr>
      <w:r w:rsidRPr="00A41261">
        <w:rPr>
          <w:rFonts w:asciiTheme="majorBidi" w:hAnsiTheme="majorBidi" w:cstheme="majorBidi"/>
          <w:color w:val="000000"/>
          <w:kern w:val="0"/>
          <w:u w:color="0000E9"/>
        </w:rPr>
        <w:t>Wang, B., Zambrano, C. C., Nikravangolsefid, N., Carvalhais, R. M., Niven, A., Gajic, O., and Dong, Y. (2025). Environmental Impact of Online Versus in-Person Critical Care Education Through the Carbon Footprint Analysis of the CERTAIN Program: Cross-Sectional Study. </w:t>
      </w:r>
      <w:r w:rsidRPr="00A41261">
        <w:rPr>
          <w:rFonts w:asciiTheme="majorBidi" w:hAnsiTheme="majorBidi" w:cstheme="majorBidi"/>
          <w:i/>
          <w:iCs/>
          <w:color w:val="000000"/>
          <w:kern w:val="0"/>
          <w:u w:color="0000E9"/>
        </w:rPr>
        <w:t>JMIR Formative Research</w:t>
      </w:r>
      <w:r w:rsidRPr="00A41261">
        <w:rPr>
          <w:rFonts w:asciiTheme="majorBidi" w:hAnsiTheme="majorBidi" w:cstheme="majorBidi"/>
          <w:color w:val="000000"/>
          <w:kern w:val="0"/>
          <w:u w:color="0000E9"/>
        </w:rPr>
        <w:t>, </w:t>
      </w:r>
      <w:r w:rsidRPr="00A41261">
        <w:rPr>
          <w:rFonts w:asciiTheme="majorBidi" w:hAnsiTheme="majorBidi" w:cstheme="majorBidi"/>
          <w:i/>
          <w:iCs/>
          <w:color w:val="000000"/>
          <w:kern w:val="0"/>
          <w:u w:color="0000E9"/>
        </w:rPr>
        <w:t>9</w:t>
      </w:r>
      <w:r w:rsidRPr="00A41261">
        <w:rPr>
          <w:rFonts w:asciiTheme="majorBidi" w:hAnsiTheme="majorBidi" w:cstheme="majorBidi"/>
          <w:color w:val="000000"/>
          <w:kern w:val="0"/>
          <w:u w:color="0000E9"/>
        </w:rPr>
        <w:t>(1), e63524.</w:t>
      </w:r>
    </w:p>
    <w:p w14:paraId="0A14F985" w14:textId="77777777" w:rsidR="00A41261" w:rsidRPr="00A41261" w:rsidRDefault="00A41261" w:rsidP="007C7346">
      <w:pPr>
        <w:autoSpaceDE w:val="0"/>
        <w:autoSpaceDN w:val="0"/>
        <w:adjustRightInd w:val="0"/>
        <w:spacing w:after="240" w:line="360" w:lineRule="auto"/>
        <w:ind w:left="540" w:hanging="540"/>
        <w:jc w:val="both"/>
        <w:rPr>
          <w:rFonts w:asciiTheme="majorBidi" w:hAnsiTheme="majorBidi" w:cstheme="majorBidi"/>
          <w:color w:val="000000"/>
          <w:kern w:val="0"/>
          <w:u w:color="0000E9"/>
        </w:rPr>
      </w:pPr>
      <w:r w:rsidRPr="00A41261">
        <w:rPr>
          <w:rFonts w:asciiTheme="majorBidi" w:hAnsiTheme="majorBidi" w:cstheme="majorBidi"/>
          <w:color w:val="000000"/>
          <w:kern w:val="0"/>
          <w:u w:color="0000E9"/>
        </w:rPr>
        <w:t xml:space="preserve">World Economic Forum (2023) </w:t>
      </w:r>
      <w:r w:rsidRPr="00A41261">
        <w:rPr>
          <w:rFonts w:asciiTheme="majorBidi" w:hAnsiTheme="majorBidi" w:cstheme="majorBidi"/>
          <w:i/>
          <w:iCs/>
          <w:color w:val="000000"/>
          <w:kern w:val="0"/>
          <w:u w:color="0000E9"/>
        </w:rPr>
        <w:t>The Future of Jobs Report 2023</w:t>
      </w:r>
      <w:r w:rsidRPr="00A41261">
        <w:rPr>
          <w:rFonts w:asciiTheme="majorBidi" w:hAnsiTheme="majorBidi" w:cstheme="majorBidi"/>
          <w:color w:val="000000"/>
          <w:kern w:val="0"/>
          <w:u w:color="0000E9"/>
        </w:rPr>
        <w:t xml:space="preserve">. Available at: </w:t>
      </w:r>
      <w:hyperlink r:id="rId28" w:history="1">
        <w:r w:rsidRPr="00A41261">
          <w:rPr>
            <w:rFonts w:asciiTheme="majorBidi" w:hAnsiTheme="majorBidi" w:cstheme="majorBidi"/>
            <w:color w:val="000000"/>
            <w:kern w:val="0"/>
            <w:u w:val="single" w:color="0000E9"/>
          </w:rPr>
          <w:t>https://www3.weforum.org/docs/WEF_Future_of_Jobs_2023.pdf</w:t>
        </w:r>
      </w:hyperlink>
      <w:r w:rsidRPr="00A41261">
        <w:rPr>
          <w:rFonts w:asciiTheme="majorBidi" w:hAnsiTheme="majorBidi" w:cstheme="majorBidi"/>
          <w:color w:val="000000"/>
          <w:kern w:val="0"/>
          <w:u w:color="0000E9"/>
        </w:rPr>
        <w:t xml:space="preserve">  (Accessed: 26 February 2026).</w:t>
      </w:r>
    </w:p>
    <w:p w14:paraId="61B51751" w14:textId="77777777" w:rsidR="00227A91" w:rsidRPr="00A41261" w:rsidRDefault="00A41261" w:rsidP="007C7346">
      <w:pPr>
        <w:spacing w:line="360" w:lineRule="auto"/>
        <w:ind w:left="540" w:hanging="540"/>
        <w:jc w:val="both"/>
        <w:rPr>
          <w:rFonts w:asciiTheme="majorBidi" w:hAnsiTheme="majorBidi" w:cstheme="majorBidi"/>
          <w:color w:val="000000"/>
          <w:kern w:val="0"/>
          <w:u w:color="0000E9"/>
        </w:rPr>
      </w:pPr>
      <w:r w:rsidRPr="00A41261">
        <w:rPr>
          <w:rFonts w:asciiTheme="majorBidi" w:hAnsiTheme="majorBidi" w:cstheme="majorBidi"/>
          <w:color w:val="000000"/>
          <w:kern w:val="0"/>
          <w:u w:color="0000E9"/>
        </w:rPr>
        <w:lastRenderedPageBreak/>
        <w:t xml:space="preserve">World Economic Forum (2024) </w:t>
      </w:r>
      <w:r w:rsidRPr="00A41261">
        <w:rPr>
          <w:rFonts w:asciiTheme="majorBidi" w:hAnsiTheme="majorBidi" w:cstheme="majorBidi"/>
          <w:i/>
          <w:iCs/>
          <w:color w:val="000000"/>
          <w:kern w:val="0"/>
          <w:u w:color="0000E9"/>
        </w:rPr>
        <w:t>Putting Skills First 2024</w:t>
      </w:r>
      <w:r w:rsidRPr="00A41261">
        <w:rPr>
          <w:rFonts w:asciiTheme="majorBidi" w:hAnsiTheme="majorBidi" w:cstheme="majorBidi"/>
          <w:color w:val="000000"/>
          <w:kern w:val="0"/>
          <w:u w:color="0000E9"/>
        </w:rPr>
        <w:t xml:space="preserve">. Available at: </w:t>
      </w:r>
      <w:hyperlink r:id="rId29" w:history="1">
        <w:r w:rsidRPr="00A41261">
          <w:rPr>
            <w:rFonts w:asciiTheme="majorBidi" w:hAnsiTheme="majorBidi" w:cstheme="majorBidi"/>
            <w:color w:val="000000"/>
            <w:kern w:val="0"/>
            <w:u w:val="single" w:color="0000E9"/>
          </w:rPr>
          <w:t>https://www3.weforum.org/docs/WEF_Putting_Skills_First_2024.pdf</w:t>
        </w:r>
      </w:hyperlink>
      <w:r w:rsidRPr="00A41261">
        <w:rPr>
          <w:rFonts w:asciiTheme="majorBidi" w:hAnsiTheme="majorBidi" w:cstheme="majorBidi"/>
          <w:color w:val="000000"/>
          <w:kern w:val="0"/>
          <w:u w:color="0000E9"/>
        </w:rPr>
        <w:t xml:space="preserve">  (Accessed: 26 February 2026).</w:t>
      </w:r>
    </w:p>
    <w:p w14:paraId="7B4C5A82" w14:textId="77777777" w:rsidR="00A41261" w:rsidRPr="00A41261" w:rsidRDefault="00A41261" w:rsidP="00A41261">
      <w:pPr>
        <w:spacing w:line="360" w:lineRule="auto"/>
        <w:jc w:val="both"/>
        <w:rPr>
          <w:rFonts w:asciiTheme="majorBidi" w:hAnsiTheme="majorBidi" w:cstheme="majorBidi"/>
          <w:color w:val="000000"/>
          <w:kern w:val="0"/>
          <w:u w:color="0000E9"/>
        </w:rPr>
      </w:pPr>
    </w:p>
    <w:p w14:paraId="3B39367F" w14:textId="77777777" w:rsidR="00A41261" w:rsidRPr="00A41261" w:rsidRDefault="00A41261" w:rsidP="00A41261">
      <w:pPr>
        <w:spacing w:line="360" w:lineRule="auto"/>
        <w:jc w:val="both"/>
        <w:rPr>
          <w:rFonts w:asciiTheme="majorBidi" w:hAnsiTheme="majorBidi" w:cstheme="majorBidi"/>
          <w:color w:val="000000"/>
          <w:kern w:val="0"/>
          <w:u w:color="0000E9"/>
        </w:rPr>
      </w:pPr>
    </w:p>
    <w:p w14:paraId="1CEC76FD" w14:textId="77777777" w:rsidR="007C7346" w:rsidRDefault="007C7346">
      <w:pPr>
        <w:rPr>
          <w:rFonts w:asciiTheme="majorBidi" w:eastAsiaTheme="majorEastAsia" w:hAnsiTheme="majorBidi" w:cstheme="majorBidi"/>
          <w:b/>
          <w:color w:val="000000" w:themeColor="text1"/>
        </w:rPr>
      </w:pPr>
      <w:bookmarkStart w:id="17" w:name="_Toc223535140"/>
      <w:r>
        <w:rPr>
          <w:rFonts w:asciiTheme="majorBidi" w:hAnsiTheme="majorBidi"/>
        </w:rPr>
        <w:br w:type="page"/>
      </w:r>
    </w:p>
    <w:p w14:paraId="369D7B03" w14:textId="77777777" w:rsidR="00A41261" w:rsidRPr="007C7346" w:rsidRDefault="00A41261" w:rsidP="007C7346">
      <w:pPr>
        <w:pStyle w:val="Heading1"/>
        <w:spacing w:line="360" w:lineRule="auto"/>
        <w:jc w:val="both"/>
        <w:rPr>
          <w:rFonts w:asciiTheme="majorBidi" w:hAnsiTheme="majorBidi"/>
          <w:szCs w:val="24"/>
        </w:rPr>
      </w:pPr>
      <w:r w:rsidRPr="00A41261">
        <w:rPr>
          <w:rFonts w:asciiTheme="majorBidi" w:hAnsiTheme="majorBidi"/>
          <w:szCs w:val="24"/>
        </w:rPr>
        <w:lastRenderedPageBreak/>
        <w:t>Appendices</w:t>
      </w:r>
      <w:bookmarkEnd w:id="17"/>
      <w:r w:rsidRPr="00A41261">
        <w:rPr>
          <w:rFonts w:asciiTheme="majorBidi" w:hAnsiTheme="majorBidi"/>
          <w:szCs w:val="24"/>
        </w:rPr>
        <w:t xml:space="preserve"> </w:t>
      </w:r>
    </w:p>
    <w:p w14:paraId="5284F748" w14:textId="77777777" w:rsidR="007C7346" w:rsidRDefault="00A41261" w:rsidP="00A41261">
      <w:pPr>
        <w:pStyle w:val="Heading2"/>
        <w:spacing w:line="360" w:lineRule="auto"/>
        <w:jc w:val="both"/>
        <w:rPr>
          <w:rFonts w:asciiTheme="majorBidi" w:hAnsiTheme="majorBidi"/>
          <w:szCs w:val="24"/>
        </w:rPr>
      </w:pPr>
      <w:bookmarkStart w:id="18" w:name="_Toc223535141"/>
      <w:r w:rsidRPr="00A41261">
        <w:rPr>
          <w:rFonts w:asciiTheme="majorBidi" w:hAnsiTheme="majorBidi"/>
          <w:szCs w:val="24"/>
        </w:rPr>
        <w:t>Appendix 1: Poster Presentation</w:t>
      </w:r>
      <w:bookmarkEnd w:id="18"/>
    </w:p>
    <w:p w14:paraId="520F7326" w14:textId="77777777" w:rsidR="00743FD5" w:rsidRDefault="00743FD5" w:rsidP="00A41261">
      <w:pPr>
        <w:pStyle w:val="Heading2"/>
        <w:spacing w:line="360" w:lineRule="auto"/>
        <w:jc w:val="both"/>
        <w:rPr>
          <w:rFonts w:asciiTheme="majorBidi" w:hAnsiTheme="majorBidi"/>
          <w:szCs w:val="24"/>
        </w:rPr>
      </w:pPr>
      <w:r>
        <w:rPr>
          <w:rFonts w:asciiTheme="majorBidi" w:hAnsiTheme="majorBidi"/>
          <w:noProof/>
          <w:szCs w:val="24"/>
        </w:rPr>
        <w:drawing>
          <wp:inline distT="0" distB="0" distL="0" distR="0" wp14:anchorId="62B93C51" wp14:editId="774BDC4B">
            <wp:extent cx="5943600" cy="33229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6-04-01 150430.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943600" cy="3322955"/>
                    </a:xfrm>
                    <a:prstGeom prst="rect">
                      <a:avLst/>
                    </a:prstGeom>
                  </pic:spPr>
                </pic:pic>
              </a:graphicData>
            </a:graphic>
          </wp:inline>
        </w:drawing>
      </w:r>
    </w:p>
    <w:p w14:paraId="35C16B85" w14:textId="77777777" w:rsidR="00743FD5" w:rsidRPr="00743FD5" w:rsidRDefault="00743FD5" w:rsidP="00743FD5"/>
    <w:p w14:paraId="5846AAAD" w14:textId="77777777" w:rsidR="00743FD5" w:rsidRPr="00743FD5" w:rsidRDefault="00743FD5" w:rsidP="00743FD5"/>
    <w:p w14:paraId="2A0E9520" w14:textId="77777777" w:rsidR="00743FD5" w:rsidRPr="00743FD5" w:rsidRDefault="00743FD5" w:rsidP="00743FD5"/>
    <w:p w14:paraId="0C7BC425" w14:textId="77777777" w:rsidR="00A41261" w:rsidRPr="00743FD5" w:rsidRDefault="00743FD5" w:rsidP="00743FD5">
      <w:pPr>
        <w:tabs>
          <w:tab w:val="left" w:pos="1602"/>
        </w:tabs>
      </w:pPr>
      <w:r>
        <w:rPr>
          <w:noProof/>
        </w:rPr>
        <w:drawing>
          <wp:inline distT="0" distB="0" distL="0" distR="0" wp14:anchorId="344F2687" wp14:editId="1DA0D4F4">
            <wp:extent cx="5943600" cy="32746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6-04-01 150437.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943600" cy="3274695"/>
                    </a:xfrm>
                    <a:prstGeom prst="rect">
                      <a:avLst/>
                    </a:prstGeom>
                  </pic:spPr>
                </pic:pic>
              </a:graphicData>
            </a:graphic>
          </wp:inline>
        </w:drawing>
      </w:r>
    </w:p>
    <w:sectPr w:rsidR="00A41261" w:rsidRPr="00743FD5" w:rsidSect="00A41261">
      <w:footerReference w:type="even" r:id="rId32"/>
      <w:footerReference w:type="default" r:id="rId3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AF7374" w14:textId="77777777" w:rsidR="006778BF" w:rsidRDefault="006778BF" w:rsidP="00A41261">
      <w:r>
        <w:separator/>
      </w:r>
    </w:p>
  </w:endnote>
  <w:endnote w:type="continuationSeparator" w:id="0">
    <w:p w14:paraId="47BEB7BE" w14:textId="77777777" w:rsidR="006778BF" w:rsidRDefault="006778BF" w:rsidP="00A412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09914899"/>
      <w:docPartObj>
        <w:docPartGallery w:val="Page Numbers (Bottom of Page)"/>
        <w:docPartUnique/>
      </w:docPartObj>
    </w:sdtPr>
    <w:sdtContent>
      <w:p w14:paraId="7A9D0698" w14:textId="77777777" w:rsidR="00A41261" w:rsidRDefault="00A41261" w:rsidP="0008113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12FBC9" w14:textId="77777777" w:rsidR="00A41261" w:rsidRDefault="00A41261" w:rsidP="00A4126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98231449"/>
      <w:docPartObj>
        <w:docPartGallery w:val="Page Numbers (Bottom of Page)"/>
        <w:docPartUnique/>
      </w:docPartObj>
    </w:sdtPr>
    <w:sdtContent>
      <w:p w14:paraId="15DD2374" w14:textId="77777777" w:rsidR="00A41261" w:rsidRDefault="00A41261" w:rsidP="0008113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43FD5">
          <w:rPr>
            <w:rStyle w:val="PageNumber"/>
            <w:noProof/>
          </w:rPr>
          <w:t>19</w:t>
        </w:r>
        <w:r>
          <w:rPr>
            <w:rStyle w:val="PageNumber"/>
          </w:rPr>
          <w:fldChar w:fldCharType="end"/>
        </w:r>
      </w:p>
    </w:sdtContent>
  </w:sdt>
  <w:p w14:paraId="5FA5E7E3" w14:textId="77777777" w:rsidR="00A41261" w:rsidRDefault="00A41261" w:rsidP="00A4126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FED90D" w14:textId="77777777" w:rsidR="006778BF" w:rsidRDefault="006778BF" w:rsidP="00A41261">
      <w:r>
        <w:separator/>
      </w:r>
    </w:p>
  </w:footnote>
  <w:footnote w:type="continuationSeparator" w:id="0">
    <w:p w14:paraId="4A1EFECE" w14:textId="77777777" w:rsidR="006778BF" w:rsidRDefault="006778BF" w:rsidP="00A4126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1261"/>
    <w:rsid w:val="00022BA2"/>
    <w:rsid w:val="000E5882"/>
    <w:rsid w:val="000F5DBC"/>
    <w:rsid w:val="001E3F56"/>
    <w:rsid w:val="00227A91"/>
    <w:rsid w:val="00257739"/>
    <w:rsid w:val="0028065D"/>
    <w:rsid w:val="002B5BD5"/>
    <w:rsid w:val="0030027F"/>
    <w:rsid w:val="00372775"/>
    <w:rsid w:val="003922C6"/>
    <w:rsid w:val="003D5EEE"/>
    <w:rsid w:val="00577BC5"/>
    <w:rsid w:val="005A7A5C"/>
    <w:rsid w:val="005F6FA0"/>
    <w:rsid w:val="006751B0"/>
    <w:rsid w:val="006778BF"/>
    <w:rsid w:val="00743FD5"/>
    <w:rsid w:val="00760A80"/>
    <w:rsid w:val="007639BE"/>
    <w:rsid w:val="007C2023"/>
    <w:rsid w:val="007C7346"/>
    <w:rsid w:val="00973864"/>
    <w:rsid w:val="009B23A8"/>
    <w:rsid w:val="00A41261"/>
    <w:rsid w:val="00AA08F7"/>
    <w:rsid w:val="00C04675"/>
    <w:rsid w:val="00D37A9B"/>
    <w:rsid w:val="00D80F72"/>
    <w:rsid w:val="00D9304E"/>
    <w:rsid w:val="00DA335E"/>
    <w:rsid w:val="00E12A8C"/>
    <w:rsid w:val="00E35A91"/>
    <w:rsid w:val="00E602B8"/>
    <w:rsid w:val="00EC0757"/>
    <w:rsid w:val="00F836FD"/>
    <w:rsid w:val="00FC20AF"/>
    <w:rsid w:val="00FC782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907E1"/>
  <w15:chartTrackingRefBased/>
  <w15:docId w15:val="{443C88F9-FE66-424A-8C5F-C496C3D83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5882"/>
    <w:pPr>
      <w:keepNext/>
      <w:keepLines/>
      <w:pBdr>
        <w:top w:val="nil"/>
        <w:left w:val="nil"/>
        <w:bottom w:val="nil"/>
        <w:right w:val="nil"/>
        <w:between w:val="nil"/>
        <w:bar w:val="nil"/>
      </w:pBdr>
      <w:spacing w:before="240" w:after="12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rsid w:val="00577BC5"/>
    <w:pPr>
      <w:keepNext/>
      <w:keepLines/>
      <w:spacing w:before="160" w:after="120"/>
      <w:outlineLvl w:val="1"/>
    </w:pPr>
    <w:rPr>
      <w:rFonts w:eastAsiaTheme="majorEastAsia" w:cstheme="majorBidi"/>
      <w:b/>
      <w:i/>
      <w:color w:val="4472C4" w:themeColor="accent1"/>
      <w:szCs w:val="32"/>
    </w:rPr>
  </w:style>
  <w:style w:type="paragraph" w:styleId="Heading3">
    <w:name w:val="heading 3"/>
    <w:basedOn w:val="Normal"/>
    <w:next w:val="Normal"/>
    <w:link w:val="Heading3Char"/>
    <w:uiPriority w:val="9"/>
    <w:unhideWhenUsed/>
    <w:qFormat/>
    <w:rsid w:val="00D80F72"/>
    <w:pPr>
      <w:keepNext/>
      <w:keepLines/>
      <w:spacing w:before="160" w:after="80"/>
      <w:outlineLvl w:val="2"/>
    </w:pPr>
    <w:rPr>
      <w:rFonts w:asciiTheme="majorBidi" w:eastAsiaTheme="majorEastAsia" w:hAnsiTheme="majorBidi" w:cstheme="majorBidi"/>
      <w:b/>
      <w:color w:val="000000" w:themeColor="text1"/>
      <w:szCs w:val="28"/>
    </w:rPr>
  </w:style>
  <w:style w:type="paragraph" w:styleId="Heading4">
    <w:name w:val="heading 4"/>
    <w:basedOn w:val="Normal"/>
    <w:next w:val="Normal"/>
    <w:link w:val="Heading4Char"/>
    <w:uiPriority w:val="9"/>
    <w:semiHidden/>
    <w:unhideWhenUsed/>
    <w:qFormat/>
    <w:rsid w:val="00A4126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4126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41261"/>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41261"/>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41261"/>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41261"/>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5882"/>
    <w:rPr>
      <w:rFonts w:eastAsiaTheme="majorEastAsia" w:cstheme="majorBidi"/>
      <w:b/>
      <w:color w:val="000000" w:themeColor="text1"/>
      <w:szCs w:val="32"/>
    </w:rPr>
  </w:style>
  <w:style w:type="character" w:customStyle="1" w:styleId="Heading2Char">
    <w:name w:val="Heading 2 Char"/>
    <w:basedOn w:val="DefaultParagraphFont"/>
    <w:link w:val="Heading2"/>
    <w:uiPriority w:val="9"/>
    <w:rsid w:val="00577BC5"/>
    <w:rPr>
      <w:rFonts w:eastAsiaTheme="majorEastAsia" w:cstheme="majorBidi"/>
      <w:b/>
      <w:i/>
      <w:color w:val="4472C4" w:themeColor="accent1"/>
      <w:szCs w:val="32"/>
    </w:rPr>
  </w:style>
  <w:style w:type="character" w:customStyle="1" w:styleId="Heading3Char">
    <w:name w:val="Heading 3 Char"/>
    <w:basedOn w:val="DefaultParagraphFont"/>
    <w:link w:val="Heading3"/>
    <w:uiPriority w:val="9"/>
    <w:rsid w:val="00D80F72"/>
    <w:rPr>
      <w:rFonts w:asciiTheme="majorBidi" w:eastAsiaTheme="majorEastAsia" w:hAnsiTheme="majorBidi" w:cstheme="majorBidi"/>
      <w:b/>
      <w:color w:val="000000" w:themeColor="text1"/>
      <w:szCs w:val="28"/>
    </w:rPr>
  </w:style>
  <w:style w:type="character" w:customStyle="1" w:styleId="Heading4Char">
    <w:name w:val="Heading 4 Char"/>
    <w:basedOn w:val="DefaultParagraphFont"/>
    <w:link w:val="Heading4"/>
    <w:uiPriority w:val="9"/>
    <w:semiHidden/>
    <w:rsid w:val="00A41261"/>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A41261"/>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A41261"/>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A41261"/>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A41261"/>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A41261"/>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A4126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12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1261"/>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1261"/>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A4126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41261"/>
    <w:rPr>
      <w:i/>
      <w:iCs/>
      <w:color w:val="404040" w:themeColor="text1" w:themeTint="BF"/>
    </w:rPr>
  </w:style>
  <w:style w:type="paragraph" w:styleId="ListParagraph">
    <w:name w:val="List Paragraph"/>
    <w:basedOn w:val="Normal"/>
    <w:uiPriority w:val="34"/>
    <w:qFormat/>
    <w:rsid w:val="00A41261"/>
    <w:pPr>
      <w:ind w:left="720"/>
      <w:contextualSpacing/>
    </w:pPr>
  </w:style>
  <w:style w:type="character" w:styleId="IntenseEmphasis">
    <w:name w:val="Intense Emphasis"/>
    <w:basedOn w:val="DefaultParagraphFont"/>
    <w:uiPriority w:val="21"/>
    <w:qFormat/>
    <w:rsid w:val="00A41261"/>
    <w:rPr>
      <w:i/>
      <w:iCs/>
      <w:color w:val="2F5496" w:themeColor="accent1" w:themeShade="BF"/>
    </w:rPr>
  </w:style>
  <w:style w:type="paragraph" w:styleId="IntenseQuote">
    <w:name w:val="Intense Quote"/>
    <w:basedOn w:val="Normal"/>
    <w:next w:val="Normal"/>
    <w:link w:val="IntenseQuoteChar"/>
    <w:uiPriority w:val="30"/>
    <w:qFormat/>
    <w:rsid w:val="00A4126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41261"/>
    <w:rPr>
      <w:i/>
      <w:iCs/>
      <w:color w:val="2F5496" w:themeColor="accent1" w:themeShade="BF"/>
    </w:rPr>
  </w:style>
  <w:style w:type="character" w:styleId="IntenseReference">
    <w:name w:val="Intense Reference"/>
    <w:basedOn w:val="DefaultParagraphFont"/>
    <w:uiPriority w:val="32"/>
    <w:qFormat/>
    <w:rsid w:val="00A41261"/>
    <w:rPr>
      <w:b/>
      <w:bCs/>
      <w:smallCaps/>
      <w:color w:val="2F5496" w:themeColor="accent1" w:themeShade="BF"/>
      <w:spacing w:val="5"/>
    </w:rPr>
  </w:style>
  <w:style w:type="paragraph" w:styleId="Footer">
    <w:name w:val="footer"/>
    <w:basedOn w:val="Normal"/>
    <w:link w:val="FooterChar"/>
    <w:uiPriority w:val="99"/>
    <w:unhideWhenUsed/>
    <w:rsid w:val="00A41261"/>
    <w:pPr>
      <w:tabs>
        <w:tab w:val="center" w:pos="4680"/>
        <w:tab w:val="right" w:pos="9360"/>
      </w:tabs>
    </w:pPr>
  </w:style>
  <w:style w:type="character" w:customStyle="1" w:styleId="FooterChar">
    <w:name w:val="Footer Char"/>
    <w:basedOn w:val="DefaultParagraphFont"/>
    <w:link w:val="Footer"/>
    <w:uiPriority w:val="99"/>
    <w:rsid w:val="00A41261"/>
  </w:style>
  <w:style w:type="character" w:styleId="PageNumber">
    <w:name w:val="page number"/>
    <w:basedOn w:val="DefaultParagraphFont"/>
    <w:uiPriority w:val="99"/>
    <w:semiHidden/>
    <w:unhideWhenUsed/>
    <w:rsid w:val="00A41261"/>
  </w:style>
  <w:style w:type="paragraph" w:styleId="TOCHeading">
    <w:name w:val="TOC Heading"/>
    <w:basedOn w:val="Heading1"/>
    <w:next w:val="Normal"/>
    <w:uiPriority w:val="39"/>
    <w:unhideWhenUsed/>
    <w:qFormat/>
    <w:rsid w:val="00A41261"/>
    <w:pPr>
      <w:pBdr>
        <w:top w:val="none" w:sz="0" w:space="0" w:color="auto"/>
        <w:left w:val="none" w:sz="0" w:space="0" w:color="auto"/>
        <w:bottom w:val="none" w:sz="0" w:space="0" w:color="auto"/>
        <w:right w:val="none" w:sz="0" w:space="0" w:color="auto"/>
        <w:between w:val="none" w:sz="0" w:space="0" w:color="auto"/>
        <w:bar w:val="none" w:sz="0" w:color="auto"/>
      </w:pBdr>
      <w:spacing w:before="480" w:after="0" w:line="276" w:lineRule="auto"/>
      <w:outlineLvl w:val="9"/>
    </w:pPr>
    <w:rPr>
      <w:rFonts w:asciiTheme="majorHAnsi" w:hAnsiTheme="majorHAnsi"/>
      <w:bCs/>
      <w:color w:val="2F5496" w:themeColor="accent1" w:themeShade="BF"/>
      <w:kern w:val="0"/>
      <w:sz w:val="28"/>
      <w:szCs w:val="28"/>
      <w14:ligatures w14:val="none"/>
    </w:rPr>
  </w:style>
  <w:style w:type="paragraph" w:styleId="TOC1">
    <w:name w:val="toc 1"/>
    <w:basedOn w:val="Normal"/>
    <w:next w:val="Normal"/>
    <w:autoRedefine/>
    <w:uiPriority w:val="39"/>
    <w:unhideWhenUsed/>
    <w:rsid w:val="00A41261"/>
    <w:pPr>
      <w:spacing w:before="240" w:after="120"/>
    </w:pPr>
    <w:rPr>
      <w:rFonts w:asciiTheme="minorHAnsi" w:hAnsiTheme="minorHAnsi" w:cstheme="minorHAnsi"/>
      <w:b/>
      <w:bCs/>
      <w:sz w:val="20"/>
    </w:rPr>
  </w:style>
  <w:style w:type="paragraph" w:styleId="TOC2">
    <w:name w:val="toc 2"/>
    <w:basedOn w:val="Normal"/>
    <w:next w:val="Normal"/>
    <w:autoRedefine/>
    <w:uiPriority w:val="39"/>
    <w:unhideWhenUsed/>
    <w:rsid w:val="00A41261"/>
    <w:pPr>
      <w:spacing w:before="120"/>
      <w:ind w:left="240"/>
    </w:pPr>
    <w:rPr>
      <w:rFonts w:asciiTheme="minorHAnsi" w:hAnsiTheme="minorHAnsi" w:cstheme="minorHAnsi"/>
      <w:i/>
      <w:iCs/>
      <w:sz w:val="20"/>
    </w:rPr>
  </w:style>
  <w:style w:type="character" w:styleId="Hyperlink">
    <w:name w:val="Hyperlink"/>
    <w:basedOn w:val="DefaultParagraphFont"/>
    <w:uiPriority w:val="99"/>
    <w:unhideWhenUsed/>
    <w:rsid w:val="00A41261"/>
    <w:rPr>
      <w:color w:val="0563C1" w:themeColor="hyperlink"/>
      <w:u w:val="single"/>
    </w:rPr>
  </w:style>
  <w:style w:type="paragraph" w:styleId="TOC3">
    <w:name w:val="toc 3"/>
    <w:basedOn w:val="Normal"/>
    <w:next w:val="Normal"/>
    <w:autoRedefine/>
    <w:uiPriority w:val="39"/>
    <w:semiHidden/>
    <w:unhideWhenUsed/>
    <w:rsid w:val="00A41261"/>
    <w:pPr>
      <w:ind w:left="480"/>
    </w:pPr>
    <w:rPr>
      <w:rFonts w:asciiTheme="minorHAnsi" w:hAnsiTheme="minorHAnsi" w:cstheme="minorHAnsi"/>
      <w:sz w:val="20"/>
    </w:rPr>
  </w:style>
  <w:style w:type="paragraph" w:styleId="TOC4">
    <w:name w:val="toc 4"/>
    <w:basedOn w:val="Normal"/>
    <w:next w:val="Normal"/>
    <w:autoRedefine/>
    <w:uiPriority w:val="39"/>
    <w:semiHidden/>
    <w:unhideWhenUsed/>
    <w:rsid w:val="00A41261"/>
    <w:pPr>
      <w:ind w:left="720"/>
    </w:pPr>
    <w:rPr>
      <w:rFonts w:asciiTheme="minorHAnsi" w:hAnsiTheme="minorHAnsi" w:cstheme="minorHAnsi"/>
      <w:sz w:val="20"/>
    </w:rPr>
  </w:style>
  <w:style w:type="paragraph" w:styleId="TOC5">
    <w:name w:val="toc 5"/>
    <w:basedOn w:val="Normal"/>
    <w:next w:val="Normal"/>
    <w:autoRedefine/>
    <w:uiPriority w:val="39"/>
    <w:semiHidden/>
    <w:unhideWhenUsed/>
    <w:rsid w:val="00A41261"/>
    <w:pPr>
      <w:ind w:left="960"/>
    </w:pPr>
    <w:rPr>
      <w:rFonts w:asciiTheme="minorHAnsi" w:hAnsiTheme="minorHAnsi" w:cstheme="minorHAnsi"/>
      <w:sz w:val="20"/>
    </w:rPr>
  </w:style>
  <w:style w:type="paragraph" w:styleId="TOC6">
    <w:name w:val="toc 6"/>
    <w:basedOn w:val="Normal"/>
    <w:next w:val="Normal"/>
    <w:autoRedefine/>
    <w:uiPriority w:val="39"/>
    <w:semiHidden/>
    <w:unhideWhenUsed/>
    <w:rsid w:val="00A41261"/>
    <w:pPr>
      <w:ind w:left="1200"/>
    </w:pPr>
    <w:rPr>
      <w:rFonts w:asciiTheme="minorHAnsi" w:hAnsiTheme="minorHAnsi" w:cstheme="minorHAnsi"/>
      <w:sz w:val="20"/>
    </w:rPr>
  </w:style>
  <w:style w:type="paragraph" w:styleId="TOC7">
    <w:name w:val="toc 7"/>
    <w:basedOn w:val="Normal"/>
    <w:next w:val="Normal"/>
    <w:autoRedefine/>
    <w:uiPriority w:val="39"/>
    <w:semiHidden/>
    <w:unhideWhenUsed/>
    <w:rsid w:val="00A41261"/>
    <w:pPr>
      <w:ind w:left="1440"/>
    </w:pPr>
    <w:rPr>
      <w:rFonts w:asciiTheme="minorHAnsi" w:hAnsiTheme="minorHAnsi" w:cstheme="minorHAnsi"/>
      <w:sz w:val="20"/>
    </w:rPr>
  </w:style>
  <w:style w:type="paragraph" w:styleId="TOC8">
    <w:name w:val="toc 8"/>
    <w:basedOn w:val="Normal"/>
    <w:next w:val="Normal"/>
    <w:autoRedefine/>
    <w:uiPriority w:val="39"/>
    <w:semiHidden/>
    <w:unhideWhenUsed/>
    <w:rsid w:val="00A41261"/>
    <w:pPr>
      <w:ind w:left="1680"/>
    </w:pPr>
    <w:rPr>
      <w:rFonts w:asciiTheme="minorHAnsi" w:hAnsiTheme="minorHAnsi" w:cstheme="minorHAnsi"/>
      <w:sz w:val="20"/>
    </w:rPr>
  </w:style>
  <w:style w:type="paragraph" w:styleId="TOC9">
    <w:name w:val="toc 9"/>
    <w:basedOn w:val="Normal"/>
    <w:next w:val="Normal"/>
    <w:autoRedefine/>
    <w:uiPriority w:val="39"/>
    <w:semiHidden/>
    <w:unhideWhenUsed/>
    <w:rsid w:val="00A41261"/>
    <w:pPr>
      <w:ind w:left="1920"/>
    </w:pPr>
    <w:rPr>
      <w:rFonts w:asciiTheme="minorHAnsi" w:hAnsiTheme="minorHAnsi" w:cstheme="minorHAnsi"/>
      <w:sz w:val="20"/>
    </w:rPr>
  </w:style>
  <w:style w:type="paragraph" w:styleId="Caption">
    <w:name w:val="caption"/>
    <w:basedOn w:val="Normal"/>
    <w:next w:val="Normal"/>
    <w:uiPriority w:val="35"/>
    <w:unhideWhenUsed/>
    <w:qFormat/>
    <w:rsid w:val="0030027F"/>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blog.duolingo.com/video-call/" TargetMode="External"/><Relationship Id="rId26" Type="http://schemas.openxmlformats.org/officeDocument/2006/relationships/hyperlink" Target="https://www.pna.gov.ph/articles/1241876" TargetMode="External"/><Relationship Id="rId3" Type="http://schemas.openxmlformats.org/officeDocument/2006/relationships/settings" Target="settings.xml"/><Relationship Id="rId21" Type="http://schemas.openxmlformats.org/officeDocument/2006/relationships/hyperlink" Target="https://www.ft.com/content/66a72257-2142-4188-8cb3-725c86b9fd9e"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assets.ctfassets.net/2pudprfttvy6/6kCSgjxcL69gh4ziZnlBhr/ff912d112d1afbdf705a893b6e9f99ea/Micro-Credentials_Impact_Report_2024.pdf" TargetMode="External"/><Relationship Id="rId25" Type="http://schemas.openxmlformats.org/officeDocument/2006/relationships/hyperlink" Target="https://doi.org/10.4324/9781003169635" TargetMode="External"/><Relationship Id="rId33"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eur-lex.europa.eu/legal-content/EN/TXT/?uri=oj%3AJOC_2022_243_R_0002" TargetMode="External"/><Relationship Id="rId20" Type="http://schemas.openxmlformats.org/officeDocument/2006/relationships/hyperlink" Target="https://investors.duolingo.com/static-files/35b969fb-cc04-4c65-9b40-21c7e9777606" TargetMode="External"/><Relationship Id="rId29" Type="http://schemas.openxmlformats.org/officeDocument/2006/relationships/hyperlink" Target="https://www3.weforum.org/docs/WEF_Putting_Skills_First_2024.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pearson.com/content/dam/one-dot-com/one-dot-com/pearson-languages/en-gb/pdfs/versant-resources/versant-by-pearson-4-skills-essentials-test-official-test-guide.pdf"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cambridgeenglish.org/exams-and-tests/linguaskill/information-about-the-exam/linguaskill-business/" TargetMode="External"/><Relationship Id="rId23" Type="http://schemas.openxmlformats.org/officeDocument/2006/relationships/hyperlink" Target="https://www.oecd.org/en/publications/micro-credentials-for-lifelong-learning-and-employability_9c4b7b68-en.html" TargetMode="External"/><Relationship Id="rId28" Type="http://schemas.openxmlformats.org/officeDocument/2006/relationships/hyperlink" Target="https://www3.weforum.org/docs/WEF_Future_of_Jobs_2023.pdf" TargetMode="External"/><Relationship Id="rId10" Type="http://schemas.openxmlformats.org/officeDocument/2006/relationships/image" Target="media/image4.png"/><Relationship Id="rId19" Type="http://schemas.openxmlformats.org/officeDocument/2006/relationships/hyperlink" Target="https://www.sec.gov/Archives/edgar/data/1562088/000156208825000042/duol-20241231.htm" TargetMode="External"/><Relationship Id="rId31"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coit.es/sites/default/files/gsma_260224-the-mobile-economy-2024.pdf" TargetMode="External"/><Relationship Id="rId27" Type="http://schemas.openxmlformats.org/officeDocument/2006/relationships/hyperlink" Target="https://www.hbs.edu/managing-the-future-of-work/Documents/research/Skills-Based%20Hiring.pdf" TargetMode="External"/><Relationship Id="rId30" Type="http://schemas.openxmlformats.org/officeDocument/2006/relationships/image" Target="media/image9.png"/><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CCAB9B01-4A7D-4C71-A0F7-D7832E0671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19</Pages>
  <Words>4490</Words>
  <Characters>25596</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neel korat</cp:lastModifiedBy>
  <cp:revision>6</cp:revision>
  <dcterms:created xsi:type="dcterms:W3CDTF">2026-03-04T11:41:00Z</dcterms:created>
  <dcterms:modified xsi:type="dcterms:W3CDTF">2026-04-01T10:33:00Z</dcterms:modified>
</cp:coreProperties>
</file>