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310476326"/>
        <w:docPartObj>
          <w:docPartGallery w:val="Cover Pages"/>
          <w:docPartUnique/>
        </w:docPartObj>
      </w:sdtPr>
      <w:sdtContent>
        <w:p w14:paraId="3A8CB5DD" w14:textId="2C4E752E" w:rsidR="00170D87" w:rsidRDefault="00170D87">
          <w:pPr>
            <w:spacing w:after="160" w:line="259" w:lineRule="auto"/>
            <w:rPr>
              <w:rFonts w:ascii="Times New Roman" w:eastAsiaTheme="majorEastAsia" w:hAnsi="Times New Roman" w:cs="Times New Roman"/>
              <w:b/>
              <w:bCs/>
              <w:sz w:val="24"/>
              <w:szCs w:val="24"/>
              <w:lang w:val="en-US"/>
            </w:rPr>
          </w:pPr>
          <w:r w:rsidRPr="00170D87">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2D2C89A" wp14:editId="173AB5A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56"/>
                                </w:tblGrid>
                                <w:tr w:rsidR="00170D87" w14:paraId="729D7918" w14:textId="77777777">
                                  <w:trPr>
                                    <w:jc w:val="center"/>
                                  </w:trPr>
                                  <w:tc>
                                    <w:tcPr>
                                      <w:tcW w:w="2568" w:type="pct"/>
                                      <w:vAlign w:val="center"/>
                                    </w:tcPr>
                                    <w:p w14:paraId="31F4FAB4" w14:textId="77777777" w:rsidR="00170D87" w:rsidRDefault="00170D87">
                                      <w:pPr>
                                        <w:jc w:val="right"/>
                                      </w:pPr>
                                      <w:r>
                                        <w:rPr>
                                          <w:noProof/>
                                        </w:rPr>
                                        <w:drawing>
                                          <wp:inline distT="0" distB="0" distL="0" distR="0" wp14:anchorId="0BD86F89" wp14:editId="6587CBE3">
                                            <wp:extent cx="3065011" cy="2042063"/>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3065011" cy="204206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E42A41C" w14:textId="75AA3827" w:rsidR="00170D87" w:rsidRDefault="00170D87">
                                          <w:pPr>
                                            <w:pStyle w:val="NoSpacing"/>
                                            <w:spacing w:line="312" w:lineRule="auto"/>
                                            <w:jc w:val="right"/>
                                            <w:rPr>
                                              <w:caps/>
                                              <w:color w:val="191919" w:themeColor="text1" w:themeTint="E6"/>
                                              <w:sz w:val="72"/>
                                              <w:szCs w:val="72"/>
                                            </w:rPr>
                                          </w:pPr>
                                          <w:r>
                                            <w:rPr>
                                              <w:caps/>
                                              <w:color w:val="191919" w:themeColor="text1" w:themeTint="E6"/>
                                              <w:sz w:val="72"/>
                                              <w:szCs w:val="72"/>
                                            </w:rPr>
                                            <w:t>Project management – Hi</w:t>
                                          </w:r>
                                          <w:r w:rsidR="00873C7A">
                                            <w:rPr>
                                              <w:caps/>
                                              <w:color w:val="191919" w:themeColor="text1" w:themeTint="E6"/>
                                              <w:sz w:val="72"/>
                                              <w:szCs w:val="72"/>
                                            </w:rPr>
                                            <w:t>nkley</w:t>
                                          </w:r>
                                          <w:r>
                                            <w:rPr>
                                              <w:caps/>
                                              <w:color w:val="191919" w:themeColor="text1" w:themeTint="E6"/>
                                              <w:sz w:val="72"/>
                                              <w:szCs w:val="72"/>
                                            </w:rPr>
                                            <w:t xml:space="preserve"> Point c</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D9E7C0B" w14:textId="59109C8A" w:rsidR="00170D87" w:rsidRDefault="00170D87">
                                          <w:pPr>
                                            <w:jc w:val="right"/>
                                            <w:rPr>
                                              <w:sz w:val="24"/>
                                              <w:szCs w:val="24"/>
                                            </w:rPr>
                                          </w:pPr>
                                          <w:r>
                                            <w:rPr>
                                              <w:color w:val="000000" w:themeColor="text1"/>
                                              <w:sz w:val="24"/>
                                              <w:szCs w:val="24"/>
                                            </w:rPr>
                                            <w:t xml:space="preserve">     </w:t>
                                          </w:r>
                                        </w:p>
                                      </w:sdtContent>
                                    </w:sdt>
                                  </w:tc>
                                  <w:tc>
                                    <w:tcPr>
                                      <w:tcW w:w="2432" w:type="pct"/>
                                      <w:vAlign w:val="center"/>
                                    </w:tcPr>
                                    <w:p w14:paraId="4409A2D7" w14:textId="609A47C4" w:rsidR="00170D87" w:rsidRDefault="00170D87">
                                      <w:pPr>
                                        <w:pStyle w:val="NoSpacing"/>
                                        <w:rPr>
                                          <w:caps/>
                                          <w:color w:val="ED7D31" w:themeColor="accent2"/>
                                          <w:sz w:val="26"/>
                                          <w:szCs w:val="26"/>
                                        </w:rPr>
                                      </w:pPr>
                                      <w:r>
                                        <w:rPr>
                                          <w:caps/>
                                          <w:color w:val="ED7D31" w:themeColor="accent2"/>
                                          <w:sz w:val="26"/>
                                          <w:szCs w:val="26"/>
                                        </w:rPr>
                                        <w:t>Lecturer Anupam mazumdar</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0B8DADC" w14:textId="35660182" w:rsidR="00170D87" w:rsidRDefault="00170D87">
                                          <w:pPr>
                                            <w:rPr>
                                              <w:color w:val="000000" w:themeColor="text1"/>
                                            </w:rPr>
                                          </w:pPr>
                                          <w:r>
                                            <w:rPr>
                                              <w:color w:val="000000" w:themeColor="text1"/>
                                            </w:rPr>
                                            <w:t>UNIVERSITY OF WALES TRINITY SAINT DAVID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EB11213" w14:textId="16BE6F09" w:rsidR="00170D87" w:rsidRDefault="00170D87">
                                          <w:pPr>
                                            <w:pStyle w:val="NoSpacing"/>
                                            <w:rPr>
                                              <w:color w:val="ED7D31" w:themeColor="accent2"/>
                                              <w:sz w:val="26"/>
                                              <w:szCs w:val="26"/>
                                            </w:rPr>
                                          </w:pPr>
                                          <w:r>
                                            <w:rPr>
                                              <w:color w:val="ED7D31" w:themeColor="accent2"/>
                                              <w:sz w:val="26"/>
                                              <w:szCs w:val="26"/>
                                            </w:rPr>
                                            <w:t>Elena Nedelcheva (2112413)</w:t>
                                          </w:r>
                                        </w:p>
                                      </w:sdtContent>
                                    </w:sdt>
                                    <w:p w14:paraId="3A0F28D0" w14:textId="1D957620" w:rsidR="00170D87"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70D87">
                                            <w:rPr>
                                              <w:color w:val="44546A" w:themeColor="text2"/>
                                            </w:rPr>
                                            <w:t>Business Management</w:t>
                                          </w:r>
                                        </w:sdtContent>
                                      </w:sdt>
                                    </w:p>
                                  </w:tc>
                                </w:tr>
                              </w:tbl>
                              <w:p w14:paraId="1E3B7D24" w14:textId="77777777" w:rsidR="00170D87" w:rsidRDefault="00170D8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2D2C89A"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56"/>
                          </w:tblGrid>
                          <w:tr w:rsidR="00170D87" w14:paraId="729D7918" w14:textId="77777777">
                            <w:trPr>
                              <w:jc w:val="center"/>
                            </w:trPr>
                            <w:tc>
                              <w:tcPr>
                                <w:tcW w:w="2568" w:type="pct"/>
                                <w:vAlign w:val="center"/>
                              </w:tcPr>
                              <w:p w14:paraId="31F4FAB4" w14:textId="77777777" w:rsidR="00170D87" w:rsidRDefault="00170D87">
                                <w:pPr>
                                  <w:jc w:val="right"/>
                                </w:pPr>
                                <w:r>
                                  <w:rPr>
                                    <w:noProof/>
                                  </w:rPr>
                                  <w:drawing>
                                    <wp:inline distT="0" distB="0" distL="0" distR="0" wp14:anchorId="0BD86F89" wp14:editId="6587CBE3">
                                      <wp:extent cx="3065011" cy="2042063"/>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3065011" cy="204206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E42A41C" w14:textId="75AA3827" w:rsidR="00170D87" w:rsidRDefault="00170D87">
                                    <w:pPr>
                                      <w:pStyle w:val="NoSpacing"/>
                                      <w:spacing w:line="312" w:lineRule="auto"/>
                                      <w:jc w:val="right"/>
                                      <w:rPr>
                                        <w:caps/>
                                        <w:color w:val="191919" w:themeColor="text1" w:themeTint="E6"/>
                                        <w:sz w:val="72"/>
                                        <w:szCs w:val="72"/>
                                      </w:rPr>
                                    </w:pPr>
                                    <w:r>
                                      <w:rPr>
                                        <w:caps/>
                                        <w:color w:val="191919" w:themeColor="text1" w:themeTint="E6"/>
                                        <w:sz w:val="72"/>
                                        <w:szCs w:val="72"/>
                                      </w:rPr>
                                      <w:t>Project management – Hi</w:t>
                                    </w:r>
                                    <w:r w:rsidR="00873C7A">
                                      <w:rPr>
                                        <w:caps/>
                                        <w:color w:val="191919" w:themeColor="text1" w:themeTint="E6"/>
                                        <w:sz w:val="72"/>
                                        <w:szCs w:val="72"/>
                                      </w:rPr>
                                      <w:t>nkley</w:t>
                                    </w:r>
                                    <w:r>
                                      <w:rPr>
                                        <w:caps/>
                                        <w:color w:val="191919" w:themeColor="text1" w:themeTint="E6"/>
                                        <w:sz w:val="72"/>
                                        <w:szCs w:val="72"/>
                                      </w:rPr>
                                      <w:t xml:space="preserve"> Point c</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7D9E7C0B" w14:textId="59109C8A" w:rsidR="00170D87" w:rsidRDefault="00170D87">
                                    <w:pPr>
                                      <w:jc w:val="right"/>
                                      <w:rPr>
                                        <w:sz w:val="24"/>
                                        <w:szCs w:val="24"/>
                                      </w:rPr>
                                    </w:pPr>
                                    <w:r>
                                      <w:rPr>
                                        <w:color w:val="000000" w:themeColor="text1"/>
                                        <w:sz w:val="24"/>
                                        <w:szCs w:val="24"/>
                                      </w:rPr>
                                      <w:t xml:space="preserve">     </w:t>
                                    </w:r>
                                  </w:p>
                                </w:sdtContent>
                              </w:sdt>
                            </w:tc>
                            <w:tc>
                              <w:tcPr>
                                <w:tcW w:w="2432" w:type="pct"/>
                                <w:vAlign w:val="center"/>
                              </w:tcPr>
                              <w:p w14:paraId="4409A2D7" w14:textId="609A47C4" w:rsidR="00170D87" w:rsidRDefault="00170D87">
                                <w:pPr>
                                  <w:pStyle w:val="NoSpacing"/>
                                  <w:rPr>
                                    <w:caps/>
                                    <w:color w:val="ED7D31" w:themeColor="accent2"/>
                                    <w:sz w:val="26"/>
                                    <w:szCs w:val="26"/>
                                  </w:rPr>
                                </w:pPr>
                                <w:r>
                                  <w:rPr>
                                    <w:caps/>
                                    <w:color w:val="ED7D31" w:themeColor="accent2"/>
                                    <w:sz w:val="26"/>
                                    <w:szCs w:val="26"/>
                                  </w:rPr>
                                  <w:t>Lecturer Anupam mazumdar</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0B8DADC" w14:textId="35660182" w:rsidR="00170D87" w:rsidRDefault="00170D87">
                                    <w:pPr>
                                      <w:rPr>
                                        <w:color w:val="000000" w:themeColor="text1"/>
                                      </w:rPr>
                                    </w:pPr>
                                    <w:r>
                                      <w:rPr>
                                        <w:color w:val="000000" w:themeColor="text1"/>
                                      </w:rPr>
                                      <w:t>UNIVERSITY OF WALES TRINITY SAINT DAVID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EB11213" w14:textId="16BE6F09" w:rsidR="00170D87" w:rsidRDefault="00170D87">
                                    <w:pPr>
                                      <w:pStyle w:val="NoSpacing"/>
                                      <w:rPr>
                                        <w:color w:val="ED7D31" w:themeColor="accent2"/>
                                        <w:sz w:val="26"/>
                                        <w:szCs w:val="26"/>
                                      </w:rPr>
                                    </w:pPr>
                                    <w:r>
                                      <w:rPr>
                                        <w:color w:val="ED7D31" w:themeColor="accent2"/>
                                        <w:sz w:val="26"/>
                                        <w:szCs w:val="26"/>
                                      </w:rPr>
                                      <w:t>Elena Nedelcheva (2112413)</w:t>
                                    </w:r>
                                  </w:p>
                                </w:sdtContent>
                              </w:sdt>
                              <w:p w14:paraId="3A0F28D0" w14:textId="1D957620" w:rsidR="00170D87"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70D87">
                                      <w:rPr>
                                        <w:color w:val="44546A" w:themeColor="text2"/>
                                      </w:rPr>
                                      <w:t>Business Management</w:t>
                                    </w:r>
                                  </w:sdtContent>
                                </w:sdt>
                              </w:p>
                            </w:tc>
                          </w:tr>
                        </w:tbl>
                        <w:p w14:paraId="1E3B7D24" w14:textId="77777777" w:rsidR="00170D87" w:rsidRDefault="00170D87"/>
                      </w:txbxContent>
                    </v:textbox>
                    <w10:wrap anchorx="page" anchory="page"/>
                  </v:shape>
                </w:pict>
              </mc:Fallback>
            </mc:AlternateContent>
          </w:r>
          <w:r>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color w:val="auto"/>
          <w:sz w:val="24"/>
          <w:szCs w:val="24"/>
          <w:lang w:val="en-GB"/>
        </w:rPr>
        <w:id w:val="18497148"/>
        <w:docPartObj>
          <w:docPartGallery w:val="Table of Contents"/>
          <w:docPartUnique/>
        </w:docPartObj>
      </w:sdtPr>
      <w:sdtEndPr>
        <w:rPr>
          <w:rFonts w:eastAsiaTheme="minorHAnsi"/>
        </w:rPr>
      </w:sdtEndPr>
      <w:sdtContent>
        <w:p w14:paraId="0B260D73" w14:textId="77777777" w:rsidR="007F557C" w:rsidRPr="000A3D1A" w:rsidRDefault="007F557C" w:rsidP="007F557C">
          <w:pPr>
            <w:pStyle w:val="TOCHeading"/>
            <w:spacing w:line="360" w:lineRule="auto"/>
            <w:jc w:val="both"/>
            <w:rPr>
              <w:rFonts w:ascii="Times New Roman" w:hAnsi="Times New Roman" w:cs="Times New Roman"/>
              <w:color w:val="auto"/>
              <w:sz w:val="24"/>
              <w:szCs w:val="24"/>
            </w:rPr>
          </w:pPr>
          <w:r w:rsidRPr="000A3D1A">
            <w:rPr>
              <w:rFonts w:ascii="Times New Roman" w:hAnsi="Times New Roman" w:cs="Times New Roman"/>
              <w:color w:val="auto"/>
              <w:sz w:val="24"/>
              <w:szCs w:val="24"/>
            </w:rPr>
            <w:t>Table of Contents</w:t>
          </w:r>
        </w:p>
        <w:p w14:paraId="4B76B69B" w14:textId="0DF3ED34" w:rsidR="006B4AA3" w:rsidRDefault="007F557C">
          <w:pPr>
            <w:pStyle w:val="TOC1"/>
            <w:tabs>
              <w:tab w:val="right" w:leader="dot" w:pos="9350"/>
            </w:tabs>
            <w:rPr>
              <w:rFonts w:eastAsiaTheme="minorEastAsia"/>
              <w:noProof/>
              <w:lang w:val="en-US"/>
            </w:rPr>
          </w:pPr>
          <w:r w:rsidRPr="000A3D1A">
            <w:rPr>
              <w:rFonts w:ascii="Times New Roman" w:hAnsi="Times New Roman" w:cs="Times New Roman"/>
              <w:sz w:val="24"/>
              <w:szCs w:val="24"/>
            </w:rPr>
            <w:fldChar w:fldCharType="begin"/>
          </w:r>
          <w:r w:rsidRPr="000A3D1A">
            <w:rPr>
              <w:rFonts w:ascii="Times New Roman" w:hAnsi="Times New Roman" w:cs="Times New Roman"/>
              <w:sz w:val="24"/>
              <w:szCs w:val="24"/>
            </w:rPr>
            <w:instrText xml:space="preserve"> TOC \o "1-3" \h \z \u </w:instrText>
          </w:r>
          <w:r w:rsidRPr="000A3D1A">
            <w:rPr>
              <w:rFonts w:ascii="Times New Roman" w:hAnsi="Times New Roman" w:cs="Times New Roman"/>
              <w:sz w:val="24"/>
              <w:szCs w:val="24"/>
            </w:rPr>
            <w:fldChar w:fldCharType="separate"/>
          </w:r>
          <w:hyperlink w:anchor="_Toc131677790" w:history="1">
            <w:r w:rsidR="006B4AA3" w:rsidRPr="001B15DA">
              <w:rPr>
                <w:rStyle w:val="Hyperlink"/>
                <w:rFonts w:ascii="Times New Roman" w:hAnsi="Times New Roman" w:cs="Times New Roman"/>
                <w:noProof/>
              </w:rPr>
              <w:t>Introduction</w:t>
            </w:r>
            <w:r w:rsidR="006B4AA3">
              <w:rPr>
                <w:noProof/>
                <w:webHidden/>
              </w:rPr>
              <w:tab/>
            </w:r>
            <w:r w:rsidR="006B4AA3">
              <w:rPr>
                <w:noProof/>
                <w:webHidden/>
              </w:rPr>
              <w:fldChar w:fldCharType="begin"/>
            </w:r>
            <w:r w:rsidR="006B4AA3">
              <w:rPr>
                <w:noProof/>
                <w:webHidden/>
              </w:rPr>
              <w:instrText xml:space="preserve"> PAGEREF _Toc131677790 \h </w:instrText>
            </w:r>
            <w:r w:rsidR="006B4AA3">
              <w:rPr>
                <w:noProof/>
                <w:webHidden/>
              </w:rPr>
            </w:r>
            <w:r w:rsidR="006B4AA3">
              <w:rPr>
                <w:noProof/>
                <w:webHidden/>
              </w:rPr>
              <w:fldChar w:fldCharType="separate"/>
            </w:r>
            <w:r w:rsidR="006B4AA3">
              <w:rPr>
                <w:noProof/>
                <w:webHidden/>
              </w:rPr>
              <w:t>2</w:t>
            </w:r>
            <w:r w:rsidR="006B4AA3">
              <w:rPr>
                <w:noProof/>
                <w:webHidden/>
              </w:rPr>
              <w:fldChar w:fldCharType="end"/>
            </w:r>
          </w:hyperlink>
        </w:p>
        <w:p w14:paraId="24482C15" w14:textId="0032C82C" w:rsidR="006B4AA3" w:rsidRDefault="006B4AA3">
          <w:pPr>
            <w:pStyle w:val="TOC1"/>
            <w:tabs>
              <w:tab w:val="right" w:leader="dot" w:pos="9350"/>
            </w:tabs>
            <w:rPr>
              <w:rFonts w:eastAsiaTheme="minorEastAsia"/>
              <w:noProof/>
              <w:lang w:val="en-US"/>
            </w:rPr>
          </w:pPr>
          <w:hyperlink w:anchor="_Toc131677791" w:history="1">
            <w:r w:rsidRPr="001B15DA">
              <w:rPr>
                <w:rStyle w:val="Hyperlink"/>
                <w:rFonts w:ascii="Times New Roman" w:hAnsi="Times New Roman" w:cs="Times New Roman"/>
                <w:noProof/>
              </w:rPr>
              <w:t>Construct project plan</w:t>
            </w:r>
            <w:r>
              <w:rPr>
                <w:noProof/>
                <w:webHidden/>
              </w:rPr>
              <w:tab/>
            </w:r>
            <w:r>
              <w:rPr>
                <w:noProof/>
                <w:webHidden/>
              </w:rPr>
              <w:fldChar w:fldCharType="begin"/>
            </w:r>
            <w:r>
              <w:rPr>
                <w:noProof/>
                <w:webHidden/>
              </w:rPr>
              <w:instrText xml:space="preserve"> PAGEREF _Toc131677791 \h </w:instrText>
            </w:r>
            <w:r>
              <w:rPr>
                <w:noProof/>
                <w:webHidden/>
              </w:rPr>
            </w:r>
            <w:r>
              <w:rPr>
                <w:noProof/>
                <w:webHidden/>
              </w:rPr>
              <w:fldChar w:fldCharType="separate"/>
            </w:r>
            <w:r>
              <w:rPr>
                <w:noProof/>
                <w:webHidden/>
              </w:rPr>
              <w:t>2</w:t>
            </w:r>
            <w:r>
              <w:rPr>
                <w:noProof/>
                <w:webHidden/>
              </w:rPr>
              <w:fldChar w:fldCharType="end"/>
            </w:r>
          </w:hyperlink>
        </w:p>
        <w:p w14:paraId="7FCFD7F3" w14:textId="0728EA47" w:rsidR="006B4AA3" w:rsidRDefault="006B4AA3">
          <w:pPr>
            <w:pStyle w:val="TOC2"/>
            <w:tabs>
              <w:tab w:val="right" w:leader="dot" w:pos="9350"/>
            </w:tabs>
            <w:rPr>
              <w:rFonts w:eastAsiaTheme="minorEastAsia"/>
              <w:noProof/>
              <w:lang w:val="en-US"/>
            </w:rPr>
          </w:pPr>
          <w:hyperlink w:anchor="_Toc131677792" w:history="1">
            <w:r w:rsidRPr="001B15DA">
              <w:rPr>
                <w:rStyle w:val="Hyperlink"/>
                <w:noProof/>
              </w:rPr>
              <w:t>Stakeholder of the Hinkley Point C</w:t>
            </w:r>
            <w:r>
              <w:rPr>
                <w:noProof/>
                <w:webHidden/>
              </w:rPr>
              <w:tab/>
            </w:r>
            <w:r>
              <w:rPr>
                <w:noProof/>
                <w:webHidden/>
              </w:rPr>
              <w:fldChar w:fldCharType="begin"/>
            </w:r>
            <w:r>
              <w:rPr>
                <w:noProof/>
                <w:webHidden/>
              </w:rPr>
              <w:instrText xml:space="preserve"> PAGEREF _Toc131677792 \h </w:instrText>
            </w:r>
            <w:r>
              <w:rPr>
                <w:noProof/>
                <w:webHidden/>
              </w:rPr>
            </w:r>
            <w:r>
              <w:rPr>
                <w:noProof/>
                <w:webHidden/>
              </w:rPr>
              <w:fldChar w:fldCharType="separate"/>
            </w:r>
            <w:r>
              <w:rPr>
                <w:noProof/>
                <w:webHidden/>
              </w:rPr>
              <w:t>2</w:t>
            </w:r>
            <w:r>
              <w:rPr>
                <w:noProof/>
                <w:webHidden/>
              </w:rPr>
              <w:fldChar w:fldCharType="end"/>
            </w:r>
          </w:hyperlink>
        </w:p>
        <w:p w14:paraId="639C7990" w14:textId="65DC85E2" w:rsidR="006B4AA3" w:rsidRDefault="006B4AA3">
          <w:pPr>
            <w:pStyle w:val="TOC2"/>
            <w:tabs>
              <w:tab w:val="right" w:leader="dot" w:pos="9350"/>
            </w:tabs>
            <w:rPr>
              <w:rFonts w:eastAsiaTheme="minorEastAsia"/>
              <w:noProof/>
              <w:lang w:val="en-US"/>
            </w:rPr>
          </w:pPr>
          <w:hyperlink w:anchor="_Toc131677793" w:history="1">
            <w:r w:rsidRPr="001B15DA">
              <w:rPr>
                <w:rStyle w:val="Hyperlink"/>
                <w:noProof/>
              </w:rPr>
              <w:t>Timeframe</w:t>
            </w:r>
            <w:r>
              <w:rPr>
                <w:noProof/>
                <w:webHidden/>
              </w:rPr>
              <w:tab/>
            </w:r>
            <w:r>
              <w:rPr>
                <w:noProof/>
                <w:webHidden/>
              </w:rPr>
              <w:fldChar w:fldCharType="begin"/>
            </w:r>
            <w:r>
              <w:rPr>
                <w:noProof/>
                <w:webHidden/>
              </w:rPr>
              <w:instrText xml:space="preserve"> PAGEREF _Toc131677793 \h </w:instrText>
            </w:r>
            <w:r>
              <w:rPr>
                <w:noProof/>
                <w:webHidden/>
              </w:rPr>
            </w:r>
            <w:r>
              <w:rPr>
                <w:noProof/>
                <w:webHidden/>
              </w:rPr>
              <w:fldChar w:fldCharType="separate"/>
            </w:r>
            <w:r>
              <w:rPr>
                <w:noProof/>
                <w:webHidden/>
              </w:rPr>
              <w:t>4</w:t>
            </w:r>
            <w:r>
              <w:rPr>
                <w:noProof/>
                <w:webHidden/>
              </w:rPr>
              <w:fldChar w:fldCharType="end"/>
            </w:r>
          </w:hyperlink>
        </w:p>
        <w:p w14:paraId="04F085EC" w14:textId="55CA4E32" w:rsidR="006B4AA3" w:rsidRDefault="006B4AA3">
          <w:pPr>
            <w:pStyle w:val="TOC2"/>
            <w:tabs>
              <w:tab w:val="right" w:leader="dot" w:pos="9350"/>
            </w:tabs>
            <w:rPr>
              <w:rFonts w:eastAsiaTheme="minorEastAsia"/>
              <w:noProof/>
              <w:lang w:val="en-US"/>
            </w:rPr>
          </w:pPr>
          <w:hyperlink w:anchor="_Toc131677794" w:history="1">
            <w:r w:rsidRPr="001B15DA">
              <w:rPr>
                <w:rStyle w:val="Hyperlink"/>
                <w:noProof/>
              </w:rPr>
              <w:t>Budget</w:t>
            </w:r>
            <w:r>
              <w:rPr>
                <w:noProof/>
                <w:webHidden/>
              </w:rPr>
              <w:tab/>
            </w:r>
            <w:r>
              <w:rPr>
                <w:noProof/>
                <w:webHidden/>
              </w:rPr>
              <w:fldChar w:fldCharType="begin"/>
            </w:r>
            <w:r>
              <w:rPr>
                <w:noProof/>
                <w:webHidden/>
              </w:rPr>
              <w:instrText xml:space="preserve"> PAGEREF _Toc131677794 \h </w:instrText>
            </w:r>
            <w:r>
              <w:rPr>
                <w:noProof/>
                <w:webHidden/>
              </w:rPr>
            </w:r>
            <w:r>
              <w:rPr>
                <w:noProof/>
                <w:webHidden/>
              </w:rPr>
              <w:fldChar w:fldCharType="separate"/>
            </w:r>
            <w:r>
              <w:rPr>
                <w:noProof/>
                <w:webHidden/>
              </w:rPr>
              <w:t>6</w:t>
            </w:r>
            <w:r>
              <w:rPr>
                <w:noProof/>
                <w:webHidden/>
              </w:rPr>
              <w:fldChar w:fldCharType="end"/>
            </w:r>
          </w:hyperlink>
        </w:p>
        <w:p w14:paraId="1A4E64D6" w14:textId="128178F9" w:rsidR="006B4AA3" w:rsidRDefault="006B4AA3">
          <w:pPr>
            <w:pStyle w:val="TOC2"/>
            <w:tabs>
              <w:tab w:val="right" w:leader="dot" w:pos="9350"/>
            </w:tabs>
            <w:rPr>
              <w:rFonts w:eastAsiaTheme="minorEastAsia"/>
              <w:noProof/>
              <w:lang w:val="en-US"/>
            </w:rPr>
          </w:pPr>
          <w:hyperlink w:anchor="_Toc131677795" w:history="1">
            <w:r w:rsidRPr="001B15DA">
              <w:rPr>
                <w:rStyle w:val="Hyperlink"/>
                <w:noProof/>
              </w:rPr>
              <w:t>Risk Analysis of Hinkley Point C of the UK</w:t>
            </w:r>
            <w:r>
              <w:rPr>
                <w:noProof/>
                <w:webHidden/>
              </w:rPr>
              <w:tab/>
            </w:r>
            <w:r>
              <w:rPr>
                <w:noProof/>
                <w:webHidden/>
              </w:rPr>
              <w:fldChar w:fldCharType="begin"/>
            </w:r>
            <w:r>
              <w:rPr>
                <w:noProof/>
                <w:webHidden/>
              </w:rPr>
              <w:instrText xml:space="preserve"> PAGEREF _Toc131677795 \h </w:instrText>
            </w:r>
            <w:r>
              <w:rPr>
                <w:noProof/>
                <w:webHidden/>
              </w:rPr>
            </w:r>
            <w:r>
              <w:rPr>
                <w:noProof/>
                <w:webHidden/>
              </w:rPr>
              <w:fldChar w:fldCharType="separate"/>
            </w:r>
            <w:r>
              <w:rPr>
                <w:noProof/>
                <w:webHidden/>
              </w:rPr>
              <w:t>8</w:t>
            </w:r>
            <w:r>
              <w:rPr>
                <w:noProof/>
                <w:webHidden/>
              </w:rPr>
              <w:fldChar w:fldCharType="end"/>
            </w:r>
          </w:hyperlink>
        </w:p>
        <w:p w14:paraId="4C7F1EC3" w14:textId="3945EB0B" w:rsidR="006B4AA3" w:rsidRDefault="006B4AA3">
          <w:pPr>
            <w:pStyle w:val="TOC2"/>
            <w:tabs>
              <w:tab w:val="right" w:leader="dot" w:pos="9350"/>
            </w:tabs>
            <w:rPr>
              <w:rFonts w:eastAsiaTheme="minorEastAsia"/>
              <w:noProof/>
              <w:lang w:val="en-US"/>
            </w:rPr>
          </w:pPr>
          <w:hyperlink w:anchor="_Toc131677796" w:history="1">
            <w:r w:rsidRPr="001B15DA">
              <w:rPr>
                <w:rStyle w:val="Hyperlink"/>
                <w:noProof/>
              </w:rPr>
              <w:t>Challenges of risks</w:t>
            </w:r>
            <w:r>
              <w:rPr>
                <w:noProof/>
                <w:webHidden/>
              </w:rPr>
              <w:tab/>
            </w:r>
            <w:r>
              <w:rPr>
                <w:noProof/>
                <w:webHidden/>
              </w:rPr>
              <w:fldChar w:fldCharType="begin"/>
            </w:r>
            <w:r>
              <w:rPr>
                <w:noProof/>
                <w:webHidden/>
              </w:rPr>
              <w:instrText xml:space="preserve"> PAGEREF _Toc131677796 \h </w:instrText>
            </w:r>
            <w:r>
              <w:rPr>
                <w:noProof/>
                <w:webHidden/>
              </w:rPr>
            </w:r>
            <w:r>
              <w:rPr>
                <w:noProof/>
                <w:webHidden/>
              </w:rPr>
              <w:fldChar w:fldCharType="separate"/>
            </w:r>
            <w:r>
              <w:rPr>
                <w:noProof/>
                <w:webHidden/>
              </w:rPr>
              <w:t>10</w:t>
            </w:r>
            <w:r>
              <w:rPr>
                <w:noProof/>
                <w:webHidden/>
              </w:rPr>
              <w:fldChar w:fldCharType="end"/>
            </w:r>
          </w:hyperlink>
        </w:p>
        <w:p w14:paraId="43CC0172" w14:textId="77F3D26A" w:rsidR="006B4AA3" w:rsidRDefault="006B4AA3">
          <w:pPr>
            <w:pStyle w:val="TOC1"/>
            <w:tabs>
              <w:tab w:val="right" w:leader="dot" w:pos="9350"/>
            </w:tabs>
            <w:rPr>
              <w:rFonts w:eastAsiaTheme="minorEastAsia"/>
              <w:noProof/>
              <w:lang w:val="en-US"/>
            </w:rPr>
          </w:pPr>
          <w:hyperlink w:anchor="_Toc131677797" w:history="1">
            <w:r w:rsidRPr="001B15DA">
              <w:rPr>
                <w:rStyle w:val="Hyperlink"/>
                <w:rFonts w:ascii="Times New Roman" w:hAnsi="Times New Roman" w:cs="Times New Roman"/>
                <w:noProof/>
              </w:rPr>
              <w:t>Recommendation for improve the project.</w:t>
            </w:r>
            <w:r>
              <w:rPr>
                <w:noProof/>
                <w:webHidden/>
              </w:rPr>
              <w:tab/>
            </w:r>
            <w:r>
              <w:rPr>
                <w:noProof/>
                <w:webHidden/>
              </w:rPr>
              <w:fldChar w:fldCharType="begin"/>
            </w:r>
            <w:r>
              <w:rPr>
                <w:noProof/>
                <w:webHidden/>
              </w:rPr>
              <w:instrText xml:space="preserve"> PAGEREF _Toc131677797 \h </w:instrText>
            </w:r>
            <w:r>
              <w:rPr>
                <w:noProof/>
                <w:webHidden/>
              </w:rPr>
            </w:r>
            <w:r>
              <w:rPr>
                <w:noProof/>
                <w:webHidden/>
              </w:rPr>
              <w:fldChar w:fldCharType="separate"/>
            </w:r>
            <w:r>
              <w:rPr>
                <w:noProof/>
                <w:webHidden/>
              </w:rPr>
              <w:t>11</w:t>
            </w:r>
            <w:r>
              <w:rPr>
                <w:noProof/>
                <w:webHidden/>
              </w:rPr>
              <w:fldChar w:fldCharType="end"/>
            </w:r>
          </w:hyperlink>
        </w:p>
        <w:p w14:paraId="04604DC1" w14:textId="59502225" w:rsidR="006B4AA3" w:rsidRDefault="006B4AA3">
          <w:pPr>
            <w:pStyle w:val="TOC1"/>
            <w:tabs>
              <w:tab w:val="right" w:leader="dot" w:pos="9350"/>
            </w:tabs>
            <w:rPr>
              <w:rFonts w:eastAsiaTheme="minorEastAsia"/>
              <w:noProof/>
              <w:lang w:val="en-US"/>
            </w:rPr>
          </w:pPr>
          <w:hyperlink w:anchor="_Toc131677798" w:history="1">
            <w:r w:rsidRPr="001B15DA">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_Toc131677798 \h </w:instrText>
            </w:r>
            <w:r>
              <w:rPr>
                <w:noProof/>
                <w:webHidden/>
              </w:rPr>
            </w:r>
            <w:r>
              <w:rPr>
                <w:noProof/>
                <w:webHidden/>
              </w:rPr>
              <w:fldChar w:fldCharType="separate"/>
            </w:r>
            <w:r>
              <w:rPr>
                <w:noProof/>
                <w:webHidden/>
              </w:rPr>
              <w:t>12</w:t>
            </w:r>
            <w:r>
              <w:rPr>
                <w:noProof/>
                <w:webHidden/>
              </w:rPr>
              <w:fldChar w:fldCharType="end"/>
            </w:r>
          </w:hyperlink>
        </w:p>
        <w:p w14:paraId="7D93A8B2" w14:textId="7A2435DE" w:rsidR="006B4AA3" w:rsidRDefault="006B4AA3">
          <w:pPr>
            <w:pStyle w:val="TOC1"/>
            <w:tabs>
              <w:tab w:val="right" w:leader="dot" w:pos="9350"/>
            </w:tabs>
            <w:rPr>
              <w:rFonts w:eastAsiaTheme="minorEastAsia"/>
              <w:noProof/>
              <w:lang w:val="en-US"/>
            </w:rPr>
          </w:pPr>
          <w:hyperlink w:anchor="_Toc131677799" w:history="1">
            <w:r w:rsidRPr="001B15DA">
              <w:rPr>
                <w:rStyle w:val="Hyperlink"/>
                <w:noProof/>
              </w:rPr>
              <w:t>References</w:t>
            </w:r>
            <w:r>
              <w:rPr>
                <w:noProof/>
                <w:webHidden/>
              </w:rPr>
              <w:tab/>
            </w:r>
            <w:r>
              <w:rPr>
                <w:noProof/>
                <w:webHidden/>
              </w:rPr>
              <w:fldChar w:fldCharType="begin"/>
            </w:r>
            <w:r>
              <w:rPr>
                <w:noProof/>
                <w:webHidden/>
              </w:rPr>
              <w:instrText xml:space="preserve"> PAGEREF _Toc131677799 \h </w:instrText>
            </w:r>
            <w:r>
              <w:rPr>
                <w:noProof/>
                <w:webHidden/>
              </w:rPr>
            </w:r>
            <w:r>
              <w:rPr>
                <w:noProof/>
                <w:webHidden/>
              </w:rPr>
              <w:fldChar w:fldCharType="separate"/>
            </w:r>
            <w:r>
              <w:rPr>
                <w:noProof/>
                <w:webHidden/>
              </w:rPr>
              <w:t>13</w:t>
            </w:r>
            <w:r>
              <w:rPr>
                <w:noProof/>
                <w:webHidden/>
              </w:rPr>
              <w:fldChar w:fldCharType="end"/>
            </w:r>
          </w:hyperlink>
        </w:p>
        <w:p w14:paraId="03A4F8FB" w14:textId="24BBAEB9"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fldChar w:fldCharType="end"/>
          </w:r>
        </w:p>
      </w:sdtContent>
    </w:sdt>
    <w:p w14:paraId="6AF07060" w14:textId="77777777" w:rsidR="007F557C" w:rsidRPr="000A3D1A" w:rsidRDefault="007F557C" w:rsidP="007F557C">
      <w:pPr>
        <w:spacing w:line="360" w:lineRule="auto"/>
        <w:jc w:val="both"/>
        <w:rPr>
          <w:rFonts w:ascii="Times New Roman" w:hAnsi="Times New Roman" w:cs="Times New Roman"/>
          <w:sz w:val="24"/>
          <w:szCs w:val="24"/>
        </w:rPr>
      </w:pPr>
      <w:bookmarkStart w:id="0" w:name="_Hlk131515509"/>
      <w:r w:rsidRPr="000A3D1A">
        <w:rPr>
          <w:rFonts w:ascii="Times New Roman" w:hAnsi="Times New Roman" w:cs="Times New Roman"/>
          <w:sz w:val="24"/>
          <w:szCs w:val="24"/>
        </w:rPr>
        <w:br w:type="page"/>
      </w:r>
    </w:p>
    <w:p w14:paraId="2513FFBF" w14:textId="77777777" w:rsidR="007F557C" w:rsidRPr="000A3D1A" w:rsidRDefault="007F557C" w:rsidP="007F557C">
      <w:pPr>
        <w:pStyle w:val="Heading1"/>
        <w:spacing w:line="360" w:lineRule="auto"/>
        <w:jc w:val="both"/>
        <w:rPr>
          <w:rFonts w:ascii="Times New Roman" w:hAnsi="Times New Roman" w:cs="Times New Roman"/>
          <w:color w:val="auto"/>
          <w:sz w:val="24"/>
          <w:szCs w:val="24"/>
        </w:rPr>
      </w:pPr>
      <w:bookmarkStart w:id="1" w:name="_Toc131677790"/>
      <w:r w:rsidRPr="000A3D1A">
        <w:rPr>
          <w:rFonts w:ascii="Times New Roman" w:hAnsi="Times New Roman" w:cs="Times New Roman"/>
          <w:color w:val="auto"/>
          <w:sz w:val="24"/>
          <w:szCs w:val="24"/>
        </w:rPr>
        <w:lastRenderedPageBreak/>
        <w:t>Introduction</w:t>
      </w:r>
      <w:bookmarkEnd w:id="1"/>
      <w:r w:rsidRPr="000A3D1A">
        <w:rPr>
          <w:rFonts w:ascii="Times New Roman" w:hAnsi="Times New Roman" w:cs="Times New Roman"/>
          <w:color w:val="auto"/>
          <w:sz w:val="24"/>
          <w:szCs w:val="24"/>
        </w:rPr>
        <w:t xml:space="preserve"> </w:t>
      </w:r>
    </w:p>
    <w:p w14:paraId="0B471962" w14:textId="77777777"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The process of efficiently directing people, expertise, processes, methods, and information to successfully achieve specific project objectives within specific constraints identified in specific project acceptance criteria, known as project management. According to </w:t>
      </w:r>
      <w:r>
        <w:rPr>
          <w:rFonts w:ascii="Times New Roman" w:hAnsi="Times New Roman" w:cs="Times New Roman"/>
          <w:color w:val="222222"/>
          <w:sz w:val="24"/>
          <w:szCs w:val="24"/>
          <w:shd w:val="clear" w:color="auto" w:fill="FFFFFF"/>
        </w:rPr>
        <w:t>McIntyre (2022)’</w:t>
      </w:r>
      <w:r w:rsidRPr="000A3D1A">
        <w:rPr>
          <w:rFonts w:ascii="Times New Roman" w:hAnsi="Times New Roman" w:cs="Times New Roman"/>
          <w:sz w:val="24"/>
          <w:szCs w:val="24"/>
        </w:rPr>
        <w:t>s study, a research study explores effective tools for managing construction projects. This project plan includes various variables such as risk assessment, business building, funding, timelines and quality, value realization, and HRM.</w:t>
      </w:r>
    </w:p>
    <w:p w14:paraId="41A573A8" w14:textId="4198D102" w:rsidR="007F557C"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The project will effectively construct Britain's first new nuclear power plant in more than 20 years, supplying low-carbon energy to roughly 6 million homes, bringing about long-term benefits, and boosting the UK economy by thousands of dollars.</w:t>
      </w:r>
      <w:r w:rsidR="008C51DE">
        <w:rPr>
          <w:rFonts w:ascii="Times New Roman" w:hAnsi="Times New Roman" w:cs="Times New Roman"/>
          <w:sz w:val="24"/>
          <w:szCs w:val="24"/>
        </w:rPr>
        <w:t xml:space="preserve"> </w:t>
      </w:r>
      <w:r w:rsidRPr="000A3D1A">
        <w:rPr>
          <w:rFonts w:ascii="Times New Roman" w:hAnsi="Times New Roman" w:cs="Times New Roman"/>
          <w:sz w:val="24"/>
          <w:szCs w:val="24"/>
        </w:rPr>
        <w:t>Make employment</w:t>
      </w:r>
      <w:sdt>
        <w:sdtPr>
          <w:rPr>
            <w:rFonts w:ascii="Times New Roman" w:hAnsi="Times New Roman" w:cs="Times New Roman"/>
            <w:sz w:val="24"/>
            <w:szCs w:val="24"/>
          </w:rPr>
          <w:id w:val="670527215"/>
          <w:citation/>
        </w:sdtPr>
        <w:sdtContent>
          <w:r w:rsidR="006E5710">
            <w:rPr>
              <w:rFonts w:ascii="Times New Roman" w:hAnsi="Times New Roman" w:cs="Times New Roman"/>
              <w:sz w:val="24"/>
              <w:szCs w:val="24"/>
            </w:rPr>
            <w:fldChar w:fldCharType="begin"/>
          </w:r>
          <w:r w:rsidR="006E5710">
            <w:rPr>
              <w:rFonts w:ascii="Times New Roman" w:hAnsi="Times New Roman" w:cs="Times New Roman"/>
              <w:sz w:val="24"/>
              <w:szCs w:val="24"/>
              <w:lang w:val="en-US"/>
            </w:rPr>
            <w:instrText xml:space="preserve"> CITATION Dav21 \l 1033 </w:instrText>
          </w:r>
          <w:r w:rsidR="006E5710">
            <w:rPr>
              <w:rFonts w:ascii="Times New Roman" w:hAnsi="Times New Roman" w:cs="Times New Roman"/>
              <w:sz w:val="24"/>
              <w:szCs w:val="24"/>
            </w:rPr>
            <w:fldChar w:fldCharType="separate"/>
          </w:r>
          <w:r w:rsidR="006E5710">
            <w:rPr>
              <w:rFonts w:ascii="Times New Roman" w:hAnsi="Times New Roman" w:cs="Times New Roman"/>
              <w:noProof/>
              <w:sz w:val="24"/>
              <w:szCs w:val="24"/>
              <w:lang w:val="en-US"/>
            </w:rPr>
            <w:t xml:space="preserve"> </w:t>
          </w:r>
          <w:r w:rsidR="006E5710" w:rsidRPr="006E5710">
            <w:rPr>
              <w:rFonts w:ascii="Times New Roman" w:hAnsi="Times New Roman" w:cs="Times New Roman"/>
              <w:noProof/>
              <w:sz w:val="24"/>
              <w:szCs w:val="24"/>
              <w:lang w:val="en-US"/>
            </w:rPr>
            <w:t>(Harvey, 2021)</w:t>
          </w:r>
          <w:r w:rsidR="006E5710">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0A3D1A">
        <w:rPr>
          <w:rFonts w:ascii="Times New Roman" w:hAnsi="Times New Roman" w:cs="Times New Roman"/>
          <w:sz w:val="24"/>
          <w:szCs w:val="24"/>
        </w:rPr>
        <w:t xml:space="preserve">. Construction and management of the Hinkley Point C project will represent an extra workforce of around 25,000 and up to 1,000 trainees, with an estimated 64% of the construction value of the project going to UK companies. </w:t>
      </w:r>
      <w:proofErr w:type="spellStart"/>
      <w:r w:rsidRPr="000A3D1A">
        <w:rPr>
          <w:rFonts w:ascii="Times New Roman" w:hAnsi="Times New Roman" w:cs="Times New Roman"/>
          <w:sz w:val="24"/>
          <w:szCs w:val="24"/>
        </w:rPr>
        <w:t>Hinkely</w:t>
      </w:r>
      <w:proofErr w:type="spellEnd"/>
      <w:r w:rsidRPr="000A3D1A">
        <w:rPr>
          <w:rFonts w:ascii="Times New Roman" w:hAnsi="Times New Roman" w:cs="Times New Roman"/>
          <w:sz w:val="24"/>
          <w:szCs w:val="24"/>
        </w:rPr>
        <w:t xml:space="preserve"> Point C marks a significant turning point in the revival of the UK's nuclear industry and will serve as the country's main structural pillar in its efforts to cut carbon emissions</w:t>
      </w:r>
      <w:sdt>
        <w:sdtPr>
          <w:rPr>
            <w:rFonts w:ascii="Times New Roman" w:hAnsi="Times New Roman" w:cs="Times New Roman"/>
            <w:sz w:val="24"/>
            <w:szCs w:val="24"/>
          </w:rPr>
          <w:id w:val="1838796608"/>
          <w:citation/>
        </w:sdtPr>
        <w:sdtContent>
          <w:r w:rsidR="00647BE0">
            <w:rPr>
              <w:rFonts w:ascii="Times New Roman" w:hAnsi="Times New Roman" w:cs="Times New Roman"/>
              <w:sz w:val="24"/>
              <w:szCs w:val="24"/>
            </w:rPr>
            <w:fldChar w:fldCharType="begin"/>
          </w:r>
          <w:r w:rsidR="00647BE0">
            <w:rPr>
              <w:rFonts w:ascii="Times New Roman" w:hAnsi="Times New Roman" w:cs="Times New Roman"/>
              <w:sz w:val="24"/>
              <w:szCs w:val="24"/>
              <w:lang w:val="en-US"/>
            </w:rPr>
            <w:instrText xml:space="preserve"> CITATION Ann23 \l 1033 </w:instrText>
          </w:r>
          <w:r w:rsidR="00647BE0">
            <w:rPr>
              <w:rFonts w:ascii="Times New Roman" w:hAnsi="Times New Roman" w:cs="Times New Roman"/>
              <w:sz w:val="24"/>
              <w:szCs w:val="24"/>
            </w:rPr>
            <w:fldChar w:fldCharType="separate"/>
          </w:r>
          <w:r w:rsidR="00647BE0">
            <w:rPr>
              <w:rFonts w:ascii="Times New Roman" w:hAnsi="Times New Roman" w:cs="Times New Roman"/>
              <w:noProof/>
              <w:sz w:val="24"/>
              <w:szCs w:val="24"/>
              <w:lang w:val="en-US"/>
            </w:rPr>
            <w:t xml:space="preserve"> </w:t>
          </w:r>
          <w:r w:rsidR="00647BE0" w:rsidRPr="00647BE0">
            <w:rPr>
              <w:rFonts w:ascii="Times New Roman" w:hAnsi="Times New Roman" w:cs="Times New Roman"/>
              <w:noProof/>
              <w:sz w:val="24"/>
              <w:szCs w:val="24"/>
              <w:lang w:val="en-US"/>
            </w:rPr>
            <w:t>(Cossins-Smith, 2023)</w:t>
          </w:r>
          <w:r w:rsidR="00647BE0">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r>
        <w:rPr>
          <w:rFonts w:ascii="Times New Roman" w:hAnsi="Times New Roman" w:cs="Times New Roman"/>
          <w:sz w:val="24"/>
          <w:szCs w:val="24"/>
        </w:rPr>
        <w:t xml:space="preserve"> </w:t>
      </w:r>
      <w:r w:rsidRPr="000A3D1A">
        <w:rPr>
          <w:rFonts w:ascii="Times New Roman" w:hAnsi="Times New Roman" w:cs="Times New Roman"/>
          <w:sz w:val="24"/>
          <w:szCs w:val="24"/>
        </w:rPr>
        <w:t xml:space="preserve">The project has encountered numerous delays, including those brought on by the COVID-19 pandemic, since work got underway in March 2017, which has resulted in substantial price overruns. The project is two years behind schedule as of May 2022, and it is anticipated to cost £25-26 billion, which is 50% more than its initial 2016 funding. The current planned commissioning date is June 2027, with a 60-year lifetime anticipated. </w:t>
      </w:r>
    </w:p>
    <w:p w14:paraId="1E971D9C" w14:textId="77777777" w:rsidR="006946ED" w:rsidRPr="000A3D1A" w:rsidRDefault="006946ED" w:rsidP="007F557C">
      <w:pPr>
        <w:spacing w:line="360" w:lineRule="auto"/>
        <w:jc w:val="both"/>
        <w:rPr>
          <w:rFonts w:ascii="Times New Roman" w:hAnsi="Times New Roman" w:cs="Times New Roman"/>
          <w:sz w:val="24"/>
          <w:szCs w:val="24"/>
        </w:rPr>
      </w:pPr>
    </w:p>
    <w:p w14:paraId="0352D092" w14:textId="77777777" w:rsidR="007F557C" w:rsidRPr="000A3D1A" w:rsidRDefault="007F557C" w:rsidP="007F557C">
      <w:pPr>
        <w:pStyle w:val="Heading1"/>
        <w:spacing w:line="360" w:lineRule="auto"/>
        <w:jc w:val="both"/>
        <w:rPr>
          <w:rFonts w:ascii="Times New Roman" w:hAnsi="Times New Roman" w:cs="Times New Roman"/>
          <w:color w:val="auto"/>
          <w:sz w:val="24"/>
          <w:szCs w:val="24"/>
        </w:rPr>
      </w:pPr>
      <w:bookmarkStart w:id="2" w:name="_Toc131677791"/>
      <w:r w:rsidRPr="000A3D1A">
        <w:rPr>
          <w:rFonts w:ascii="Times New Roman" w:hAnsi="Times New Roman" w:cs="Times New Roman"/>
          <w:color w:val="auto"/>
          <w:sz w:val="24"/>
          <w:szCs w:val="24"/>
        </w:rPr>
        <w:t>Construct project plan</w:t>
      </w:r>
      <w:bookmarkEnd w:id="2"/>
      <w:r w:rsidRPr="000A3D1A">
        <w:rPr>
          <w:rFonts w:ascii="Times New Roman" w:hAnsi="Times New Roman" w:cs="Times New Roman"/>
          <w:color w:val="auto"/>
          <w:sz w:val="24"/>
          <w:szCs w:val="24"/>
        </w:rPr>
        <w:t xml:space="preserve"> </w:t>
      </w:r>
    </w:p>
    <w:p w14:paraId="1B183108" w14:textId="77777777" w:rsidR="007F557C" w:rsidRPr="000A3D1A" w:rsidRDefault="007F557C" w:rsidP="007F557C">
      <w:pPr>
        <w:pStyle w:val="Heading2"/>
        <w:spacing w:line="360" w:lineRule="auto"/>
        <w:jc w:val="both"/>
        <w:rPr>
          <w:sz w:val="24"/>
          <w:szCs w:val="24"/>
        </w:rPr>
      </w:pPr>
      <w:bookmarkStart w:id="3" w:name="_Toc131677792"/>
      <w:r w:rsidRPr="000A3D1A">
        <w:rPr>
          <w:sz w:val="24"/>
          <w:szCs w:val="24"/>
        </w:rPr>
        <w:t>Stakeholder of the Hinkley Point C</w:t>
      </w:r>
      <w:bookmarkEnd w:id="3"/>
    </w:p>
    <w:p w14:paraId="0A1DB809" w14:textId="54E660D5" w:rsidR="007F557C"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One of the expert groups that has effectively investigated the effects and dangers of building a new power station for Wales is the Hinkley Point C Stakeholder Reference Group. Prior to the beginning of a project, stakeholders are analysed. They are divided into groups based on their duties and obligations, effect on the strategy, and interests which is defined as the method of determining how to connect most effectively</w:t>
      </w:r>
      <w:r>
        <w:rPr>
          <w:rFonts w:ascii="Times New Roman" w:hAnsi="Times New Roman" w:cs="Times New Roman"/>
          <w:sz w:val="24"/>
          <w:szCs w:val="24"/>
        </w:rPr>
        <w:t xml:space="preserve"> </w:t>
      </w:r>
      <w:sdt>
        <w:sdtPr>
          <w:rPr>
            <w:rFonts w:ascii="Times New Roman" w:hAnsi="Times New Roman" w:cs="Times New Roman"/>
            <w:sz w:val="24"/>
            <w:szCs w:val="24"/>
          </w:rPr>
          <w:id w:val="490984005"/>
          <w:citation/>
        </w:sdtPr>
        <w:sdtContent>
          <w:r w:rsidR="007964C8">
            <w:rPr>
              <w:rFonts w:ascii="Times New Roman" w:hAnsi="Times New Roman" w:cs="Times New Roman"/>
              <w:sz w:val="24"/>
              <w:szCs w:val="24"/>
            </w:rPr>
            <w:fldChar w:fldCharType="begin"/>
          </w:r>
          <w:r w:rsidR="007964C8">
            <w:rPr>
              <w:rFonts w:ascii="Times New Roman" w:hAnsi="Times New Roman" w:cs="Times New Roman"/>
              <w:sz w:val="24"/>
              <w:szCs w:val="24"/>
              <w:lang w:val="en-US"/>
            </w:rPr>
            <w:instrText xml:space="preserve"> CITATION Ian19 \l 1033 </w:instrText>
          </w:r>
          <w:r w:rsidR="007964C8">
            <w:rPr>
              <w:rFonts w:ascii="Times New Roman" w:hAnsi="Times New Roman" w:cs="Times New Roman"/>
              <w:sz w:val="24"/>
              <w:szCs w:val="24"/>
            </w:rPr>
            <w:fldChar w:fldCharType="separate"/>
          </w:r>
          <w:r w:rsidR="007964C8" w:rsidRPr="007964C8">
            <w:rPr>
              <w:rFonts w:ascii="Times New Roman" w:hAnsi="Times New Roman" w:cs="Times New Roman"/>
              <w:noProof/>
              <w:sz w:val="24"/>
              <w:szCs w:val="24"/>
              <w:lang w:val="en-US"/>
            </w:rPr>
            <w:t>(Alberto, 2019)</w:t>
          </w:r>
          <w:r w:rsidR="007964C8">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w:t>
      </w:r>
    </w:p>
    <w:p w14:paraId="5A016951" w14:textId="77777777" w:rsidR="007964C8" w:rsidRPr="000A3D1A" w:rsidRDefault="007964C8" w:rsidP="007F557C">
      <w:pPr>
        <w:tabs>
          <w:tab w:val="center" w:pos="4680"/>
        </w:tabs>
        <w:spacing w:line="360" w:lineRule="auto"/>
        <w:jc w:val="both"/>
        <w:rPr>
          <w:rFonts w:ascii="Times New Roman" w:hAnsi="Times New Roman" w:cs="Times New Roman"/>
          <w:sz w:val="24"/>
          <w:szCs w:val="24"/>
        </w:rPr>
      </w:pPr>
    </w:p>
    <w:p w14:paraId="3129D742" w14:textId="4EF52ADA" w:rsidR="007F557C"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Regarding Hinkley Point C, EDF and CGNP have successfully and completely financed the Hinkley Point C Nuclear Project. Around £45.5 billion is estimated to be the entire lifetime cost of planning to adequately encompass operations, building, disposal, and nuclear waste handling.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NP is mainly a Non </w:t>
      </w:r>
      <w:proofErr w:type="spellStart"/>
      <w:r w:rsidRPr="000A3D1A">
        <w:rPr>
          <w:rFonts w:ascii="Times New Roman" w:hAnsi="Times New Roman" w:cs="Times New Roman"/>
          <w:sz w:val="24"/>
          <w:szCs w:val="24"/>
        </w:rPr>
        <w:t>Framatome</w:t>
      </w:r>
      <w:proofErr w:type="spellEnd"/>
      <w:r w:rsidRPr="000A3D1A">
        <w:rPr>
          <w:rFonts w:ascii="Times New Roman" w:hAnsi="Times New Roman" w:cs="Times New Roman"/>
          <w:sz w:val="24"/>
          <w:szCs w:val="24"/>
        </w:rPr>
        <w:t xml:space="preserve"> company, and in a project in September 2016 he secured a contract for the production and installation of two of the EPR reactors for about £4.5 billion ($5.8 billion)</w:t>
      </w:r>
      <w:r>
        <w:rPr>
          <w:rFonts w:ascii="Times New Roman" w:hAnsi="Times New Roman" w:cs="Times New Roman"/>
          <w:sz w:val="24"/>
          <w:szCs w:val="24"/>
        </w:rPr>
        <w:t xml:space="preserve"> </w:t>
      </w:r>
      <w:sdt>
        <w:sdtPr>
          <w:rPr>
            <w:rFonts w:ascii="Times New Roman" w:hAnsi="Times New Roman" w:cs="Times New Roman"/>
            <w:sz w:val="24"/>
            <w:szCs w:val="24"/>
          </w:rPr>
          <w:id w:val="-325053523"/>
          <w:citation/>
        </w:sdtPr>
        <w:sdtContent>
          <w:r w:rsidR="00C11245">
            <w:rPr>
              <w:rFonts w:ascii="Times New Roman" w:hAnsi="Times New Roman" w:cs="Times New Roman"/>
              <w:sz w:val="24"/>
              <w:szCs w:val="24"/>
            </w:rPr>
            <w:fldChar w:fldCharType="begin"/>
          </w:r>
          <w:r w:rsidR="00C11245">
            <w:rPr>
              <w:rFonts w:ascii="Times New Roman" w:hAnsi="Times New Roman" w:cs="Times New Roman"/>
              <w:sz w:val="24"/>
              <w:szCs w:val="24"/>
              <w:lang w:val="en-US"/>
            </w:rPr>
            <w:instrText xml:space="preserve"> CITATION Gui19 \l 1033 </w:instrText>
          </w:r>
          <w:r w:rsidR="00C11245">
            <w:rPr>
              <w:rFonts w:ascii="Times New Roman" w:hAnsi="Times New Roman" w:cs="Times New Roman"/>
              <w:sz w:val="24"/>
              <w:szCs w:val="24"/>
            </w:rPr>
            <w:fldChar w:fldCharType="separate"/>
          </w:r>
          <w:r w:rsidR="00C11245" w:rsidRPr="00C11245">
            <w:rPr>
              <w:rFonts w:ascii="Times New Roman" w:hAnsi="Times New Roman" w:cs="Times New Roman"/>
              <w:noProof/>
              <w:sz w:val="24"/>
              <w:szCs w:val="24"/>
              <w:lang w:val="en-US"/>
            </w:rPr>
            <w:t>(Aldama</w:t>
          </w:r>
          <w:r w:rsidR="00C11245" w:rsidRPr="00C11245">
            <w:rPr>
              <w:rFonts w:ascii="Times New Roman" w:hAnsi="Times New Roman" w:cs="Times New Roman"/>
              <w:noProof/>
              <w:sz w:val="24"/>
              <w:szCs w:val="24"/>
              <w:lang w:val="en-US"/>
            </w:rPr>
            <w:noBreakHyphen/>
            <w:t>Bustos, et al., 2019)</w:t>
          </w:r>
          <w:r w:rsidR="00C11245">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w:t>
      </w:r>
    </w:p>
    <w:p w14:paraId="37E6239B" w14:textId="772CAC58" w:rsidR="00C11245"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GE also received about $1.5 billion in 2016 for the supply of two </w:t>
      </w:r>
      <w:proofErr w:type="spellStart"/>
      <w:r w:rsidRPr="000A3D1A">
        <w:rPr>
          <w:rFonts w:ascii="Times New Roman" w:hAnsi="Times New Roman" w:cs="Times New Roman"/>
          <w:sz w:val="24"/>
          <w:szCs w:val="24"/>
        </w:rPr>
        <w:t>Arrabel</w:t>
      </w:r>
      <w:proofErr w:type="spellEnd"/>
      <w:r w:rsidRPr="000A3D1A">
        <w:rPr>
          <w:rFonts w:ascii="Times New Roman" w:hAnsi="Times New Roman" w:cs="Times New Roman"/>
          <w:sz w:val="24"/>
          <w:szCs w:val="24"/>
        </w:rPr>
        <w:t xml:space="preserve"> steam turbines, associated equipment, and generator equipment for the power plant. A combined venture between Bouygues and Laing O'Rourke (BYLOR), the deal for Hinkley Point C NPP's civil engineering and construction was worth £1.5 billion ($2 billion) </w:t>
      </w:r>
      <w:proofErr w:type="gramStart"/>
      <w:r w:rsidRPr="000A3D1A">
        <w:rPr>
          <w:rFonts w:ascii="Times New Roman" w:hAnsi="Times New Roman" w:cs="Times New Roman"/>
          <w:sz w:val="24"/>
          <w:szCs w:val="24"/>
        </w:rPr>
        <w:t>and also</w:t>
      </w:r>
      <w:proofErr w:type="gramEnd"/>
      <w:r w:rsidRPr="000A3D1A">
        <w:rPr>
          <w:rFonts w:ascii="Times New Roman" w:hAnsi="Times New Roman" w:cs="Times New Roman"/>
          <w:sz w:val="24"/>
          <w:szCs w:val="24"/>
        </w:rPr>
        <w:t xml:space="preserve"> ($268m) Earthwork plan for the project starting in October 2015</w:t>
      </w:r>
      <w:r>
        <w:rPr>
          <w:rFonts w:ascii="Times New Roman" w:hAnsi="Times New Roman" w:cs="Times New Roman"/>
          <w:sz w:val="24"/>
          <w:szCs w:val="24"/>
        </w:rPr>
        <w:t xml:space="preserve"> </w:t>
      </w:r>
      <w:sdt>
        <w:sdtPr>
          <w:rPr>
            <w:rFonts w:ascii="Times New Roman" w:hAnsi="Times New Roman" w:cs="Times New Roman"/>
            <w:sz w:val="24"/>
            <w:szCs w:val="24"/>
          </w:rPr>
          <w:id w:val="1416592669"/>
          <w:citation/>
        </w:sdtPr>
        <w:sdtContent>
          <w:r w:rsidR="00C11245">
            <w:rPr>
              <w:rFonts w:ascii="Times New Roman" w:hAnsi="Times New Roman" w:cs="Times New Roman"/>
              <w:sz w:val="24"/>
              <w:szCs w:val="24"/>
            </w:rPr>
            <w:fldChar w:fldCharType="begin"/>
          </w:r>
          <w:r w:rsidR="00C11245">
            <w:rPr>
              <w:rFonts w:ascii="Times New Roman" w:hAnsi="Times New Roman" w:cs="Times New Roman"/>
              <w:sz w:val="24"/>
              <w:szCs w:val="24"/>
              <w:lang w:val="en-US"/>
            </w:rPr>
            <w:instrText xml:space="preserve"> CITATION Dyl21 \l 1033 </w:instrText>
          </w:r>
          <w:r w:rsidR="00C11245">
            <w:rPr>
              <w:rFonts w:ascii="Times New Roman" w:hAnsi="Times New Roman" w:cs="Times New Roman"/>
              <w:sz w:val="24"/>
              <w:szCs w:val="24"/>
            </w:rPr>
            <w:fldChar w:fldCharType="separate"/>
          </w:r>
          <w:r w:rsidR="00C11245" w:rsidRPr="00C11245">
            <w:rPr>
              <w:rFonts w:ascii="Times New Roman" w:hAnsi="Times New Roman" w:cs="Times New Roman"/>
              <w:noProof/>
              <w:sz w:val="24"/>
              <w:szCs w:val="24"/>
              <w:lang w:val="en-US"/>
            </w:rPr>
            <w:t>(Parkinson, et al., 2021)</w:t>
          </w:r>
          <w:r w:rsidR="00C11245">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A combined company between NG Bailey and Balfour Beatty won the £477 million ($609 million) </w:t>
      </w:r>
      <w:proofErr w:type="gramStart"/>
      <w:r w:rsidRPr="000A3D1A">
        <w:rPr>
          <w:rFonts w:ascii="Times New Roman" w:hAnsi="Times New Roman" w:cs="Times New Roman"/>
          <w:sz w:val="24"/>
          <w:szCs w:val="24"/>
        </w:rPr>
        <w:t>contract</w:t>
      </w:r>
      <w:proofErr w:type="gramEnd"/>
      <w:r w:rsidRPr="000A3D1A">
        <w:rPr>
          <w:rFonts w:ascii="Times New Roman" w:hAnsi="Times New Roman" w:cs="Times New Roman"/>
          <w:sz w:val="24"/>
          <w:szCs w:val="24"/>
        </w:rPr>
        <w:t xml:space="preserve"> for the electricity package for Hinkley Point C in September 2016. Under the UK's National Grid, J. Murphy &amp; Sons, Balfour Beatty, and Siemens provided transmission lines to the electricity plant in January 2019.</w:t>
      </w:r>
    </w:p>
    <w:p w14:paraId="385E3ECE" w14:textId="41A546DB" w:rsidR="00B374D3"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The German industrial building company Bilfinger received a balance of plant (BOP) contract for construction and installation valued roughly £58 million (US$75 million). At the Hinkley C nuclear power plant, there are 56 km of pipes as of February 2020. </w:t>
      </w:r>
      <w:proofErr w:type="spellStart"/>
      <w:r w:rsidRPr="000A3D1A">
        <w:rPr>
          <w:rFonts w:ascii="Times New Roman" w:hAnsi="Times New Roman" w:cs="Times New Roman"/>
          <w:sz w:val="24"/>
          <w:szCs w:val="24"/>
        </w:rPr>
        <w:t>Vallourec</w:t>
      </w:r>
      <w:proofErr w:type="spellEnd"/>
      <w:r w:rsidRPr="000A3D1A">
        <w:rPr>
          <w:rFonts w:ascii="Times New Roman" w:hAnsi="Times New Roman" w:cs="Times New Roman"/>
          <w:sz w:val="24"/>
          <w:szCs w:val="24"/>
        </w:rPr>
        <w:t xml:space="preserve"> received a contract from </w:t>
      </w:r>
      <w:proofErr w:type="spellStart"/>
      <w:r w:rsidRPr="000A3D1A">
        <w:rPr>
          <w:rFonts w:ascii="Times New Roman" w:hAnsi="Times New Roman" w:cs="Times New Roman"/>
          <w:sz w:val="24"/>
          <w:szCs w:val="24"/>
        </w:rPr>
        <w:t>Framatome</w:t>
      </w:r>
      <w:proofErr w:type="spellEnd"/>
      <w:r w:rsidRPr="000A3D1A">
        <w:rPr>
          <w:rFonts w:ascii="Times New Roman" w:hAnsi="Times New Roman" w:cs="Times New Roman"/>
          <w:sz w:val="24"/>
          <w:szCs w:val="24"/>
        </w:rPr>
        <w:t xml:space="preserve"> in May 2018 for 47,500 pipes to connect the plant's two reactor areas' eight steam generators</w:t>
      </w:r>
      <w:r>
        <w:rPr>
          <w:rFonts w:ascii="Times New Roman" w:hAnsi="Times New Roman" w:cs="Times New Roman"/>
          <w:sz w:val="24"/>
          <w:szCs w:val="24"/>
        </w:rPr>
        <w:t xml:space="preserve"> </w:t>
      </w:r>
      <w:sdt>
        <w:sdtPr>
          <w:rPr>
            <w:rFonts w:ascii="Times New Roman" w:hAnsi="Times New Roman" w:cs="Times New Roman"/>
            <w:sz w:val="24"/>
            <w:szCs w:val="24"/>
          </w:rPr>
          <w:id w:val="1942723475"/>
          <w:citation/>
        </w:sdtPr>
        <w:sdtContent>
          <w:r w:rsidR="00B374D3">
            <w:rPr>
              <w:rFonts w:ascii="Times New Roman" w:hAnsi="Times New Roman" w:cs="Times New Roman"/>
              <w:sz w:val="24"/>
              <w:szCs w:val="24"/>
            </w:rPr>
            <w:fldChar w:fldCharType="begin"/>
          </w:r>
          <w:r w:rsidR="00B374D3">
            <w:rPr>
              <w:rFonts w:ascii="Times New Roman" w:hAnsi="Times New Roman" w:cs="Times New Roman"/>
              <w:sz w:val="24"/>
              <w:szCs w:val="24"/>
              <w:lang w:val="en-US"/>
            </w:rPr>
            <w:instrText xml:space="preserve"> CITATION Jam21 \l 1033 </w:instrText>
          </w:r>
          <w:r w:rsidR="00B374D3">
            <w:rPr>
              <w:rFonts w:ascii="Times New Roman" w:hAnsi="Times New Roman" w:cs="Times New Roman"/>
              <w:sz w:val="24"/>
              <w:szCs w:val="24"/>
            </w:rPr>
            <w:fldChar w:fldCharType="separate"/>
          </w:r>
          <w:r w:rsidR="00B374D3" w:rsidRPr="00B374D3">
            <w:rPr>
              <w:rFonts w:ascii="Times New Roman" w:hAnsi="Times New Roman" w:cs="Times New Roman"/>
              <w:noProof/>
              <w:sz w:val="24"/>
              <w:szCs w:val="24"/>
              <w:lang w:val="en-US"/>
            </w:rPr>
            <w:t>(Dyrda &amp; Morrison, 2021)</w:t>
          </w:r>
          <w:r w:rsidR="00B374D3">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According to Hanson UK, he made an agreement with BYLOR in 2017 to provide building supplies for the creation of the power plant. Esterline signed a contract in November 2018 to provide large </w:t>
      </w:r>
      <w:r w:rsidR="00114047" w:rsidRPr="000A3D1A">
        <w:rPr>
          <w:rFonts w:ascii="Times New Roman" w:hAnsi="Times New Roman" w:cs="Times New Roman"/>
          <w:sz w:val="24"/>
          <w:szCs w:val="24"/>
        </w:rPr>
        <w:t>stainless-steel</w:t>
      </w:r>
      <w:r w:rsidRPr="000A3D1A">
        <w:rPr>
          <w:rFonts w:ascii="Times New Roman" w:hAnsi="Times New Roman" w:cs="Times New Roman"/>
          <w:sz w:val="24"/>
          <w:szCs w:val="24"/>
        </w:rPr>
        <w:t xml:space="preserve"> pond/reservoir covers, reactor water storage tanks (IRWSTs), and other power containers and vessels</w:t>
      </w:r>
      <w:r>
        <w:rPr>
          <w:rFonts w:ascii="Times New Roman" w:hAnsi="Times New Roman" w:cs="Times New Roman"/>
          <w:sz w:val="24"/>
          <w:szCs w:val="24"/>
        </w:rPr>
        <w:t xml:space="preserve"> </w:t>
      </w:r>
      <w:sdt>
        <w:sdtPr>
          <w:rPr>
            <w:rFonts w:ascii="Times New Roman" w:hAnsi="Times New Roman" w:cs="Times New Roman"/>
            <w:sz w:val="24"/>
            <w:szCs w:val="24"/>
          </w:rPr>
          <w:id w:val="1363323054"/>
          <w:citation/>
        </w:sdtPr>
        <w:sdtContent>
          <w:r w:rsidR="00114047">
            <w:rPr>
              <w:rFonts w:ascii="Times New Roman" w:hAnsi="Times New Roman" w:cs="Times New Roman"/>
              <w:sz w:val="24"/>
              <w:szCs w:val="24"/>
            </w:rPr>
            <w:fldChar w:fldCharType="begin"/>
          </w:r>
          <w:r w:rsidR="00114047">
            <w:rPr>
              <w:rFonts w:ascii="Times New Roman" w:hAnsi="Times New Roman" w:cs="Times New Roman"/>
              <w:sz w:val="24"/>
              <w:szCs w:val="24"/>
              <w:lang w:val="en-US"/>
            </w:rPr>
            <w:instrText xml:space="preserve"> CITATION Ant21 \l 1033 </w:instrText>
          </w:r>
          <w:r w:rsidR="00114047">
            <w:rPr>
              <w:rFonts w:ascii="Times New Roman" w:hAnsi="Times New Roman" w:cs="Times New Roman"/>
              <w:sz w:val="24"/>
              <w:szCs w:val="24"/>
            </w:rPr>
            <w:fldChar w:fldCharType="separate"/>
          </w:r>
          <w:r w:rsidR="00114047" w:rsidRPr="00114047">
            <w:rPr>
              <w:rFonts w:ascii="Times New Roman" w:hAnsi="Times New Roman" w:cs="Times New Roman"/>
              <w:noProof/>
              <w:sz w:val="24"/>
              <w:szCs w:val="24"/>
              <w:lang w:val="en-US"/>
            </w:rPr>
            <w:t>(Butcher, et al., 2021)</w:t>
          </w:r>
          <w:r w:rsidR="00114047">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w:t>
      </w:r>
    </w:p>
    <w:p w14:paraId="327886D5" w14:textId="6EA7CB62" w:rsidR="007F557C"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In June 2017, Ovivo was awarded a contract worth £35.5 million ($27.8 million) to create and supply a cooling water intake screening mechanism for Hinkley Point </w:t>
      </w:r>
      <w:proofErr w:type="spellStart"/>
      <w:r w:rsidRPr="000A3D1A">
        <w:rPr>
          <w:rFonts w:ascii="Times New Roman" w:hAnsi="Times New Roman" w:cs="Times New Roman"/>
          <w:sz w:val="24"/>
          <w:szCs w:val="24"/>
        </w:rPr>
        <w:t>C at</w:t>
      </w:r>
      <w:proofErr w:type="spellEnd"/>
      <w:r w:rsidRPr="000A3D1A">
        <w:rPr>
          <w:rFonts w:ascii="Times New Roman" w:hAnsi="Times New Roman" w:cs="Times New Roman"/>
          <w:sz w:val="24"/>
          <w:szCs w:val="24"/>
        </w:rPr>
        <w:t xml:space="preserve"> Hinckley Point C in July 2017</w:t>
      </w:r>
      <w:r>
        <w:rPr>
          <w:rFonts w:ascii="Times New Roman" w:hAnsi="Times New Roman" w:cs="Times New Roman"/>
          <w:sz w:val="24"/>
          <w:szCs w:val="24"/>
        </w:rPr>
        <w:t xml:space="preserve"> </w:t>
      </w:r>
      <w:sdt>
        <w:sdtPr>
          <w:rPr>
            <w:rFonts w:ascii="Times New Roman" w:hAnsi="Times New Roman" w:cs="Times New Roman"/>
            <w:sz w:val="24"/>
            <w:szCs w:val="24"/>
          </w:rPr>
          <w:id w:val="671304229"/>
          <w:citation/>
        </w:sdtPr>
        <w:sdtContent>
          <w:r w:rsidR="00EF626E">
            <w:rPr>
              <w:rFonts w:ascii="Times New Roman" w:hAnsi="Times New Roman" w:cs="Times New Roman"/>
              <w:sz w:val="24"/>
              <w:szCs w:val="24"/>
            </w:rPr>
            <w:fldChar w:fldCharType="begin"/>
          </w:r>
          <w:r w:rsidR="00EF626E">
            <w:rPr>
              <w:rFonts w:ascii="Times New Roman" w:hAnsi="Times New Roman" w:cs="Times New Roman"/>
              <w:sz w:val="24"/>
              <w:szCs w:val="24"/>
              <w:lang w:val="en-US"/>
            </w:rPr>
            <w:instrText xml:space="preserve"> CITATION Hed18 \l 1033 </w:instrText>
          </w:r>
          <w:r w:rsidR="00EF626E">
            <w:rPr>
              <w:rFonts w:ascii="Times New Roman" w:hAnsi="Times New Roman" w:cs="Times New Roman"/>
              <w:sz w:val="24"/>
              <w:szCs w:val="24"/>
            </w:rPr>
            <w:fldChar w:fldCharType="separate"/>
          </w:r>
          <w:r w:rsidR="00EF626E" w:rsidRPr="00EF626E">
            <w:rPr>
              <w:rFonts w:ascii="Times New Roman" w:hAnsi="Times New Roman" w:cs="Times New Roman"/>
              <w:noProof/>
              <w:sz w:val="24"/>
              <w:szCs w:val="24"/>
              <w:lang w:val="en-US"/>
            </w:rPr>
            <w:t>(Smyth, et al., 2018)</w:t>
          </w:r>
          <w:r w:rsidR="00EF626E">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Rolls-Royce and </w:t>
      </w:r>
      <w:proofErr w:type="spellStart"/>
      <w:r w:rsidRPr="000A3D1A">
        <w:rPr>
          <w:rFonts w:ascii="Times New Roman" w:hAnsi="Times New Roman" w:cs="Times New Roman"/>
          <w:sz w:val="24"/>
          <w:szCs w:val="24"/>
        </w:rPr>
        <w:t>Nuvia</w:t>
      </w:r>
      <w:proofErr w:type="spellEnd"/>
      <w:r w:rsidRPr="000A3D1A">
        <w:rPr>
          <w:rFonts w:ascii="Times New Roman" w:hAnsi="Times New Roman" w:cs="Times New Roman"/>
          <w:sz w:val="24"/>
          <w:szCs w:val="24"/>
        </w:rPr>
        <w:t xml:space="preserve"> have previously worked together on main circulatory bore reprocessing and secondary wastewater treatment systems (TEU) for power plants (TEP). </w:t>
      </w:r>
    </w:p>
    <w:p w14:paraId="559AFAEF" w14:textId="77777777" w:rsidR="00EF626E" w:rsidRPr="000A3D1A" w:rsidRDefault="00EF626E" w:rsidP="007F557C">
      <w:pPr>
        <w:tabs>
          <w:tab w:val="center" w:pos="4680"/>
        </w:tabs>
        <w:spacing w:line="360" w:lineRule="auto"/>
        <w:jc w:val="both"/>
        <w:rPr>
          <w:rFonts w:ascii="Times New Roman" w:hAnsi="Times New Roman" w:cs="Times New Roman"/>
          <w:sz w:val="24"/>
          <w:szCs w:val="24"/>
        </w:rPr>
      </w:pPr>
    </w:p>
    <w:p w14:paraId="54D97936" w14:textId="23CB23FE" w:rsidR="007F557C"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lastRenderedPageBreak/>
        <w:t>NNB Generation Company (HPC) Limited developed and manages HPC. (NNBG). EDF and China General Nuclear Power Group jointly own 66.5% and 35% of NNBG, respectively. (CGN). NNBG claims that two financiers will cover the full projected £18 billion cost of the HPC's building. (2016 values). The first fixed concrete was cast in March 2017, and according to EDF, the power station is expected to start producing electricity in 2025 and continue doing so until 2085</w:t>
      </w:r>
      <w:r>
        <w:rPr>
          <w:rFonts w:ascii="Times New Roman" w:hAnsi="Times New Roman" w:cs="Times New Roman"/>
          <w:sz w:val="24"/>
          <w:szCs w:val="24"/>
        </w:rPr>
        <w:t xml:space="preserve"> </w:t>
      </w:r>
      <w:sdt>
        <w:sdtPr>
          <w:rPr>
            <w:rFonts w:ascii="Times New Roman" w:hAnsi="Times New Roman" w:cs="Times New Roman"/>
            <w:sz w:val="24"/>
            <w:szCs w:val="24"/>
          </w:rPr>
          <w:id w:val="-2042126247"/>
          <w:citation/>
        </w:sdtPr>
        <w:sdtContent>
          <w:r w:rsidR="00EF626E">
            <w:rPr>
              <w:rFonts w:ascii="Times New Roman" w:hAnsi="Times New Roman" w:cs="Times New Roman"/>
              <w:sz w:val="24"/>
              <w:szCs w:val="24"/>
            </w:rPr>
            <w:fldChar w:fldCharType="begin"/>
          </w:r>
          <w:r w:rsidR="00EF626E">
            <w:rPr>
              <w:rFonts w:ascii="Times New Roman" w:hAnsi="Times New Roman" w:cs="Times New Roman"/>
              <w:sz w:val="24"/>
              <w:szCs w:val="24"/>
              <w:lang w:val="en-US"/>
            </w:rPr>
            <w:instrText xml:space="preserve"> CITATION Ian19 \l 1033 </w:instrText>
          </w:r>
          <w:r w:rsidR="00EF626E">
            <w:rPr>
              <w:rFonts w:ascii="Times New Roman" w:hAnsi="Times New Roman" w:cs="Times New Roman"/>
              <w:sz w:val="24"/>
              <w:szCs w:val="24"/>
            </w:rPr>
            <w:fldChar w:fldCharType="separate"/>
          </w:r>
          <w:r w:rsidR="00EF626E" w:rsidRPr="00EF626E">
            <w:rPr>
              <w:rFonts w:ascii="Times New Roman" w:hAnsi="Times New Roman" w:cs="Times New Roman"/>
              <w:noProof/>
              <w:sz w:val="24"/>
              <w:szCs w:val="24"/>
              <w:lang w:val="en-US"/>
            </w:rPr>
            <w:t>(Alberto, 2019)</w:t>
          </w:r>
          <w:r w:rsidR="00EF626E">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p>
    <w:p w14:paraId="360BF2AC" w14:textId="77777777" w:rsidR="007F557C" w:rsidRPr="000A3D1A" w:rsidRDefault="007F557C" w:rsidP="007F557C">
      <w:pPr>
        <w:pStyle w:val="Heading2"/>
        <w:spacing w:line="360" w:lineRule="auto"/>
        <w:jc w:val="both"/>
        <w:rPr>
          <w:sz w:val="24"/>
          <w:szCs w:val="24"/>
        </w:rPr>
      </w:pPr>
      <w:bookmarkStart w:id="4" w:name="_Toc131677793"/>
      <w:r w:rsidRPr="000A3D1A">
        <w:rPr>
          <w:sz w:val="24"/>
          <w:szCs w:val="24"/>
        </w:rPr>
        <w:t>Timeframe</w:t>
      </w:r>
      <w:bookmarkEnd w:id="4"/>
      <w:r w:rsidRPr="000A3D1A">
        <w:rPr>
          <w:sz w:val="24"/>
          <w:szCs w:val="24"/>
        </w:rPr>
        <w:t xml:space="preserve"> </w:t>
      </w:r>
    </w:p>
    <w:p w14:paraId="0369731A" w14:textId="77777777" w:rsidR="007F557C" w:rsidRDefault="007F557C" w:rsidP="007F557C">
      <w:pPr>
        <w:keepNext/>
        <w:tabs>
          <w:tab w:val="center" w:pos="4680"/>
        </w:tabs>
        <w:spacing w:line="360" w:lineRule="auto"/>
        <w:jc w:val="both"/>
      </w:pPr>
      <w:r>
        <w:rPr>
          <w:rFonts w:ascii="Times New Roman" w:hAnsi="Times New Roman" w:cs="Times New Roman"/>
          <w:noProof/>
          <w:sz w:val="24"/>
          <w:szCs w:val="24"/>
        </w:rPr>
        <w:lastRenderedPageBreak/>
        <w:drawing>
          <wp:inline distT="0" distB="0" distL="0" distR="0" wp14:anchorId="34BD2CD2" wp14:editId="586D5013">
            <wp:extent cx="5553075" cy="7324725"/>
            <wp:effectExtent l="19050" t="0" r="9525" b="0"/>
            <wp:docPr id="7" name="Picture 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aphical user interface&#10;&#10;Description automatically generated"/>
                    <pic:cNvPicPr>
                      <a:picLocks noChangeAspect="1" noChangeArrowheads="1"/>
                    </pic:cNvPicPr>
                  </pic:nvPicPr>
                  <pic:blipFill>
                    <a:blip r:embed="rId9"/>
                    <a:srcRect/>
                    <a:stretch>
                      <a:fillRect/>
                    </a:stretch>
                  </pic:blipFill>
                  <pic:spPr bwMode="auto">
                    <a:xfrm>
                      <a:off x="0" y="0"/>
                      <a:ext cx="5553075" cy="7324725"/>
                    </a:xfrm>
                    <a:prstGeom prst="rect">
                      <a:avLst/>
                    </a:prstGeom>
                    <a:noFill/>
                    <a:ln w="9525">
                      <a:noFill/>
                      <a:miter lim="800000"/>
                      <a:headEnd/>
                      <a:tailEnd/>
                    </a:ln>
                  </pic:spPr>
                </pic:pic>
              </a:graphicData>
            </a:graphic>
          </wp:inline>
        </w:drawing>
      </w:r>
    </w:p>
    <w:p w14:paraId="7F714BE9" w14:textId="77777777" w:rsidR="007F557C" w:rsidRDefault="007F557C" w:rsidP="007F557C">
      <w:pPr>
        <w:pStyle w:val="Caption"/>
        <w:jc w:val="both"/>
      </w:pPr>
      <w:r>
        <w:t xml:space="preserve">Figure </w:t>
      </w:r>
      <w:r>
        <w:fldChar w:fldCharType="begin"/>
      </w:r>
      <w:r>
        <w:instrText xml:space="preserve"> SEQ Figure \* ARABIC </w:instrText>
      </w:r>
      <w:r>
        <w:fldChar w:fldCharType="separate"/>
      </w:r>
      <w:r>
        <w:rPr>
          <w:noProof/>
        </w:rPr>
        <w:t>1</w:t>
      </w:r>
      <w:r>
        <w:rPr>
          <w:noProof/>
        </w:rPr>
        <w:fldChar w:fldCharType="end"/>
      </w:r>
      <w:r>
        <w:t xml:space="preserve">: Timeframe </w:t>
      </w:r>
    </w:p>
    <w:p w14:paraId="387A34F0" w14:textId="51D41778" w:rsidR="007F557C" w:rsidRPr="002E1EC8" w:rsidRDefault="007F557C" w:rsidP="007F557C">
      <w:r>
        <w:t xml:space="preserve">Source: </w:t>
      </w:r>
      <w:r w:rsidR="00EF626E">
        <w:t xml:space="preserve">National Audit Office-Report by the Controller and Auditor General - </w:t>
      </w:r>
      <w:r>
        <w:rPr>
          <w:rFonts w:ascii="Times New Roman" w:hAnsi="Times New Roman" w:cs="Times New Roman"/>
          <w:color w:val="222222"/>
          <w:sz w:val="24"/>
          <w:szCs w:val="24"/>
          <w:shd w:val="clear" w:color="auto" w:fill="FFFFFF"/>
        </w:rPr>
        <w:t xml:space="preserve">Hinkley Point C </w:t>
      </w:r>
    </w:p>
    <w:p w14:paraId="24103EBF" w14:textId="372EE9DC" w:rsidR="00917FD7"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lastRenderedPageBreak/>
        <w:t xml:space="preserve">Hinckley Point C in Somerset has been under construction for five years by EDF Energy. The facility's launching by that date was something that the project manager, Nigel Kang, told the BBC his team was "absolutely focused" on. It is the first nuclear power plant equally owned by two commercial companies. EDF Energy finally decided to move forward with Hinckley Point development on September 29, </w:t>
      </w:r>
      <w:proofErr w:type="gramStart"/>
      <w:r w:rsidRPr="000A3D1A">
        <w:rPr>
          <w:rFonts w:ascii="Times New Roman" w:hAnsi="Times New Roman" w:cs="Times New Roman"/>
          <w:sz w:val="24"/>
          <w:szCs w:val="24"/>
        </w:rPr>
        <w:t>2016</w:t>
      </w:r>
      <w:proofErr w:type="gramEnd"/>
      <w:r>
        <w:rPr>
          <w:rFonts w:ascii="Times New Roman" w:hAnsi="Times New Roman" w:cs="Times New Roman"/>
          <w:sz w:val="24"/>
          <w:szCs w:val="24"/>
        </w:rPr>
        <w:t xml:space="preserve"> </w:t>
      </w:r>
      <w:sdt>
        <w:sdtPr>
          <w:rPr>
            <w:rFonts w:ascii="Times New Roman" w:hAnsi="Times New Roman" w:cs="Times New Roman"/>
            <w:sz w:val="24"/>
            <w:szCs w:val="24"/>
          </w:rPr>
          <w:id w:val="-454954531"/>
          <w:citation/>
        </w:sdtPr>
        <w:sdtContent>
          <w:r w:rsidR="00BD2FBA">
            <w:rPr>
              <w:rFonts w:ascii="Times New Roman" w:hAnsi="Times New Roman" w:cs="Times New Roman"/>
              <w:sz w:val="24"/>
              <w:szCs w:val="24"/>
            </w:rPr>
            <w:fldChar w:fldCharType="begin"/>
          </w:r>
          <w:r w:rsidR="00BD2FBA">
            <w:rPr>
              <w:rFonts w:ascii="Times New Roman" w:hAnsi="Times New Roman" w:cs="Times New Roman"/>
              <w:sz w:val="24"/>
              <w:szCs w:val="24"/>
              <w:lang w:val="en-US"/>
            </w:rPr>
            <w:instrText xml:space="preserve"> CITATION Dav21 \l 1033 </w:instrText>
          </w:r>
          <w:r w:rsidR="00BD2FBA">
            <w:rPr>
              <w:rFonts w:ascii="Times New Roman" w:hAnsi="Times New Roman" w:cs="Times New Roman"/>
              <w:sz w:val="24"/>
              <w:szCs w:val="24"/>
            </w:rPr>
            <w:fldChar w:fldCharType="separate"/>
          </w:r>
          <w:r w:rsidR="00BD2FBA" w:rsidRPr="00BD2FBA">
            <w:rPr>
              <w:rFonts w:ascii="Times New Roman" w:hAnsi="Times New Roman" w:cs="Times New Roman"/>
              <w:noProof/>
              <w:sz w:val="24"/>
              <w:szCs w:val="24"/>
              <w:lang w:val="en-US"/>
            </w:rPr>
            <w:t>(Harvey, 2021)</w:t>
          </w:r>
          <w:r w:rsidR="00BD2FBA">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The forest is presently home to more than 100 cranes. Underneath, substantial cracks in the Somerset shoreline are filled with intricate concrete structures. </w:t>
      </w:r>
      <w:r>
        <w:rPr>
          <w:rFonts w:ascii="Times New Roman" w:hAnsi="Times New Roman" w:cs="Times New Roman"/>
          <w:sz w:val="24"/>
          <w:szCs w:val="24"/>
        </w:rPr>
        <w:t xml:space="preserve">HPC </w:t>
      </w:r>
      <w:r w:rsidRPr="000A3D1A">
        <w:rPr>
          <w:rFonts w:ascii="Times New Roman" w:hAnsi="Times New Roman" w:cs="Times New Roman"/>
          <w:sz w:val="24"/>
          <w:szCs w:val="24"/>
        </w:rPr>
        <w:t>has already poured 850,000 cubic metres of concrete, or 7,600 of his double-decker buses. They unearthed his two enormous tunnels, which were located two miles down the Bristol Channel. Water enters at a rate of 120,000 gallons per second to cool his two reactors and leaves through a third channel</w:t>
      </w:r>
      <w:r>
        <w:rPr>
          <w:rFonts w:ascii="Times New Roman" w:hAnsi="Times New Roman" w:cs="Times New Roman"/>
          <w:sz w:val="24"/>
          <w:szCs w:val="24"/>
        </w:rPr>
        <w:t xml:space="preserve"> </w:t>
      </w:r>
      <w:sdt>
        <w:sdtPr>
          <w:rPr>
            <w:rFonts w:ascii="Times New Roman" w:hAnsi="Times New Roman" w:cs="Times New Roman"/>
            <w:sz w:val="24"/>
            <w:szCs w:val="24"/>
          </w:rPr>
          <w:id w:val="-1092537507"/>
          <w:citation/>
        </w:sdtPr>
        <w:sdtContent>
          <w:r w:rsidR="00917FD7">
            <w:rPr>
              <w:rFonts w:ascii="Times New Roman" w:hAnsi="Times New Roman" w:cs="Times New Roman"/>
              <w:sz w:val="24"/>
              <w:szCs w:val="24"/>
            </w:rPr>
            <w:fldChar w:fldCharType="begin"/>
          </w:r>
          <w:r w:rsidR="00917FD7">
            <w:rPr>
              <w:rFonts w:ascii="Times New Roman" w:hAnsi="Times New Roman" w:cs="Times New Roman"/>
              <w:sz w:val="24"/>
              <w:szCs w:val="24"/>
              <w:lang w:val="en-US"/>
            </w:rPr>
            <w:instrText xml:space="preserve"> CITATION FIO18 \l 1033 </w:instrText>
          </w:r>
          <w:r w:rsidR="00917FD7">
            <w:rPr>
              <w:rFonts w:ascii="Times New Roman" w:hAnsi="Times New Roman" w:cs="Times New Roman"/>
              <w:sz w:val="24"/>
              <w:szCs w:val="24"/>
            </w:rPr>
            <w:fldChar w:fldCharType="separate"/>
          </w:r>
          <w:r w:rsidR="00917FD7" w:rsidRPr="00917FD7">
            <w:rPr>
              <w:rFonts w:ascii="Times New Roman" w:hAnsi="Times New Roman" w:cs="Times New Roman"/>
              <w:noProof/>
              <w:sz w:val="24"/>
              <w:szCs w:val="24"/>
              <w:lang w:val="en-US"/>
            </w:rPr>
            <w:t>(MCINTYRE, 2018)</w:t>
          </w:r>
          <w:r w:rsidR="00917FD7">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Due to the pandemic, the project was completed six months late. This is caused in part by the strategies used to distance society, as well as the reality that vendors have slowed down. The cost of construction supplies has considerably risen, and lorry drivers in the UK are a major problem for the industry. </w:t>
      </w:r>
    </w:p>
    <w:p w14:paraId="1543B4F2" w14:textId="77777777" w:rsidR="007F557C" w:rsidRPr="000A3D1A" w:rsidRDefault="007F557C" w:rsidP="007F557C">
      <w:pPr>
        <w:pStyle w:val="Heading2"/>
        <w:spacing w:line="360" w:lineRule="auto"/>
        <w:jc w:val="both"/>
        <w:rPr>
          <w:sz w:val="24"/>
          <w:szCs w:val="24"/>
        </w:rPr>
      </w:pPr>
      <w:bookmarkStart w:id="5" w:name="_Toc131677794"/>
      <w:r w:rsidRPr="000A3D1A">
        <w:rPr>
          <w:sz w:val="24"/>
          <w:szCs w:val="24"/>
        </w:rPr>
        <w:t>Budget</w:t>
      </w:r>
      <w:bookmarkEnd w:id="5"/>
      <w:r w:rsidRPr="000A3D1A">
        <w:rPr>
          <w:sz w:val="24"/>
          <w:szCs w:val="24"/>
        </w:rPr>
        <w:t xml:space="preserve"> </w:t>
      </w:r>
    </w:p>
    <w:p w14:paraId="1E8733F4" w14:textId="414EE0FA" w:rsidR="00917FD7" w:rsidRPr="00917FD7" w:rsidRDefault="007F557C" w:rsidP="00917FD7">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As per the given figure, it is observed that most recent expenses assumed that constant prices are expressed in the year 2016 money and net inflation of the nation while cash costs include in the inflations</w:t>
      </w:r>
      <w:r>
        <w:rPr>
          <w:rFonts w:ascii="Times New Roman" w:hAnsi="Times New Roman" w:cs="Times New Roman"/>
          <w:sz w:val="24"/>
          <w:szCs w:val="24"/>
        </w:rPr>
        <w:t xml:space="preserve"> </w:t>
      </w:r>
      <w:sdt>
        <w:sdtPr>
          <w:rPr>
            <w:rFonts w:ascii="Times New Roman" w:hAnsi="Times New Roman" w:cs="Times New Roman"/>
            <w:sz w:val="24"/>
            <w:szCs w:val="24"/>
          </w:rPr>
          <w:id w:val="-122154738"/>
          <w:citation/>
        </w:sdtPr>
        <w:sdtContent>
          <w:r w:rsidR="00917FD7">
            <w:rPr>
              <w:rFonts w:ascii="Times New Roman" w:hAnsi="Times New Roman" w:cs="Times New Roman"/>
              <w:sz w:val="24"/>
              <w:szCs w:val="24"/>
            </w:rPr>
            <w:fldChar w:fldCharType="begin"/>
          </w:r>
          <w:r w:rsidR="00917FD7">
            <w:rPr>
              <w:rFonts w:ascii="Times New Roman" w:hAnsi="Times New Roman" w:cs="Times New Roman"/>
              <w:sz w:val="24"/>
              <w:szCs w:val="24"/>
              <w:lang w:val="en-US"/>
            </w:rPr>
            <w:instrText xml:space="preserve"> CITATION Nat17 \l 1033 </w:instrText>
          </w:r>
          <w:r w:rsidR="00917FD7">
            <w:rPr>
              <w:rFonts w:ascii="Times New Roman" w:hAnsi="Times New Roman" w:cs="Times New Roman"/>
              <w:sz w:val="24"/>
              <w:szCs w:val="24"/>
            </w:rPr>
            <w:fldChar w:fldCharType="separate"/>
          </w:r>
          <w:r w:rsidR="00917FD7" w:rsidRPr="00917FD7">
            <w:rPr>
              <w:rFonts w:ascii="Times New Roman" w:hAnsi="Times New Roman" w:cs="Times New Roman"/>
              <w:noProof/>
              <w:sz w:val="24"/>
              <w:szCs w:val="24"/>
              <w:lang w:val="en-US"/>
            </w:rPr>
            <w:t>(National Audit Office by Comproller and Auditor General Sir Amyas Morse, 2017)</w:t>
          </w:r>
          <w:r w:rsidR="00917FD7">
            <w:rPr>
              <w:rFonts w:ascii="Times New Roman" w:hAnsi="Times New Roman" w:cs="Times New Roman"/>
              <w:sz w:val="24"/>
              <w:szCs w:val="24"/>
            </w:rPr>
            <w:fldChar w:fldCharType="end"/>
          </w:r>
        </w:sdtContent>
      </w:sdt>
      <w:r w:rsidRPr="000A3D1A">
        <w:rPr>
          <w:rFonts w:ascii="Times New Roman" w:hAnsi="Times New Roman" w:cs="Times New Roman"/>
          <w:sz w:val="24"/>
          <w:szCs w:val="24"/>
        </w:rPr>
        <w:t>. Total construction expenses in the constant prices are increased due to inflation from the value of the 17.9 billion prices in the year 2015. On the different side, the operational costs comprised the land lease. At the time of operations, NNB Generation Company (HPC) Limited would commit investments to the decommissioning investments so that they could pay for decommissioning expenses at the end of the plats’ operational life. According to NNBG, the fund should perform well enough to turn a profit</w:t>
      </w:r>
      <w:r>
        <w:rPr>
          <w:rFonts w:ascii="Times New Roman" w:hAnsi="Times New Roman" w:cs="Times New Roman"/>
          <w:sz w:val="24"/>
          <w:szCs w:val="24"/>
        </w:rPr>
        <w:t xml:space="preserve"> </w:t>
      </w:r>
      <w:sdt>
        <w:sdtPr>
          <w:rPr>
            <w:rFonts w:ascii="Times New Roman" w:hAnsi="Times New Roman" w:cs="Times New Roman"/>
            <w:sz w:val="24"/>
            <w:szCs w:val="24"/>
          </w:rPr>
          <w:id w:val="7334068"/>
          <w:citation/>
        </w:sdtPr>
        <w:sdtContent>
          <w:r w:rsidR="00A926AE">
            <w:rPr>
              <w:rFonts w:ascii="Times New Roman" w:hAnsi="Times New Roman" w:cs="Times New Roman"/>
              <w:sz w:val="24"/>
              <w:szCs w:val="24"/>
            </w:rPr>
            <w:fldChar w:fldCharType="begin"/>
          </w:r>
          <w:r w:rsidR="00A926AE">
            <w:rPr>
              <w:rFonts w:ascii="Times New Roman" w:hAnsi="Times New Roman" w:cs="Times New Roman"/>
              <w:sz w:val="24"/>
              <w:szCs w:val="24"/>
              <w:lang w:val="en-US"/>
            </w:rPr>
            <w:instrText xml:space="preserve"> CITATION Gui19 \l 1033 </w:instrText>
          </w:r>
          <w:r w:rsidR="00A926AE">
            <w:rPr>
              <w:rFonts w:ascii="Times New Roman" w:hAnsi="Times New Roman" w:cs="Times New Roman"/>
              <w:sz w:val="24"/>
              <w:szCs w:val="24"/>
            </w:rPr>
            <w:fldChar w:fldCharType="separate"/>
          </w:r>
          <w:r w:rsidR="00A926AE" w:rsidRPr="00A926AE">
            <w:rPr>
              <w:rFonts w:ascii="Times New Roman" w:hAnsi="Times New Roman" w:cs="Times New Roman"/>
              <w:noProof/>
              <w:sz w:val="24"/>
              <w:szCs w:val="24"/>
              <w:lang w:val="en-US"/>
            </w:rPr>
            <w:t>(Aldama</w:t>
          </w:r>
          <w:r w:rsidR="00A926AE" w:rsidRPr="00A926AE">
            <w:rPr>
              <w:rFonts w:ascii="Times New Roman" w:hAnsi="Times New Roman" w:cs="Times New Roman"/>
              <w:noProof/>
              <w:sz w:val="24"/>
              <w:szCs w:val="24"/>
              <w:lang w:val="en-US"/>
            </w:rPr>
            <w:noBreakHyphen/>
            <w:t>Bustos, et al., 2019)</w:t>
          </w:r>
          <w:r w:rsidR="00A926AE">
            <w:rPr>
              <w:rFonts w:ascii="Times New Roman" w:hAnsi="Times New Roman" w:cs="Times New Roman"/>
              <w:sz w:val="24"/>
              <w:szCs w:val="24"/>
            </w:rPr>
            <w:fldChar w:fldCharType="end"/>
          </w:r>
        </w:sdtContent>
      </w:sdt>
      <w:r w:rsidRPr="000A3D1A">
        <w:rPr>
          <w:rFonts w:ascii="Times New Roman" w:hAnsi="Times New Roman" w:cs="Times New Roman"/>
          <w:sz w:val="24"/>
          <w:szCs w:val="24"/>
        </w:rPr>
        <w:t>. This suggests that a portion of the fund might be restored to investors; NNBG expects this to happen at the end of the decommissioning period, but it might happen sooner if the fund performs particularly as well as contains a risk fee that the Department charges to account for the possibility of higher-than-expected waste disposal expenses</w:t>
      </w:r>
      <w:r>
        <w:rPr>
          <w:rFonts w:ascii="Times New Roman" w:hAnsi="Times New Roman" w:cs="Times New Roman"/>
          <w:sz w:val="24"/>
          <w:szCs w:val="24"/>
        </w:rPr>
        <w:t xml:space="preserve"> </w:t>
      </w:r>
      <w:sdt>
        <w:sdtPr>
          <w:rPr>
            <w:rFonts w:ascii="Times New Roman" w:hAnsi="Times New Roman" w:cs="Times New Roman"/>
            <w:sz w:val="24"/>
            <w:szCs w:val="24"/>
          </w:rPr>
          <w:id w:val="166684823"/>
          <w:citation/>
        </w:sdtPr>
        <w:sdtContent>
          <w:r w:rsidR="00A926AE">
            <w:rPr>
              <w:rFonts w:ascii="Times New Roman" w:hAnsi="Times New Roman" w:cs="Times New Roman"/>
              <w:sz w:val="24"/>
              <w:szCs w:val="24"/>
            </w:rPr>
            <w:fldChar w:fldCharType="begin"/>
          </w:r>
          <w:r w:rsidR="00A926AE">
            <w:rPr>
              <w:rFonts w:ascii="Times New Roman" w:hAnsi="Times New Roman" w:cs="Times New Roman"/>
              <w:sz w:val="24"/>
              <w:szCs w:val="24"/>
              <w:lang w:val="en-US"/>
            </w:rPr>
            <w:instrText xml:space="preserve"> CITATION Jam21 \l 1033 </w:instrText>
          </w:r>
          <w:r w:rsidR="00A926AE">
            <w:rPr>
              <w:rFonts w:ascii="Times New Roman" w:hAnsi="Times New Roman" w:cs="Times New Roman"/>
              <w:sz w:val="24"/>
              <w:szCs w:val="24"/>
            </w:rPr>
            <w:fldChar w:fldCharType="separate"/>
          </w:r>
          <w:r w:rsidR="00A926AE" w:rsidRPr="00A926AE">
            <w:rPr>
              <w:rFonts w:ascii="Times New Roman" w:hAnsi="Times New Roman" w:cs="Times New Roman"/>
              <w:noProof/>
              <w:sz w:val="24"/>
              <w:szCs w:val="24"/>
              <w:lang w:val="en-US"/>
            </w:rPr>
            <w:t>(Dyrda &amp; Morrison, 2021)</w:t>
          </w:r>
          <w:r w:rsidR="00A926AE">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r w:rsidR="00917FD7">
        <w:rPr>
          <w:rFonts w:ascii="Times New Roman" w:hAnsi="Times New Roman" w:cs="Times New Roman"/>
          <w:color w:val="222222"/>
          <w:sz w:val="24"/>
          <w:szCs w:val="24"/>
          <w:shd w:val="clear" w:color="auto" w:fill="FFFFFF"/>
        </w:rPr>
        <w:t xml:space="preserve"> </w:t>
      </w:r>
    </w:p>
    <w:p w14:paraId="01B88306" w14:textId="77777777" w:rsidR="00917FD7" w:rsidRDefault="00917FD7" w:rsidP="007F557C">
      <w:pPr>
        <w:tabs>
          <w:tab w:val="center" w:pos="4680"/>
        </w:tabs>
        <w:spacing w:line="360" w:lineRule="auto"/>
        <w:jc w:val="both"/>
        <w:rPr>
          <w:rFonts w:ascii="Times New Roman" w:hAnsi="Times New Roman" w:cs="Times New Roman"/>
          <w:sz w:val="24"/>
          <w:szCs w:val="24"/>
        </w:rPr>
      </w:pPr>
    </w:p>
    <w:p w14:paraId="3ACF9AAC" w14:textId="77777777" w:rsidR="007F557C" w:rsidRDefault="007F557C" w:rsidP="007F557C">
      <w:pPr>
        <w:keepNext/>
        <w:tabs>
          <w:tab w:val="center" w:pos="4680"/>
        </w:tabs>
        <w:spacing w:line="360" w:lineRule="auto"/>
        <w:jc w:val="both"/>
      </w:pPr>
      <w:r>
        <w:rPr>
          <w:rFonts w:ascii="Times New Roman" w:hAnsi="Times New Roman" w:cs="Times New Roman"/>
          <w:noProof/>
          <w:sz w:val="24"/>
          <w:szCs w:val="24"/>
        </w:rPr>
        <w:lastRenderedPageBreak/>
        <w:drawing>
          <wp:inline distT="0" distB="0" distL="0" distR="0" wp14:anchorId="74A5D64B" wp14:editId="191B02F2">
            <wp:extent cx="5943600" cy="7350835"/>
            <wp:effectExtent l="19050" t="0" r="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a:picLocks noChangeAspect="1" noChangeArrowheads="1"/>
                    </pic:cNvPicPr>
                  </pic:nvPicPr>
                  <pic:blipFill>
                    <a:blip r:embed="rId10"/>
                    <a:srcRect/>
                    <a:stretch>
                      <a:fillRect/>
                    </a:stretch>
                  </pic:blipFill>
                  <pic:spPr bwMode="auto">
                    <a:xfrm>
                      <a:off x="0" y="0"/>
                      <a:ext cx="5943600" cy="7350835"/>
                    </a:xfrm>
                    <a:prstGeom prst="rect">
                      <a:avLst/>
                    </a:prstGeom>
                    <a:noFill/>
                    <a:ln w="9525">
                      <a:noFill/>
                      <a:miter lim="800000"/>
                      <a:headEnd/>
                      <a:tailEnd/>
                    </a:ln>
                  </pic:spPr>
                </pic:pic>
              </a:graphicData>
            </a:graphic>
          </wp:inline>
        </w:drawing>
      </w:r>
    </w:p>
    <w:p w14:paraId="496D946C" w14:textId="77777777" w:rsidR="007F557C" w:rsidRDefault="007F557C" w:rsidP="007F557C">
      <w:pPr>
        <w:pStyle w:val="Caption"/>
        <w:jc w:val="both"/>
        <w:rPr>
          <w:rFonts w:ascii="Times New Roman" w:hAnsi="Times New Roman" w:cs="Times New Roman"/>
          <w:color w:val="auto"/>
          <w:sz w:val="24"/>
          <w:szCs w:val="24"/>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0A3D1A">
        <w:rPr>
          <w:rFonts w:ascii="Times New Roman" w:hAnsi="Times New Roman" w:cs="Times New Roman"/>
          <w:color w:val="auto"/>
          <w:sz w:val="24"/>
          <w:szCs w:val="24"/>
        </w:rPr>
        <w:t>The expected costs of Hinkley Point C</w:t>
      </w:r>
    </w:p>
    <w:p w14:paraId="0BE3C835" w14:textId="1BA2980C" w:rsidR="007F557C" w:rsidRPr="002E1EC8" w:rsidRDefault="007F557C" w:rsidP="007F557C">
      <w:r>
        <w:t xml:space="preserve">Source: </w:t>
      </w:r>
      <w:bookmarkStart w:id="6" w:name="_Hlk131676513"/>
      <w:r w:rsidR="00A926AE">
        <w:t xml:space="preserve">National Audit Office-Report by the Controller and Auditor General - </w:t>
      </w:r>
      <w:r w:rsidR="00A926AE">
        <w:rPr>
          <w:rFonts w:ascii="Times New Roman" w:hAnsi="Times New Roman" w:cs="Times New Roman"/>
          <w:color w:val="222222"/>
          <w:sz w:val="24"/>
          <w:szCs w:val="24"/>
          <w:shd w:val="clear" w:color="auto" w:fill="FFFFFF"/>
        </w:rPr>
        <w:t>Hinkley Point C</w:t>
      </w:r>
    </w:p>
    <w:p w14:paraId="3C844BFB" w14:textId="77777777" w:rsidR="007F557C" w:rsidRPr="000A3D1A" w:rsidRDefault="007F557C" w:rsidP="007F557C">
      <w:pPr>
        <w:pStyle w:val="Heading2"/>
        <w:spacing w:line="360" w:lineRule="auto"/>
        <w:jc w:val="both"/>
        <w:rPr>
          <w:sz w:val="24"/>
          <w:szCs w:val="24"/>
        </w:rPr>
      </w:pPr>
      <w:bookmarkStart w:id="7" w:name="_Toc131677795"/>
      <w:bookmarkEnd w:id="6"/>
      <w:r w:rsidRPr="000A3D1A">
        <w:rPr>
          <w:sz w:val="24"/>
          <w:szCs w:val="24"/>
        </w:rPr>
        <w:lastRenderedPageBreak/>
        <w:t>Risk Analysis of Hinkley Point C of the UK</w:t>
      </w:r>
      <w:bookmarkEnd w:id="7"/>
    </w:p>
    <w:p w14:paraId="3A63B4E6" w14:textId="3F39EA77"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Hinckley Point C for UK nuclear power plants, contractual regulations, risks still present to energy consumers and taxpayers, and current practises allowing private companies to Financially, new manufacturing capacity cannot be supported. a power plant that doesn't receive government assistance</w:t>
      </w:r>
      <w:r>
        <w:rPr>
          <w:rFonts w:ascii="Times New Roman" w:hAnsi="Times New Roman" w:cs="Times New Roman"/>
          <w:sz w:val="24"/>
          <w:szCs w:val="24"/>
        </w:rPr>
        <w:t xml:space="preserve"> </w:t>
      </w:r>
      <w:sdt>
        <w:sdtPr>
          <w:rPr>
            <w:rFonts w:ascii="Times New Roman" w:hAnsi="Times New Roman" w:cs="Times New Roman"/>
            <w:sz w:val="24"/>
            <w:szCs w:val="24"/>
          </w:rPr>
          <w:id w:val="1626270217"/>
          <w:citation/>
        </w:sdtPr>
        <w:sdtContent>
          <w:r w:rsidR="006F186D">
            <w:rPr>
              <w:rFonts w:ascii="Times New Roman" w:hAnsi="Times New Roman" w:cs="Times New Roman"/>
              <w:sz w:val="24"/>
              <w:szCs w:val="24"/>
            </w:rPr>
            <w:fldChar w:fldCharType="begin"/>
          </w:r>
          <w:r w:rsidR="006F186D">
            <w:rPr>
              <w:rFonts w:ascii="Times New Roman" w:hAnsi="Times New Roman" w:cs="Times New Roman"/>
              <w:sz w:val="24"/>
              <w:szCs w:val="24"/>
              <w:lang w:val="en-US"/>
            </w:rPr>
            <w:instrText xml:space="preserve"> CITATION Hed18 \l 1033 </w:instrText>
          </w:r>
          <w:r w:rsidR="006F186D">
            <w:rPr>
              <w:rFonts w:ascii="Times New Roman" w:hAnsi="Times New Roman" w:cs="Times New Roman"/>
              <w:sz w:val="24"/>
              <w:szCs w:val="24"/>
            </w:rPr>
            <w:fldChar w:fldCharType="separate"/>
          </w:r>
          <w:r w:rsidR="006F186D" w:rsidRPr="006F186D">
            <w:rPr>
              <w:rFonts w:ascii="Times New Roman" w:hAnsi="Times New Roman" w:cs="Times New Roman"/>
              <w:noProof/>
              <w:sz w:val="24"/>
              <w:szCs w:val="24"/>
              <w:lang w:val="en-US"/>
            </w:rPr>
            <w:t>(Smyth, et al., 2018)</w:t>
          </w:r>
          <w:r w:rsidR="006F186D">
            <w:rPr>
              <w:rFonts w:ascii="Times New Roman" w:hAnsi="Times New Roman" w:cs="Times New Roman"/>
              <w:sz w:val="24"/>
              <w:szCs w:val="24"/>
            </w:rPr>
            <w:fldChar w:fldCharType="end"/>
          </w:r>
        </w:sdtContent>
      </w:sdt>
      <w:r w:rsidRPr="000A3D1A">
        <w:rPr>
          <w:rFonts w:ascii="Times New Roman" w:hAnsi="Times New Roman" w:cs="Times New Roman"/>
          <w:sz w:val="24"/>
          <w:szCs w:val="24"/>
        </w:rPr>
        <w:t>. The expected earnings on the commercial power market do not cover the high startup costs, additional risks, and operating and decommissioning of low-carbon power plants.</w:t>
      </w:r>
    </w:p>
    <w:p w14:paraId="1E1FB7CB" w14:textId="51D4D7DC"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With the 2010 Coalition Government contract specifying no funding for nuclear power and HPC's plan to shift the contract to other options as quickly as feasible, price performance risks still exist for clients and taxpayers</w:t>
      </w:r>
      <w:r>
        <w:rPr>
          <w:rFonts w:ascii="Times New Roman" w:hAnsi="Times New Roman" w:cs="Times New Roman"/>
          <w:sz w:val="24"/>
          <w:szCs w:val="24"/>
        </w:rPr>
        <w:t xml:space="preserve"> </w:t>
      </w:r>
      <w:sdt>
        <w:sdtPr>
          <w:rPr>
            <w:rFonts w:ascii="Times New Roman" w:hAnsi="Times New Roman" w:cs="Times New Roman"/>
            <w:sz w:val="24"/>
            <w:szCs w:val="24"/>
          </w:rPr>
          <w:id w:val="1176301297"/>
          <w:citation/>
        </w:sdtPr>
        <w:sdtContent>
          <w:r w:rsidR="006F186D">
            <w:rPr>
              <w:rFonts w:ascii="Times New Roman" w:hAnsi="Times New Roman" w:cs="Times New Roman"/>
              <w:sz w:val="24"/>
              <w:szCs w:val="24"/>
            </w:rPr>
            <w:fldChar w:fldCharType="begin"/>
          </w:r>
          <w:r w:rsidR="006F186D">
            <w:rPr>
              <w:rFonts w:ascii="Times New Roman" w:hAnsi="Times New Roman" w:cs="Times New Roman"/>
              <w:sz w:val="24"/>
              <w:szCs w:val="24"/>
              <w:lang w:val="en-US"/>
            </w:rPr>
            <w:instrText xml:space="preserve"> CITATION Ant21 \l 1033 </w:instrText>
          </w:r>
          <w:r w:rsidR="006F186D">
            <w:rPr>
              <w:rFonts w:ascii="Times New Roman" w:hAnsi="Times New Roman" w:cs="Times New Roman"/>
              <w:sz w:val="24"/>
              <w:szCs w:val="24"/>
            </w:rPr>
            <w:fldChar w:fldCharType="separate"/>
          </w:r>
          <w:r w:rsidR="006F186D" w:rsidRPr="006F186D">
            <w:rPr>
              <w:rFonts w:ascii="Times New Roman" w:hAnsi="Times New Roman" w:cs="Times New Roman"/>
              <w:noProof/>
              <w:sz w:val="24"/>
              <w:szCs w:val="24"/>
              <w:lang w:val="en-US"/>
            </w:rPr>
            <w:t>(Butcher, et al., 2021)</w:t>
          </w:r>
          <w:r w:rsidR="006F186D">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It has sparked discussions about low-carbon solutions as a replacement. </w:t>
      </w:r>
      <w:proofErr w:type="gramStart"/>
      <w:r w:rsidRPr="000A3D1A">
        <w:rPr>
          <w:rFonts w:ascii="Times New Roman" w:hAnsi="Times New Roman" w:cs="Times New Roman"/>
          <w:sz w:val="24"/>
          <w:szCs w:val="24"/>
        </w:rPr>
        <w:t>similar to</w:t>
      </w:r>
      <w:proofErr w:type="gramEnd"/>
      <w:r w:rsidRPr="000A3D1A">
        <w:rPr>
          <w:rFonts w:ascii="Times New Roman" w:hAnsi="Times New Roman" w:cs="Times New Roman"/>
          <w:sz w:val="24"/>
          <w:szCs w:val="24"/>
        </w:rPr>
        <w:t xml:space="preserve"> the light and the breeze. The private sector provided the funding and assumed all project-related risks in exchange for a fixed price for the energy generated</w:t>
      </w:r>
      <w:r>
        <w:rPr>
          <w:rFonts w:ascii="Times New Roman" w:hAnsi="Times New Roman" w:cs="Times New Roman"/>
          <w:sz w:val="24"/>
          <w:szCs w:val="24"/>
        </w:rPr>
        <w:t xml:space="preserve"> </w:t>
      </w:r>
      <w:sdt>
        <w:sdtPr>
          <w:rPr>
            <w:rFonts w:ascii="Times New Roman" w:hAnsi="Times New Roman" w:cs="Times New Roman"/>
            <w:sz w:val="24"/>
            <w:szCs w:val="24"/>
          </w:rPr>
          <w:id w:val="-350334416"/>
          <w:citation/>
        </w:sdtPr>
        <w:sdtContent>
          <w:r w:rsidR="006F186D">
            <w:rPr>
              <w:rFonts w:ascii="Times New Roman" w:hAnsi="Times New Roman" w:cs="Times New Roman"/>
              <w:sz w:val="24"/>
              <w:szCs w:val="24"/>
            </w:rPr>
            <w:fldChar w:fldCharType="begin"/>
          </w:r>
          <w:r w:rsidR="006F186D">
            <w:rPr>
              <w:rFonts w:ascii="Times New Roman" w:hAnsi="Times New Roman" w:cs="Times New Roman"/>
              <w:sz w:val="24"/>
              <w:szCs w:val="24"/>
              <w:lang w:val="en-US"/>
            </w:rPr>
            <w:instrText xml:space="preserve"> CITATION Jam21 \l 1033 </w:instrText>
          </w:r>
          <w:r w:rsidR="006F186D">
            <w:rPr>
              <w:rFonts w:ascii="Times New Roman" w:hAnsi="Times New Roman" w:cs="Times New Roman"/>
              <w:sz w:val="24"/>
              <w:szCs w:val="24"/>
            </w:rPr>
            <w:fldChar w:fldCharType="separate"/>
          </w:r>
          <w:r w:rsidR="006F186D" w:rsidRPr="006F186D">
            <w:rPr>
              <w:rFonts w:ascii="Times New Roman" w:hAnsi="Times New Roman" w:cs="Times New Roman"/>
              <w:noProof/>
              <w:sz w:val="24"/>
              <w:szCs w:val="24"/>
              <w:lang w:val="en-US"/>
            </w:rPr>
            <w:t>(Dyrda &amp; Morrison, 2021)</w:t>
          </w:r>
          <w:r w:rsidR="006F186D">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p>
    <w:p w14:paraId="41DAB13A" w14:textId="6F504E38" w:rsidR="007F557C"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This enterprise was constructed, funded, and administered by private contractors, who also received direct government funding. Though the government has committed to ensuring the debt required to construct the risk of lower-than-expected passenger revenues, contractors won't be able to collect enough money for the project if demand declines</w:t>
      </w:r>
      <w:r>
        <w:rPr>
          <w:rFonts w:ascii="Times New Roman" w:hAnsi="Times New Roman" w:cs="Times New Roman"/>
          <w:sz w:val="24"/>
          <w:szCs w:val="24"/>
        </w:rPr>
        <w:t xml:space="preserve"> </w:t>
      </w:r>
      <w:sdt>
        <w:sdtPr>
          <w:rPr>
            <w:rFonts w:ascii="Times New Roman" w:hAnsi="Times New Roman" w:cs="Times New Roman"/>
            <w:sz w:val="24"/>
            <w:szCs w:val="24"/>
          </w:rPr>
          <w:id w:val="1507869951"/>
          <w:citation/>
        </w:sdtPr>
        <w:sdtContent>
          <w:r w:rsidR="006F186D">
            <w:rPr>
              <w:rFonts w:ascii="Times New Roman" w:hAnsi="Times New Roman" w:cs="Times New Roman"/>
              <w:sz w:val="24"/>
              <w:szCs w:val="24"/>
            </w:rPr>
            <w:fldChar w:fldCharType="begin"/>
          </w:r>
          <w:r w:rsidR="006F186D">
            <w:rPr>
              <w:rFonts w:ascii="Times New Roman" w:hAnsi="Times New Roman" w:cs="Times New Roman"/>
              <w:sz w:val="24"/>
              <w:szCs w:val="24"/>
              <w:lang w:val="en-US"/>
            </w:rPr>
            <w:instrText xml:space="preserve"> CITATION Dyl21 \l 1033 </w:instrText>
          </w:r>
          <w:r w:rsidR="006F186D">
            <w:rPr>
              <w:rFonts w:ascii="Times New Roman" w:hAnsi="Times New Roman" w:cs="Times New Roman"/>
              <w:sz w:val="24"/>
              <w:szCs w:val="24"/>
            </w:rPr>
            <w:fldChar w:fldCharType="separate"/>
          </w:r>
          <w:r w:rsidR="006F186D" w:rsidRPr="006F186D">
            <w:rPr>
              <w:rFonts w:ascii="Times New Roman" w:hAnsi="Times New Roman" w:cs="Times New Roman"/>
              <w:noProof/>
              <w:sz w:val="24"/>
              <w:szCs w:val="24"/>
              <w:lang w:val="en-US"/>
            </w:rPr>
            <w:t>(Parkinson, et al., 2021)</w:t>
          </w:r>
          <w:r w:rsidR="006F186D">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p>
    <w:p w14:paraId="6E61B89D" w14:textId="77777777" w:rsidR="006E5710" w:rsidRDefault="006E5710" w:rsidP="007F557C">
      <w:pPr>
        <w:keepNext/>
        <w:spacing w:line="360" w:lineRule="auto"/>
        <w:jc w:val="both"/>
        <w:rPr>
          <w:rFonts w:ascii="Times New Roman" w:hAnsi="Times New Roman" w:cs="Times New Roman"/>
          <w:noProof/>
          <w:sz w:val="24"/>
          <w:szCs w:val="24"/>
        </w:rPr>
      </w:pPr>
    </w:p>
    <w:p w14:paraId="7DCDC6AC" w14:textId="50BFEFDC" w:rsidR="007F557C" w:rsidRDefault="007F557C" w:rsidP="007F557C">
      <w:pPr>
        <w:keepNext/>
        <w:spacing w:line="360" w:lineRule="auto"/>
        <w:jc w:val="both"/>
      </w:pPr>
      <w:r>
        <w:rPr>
          <w:rFonts w:ascii="Times New Roman" w:hAnsi="Times New Roman" w:cs="Times New Roman"/>
          <w:noProof/>
          <w:sz w:val="24"/>
          <w:szCs w:val="24"/>
        </w:rPr>
        <w:drawing>
          <wp:inline distT="0" distB="0" distL="0" distR="0" wp14:anchorId="3C4CAF98" wp14:editId="64F91E1A">
            <wp:extent cx="5943600" cy="4329070"/>
            <wp:effectExtent l="19050" t="0" r="0" b="0"/>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a:picLocks noChangeAspect="1" noChangeArrowheads="1"/>
                    </pic:cNvPicPr>
                  </pic:nvPicPr>
                  <pic:blipFill>
                    <a:blip r:embed="rId11"/>
                    <a:srcRect/>
                    <a:stretch>
                      <a:fillRect/>
                    </a:stretch>
                  </pic:blipFill>
                  <pic:spPr bwMode="auto">
                    <a:xfrm>
                      <a:off x="0" y="0"/>
                      <a:ext cx="5943600" cy="4329070"/>
                    </a:xfrm>
                    <a:prstGeom prst="rect">
                      <a:avLst/>
                    </a:prstGeom>
                    <a:noFill/>
                    <a:ln w="9525">
                      <a:noFill/>
                      <a:miter lim="800000"/>
                      <a:headEnd/>
                      <a:tailEnd/>
                    </a:ln>
                  </pic:spPr>
                </pic:pic>
              </a:graphicData>
            </a:graphic>
          </wp:inline>
        </w:drawing>
      </w:r>
    </w:p>
    <w:p w14:paraId="5A4BB50F" w14:textId="77777777" w:rsidR="007F557C" w:rsidRDefault="007F557C" w:rsidP="007F557C">
      <w:pPr>
        <w:pStyle w:val="Caption"/>
        <w:jc w:val="both"/>
      </w:pPr>
      <w:r>
        <w:t xml:space="preserve">Figure </w:t>
      </w:r>
      <w:r>
        <w:fldChar w:fldCharType="begin"/>
      </w:r>
      <w:r>
        <w:instrText xml:space="preserve"> SEQ Figure \* ARABIC </w:instrText>
      </w:r>
      <w:r>
        <w:fldChar w:fldCharType="separate"/>
      </w:r>
      <w:r>
        <w:rPr>
          <w:noProof/>
        </w:rPr>
        <w:t>3</w:t>
      </w:r>
      <w:r>
        <w:rPr>
          <w:noProof/>
        </w:rPr>
        <w:fldChar w:fldCharType="end"/>
      </w:r>
      <w:r>
        <w:t>: Strike price sensitivity to investors’ return</w:t>
      </w:r>
    </w:p>
    <w:p w14:paraId="1FC5E0A4" w14:textId="77777777" w:rsidR="00F753C2" w:rsidRPr="002E1EC8" w:rsidRDefault="007F557C" w:rsidP="00F753C2">
      <w:r>
        <w:t xml:space="preserve">Source: </w:t>
      </w:r>
      <w:r w:rsidR="00F753C2">
        <w:t xml:space="preserve">National Audit Office-Report by the Controller and Auditor General - </w:t>
      </w:r>
      <w:r w:rsidR="00F753C2">
        <w:rPr>
          <w:rFonts w:ascii="Times New Roman" w:hAnsi="Times New Roman" w:cs="Times New Roman"/>
          <w:color w:val="222222"/>
          <w:sz w:val="24"/>
          <w:szCs w:val="24"/>
          <w:shd w:val="clear" w:color="auto" w:fill="FFFFFF"/>
        </w:rPr>
        <w:t>Hinkley Point C</w:t>
      </w:r>
    </w:p>
    <w:p w14:paraId="256DF4F7" w14:textId="0547C148" w:rsidR="007F557C" w:rsidRPr="000A6C5B" w:rsidRDefault="007F557C" w:rsidP="007F557C"/>
    <w:p w14:paraId="065B6C85" w14:textId="1527FB5E"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As per the study of </w:t>
      </w:r>
      <w:proofErr w:type="spellStart"/>
      <w:r>
        <w:rPr>
          <w:rFonts w:ascii="Times New Roman" w:hAnsi="Times New Roman" w:cs="Times New Roman"/>
          <w:color w:val="222222"/>
          <w:sz w:val="24"/>
          <w:szCs w:val="24"/>
          <w:shd w:val="clear" w:color="auto" w:fill="FFFFFF"/>
        </w:rPr>
        <w:t>Cossins</w:t>
      </w:r>
      <w:proofErr w:type="spellEnd"/>
      <w:r>
        <w:rPr>
          <w:rFonts w:ascii="Times New Roman" w:hAnsi="Times New Roman" w:cs="Times New Roman"/>
          <w:color w:val="222222"/>
          <w:sz w:val="24"/>
          <w:szCs w:val="24"/>
          <w:shd w:val="clear" w:color="auto" w:fill="FFFFFF"/>
        </w:rPr>
        <w:t xml:space="preserve">-Smith (2023) </w:t>
      </w:r>
      <w:r w:rsidRPr="000A3D1A">
        <w:rPr>
          <w:rFonts w:ascii="Times New Roman" w:hAnsi="Times New Roman" w:cs="Times New Roman"/>
          <w:sz w:val="24"/>
          <w:szCs w:val="24"/>
        </w:rPr>
        <w:t>Metronet is also the risk aspect and it was the public-private partnership of the legislation that really wanted to pass the risks of deploying the network into the private industry, with the contracts that justified the capabilities, prices and time needed. Thus, poor legislation is left the metro net in different financial and under-control troubles</w:t>
      </w:r>
      <w:r>
        <w:rPr>
          <w:rFonts w:ascii="Times New Roman" w:hAnsi="Times New Roman" w:cs="Times New Roman"/>
          <w:sz w:val="24"/>
          <w:szCs w:val="24"/>
        </w:rPr>
        <w:t xml:space="preserve"> </w:t>
      </w:r>
      <w:sdt>
        <w:sdtPr>
          <w:rPr>
            <w:rFonts w:ascii="Times New Roman" w:hAnsi="Times New Roman" w:cs="Times New Roman"/>
            <w:sz w:val="24"/>
            <w:szCs w:val="24"/>
          </w:rPr>
          <w:id w:val="-1947526815"/>
          <w:citation/>
        </w:sdtPr>
        <w:sdtContent>
          <w:r w:rsidR="00F753C2">
            <w:rPr>
              <w:rFonts w:ascii="Times New Roman" w:hAnsi="Times New Roman" w:cs="Times New Roman"/>
              <w:sz w:val="24"/>
              <w:szCs w:val="24"/>
            </w:rPr>
            <w:fldChar w:fldCharType="begin"/>
          </w:r>
          <w:r w:rsidR="00F753C2">
            <w:rPr>
              <w:rFonts w:ascii="Times New Roman" w:hAnsi="Times New Roman" w:cs="Times New Roman"/>
              <w:sz w:val="24"/>
              <w:szCs w:val="24"/>
              <w:lang w:val="en-US"/>
            </w:rPr>
            <w:instrText xml:space="preserve"> CITATION Dav21 \l 1033 </w:instrText>
          </w:r>
          <w:r w:rsidR="00F753C2">
            <w:rPr>
              <w:rFonts w:ascii="Times New Roman" w:hAnsi="Times New Roman" w:cs="Times New Roman"/>
              <w:sz w:val="24"/>
              <w:szCs w:val="24"/>
            </w:rPr>
            <w:fldChar w:fldCharType="separate"/>
          </w:r>
          <w:r w:rsidR="00F753C2" w:rsidRPr="00F753C2">
            <w:rPr>
              <w:rFonts w:ascii="Times New Roman" w:hAnsi="Times New Roman" w:cs="Times New Roman"/>
              <w:noProof/>
              <w:sz w:val="24"/>
              <w:szCs w:val="24"/>
              <w:lang w:val="en-US"/>
            </w:rPr>
            <w:t>(Harvey, 2021)</w:t>
          </w:r>
          <w:r w:rsidR="00F753C2">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w:t>
      </w:r>
    </w:p>
    <w:p w14:paraId="7C5ED40C" w14:textId="703893D4"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Metronet could observe that the entire uncertainty associated with the risks of the expense overrun should stand through the private investors but if the price increase, the defence’s department has </w:t>
      </w:r>
      <w:r w:rsidRPr="000A3D1A">
        <w:rPr>
          <w:rFonts w:ascii="Times New Roman" w:hAnsi="Times New Roman" w:cs="Times New Roman"/>
          <w:sz w:val="24"/>
          <w:szCs w:val="24"/>
        </w:rPr>
        <w:lastRenderedPageBreak/>
        <w:t>agreed on the additional prices and the fixed costs constant with the suppliers in the year 2023 and also suppliers under-priced the A40M</w:t>
      </w:r>
      <w:r>
        <w:rPr>
          <w:rFonts w:ascii="Times New Roman" w:hAnsi="Times New Roman" w:cs="Times New Roman"/>
          <w:sz w:val="24"/>
          <w:szCs w:val="24"/>
        </w:rPr>
        <w:t xml:space="preserve"> </w:t>
      </w:r>
      <w:sdt>
        <w:sdtPr>
          <w:rPr>
            <w:rFonts w:ascii="Times New Roman" w:hAnsi="Times New Roman" w:cs="Times New Roman"/>
            <w:sz w:val="24"/>
            <w:szCs w:val="24"/>
          </w:rPr>
          <w:id w:val="-1825971813"/>
          <w:citation/>
        </w:sdtPr>
        <w:sdtContent>
          <w:r w:rsidR="00F6157E">
            <w:rPr>
              <w:rFonts w:ascii="Times New Roman" w:hAnsi="Times New Roman" w:cs="Times New Roman"/>
              <w:sz w:val="24"/>
              <w:szCs w:val="24"/>
            </w:rPr>
            <w:fldChar w:fldCharType="begin"/>
          </w:r>
          <w:r w:rsidR="00F6157E">
            <w:rPr>
              <w:rFonts w:ascii="Times New Roman" w:hAnsi="Times New Roman" w:cs="Times New Roman"/>
              <w:sz w:val="24"/>
              <w:szCs w:val="24"/>
              <w:lang w:val="en-US"/>
            </w:rPr>
            <w:instrText xml:space="preserve"> CITATION Gui19 \l 1033 </w:instrText>
          </w:r>
          <w:r w:rsidR="00F6157E">
            <w:rPr>
              <w:rFonts w:ascii="Times New Roman" w:hAnsi="Times New Roman" w:cs="Times New Roman"/>
              <w:sz w:val="24"/>
              <w:szCs w:val="24"/>
            </w:rPr>
            <w:fldChar w:fldCharType="separate"/>
          </w:r>
          <w:r w:rsidR="00F6157E" w:rsidRPr="00F6157E">
            <w:rPr>
              <w:rFonts w:ascii="Times New Roman" w:hAnsi="Times New Roman" w:cs="Times New Roman"/>
              <w:noProof/>
              <w:sz w:val="24"/>
              <w:szCs w:val="24"/>
              <w:lang w:val="en-US"/>
            </w:rPr>
            <w:t>(Aldama</w:t>
          </w:r>
          <w:r w:rsidR="00F6157E" w:rsidRPr="00F6157E">
            <w:rPr>
              <w:rFonts w:ascii="Times New Roman" w:hAnsi="Times New Roman" w:cs="Times New Roman"/>
              <w:noProof/>
              <w:sz w:val="24"/>
              <w:szCs w:val="24"/>
              <w:lang w:val="en-US"/>
            </w:rPr>
            <w:noBreakHyphen/>
            <w:t>Bustos, et al., 2019)</w:t>
          </w:r>
          <w:r w:rsidR="00F6157E">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w:t>
      </w:r>
    </w:p>
    <w:p w14:paraId="5CF9D73B" w14:textId="623AE234"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As per the study of </w:t>
      </w:r>
      <w:proofErr w:type="spellStart"/>
      <w:r>
        <w:rPr>
          <w:rFonts w:ascii="Times New Roman" w:hAnsi="Times New Roman" w:cs="Times New Roman"/>
          <w:sz w:val="24"/>
          <w:szCs w:val="24"/>
        </w:rPr>
        <w:t>Dyrda</w:t>
      </w:r>
      <w:proofErr w:type="spellEnd"/>
      <w:r>
        <w:rPr>
          <w:rFonts w:ascii="Times New Roman" w:hAnsi="Times New Roman" w:cs="Times New Roman"/>
          <w:sz w:val="24"/>
          <w:szCs w:val="24"/>
        </w:rPr>
        <w:t xml:space="preserve"> and Morrison (2021)</w:t>
      </w:r>
      <w:r w:rsidRPr="000A3D1A">
        <w:rPr>
          <w:rFonts w:ascii="Times New Roman" w:hAnsi="Times New Roman" w:cs="Times New Roman"/>
          <w:sz w:val="24"/>
          <w:szCs w:val="24"/>
        </w:rPr>
        <w:t xml:space="preserve">, investors require a return which is propositional and how uncertainty varies and tolerates from 2% and higher than 12% while investors tolerate the entire risks. The stake expenses given to HPC allow NNBG organizations to successfully obtain the return which is around 9% in the whole PLC </w:t>
      </w:r>
      <w:proofErr w:type="gramStart"/>
      <w:r w:rsidRPr="000A3D1A">
        <w:rPr>
          <w:rFonts w:ascii="Times New Roman" w:hAnsi="Times New Roman" w:cs="Times New Roman"/>
          <w:sz w:val="24"/>
          <w:szCs w:val="24"/>
        </w:rPr>
        <w:t>and also</w:t>
      </w:r>
      <w:proofErr w:type="gramEnd"/>
      <w:r w:rsidRPr="000A3D1A">
        <w:rPr>
          <w:rFonts w:ascii="Times New Roman" w:hAnsi="Times New Roman" w:cs="Times New Roman"/>
          <w:sz w:val="24"/>
          <w:szCs w:val="24"/>
        </w:rPr>
        <w:t xml:space="preserve"> lower than twelve percentage. It is because the deal alleviated the income uncertainties for around 35 years through the CFD and limited the waste disposal costs. Though, investors </w:t>
      </w:r>
      <w:proofErr w:type="gramStart"/>
      <w:r w:rsidRPr="000A3D1A">
        <w:rPr>
          <w:rFonts w:ascii="Times New Roman" w:hAnsi="Times New Roman" w:cs="Times New Roman"/>
          <w:sz w:val="24"/>
          <w:szCs w:val="24"/>
        </w:rPr>
        <w:t>stills</w:t>
      </w:r>
      <w:proofErr w:type="gramEnd"/>
      <w:r w:rsidRPr="000A3D1A">
        <w:rPr>
          <w:rFonts w:ascii="Times New Roman" w:hAnsi="Times New Roman" w:cs="Times New Roman"/>
          <w:sz w:val="24"/>
          <w:szCs w:val="24"/>
        </w:rPr>
        <w:t xml:space="preserve"> have to successfully accept significant risks such as decommissioning uncertainty and construction</w:t>
      </w:r>
      <w:r>
        <w:rPr>
          <w:rFonts w:ascii="Times New Roman" w:hAnsi="Times New Roman" w:cs="Times New Roman"/>
          <w:sz w:val="24"/>
          <w:szCs w:val="24"/>
        </w:rPr>
        <w:t xml:space="preserve"> </w:t>
      </w:r>
      <w:sdt>
        <w:sdtPr>
          <w:rPr>
            <w:rFonts w:ascii="Times New Roman" w:hAnsi="Times New Roman" w:cs="Times New Roman"/>
            <w:sz w:val="24"/>
            <w:szCs w:val="24"/>
          </w:rPr>
          <w:id w:val="-1081671609"/>
          <w:citation/>
        </w:sdtPr>
        <w:sdtContent>
          <w:r w:rsidR="00F6157E">
            <w:rPr>
              <w:rFonts w:ascii="Times New Roman" w:hAnsi="Times New Roman" w:cs="Times New Roman"/>
              <w:sz w:val="24"/>
              <w:szCs w:val="24"/>
            </w:rPr>
            <w:fldChar w:fldCharType="begin"/>
          </w:r>
          <w:r w:rsidR="00F6157E">
            <w:rPr>
              <w:rFonts w:ascii="Times New Roman" w:hAnsi="Times New Roman" w:cs="Times New Roman"/>
              <w:sz w:val="24"/>
              <w:szCs w:val="24"/>
              <w:lang w:val="en-US"/>
            </w:rPr>
            <w:instrText xml:space="preserve"> CITATION Ann23 \l 1033 </w:instrText>
          </w:r>
          <w:r w:rsidR="00F6157E">
            <w:rPr>
              <w:rFonts w:ascii="Times New Roman" w:hAnsi="Times New Roman" w:cs="Times New Roman"/>
              <w:sz w:val="24"/>
              <w:szCs w:val="24"/>
            </w:rPr>
            <w:fldChar w:fldCharType="separate"/>
          </w:r>
          <w:r w:rsidR="00F6157E" w:rsidRPr="00F6157E">
            <w:rPr>
              <w:rFonts w:ascii="Times New Roman" w:hAnsi="Times New Roman" w:cs="Times New Roman"/>
              <w:noProof/>
              <w:sz w:val="24"/>
              <w:szCs w:val="24"/>
              <w:lang w:val="en-US"/>
            </w:rPr>
            <w:t>(Cossins-Smith, 2023)</w:t>
          </w:r>
          <w:r w:rsidR="00F6157E">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The viability of the different financing and risk allocations for HPC are not evaluated </w:t>
      </w:r>
      <w:proofErr w:type="gramStart"/>
      <w:r w:rsidRPr="000A3D1A">
        <w:rPr>
          <w:rFonts w:ascii="Times New Roman" w:hAnsi="Times New Roman" w:cs="Times New Roman"/>
          <w:sz w:val="24"/>
          <w:szCs w:val="24"/>
        </w:rPr>
        <w:t>and also</w:t>
      </w:r>
      <w:proofErr w:type="gramEnd"/>
      <w:r w:rsidRPr="000A3D1A">
        <w:rPr>
          <w:rFonts w:ascii="Times New Roman" w:hAnsi="Times New Roman" w:cs="Times New Roman"/>
          <w:sz w:val="24"/>
          <w:szCs w:val="24"/>
        </w:rPr>
        <w:t xml:space="preserve"> it reflects the sensitivity of costs to buyers to the requirement of funds rate of return. Another way to the contact will have had broad impact on the structure.          </w:t>
      </w:r>
    </w:p>
    <w:p w14:paraId="77C2CA79" w14:textId="77777777" w:rsidR="007F557C" w:rsidRPr="000A3D1A" w:rsidRDefault="007F557C" w:rsidP="007F557C">
      <w:pPr>
        <w:pStyle w:val="Heading2"/>
        <w:spacing w:line="360" w:lineRule="auto"/>
        <w:jc w:val="both"/>
        <w:rPr>
          <w:sz w:val="24"/>
          <w:szCs w:val="24"/>
        </w:rPr>
      </w:pPr>
      <w:bookmarkStart w:id="8" w:name="_Toc131677796"/>
      <w:r w:rsidRPr="000A3D1A">
        <w:rPr>
          <w:sz w:val="24"/>
          <w:szCs w:val="24"/>
        </w:rPr>
        <w:t>Challenges of risks</w:t>
      </w:r>
      <w:bookmarkEnd w:id="8"/>
      <w:r w:rsidRPr="000A3D1A">
        <w:rPr>
          <w:sz w:val="24"/>
          <w:szCs w:val="24"/>
        </w:rPr>
        <w:t xml:space="preserve"> </w:t>
      </w:r>
      <w:r w:rsidRPr="000A3D1A">
        <w:rPr>
          <w:sz w:val="24"/>
          <w:szCs w:val="24"/>
        </w:rPr>
        <w:tab/>
      </w:r>
    </w:p>
    <w:p w14:paraId="06DE6E36" w14:textId="0C202653" w:rsidR="007F557C"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From the perspective of HPC, the department is effectively supporting HPC as kind of their aims and objectives to successfully manage the electricity systems of the UK challenges more than the coming decades</w:t>
      </w:r>
      <w:r>
        <w:rPr>
          <w:rFonts w:ascii="Times New Roman" w:hAnsi="Times New Roman" w:cs="Times New Roman"/>
          <w:sz w:val="24"/>
          <w:szCs w:val="24"/>
        </w:rPr>
        <w:t xml:space="preserve"> </w:t>
      </w:r>
      <w:sdt>
        <w:sdtPr>
          <w:rPr>
            <w:rFonts w:ascii="Times New Roman" w:hAnsi="Times New Roman" w:cs="Times New Roman"/>
            <w:sz w:val="24"/>
            <w:szCs w:val="24"/>
          </w:rPr>
          <w:id w:val="1957448094"/>
          <w:citation/>
        </w:sdtPr>
        <w:sdtContent>
          <w:r w:rsidR="00F6157E">
            <w:rPr>
              <w:rFonts w:ascii="Times New Roman" w:hAnsi="Times New Roman" w:cs="Times New Roman"/>
              <w:sz w:val="24"/>
              <w:szCs w:val="24"/>
            </w:rPr>
            <w:fldChar w:fldCharType="begin"/>
          </w:r>
          <w:r w:rsidR="00F6157E">
            <w:rPr>
              <w:rFonts w:ascii="Times New Roman" w:hAnsi="Times New Roman" w:cs="Times New Roman"/>
              <w:sz w:val="24"/>
              <w:szCs w:val="24"/>
              <w:lang w:val="en-US"/>
            </w:rPr>
            <w:instrText xml:space="preserve"> CITATION Dav21 \l 1033 </w:instrText>
          </w:r>
          <w:r w:rsidR="00F6157E">
            <w:rPr>
              <w:rFonts w:ascii="Times New Roman" w:hAnsi="Times New Roman" w:cs="Times New Roman"/>
              <w:sz w:val="24"/>
              <w:szCs w:val="24"/>
            </w:rPr>
            <w:fldChar w:fldCharType="separate"/>
          </w:r>
          <w:r w:rsidR="00F6157E" w:rsidRPr="00F6157E">
            <w:rPr>
              <w:rFonts w:ascii="Times New Roman" w:hAnsi="Times New Roman" w:cs="Times New Roman"/>
              <w:noProof/>
              <w:sz w:val="24"/>
              <w:szCs w:val="24"/>
              <w:lang w:val="en-US"/>
            </w:rPr>
            <w:t>(Harvey, 2021)</w:t>
          </w:r>
          <w:r w:rsidR="00F6157E">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The electricity generating sector of the UK is usefully undergoing the main transition from polluting technologies to cleaner low CO2 sources. Many of the existing electricity generation project in the UK which is set to close in more that the next two decades.  On the other hand, the legislation expects that electricity demand would enhance because of the take-up of electricity-based instruments and advanced technology, especially for heating homes and transport </w:t>
      </w:r>
      <w:proofErr w:type="gramStart"/>
      <w:r w:rsidRPr="000A3D1A">
        <w:rPr>
          <w:rFonts w:ascii="Times New Roman" w:hAnsi="Times New Roman" w:cs="Times New Roman"/>
          <w:sz w:val="24"/>
          <w:szCs w:val="24"/>
        </w:rPr>
        <w:t>and also</w:t>
      </w:r>
      <w:proofErr w:type="gramEnd"/>
      <w:r w:rsidRPr="000A3D1A">
        <w:rPr>
          <w:rFonts w:ascii="Times New Roman" w:hAnsi="Times New Roman" w:cs="Times New Roman"/>
          <w:sz w:val="24"/>
          <w:szCs w:val="24"/>
        </w:rPr>
        <w:t xml:space="preserve"> buildings. In addition, the department is mainly accountable for significantly managing the energy dilemma in perspective of electricity supply challenges</w:t>
      </w:r>
      <w:r>
        <w:rPr>
          <w:rFonts w:ascii="Times New Roman" w:hAnsi="Times New Roman" w:cs="Times New Roman"/>
          <w:sz w:val="24"/>
          <w:szCs w:val="24"/>
        </w:rPr>
        <w:t xml:space="preserve"> </w:t>
      </w:r>
      <w:sdt>
        <w:sdtPr>
          <w:rPr>
            <w:rFonts w:ascii="Times New Roman" w:hAnsi="Times New Roman" w:cs="Times New Roman"/>
            <w:sz w:val="24"/>
            <w:szCs w:val="24"/>
          </w:rPr>
          <w:id w:val="47963462"/>
          <w:citation/>
        </w:sdtPr>
        <w:sdtContent>
          <w:r w:rsidR="00F6157E">
            <w:rPr>
              <w:rFonts w:ascii="Times New Roman" w:hAnsi="Times New Roman" w:cs="Times New Roman"/>
              <w:sz w:val="24"/>
              <w:szCs w:val="24"/>
            </w:rPr>
            <w:fldChar w:fldCharType="begin"/>
          </w:r>
          <w:r w:rsidR="00F6157E">
            <w:rPr>
              <w:rFonts w:ascii="Times New Roman" w:hAnsi="Times New Roman" w:cs="Times New Roman"/>
              <w:sz w:val="24"/>
              <w:szCs w:val="24"/>
              <w:lang w:val="en-US"/>
            </w:rPr>
            <w:instrText xml:space="preserve"> CITATION FIO18 \l 1033 </w:instrText>
          </w:r>
          <w:r w:rsidR="00F6157E">
            <w:rPr>
              <w:rFonts w:ascii="Times New Roman" w:hAnsi="Times New Roman" w:cs="Times New Roman"/>
              <w:sz w:val="24"/>
              <w:szCs w:val="24"/>
            </w:rPr>
            <w:fldChar w:fldCharType="separate"/>
          </w:r>
          <w:r w:rsidR="00F6157E" w:rsidRPr="00F6157E">
            <w:rPr>
              <w:rFonts w:ascii="Times New Roman" w:hAnsi="Times New Roman" w:cs="Times New Roman"/>
              <w:noProof/>
              <w:sz w:val="24"/>
              <w:szCs w:val="24"/>
              <w:lang w:val="en-US"/>
            </w:rPr>
            <w:t>(MCINTYRE, 2018)</w:t>
          </w:r>
          <w:r w:rsidR="00F6157E">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They really want to make sure there is an electricity generating mix which has the security of supply, assists in successfully obtaining the statutory decarbonisation target of statuary to decline CO2 emission in the year 2050 through 80% compared with 1990 levels and also holds energy bills as low as possible for companies and </w:t>
      </w:r>
      <w:proofErr w:type="gramStart"/>
      <w:r w:rsidRPr="000A3D1A">
        <w:rPr>
          <w:rFonts w:ascii="Times New Roman" w:hAnsi="Times New Roman" w:cs="Times New Roman"/>
          <w:sz w:val="24"/>
          <w:szCs w:val="24"/>
        </w:rPr>
        <w:t>households</w:t>
      </w:r>
      <w:proofErr w:type="gramEnd"/>
      <w:r w:rsidRPr="000A3D1A">
        <w:rPr>
          <w:rFonts w:ascii="Times New Roman" w:hAnsi="Times New Roman" w:cs="Times New Roman"/>
          <w:sz w:val="24"/>
          <w:szCs w:val="24"/>
        </w:rPr>
        <w:t xml:space="preserve"> products.</w:t>
      </w:r>
    </w:p>
    <w:p w14:paraId="1E36B09C" w14:textId="38E1003C" w:rsidR="007F557C"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The legislation prediction that successful investment in the new and novel generating ability might expenses is around 140 pounds billion by 2030. An additional 40 billion pounds of funds can be required for the electricity transmission and distribution structure</w:t>
      </w:r>
      <w:r>
        <w:rPr>
          <w:rFonts w:ascii="Times New Roman" w:hAnsi="Times New Roman" w:cs="Times New Roman"/>
          <w:sz w:val="24"/>
          <w:szCs w:val="24"/>
        </w:rPr>
        <w:t xml:space="preserve"> </w:t>
      </w:r>
      <w:sdt>
        <w:sdtPr>
          <w:rPr>
            <w:rFonts w:ascii="Times New Roman" w:hAnsi="Times New Roman" w:cs="Times New Roman"/>
            <w:sz w:val="24"/>
            <w:szCs w:val="24"/>
          </w:rPr>
          <w:id w:val="-1211502158"/>
          <w:citation/>
        </w:sdtPr>
        <w:sdtContent>
          <w:r w:rsidR="00EF4015">
            <w:rPr>
              <w:rFonts w:ascii="Times New Roman" w:hAnsi="Times New Roman" w:cs="Times New Roman"/>
              <w:sz w:val="24"/>
              <w:szCs w:val="24"/>
            </w:rPr>
            <w:fldChar w:fldCharType="begin"/>
          </w:r>
          <w:r w:rsidR="00EF4015">
            <w:rPr>
              <w:rFonts w:ascii="Times New Roman" w:hAnsi="Times New Roman" w:cs="Times New Roman"/>
              <w:sz w:val="24"/>
              <w:szCs w:val="24"/>
              <w:lang w:val="en-US"/>
            </w:rPr>
            <w:instrText xml:space="preserve"> CITATION Ian19 \l 1033 </w:instrText>
          </w:r>
          <w:r w:rsidR="00EF4015">
            <w:rPr>
              <w:rFonts w:ascii="Times New Roman" w:hAnsi="Times New Roman" w:cs="Times New Roman"/>
              <w:sz w:val="24"/>
              <w:szCs w:val="24"/>
            </w:rPr>
            <w:fldChar w:fldCharType="separate"/>
          </w:r>
          <w:r w:rsidR="00EF4015" w:rsidRPr="00EF4015">
            <w:rPr>
              <w:rFonts w:ascii="Times New Roman" w:hAnsi="Times New Roman" w:cs="Times New Roman"/>
              <w:noProof/>
              <w:sz w:val="24"/>
              <w:szCs w:val="24"/>
              <w:lang w:val="en-US"/>
            </w:rPr>
            <w:t>(Alberto, 2019)</w:t>
          </w:r>
          <w:r w:rsidR="00EF4015">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The expenses </w:t>
      </w:r>
      <w:r w:rsidRPr="000A3D1A">
        <w:rPr>
          <w:rFonts w:ascii="Times New Roman" w:hAnsi="Times New Roman" w:cs="Times New Roman"/>
          <w:sz w:val="24"/>
          <w:szCs w:val="24"/>
        </w:rPr>
        <w:lastRenderedPageBreak/>
        <w:t>of the new generating ability would be borne through private funds and passed to customers by their electricity bills. This, the present marketplace for electricity is not adequate for novel low carbon generating ability to be profitable for developers</w:t>
      </w:r>
      <w:r>
        <w:rPr>
          <w:rFonts w:ascii="Times New Roman" w:hAnsi="Times New Roman" w:cs="Times New Roman"/>
          <w:sz w:val="24"/>
          <w:szCs w:val="24"/>
        </w:rPr>
        <w:t xml:space="preserve"> </w:t>
      </w:r>
      <w:sdt>
        <w:sdtPr>
          <w:rPr>
            <w:rFonts w:ascii="Times New Roman" w:hAnsi="Times New Roman" w:cs="Times New Roman"/>
            <w:sz w:val="24"/>
            <w:szCs w:val="24"/>
          </w:rPr>
          <w:id w:val="-1011294291"/>
          <w:citation/>
        </w:sdtPr>
        <w:sdtContent>
          <w:r w:rsidR="00EF4015">
            <w:rPr>
              <w:rFonts w:ascii="Times New Roman" w:hAnsi="Times New Roman" w:cs="Times New Roman"/>
              <w:sz w:val="24"/>
              <w:szCs w:val="24"/>
            </w:rPr>
            <w:fldChar w:fldCharType="begin"/>
          </w:r>
          <w:r w:rsidR="00EF4015">
            <w:rPr>
              <w:rFonts w:ascii="Times New Roman" w:hAnsi="Times New Roman" w:cs="Times New Roman"/>
              <w:sz w:val="24"/>
              <w:szCs w:val="24"/>
              <w:lang w:val="en-US"/>
            </w:rPr>
            <w:instrText xml:space="preserve"> CITATION Jam21 \l 1033 </w:instrText>
          </w:r>
          <w:r w:rsidR="00EF4015">
            <w:rPr>
              <w:rFonts w:ascii="Times New Roman" w:hAnsi="Times New Roman" w:cs="Times New Roman"/>
              <w:sz w:val="24"/>
              <w:szCs w:val="24"/>
            </w:rPr>
            <w:fldChar w:fldCharType="separate"/>
          </w:r>
          <w:r w:rsidR="00EF4015" w:rsidRPr="00EF4015">
            <w:rPr>
              <w:rFonts w:ascii="Times New Roman" w:hAnsi="Times New Roman" w:cs="Times New Roman"/>
              <w:noProof/>
              <w:sz w:val="24"/>
              <w:szCs w:val="24"/>
              <w:lang w:val="en-US"/>
            </w:rPr>
            <w:t>(Dyrda &amp; Morrison, 2021)</w:t>
          </w:r>
          <w:r w:rsidR="00EF4015">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The legislation, therefore, intervenes through mechanisms like CIDs to significantly secure funds in the novel low carbon generation which is needed.       </w:t>
      </w:r>
    </w:p>
    <w:p w14:paraId="332223D8" w14:textId="4DDC8FA4" w:rsidR="007F557C" w:rsidRPr="000A3D1A" w:rsidRDefault="007F557C" w:rsidP="007F557C">
      <w:pPr>
        <w:pStyle w:val="Heading1"/>
        <w:spacing w:line="360" w:lineRule="auto"/>
        <w:jc w:val="both"/>
        <w:rPr>
          <w:rFonts w:ascii="Times New Roman" w:hAnsi="Times New Roman" w:cs="Times New Roman"/>
          <w:color w:val="auto"/>
          <w:sz w:val="24"/>
          <w:szCs w:val="24"/>
        </w:rPr>
      </w:pPr>
      <w:bookmarkStart w:id="9" w:name="_Toc131677797"/>
      <w:r w:rsidRPr="000A3D1A">
        <w:rPr>
          <w:rFonts w:ascii="Times New Roman" w:hAnsi="Times New Roman" w:cs="Times New Roman"/>
          <w:color w:val="auto"/>
          <w:sz w:val="24"/>
          <w:szCs w:val="24"/>
        </w:rPr>
        <w:t xml:space="preserve">Recommendation for improve the </w:t>
      </w:r>
      <w:r w:rsidR="0001400B" w:rsidRPr="000A3D1A">
        <w:rPr>
          <w:rFonts w:ascii="Times New Roman" w:hAnsi="Times New Roman" w:cs="Times New Roman"/>
          <w:color w:val="auto"/>
          <w:sz w:val="24"/>
          <w:szCs w:val="24"/>
        </w:rPr>
        <w:t>project.</w:t>
      </w:r>
      <w:bookmarkEnd w:id="9"/>
      <w:r w:rsidRPr="000A3D1A">
        <w:rPr>
          <w:rFonts w:ascii="Times New Roman" w:hAnsi="Times New Roman" w:cs="Times New Roman"/>
          <w:color w:val="auto"/>
          <w:sz w:val="24"/>
          <w:szCs w:val="24"/>
        </w:rPr>
        <w:t xml:space="preserve"> </w:t>
      </w:r>
    </w:p>
    <w:p w14:paraId="3FC5E0C6" w14:textId="08A4F985" w:rsidR="007F557C"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As per the study of </w:t>
      </w:r>
      <w:sdt>
        <w:sdtPr>
          <w:rPr>
            <w:rFonts w:ascii="Times New Roman" w:hAnsi="Times New Roman" w:cs="Times New Roman"/>
            <w:sz w:val="24"/>
            <w:szCs w:val="24"/>
          </w:rPr>
          <w:id w:val="31847770"/>
          <w:citation/>
        </w:sdtPr>
        <w:sdtContent>
          <w:r w:rsidR="0001400B">
            <w:rPr>
              <w:rFonts w:ascii="Times New Roman" w:hAnsi="Times New Roman" w:cs="Times New Roman"/>
              <w:sz w:val="24"/>
              <w:szCs w:val="24"/>
            </w:rPr>
            <w:fldChar w:fldCharType="begin"/>
          </w:r>
          <w:r w:rsidR="0001400B">
            <w:rPr>
              <w:rFonts w:ascii="Times New Roman" w:hAnsi="Times New Roman" w:cs="Times New Roman"/>
              <w:sz w:val="24"/>
              <w:szCs w:val="24"/>
              <w:lang w:val="en-US"/>
            </w:rPr>
            <w:instrText xml:space="preserve"> CITATION Nat17 \l 1033 </w:instrText>
          </w:r>
          <w:r w:rsidR="0001400B">
            <w:rPr>
              <w:rFonts w:ascii="Times New Roman" w:hAnsi="Times New Roman" w:cs="Times New Roman"/>
              <w:sz w:val="24"/>
              <w:szCs w:val="24"/>
            </w:rPr>
            <w:fldChar w:fldCharType="separate"/>
          </w:r>
          <w:r w:rsidR="0001400B" w:rsidRPr="0001400B">
            <w:rPr>
              <w:rFonts w:ascii="Times New Roman" w:hAnsi="Times New Roman" w:cs="Times New Roman"/>
              <w:noProof/>
              <w:sz w:val="24"/>
              <w:szCs w:val="24"/>
              <w:lang w:val="en-US"/>
            </w:rPr>
            <w:t>(National Audit Office by Comproller and Auditor General Sir Amyas Morse, 2017)</w:t>
          </w:r>
          <w:r w:rsidR="0001400B">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the review of construction, design and early productions stages cover around 18 billion pounds Hinkley Point C nuclear power plants in Somerset represented that effective quality control and management ways are inadequate and others were not consistently workplace. This mainly turned out to the below which are the following the discovery of unrealistic documents or fraud documents at </w:t>
      </w:r>
      <w:proofErr w:type="spellStart"/>
      <w:r w:rsidRPr="000A3D1A">
        <w:rPr>
          <w:rFonts w:ascii="Times New Roman" w:hAnsi="Times New Roman" w:cs="Times New Roman"/>
          <w:sz w:val="24"/>
          <w:szCs w:val="24"/>
        </w:rPr>
        <w:t>He</w:t>
      </w:r>
      <w:proofErr w:type="spellEnd"/>
      <w:r w:rsidRPr="000A3D1A">
        <w:rPr>
          <w:rFonts w:ascii="Times New Roman" w:hAnsi="Times New Roman" w:cs="Times New Roman"/>
          <w:sz w:val="24"/>
          <w:szCs w:val="24"/>
        </w:rPr>
        <w:t xml:space="preserve"> </w:t>
      </w:r>
      <w:proofErr w:type="spellStart"/>
      <w:r w:rsidRPr="000A3D1A">
        <w:rPr>
          <w:rFonts w:ascii="Times New Roman" w:hAnsi="Times New Roman" w:cs="Times New Roman"/>
          <w:sz w:val="24"/>
          <w:szCs w:val="24"/>
        </w:rPr>
        <w:t>Cresuot</w:t>
      </w:r>
      <w:proofErr w:type="spellEnd"/>
      <w:r w:rsidRPr="000A3D1A">
        <w:rPr>
          <w:rFonts w:ascii="Times New Roman" w:hAnsi="Times New Roman" w:cs="Times New Roman"/>
          <w:sz w:val="24"/>
          <w:szCs w:val="24"/>
        </w:rPr>
        <w:t xml:space="preserve"> Forge in France in the last year, the office for </w:t>
      </w:r>
      <w:proofErr w:type="gramStart"/>
      <w:r w:rsidRPr="000A3D1A">
        <w:rPr>
          <w:rFonts w:ascii="Times New Roman" w:hAnsi="Times New Roman" w:cs="Times New Roman"/>
          <w:sz w:val="24"/>
          <w:szCs w:val="24"/>
        </w:rPr>
        <w:t>Nuclear</w:t>
      </w:r>
      <w:proofErr w:type="gramEnd"/>
      <w:r w:rsidRPr="000A3D1A">
        <w:rPr>
          <w:rFonts w:ascii="Times New Roman" w:hAnsi="Times New Roman" w:cs="Times New Roman"/>
          <w:sz w:val="24"/>
          <w:szCs w:val="24"/>
        </w:rPr>
        <w:t xml:space="preserve"> rules and regulations ONR significantly conducted an effective examination</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(McIntyre, 2022)</w:t>
      </w:r>
      <w:r w:rsidRPr="000A3D1A">
        <w:rPr>
          <w:rFonts w:ascii="Times New Roman" w:hAnsi="Times New Roman" w:cs="Times New Roman"/>
          <w:sz w:val="24"/>
          <w:szCs w:val="24"/>
        </w:rPr>
        <w:t xml:space="preserve">. The main owner of casting is the French from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who </w:t>
      </w:r>
      <w:proofErr w:type="gramStart"/>
      <w:r w:rsidRPr="000A3D1A">
        <w:rPr>
          <w:rFonts w:ascii="Times New Roman" w:hAnsi="Times New Roman" w:cs="Times New Roman"/>
          <w:sz w:val="24"/>
          <w:szCs w:val="24"/>
        </w:rPr>
        <w:t>is a major supplier to HPC</w:t>
      </w:r>
      <w:proofErr w:type="gramEnd"/>
      <w:r w:rsidRPr="000A3D1A">
        <w:rPr>
          <w:rFonts w:ascii="Times New Roman" w:hAnsi="Times New Roman" w:cs="Times New Roman"/>
          <w:sz w:val="24"/>
          <w:szCs w:val="24"/>
        </w:rPr>
        <w:t xml:space="preserve"> and also the creator of a nuclear reactor. ON mainly investigated while the SCM ways at the NNB </w:t>
      </w:r>
      <w:proofErr w:type="spellStart"/>
      <w:r w:rsidRPr="000A3D1A">
        <w:rPr>
          <w:rFonts w:ascii="Times New Roman" w:hAnsi="Times New Roman" w:cs="Times New Roman"/>
          <w:sz w:val="24"/>
          <w:szCs w:val="24"/>
        </w:rPr>
        <w:t>GenCo</w:t>
      </w:r>
      <w:proofErr w:type="spellEnd"/>
      <w:r w:rsidRPr="000A3D1A">
        <w:rPr>
          <w:rFonts w:ascii="Times New Roman" w:hAnsi="Times New Roman" w:cs="Times New Roman"/>
          <w:sz w:val="24"/>
          <w:szCs w:val="24"/>
        </w:rPr>
        <w:t xml:space="preserve"> affiliate </w:t>
      </w:r>
      <w:proofErr w:type="gramStart"/>
      <w:r w:rsidRPr="000A3D1A">
        <w:rPr>
          <w:rFonts w:ascii="Times New Roman" w:hAnsi="Times New Roman" w:cs="Times New Roman"/>
          <w:sz w:val="24"/>
          <w:szCs w:val="24"/>
        </w:rPr>
        <w:t>and also</w:t>
      </w:r>
      <w:proofErr w:type="gramEnd"/>
      <w:r w:rsidRPr="000A3D1A">
        <w:rPr>
          <w:rFonts w:ascii="Times New Roman" w:hAnsi="Times New Roman" w:cs="Times New Roman"/>
          <w:sz w:val="24"/>
          <w:szCs w:val="24"/>
        </w:rPr>
        <w:t xml:space="preserve"> adequate.</w:t>
      </w:r>
    </w:p>
    <w:p w14:paraId="254CD476" w14:textId="1A1DBF09" w:rsidR="007F557C"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EDF established NNB </w:t>
      </w:r>
      <w:proofErr w:type="spellStart"/>
      <w:r w:rsidRPr="000A3D1A">
        <w:rPr>
          <w:rFonts w:ascii="Times New Roman" w:hAnsi="Times New Roman" w:cs="Times New Roman"/>
          <w:sz w:val="24"/>
          <w:szCs w:val="24"/>
        </w:rPr>
        <w:t>GenCo</w:t>
      </w:r>
      <w:proofErr w:type="spellEnd"/>
      <w:r w:rsidRPr="000A3D1A">
        <w:rPr>
          <w:rFonts w:ascii="Times New Roman" w:hAnsi="Times New Roman" w:cs="Times New Roman"/>
          <w:sz w:val="24"/>
          <w:szCs w:val="24"/>
        </w:rPr>
        <w:t xml:space="preserve"> to oversee the building operations at Hinkley Point C. The ONR found that improved quality control procedures had been adopted, changing the general rating from green to amber; however, some crucial areas still require development</w:t>
      </w:r>
      <w:r>
        <w:rPr>
          <w:rFonts w:ascii="Times New Roman" w:hAnsi="Times New Roman" w:cs="Times New Roman"/>
          <w:sz w:val="24"/>
          <w:szCs w:val="24"/>
        </w:rPr>
        <w:t xml:space="preserve"> </w:t>
      </w:r>
      <w:sdt>
        <w:sdtPr>
          <w:rPr>
            <w:rFonts w:ascii="Times New Roman" w:hAnsi="Times New Roman" w:cs="Times New Roman"/>
            <w:sz w:val="24"/>
            <w:szCs w:val="24"/>
          </w:rPr>
          <w:id w:val="492757170"/>
          <w:citation/>
        </w:sdtPr>
        <w:sdtContent>
          <w:r w:rsidR="0001400B">
            <w:rPr>
              <w:rFonts w:ascii="Times New Roman" w:hAnsi="Times New Roman" w:cs="Times New Roman"/>
              <w:sz w:val="24"/>
              <w:szCs w:val="24"/>
            </w:rPr>
            <w:fldChar w:fldCharType="begin"/>
          </w:r>
          <w:r w:rsidR="0001400B">
            <w:rPr>
              <w:rFonts w:ascii="Times New Roman" w:hAnsi="Times New Roman" w:cs="Times New Roman"/>
              <w:sz w:val="24"/>
              <w:szCs w:val="24"/>
              <w:lang w:val="en-US"/>
            </w:rPr>
            <w:instrText xml:space="preserve"> CITATION Ian19 \l 1033 </w:instrText>
          </w:r>
          <w:r w:rsidR="0001400B">
            <w:rPr>
              <w:rFonts w:ascii="Times New Roman" w:hAnsi="Times New Roman" w:cs="Times New Roman"/>
              <w:sz w:val="24"/>
              <w:szCs w:val="24"/>
            </w:rPr>
            <w:fldChar w:fldCharType="separate"/>
          </w:r>
          <w:r w:rsidR="0001400B" w:rsidRPr="0001400B">
            <w:rPr>
              <w:rFonts w:ascii="Times New Roman" w:hAnsi="Times New Roman" w:cs="Times New Roman"/>
              <w:noProof/>
              <w:sz w:val="24"/>
              <w:szCs w:val="24"/>
              <w:lang w:val="en-US"/>
            </w:rPr>
            <w:t>(Alberto, 2019)</w:t>
          </w:r>
          <w:r w:rsidR="0001400B">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ONR thinks NNB </w:t>
      </w:r>
      <w:proofErr w:type="spellStart"/>
      <w:proofErr w:type="gramStart"/>
      <w:r w:rsidRPr="000A3D1A">
        <w:rPr>
          <w:rFonts w:ascii="Times New Roman" w:hAnsi="Times New Roman" w:cs="Times New Roman"/>
          <w:sz w:val="24"/>
          <w:szCs w:val="24"/>
        </w:rPr>
        <w:t>GenCo</w:t>
      </w:r>
      <w:proofErr w:type="spellEnd"/>
      <w:proofErr w:type="gramEnd"/>
      <w:r w:rsidRPr="000A3D1A">
        <w:rPr>
          <w:rFonts w:ascii="Times New Roman" w:hAnsi="Times New Roman" w:cs="Times New Roman"/>
          <w:sz w:val="24"/>
          <w:szCs w:val="24"/>
        </w:rPr>
        <w:t xml:space="preserve"> and its major partner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w:t>
      </w:r>
      <w:proofErr w:type="spellStart"/>
      <w:r w:rsidRPr="000A3D1A">
        <w:rPr>
          <w:rFonts w:ascii="Times New Roman" w:hAnsi="Times New Roman" w:cs="Times New Roman"/>
          <w:sz w:val="24"/>
          <w:szCs w:val="24"/>
        </w:rPr>
        <w:t>Creusot</w:t>
      </w:r>
      <w:proofErr w:type="spellEnd"/>
      <w:r w:rsidRPr="000A3D1A">
        <w:rPr>
          <w:rFonts w:ascii="Times New Roman" w:hAnsi="Times New Roman" w:cs="Times New Roman"/>
          <w:sz w:val="24"/>
          <w:szCs w:val="24"/>
        </w:rPr>
        <w:t xml:space="preserve"> Forge have excelled in bringing their development efforts, such as management system structures, improved production processes and a quality and safety culture, into </w:t>
      </w:r>
      <w:r>
        <w:rPr>
          <w:rFonts w:ascii="Times New Roman" w:hAnsi="Times New Roman" w:cs="Times New Roman"/>
          <w:sz w:val="24"/>
          <w:szCs w:val="24"/>
        </w:rPr>
        <w:t xml:space="preserve">practice </w:t>
      </w:r>
      <w:sdt>
        <w:sdtPr>
          <w:rPr>
            <w:rFonts w:ascii="Times New Roman" w:hAnsi="Times New Roman" w:cs="Times New Roman"/>
            <w:sz w:val="24"/>
            <w:szCs w:val="24"/>
          </w:rPr>
          <w:id w:val="-1282029794"/>
          <w:citation/>
        </w:sdtPr>
        <w:sdtContent>
          <w:r w:rsidR="0001400B">
            <w:rPr>
              <w:rFonts w:ascii="Times New Roman" w:hAnsi="Times New Roman" w:cs="Times New Roman"/>
              <w:sz w:val="24"/>
              <w:szCs w:val="24"/>
            </w:rPr>
            <w:fldChar w:fldCharType="begin"/>
          </w:r>
          <w:r w:rsidR="0001400B">
            <w:rPr>
              <w:rFonts w:ascii="Times New Roman" w:hAnsi="Times New Roman" w:cs="Times New Roman"/>
              <w:sz w:val="24"/>
              <w:szCs w:val="24"/>
              <w:lang w:val="en-US"/>
            </w:rPr>
            <w:instrText xml:space="preserve"> CITATION Gui19 \l 1033 </w:instrText>
          </w:r>
          <w:r w:rsidR="0001400B">
            <w:rPr>
              <w:rFonts w:ascii="Times New Roman" w:hAnsi="Times New Roman" w:cs="Times New Roman"/>
              <w:sz w:val="24"/>
              <w:szCs w:val="24"/>
            </w:rPr>
            <w:fldChar w:fldCharType="separate"/>
          </w:r>
          <w:r w:rsidR="0001400B" w:rsidRPr="0001400B">
            <w:rPr>
              <w:rFonts w:ascii="Times New Roman" w:hAnsi="Times New Roman" w:cs="Times New Roman"/>
              <w:noProof/>
              <w:sz w:val="24"/>
              <w:szCs w:val="24"/>
              <w:lang w:val="en-US"/>
            </w:rPr>
            <w:t>(Aldama</w:t>
          </w:r>
          <w:r w:rsidR="0001400B" w:rsidRPr="0001400B">
            <w:rPr>
              <w:rFonts w:ascii="Times New Roman" w:hAnsi="Times New Roman" w:cs="Times New Roman"/>
              <w:noProof/>
              <w:sz w:val="24"/>
              <w:szCs w:val="24"/>
              <w:lang w:val="en-US"/>
            </w:rPr>
            <w:noBreakHyphen/>
            <w:t>Bustos, et al., 2019)</w:t>
          </w:r>
          <w:r w:rsidR="0001400B">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p>
    <w:p w14:paraId="0F7F861E" w14:textId="5B755E6F" w:rsidR="007F557C" w:rsidRPr="000A3D1A" w:rsidRDefault="007F557C" w:rsidP="007F557C">
      <w:pPr>
        <w:tabs>
          <w:tab w:val="center" w:pos="4680"/>
        </w:tabs>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It was also discovered that NNB </w:t>
      </w:r>
      <w:proofErr w:type="spellStart"/>
      <w:r w:rsidRPr="000A3D1A">
        <w:rPr>
          <w:rFonts w:ascii="Times New Roman" w:hAnsi="Times New Roman" w:cs="Times New Roman"/>
          <w:sz w:val="24"/>
          <w:szCs w:val="24"/>
        </w:rPr>
        <w:t>GenCo</w:t>
      </w:r>
      <w:proofErr w:type="spellEnd"/>
      <w:r w:rsidRPr="000A3D1A">
        <w:rPr>
          <w:rFonts w:ascii="Times New Roman" w:hAnsi="Times New Roman" w:cs="Times New Roman"/>
          <w:sz w:val="24"/>
          <w:szCs w:val="24"/>
        </w:rPr>
        <w:t xml:space="preserve"> would still need to assess the plans because the adjustments had not yet been put into effect, despite the managerial improvements at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w:t>
      </w:r>
      <w:proofErr w:type="spellStart"/>
      <w:r w:rsidRPr="000A3D1A">
        <w:rPr>
          <w:rFonts w:ascii="Times New Roman" w:hAnsi="Times New Roman" w:cs="Times New Roman"/>
          <w:sz w:val="24"/>
          <w:szCs w:val="24"/>
        </w:rPr>
        <w:t>Creusot</w:t>
      </w:r>
      <w:proofErr w:type="spellEnd"/>
      <w:r w:rsidRPr="000A3D1A">
        <w:rPr>
          <w:rFonts w:ascii="Times New Roman" w:hAnsi="Times New Roman" w:cs="Times New Roman"/>
          <w:sz w:val="24"/>
          <w:szCs w:val="24"/>
        </w:rPr>
        <w:t xml:space="preserve"> Forge</w:t>
      </w:r>
      <w:r>
        <w:rPr>
          <w:rFonts w:ascii="Times New Roman" w:hAnsi="Times New Roman" w:cs="Times New Roman"/>
          <w:sz w:val="24"/>
          <w:szCs w:val="24"/>
        </w:rPr>
        <w:t xml:space="preserve"> </w:t>
      </w:r>
      <w:sdt>
        <w:sdtPr>
          <w:rPr>
            <w:rFonts w:ascii="Times New Roman" w:hAnsi="Times New Roman" w:cs="Times New Roman"/>
            <w:sz w:val="24"/>
            <w:szCs w:val="24"/>
          </w:rPr>
          <w:id w:val="880295104"/>
          <w:citation/>
        </w:sdtPr>
        <w:sdtContent>
          <w:r w:rsidR="0001400B">
            <w:rPr>
              <w:rFonts w:ascii="Times New Roman" w:hAnsi="Times New Roman" w:cs="Times New Roman"/>
              <w:sz w:val="24"/>
              <w:szCs w:val="24"/>
            </w:rPr>
            <w:fldChar w:fldCharType="begin"/>
          </w:r>
          <w:r w:rsidR="0001400B">
            <w:rPr>
              <w:rFonts w:ascii="Times New Roman" w:hAnsi="Times New Roman" w:cs="Times New Roman"/>
              <w:sz w:val="24"/>
              <w:szCs w:val="24"/>
              <w:lang w:val="en-US"/>
            </w:rPr>
            <w:instrText xml:space="preserve"> CITATION Dyl21 \l 1033 </w:instrText>
          </w:r>
          <w:r w:rsidR="0001400B">
            <w:rPr>
              <w:rFonts w:ascii="Times New Roman" w:hAnsi="Times New Roman" w:cs="Times New Roman"/>
              <w:sz w:val="24"/>
              <w:szCs w:val="24"/>
            </w:rPr>
            <w:fldChar w:fldCharType="separate"/>
          </w:r>
          <w:r w:rsidR="0001400B" w:rsidRPr="0001400B">
            <w:rPr>
              <w:rFonts w:ascii="Times New Roman" w:hAnsi="Times New Roman" w:cs="Times New Roman"/>
              <w:noProof/>
              <w:sz w:val="24"/>
              <w:szCs w:val="24"/>
              <w:lang w:val="en-US"/>
            </w:rPr>
            <w:t>(Parkinson, et al., 2021)</w:t>
          </w:r>
          <w:r w:rsidR="0001400B">
            <w:rPr>
              <w:rFonts w:ascii="Times New Roman" w:hAnsi="Times New Roman" w:cs="Times New Roman"/>
              <w:sz w:val="24"/>
              <w:szCs w:val="24"/>
            </w:rPr>
            <w:fldChar w:fldCharType="end"/>
          </w:r>
        </w:sdtContent>
      </w:sdt>
      <w:r w:rsidRPr="000A3D1A">
        <w:rPr>
          <w:rFonts w:ascii="Times New Roman" w:hAnsi="Times New Roman" w:cs="Times New Roman"/>
          <w:sz w:val="24"/>
          <w:szCs w:val="24"/>
        </w:rPr>
        <w:t xml:space="preserve">. According to a spokesperson of EDF Energy, the Chief Nuclear Inspector's assessment acknowledges the viability of the quality control procedures currently in place at Hinkley Point C. Additionally, it emphasises the productive process improvements EDF Energy and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NP carried out at </w:t>
      </w:r>
      <w:proofErr w:type="spellStart"/>
      <w:r w:rsidRPr="000A3D1A">
        <w:rPr>
          <w:rFonts w:ascii="Times New Roman" w:hAnsi="Times New Roman" w:cs="Times New Roman"/>
          <w:sz w:val="24"/>
          <w:szCs w:val="24"/>
        </w:rPr>
        <w:t>Creusot</w:t>
      </w:r>
      <w:proofErr w:type="spellEnd"/>
      <w:r w:rsidRPr="000A3D1A">
        <w:rPr>
          <w:rFonts w:ascii="Times New Roman" w:hAnsi="Times New Roman" w:cs="Times New Roman"/>
          <w:sz w:val="24"/>
          <w:szCs w:val="24"/>
        </w:rPr>
        <w:t xml:space="preserve"> Forge.  Our business and our </w:t>
      </w:r>
      <w:r w:rsidRPr="000A3D1A">
        <w:rPr>
          <w:rFonts w:ascii="Times New Roman" w:hAnsi="Times New Roman" w:cs="Times New Roman"/>
          <w:sz w:val="24"/>
          <w:szCs w:val="24"/>
        </w:rPr>
        <w:lastRenderedPageBreak/>
        <w:t xml:space="preserve">suppliers constantly satisfy the greatest safety and quality standards </w:t>
      </w:r>
      <w:proofErr w:type="gramStart"/>
      <w:r w:rsidRPr="000A3D1A">
        <w:rPr>
          <w:rFonts w:ascii="Times New Roman" w:hAnsi="Times New Roman" w:cs="Times New Roman"/>
          <w:sz w:val="24"/>
          <w:szCs w:val="24"/>
        </w:rPr>
        <w:t>as a result of</w:t>
      </w:r>
      <w:proofErr w:type="gramEnd"/>
      <w:r w:rsidRPr="000A3D1A">
        <w:rPr>
          <w:rFonts w:ascii="Times New Roman" w:hAnsi="Times New Roman" w:cs="Times New Roman"/>
          <w:sz w:val="24"/>
          <w:szCs w:val="24"/>
        </w:rPr>
        <w:t xml:space="preserve"> thorough, independent inspections by governmental agencies</w:t>
      </w:r>
      <w:r>
        <w:rPr>
          <w:rFonts w:ascii="Times New Roman" w:hAnsi="Times New Roman" w:cs="Times New Roman"/>
          <w:sz w:val="24"/>
          <w:szCs w:val="24"/>
        </w:rPr>
        <w:t xml:space="preserve"> </w:t>
      </w:r>
      <w:sdt>
        <w:sdtPr>
          <w:rPr>
            <w:rFonts w:ascii="Times New Roman" w:hAnsi="Times New Roman" w:cs="Times New Roman"/>
            <w:sz w:val="24"/>
            <w:szCs w:val="24"/>
          </w:rPr>
          <w:id w:val="1397392545"/>
          <w:citation/>
        </w:sdtPr>
        <w:sdtContent>
          <w:r w:rsidR="0001400B">
            <w:rPr>
              <w:rFonts w:ascii="Times New Roman" w:hAnsi="Times New Roman" w:cs="Times New Roman"/>
              <w:sz w:val="24"/>
              <w:szCs w:val="24"/>
            </w:rPr>
            <w:fldChar w:fldCharType="begin"/>
          </w:r>
          <w:r w:rsidR="0001400B">
            <w:rPr>
              <w:rFonts w:ascii="Times New Roman" w:hAnsi="Times New Roman" w:cs="Times New Roman"/>
              <w:sz w:val="24"/>
              <w:szCs w:val="24"/>
              <w:lang w:val="en-US"/>
            </w:rPr>
            <w:instrText xml:space="preserve"> CITATION Dav21 \l 1033 </w:instrText>
          </w:r>
          <w:r w:rsidR="0001400B">
            <w:rPr>
              <w:rFonts w:ascii="Times New Roman" w:hAnsi="Times New Roman" w:cs="Times New Roman"/>
              <w:sz w:val="24"/>
              <w:szCs w:val="24"/>
            </w:rPr>
            <w:fldChar w:fldCharType="separate"/>
          </w:r>
          <w:r w:rsidR="0001400B" w:rsidRPr="0001400B">
            <w:rPr>
              <w:rFonts w:ascii="Times New Roman" w:hAnsi="Times New Roman" w:cs="Times New Roman"/>
              <w:noProof/>
              <w:sz w:val="24"/>
              <w:szCs w:val="24"/>
              <w:lang w:val="en-US"/>
            </w:rPr>
            <w:t>(Harvey, 2021)</w:t>
          </w:r>
          <w:r w:rsidR="0001400B">
            <w:rPr>
              <w:rFonts w:ascii="Times New Roman" w:hAnsi="Times New Roman" w:cs="Times New Roman"/>
              <w:sz w:val="24"/>
              <w:szCs w:val="24"/>
            </w:rPr>
            <w:fldChar w:fldCharType="end"/>
          </w:r>
        </w:sdtContent>
      </w:sdt>
      <w:r w:rsidRPr="000A3D1A">
        <w:rPr>
          <w:rFonts w:ascii="Times New Roman" w:hAnsi="Times New Roman" w:cs="Times New Roman"/>
          <w:sz w:val="24"/>
          <w:szCs w:val="24"/>
        </w:rPr>
        <w:t>.</w:t>
      </w:r>
    </w:p>
    <w:p w14:paraId="2A48D8CF" w14:textId="77777777" w:rsidR="007F557C" w:rsidRPr="000A3D1A" w:rsidRDefault="007F557C" w:rsidP="007F557C">
      <w:pPr>
        <w:pStyle w:val="Heading1"/>
        <w:spacing w:line="360" w:lineRule="auto"/>
        <w:jc w:val="both"/>
        <w:rPr>
          <w:rFonts w:ascii="Times New Roman" w:hAnsi="Times New Roman" w:cs="Times New Roman"/>
          <w:color w:val="auto"/>
          <w:sz w:val="24"/>
          <w:szCs w:val="24"/>
        </w:rPr>
      </w:pPr>
      <w:bookmarkStart w:id="10" w:name="_Toc131677798"/>
      <w:r w:rsidRPr="000A3D1A">
        <w:rPr>
          <w:rFonts w:ascii="Times New Roman" w:hAnsi="Times New Roman" w:cs="Times New Roman"/>
          <w:color w:val="auto"/>
          <w:sz w:val="24"/>
          <w:szCs w:val="24"/>
        </w:rPr>
        <w:t>Conclusion</w:t>
      </w:r>
      <w:bookmarkEnd w:id="10"/>
    </w:p>
    <w:p w14:paraId="47B2419C" w14:textId="77777777"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t xml:space="preserve">This research study explores effective tools for managing construction projects. This project plan includes various variables such as risk assessment, business building, funding, timelines and quality, value realization, and HRM. The project has encountered numerous delays, including those brought on by the COVID-19 pandemic, since work got underway in March 2017, which has resulted in substantial price overruns. The current planned commissioning date is June 2027, with a 60-year lifetime anticipated.  One of the expert groups that has effectively investigated the effects and dangers of building a new power station for Wales is the Hinkley Point C Stakeholder Reference Group. Prior to the beginning of a project, stakeholders are analysed. It was also discovered that NNB </w:t>
      </w:r>
      <w:proofErr w:type="spellStart"/>
      <w:r w:rsidRPr="000A3D1A">
        <w:rPr>
          <w:rFonts w:ascii="Times New Roman" w:hAnsi="Times New Roman" w:cs="Times New Roman"/>
          <w:sz w:val="24"/>
          <w:szCs w:val="24"/>
        </w:rPr>
        <w:t>GenCo</w:t>
      </w:r>
      <w:proofErr w:type="spellEnd"/>
      <w:r w:rsidRPr="000A3D1A">
        <w:rPr>
          <w:rFonts w:ascii="Times New Roman" w:hAnsi="Times New Roman" w:cs="Times New Roman"/>
          <w:sz w:val="24"/>
          <w:szCs w:val="24"/>
        </w:rPr>
        <w:t xml:space="preserve"> would still need to assess the plans because the adjustments had not yet been put into effect, despite the managerial improvements at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w:t>
      </w:r>
      <w:proofErr w:type="spellStart"/>
      <w:r w:rsidRPr="000A3D1A">
        <w:rPr>
          <w:rFonts w:ascii="Times New Roman" w:hAnsi="Times New Roman" w:cs="Times New Roman"/>
          <w:sz w:val="24"/>
          <w:szCs w:val="24"/>
        </w:rPr>
        <w:t>Creusot</w:t>
      </w:r>
      <w:proofErr w:type="spellEnd"/>
      <w:r w:rsidRPr="000A3D1A">
        <w:rPr>
          <w:rFonts w:ascii="Times New Roman" w:hAnsi="Times New Roman" w:cs="Times New Roman"/>
          <w:sz w:val="24"/>
          <w:szCs w:val="24"/>
        </w:rPr>
        <w:t xml:space="preserve"> Forge. It emphasises the productive process improvements EDF Energy and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NP carried out at </w:t>
      </w:r>
      <w:proofErr w:type="spellStart"/>
      <w:r w:rsidRPr="000A3D1A">
        <w:rPr>
          <w:rFonts w:ascii="Times New Roman" w:hAnsi="Times New Roman" w:cs="Times New Roman"/>
          <w:sz w:val="24"/>
          <w:szCs w:val="24"/>
        </w:rPr>
        <w:t>Creusot</w:t>
      </w:r>
      <w:proofErr w:type="spellEnd"/>
      <w:r w:rsidRPr="000A3D1A">
        <w:rPr>
          <w:rFonts w:ascii="Times New Roman" w:hAnsi="Times New Roman" w:cs="Times New Roman"/>
          <w:sz w:val="24"/>
          <w:szCs w:val="24"/>
        </w:rPr>
        <w:t xml:space="preserve"> Forge. ONR thinks NNB </w:t>
      </w:r>
      <w:proofErr w:type="spellStart"/>
      <w:proofErr w:type="gramStart"/>
      <w:r w:rsidRPr="000A3D1A">
        <w:rPr>
          <w:rFonts w:ascii="Times New Roman" w:hAnsi="Times New Roman" w:cs="Times New Roman"/>
          <w:sz w:val="24"/>
          <w:szCs w:val="24"/>
        </w:rPr>
        <w:t>GenCo</w:t>
      </w:r>
      <w:proofErr w:type="spellEnd"/>
      <w:proofErr w:type="gramEnd"/>
      <w:r w:rsidRPr="000A3D1A">
        <w:rPr>
          <w:rFonts w:ascii="Times New Roman" w:hAnsi="Times New Roman" w:cs="Times New Roman"/>
          <w:sz w:val="24"/>
          <w:szCs w:val="24"/>
        </w:rPr>
        <w:t xml:space="preserve"> and its major partner </w:t>
      </w:r>
      <w:proofErr w:type="spellStart"/>
      <w:r w:rsidRPr="000A3D1A">
        <w:rPr>
          <w:rFonts w:ascii="Times New Roman" w:hAnsi="Times New Roman" w:cs="Times New Roman"/>
          <w:sz w:val="24"/>
          <w:szCs w:val="24"/>
        </w:rPr>
        <w:t>Areva</w:t>
      </w:r>
      <w:proofErr w:type="spellEnd"/>
      <w:r w:rsidRPr="000A3D1A">
        <w:rPr>
          <w:rFonts w:ascii="Times New Roman" w:hAnsi="Times New Roman" w:cs="Times New Roman"/>
          <w:sz w:val="24"/>
          <w:szCs w:val="24"/>
        </w:rPr>
        <w:t xml:space="preserve"> </w:t>
      </w:r>
      <w:proofErr w:type="spellStart"/>
      <w:r w:rsidRPr="000A3D1A">
        <w:rPr>
          <w:rFonts w:ascii="Times New Roman" w:hAnsi="Times New Roman" w:cs="Times New Roman"/>
          <w:sz w:val="24"/>
          <w:szCs w:val="24"/>
        </w:rPr>
        <w:t>Creusot</w:t>
      </w:r>
      <w:proofErr w:type="spellEnd"/>
      <w:r w:rsidRPr="000A3D1A">
        <w:rPr>
          <w:rFonts w:ascii="Times New Roman" w:hAnsi="Times New Roman" w:cs="Times New Roman"/>
          <w:sz w:val="24"/>
          <w:szCs w:val="24"/>
        </w:rPr>
        <w:t xml:space="preserve"> Forge have excelled in bringing their development efforts, such as management system structures, improved production processes and a quality and safety culture, into practise. The legislation prediction that successful investment in the new and novel generating ability might expenses is around 140 pounds billion by 2030. An additional 40 billion pounds of funds can be required for the electricity transmission and distribution structure.</w:t>
      </w:r>
    </w:p>
    <w:bookmarkEnd w:id="0"/>
    <w:p w14:paraId="1C8BD14B" w14:textId="77777777" w:rsidR="007F557C" w:rsidRPr="000A3D1A" w:rsidRDefault="007F557C" w:rsidP="007F557C">
      <w:pPr>
        <w:spacing w:line="360" w:lineRule="auto"/>
        <w:jc w:val="both"/>
        <w:rPr>
          <w:rFonts w:ascii="Times New Roman" w:hAnsi="Times New Roman" w:cs="Times New Roman"/>
          <w:sz w:val="24"/>
          <w:szCs w:val="24"/>
        </w:rPr>
      </w:pPr>
      <w:r w:rsidRPr="000A3D1A">
        <w:rPr>
          <w:rFonts w:ascii="Times New Roman" w:hAnsi="Times New Roman" w:cs="Times New Roman"/>
          <w:sz w:val="24"/>
          <w:szCs w:val="24"/>
        </w:rPr>
        <w:br w:type="page"/>
      </w:r>
    </w:p>
    <w:bookmarkStart w:id="11" w:name="_Toc131677799" w:displacedByCustomXml="next"/>
    <w:sdt>
      <w:sdtPr>
        <w:rPr>
          <w:rFonts w:asciiTheme="minorHAnsi" w:eastAsiaTheme="minorHAnsi" w:hAnsiTheme="minorHAnsi" w:cstheme="minorBidi"/>
          <w:b w:val="0"/>
          <w:bCs w:val="0"/>
          <w:color w:val="auto"/>
          <w:sz w:val="22"/>
          <w:szCs w:val="22"/>
        </w:rPr>
        <w:id w:val="-602961658"/>
        <w:docPartObj>
          <w:docPartGallery w:val="Bibliographies"/>
          <w:docPartUnique/>
        </w:docPartObj>
      </w:sdtPr>
      <w:sdtContent>
        <w:p w14:paraId="29D8A743" w14:textId="6C1EA0B4" w:rsidR="0001400B" w:rsidRDefault="0001400B">
          <w:pPr>
            <w:pStyle w:val="Heading1"/>
          </w:pPr>
          <w:r>
            <w:t>References</w:t>
          </w:r>
          <w:bookmarkEnd w:id="11"/>
        </w:p>
        <w:sdt>
          <w:sdtPr>
            <w:id w:val="-573587230"/>
            <w:bibliography/>
          </w:sdtPr>
          <w:sdtContent>
            <w:p w14:paraId="6A930C79" w14:textId="77777777" w:rsidR="0001400B" w:rsidRDefault="0001400B" w:rsidP="0001400B">
              <w:pPr>
                <w:pStyle w:val="Bibliography"/>
                <w:rPr>
                  <w:noProof/>
                  <w:sz w:val="24"/>
                  <w:szCs w:val="24"/>
                </w:rPr>
              </w:pPr>
              <w:r>
                <w:fldChar w:fldCharType="begin"/>
              </w:r>
              <w:r>
                <w:instrText xml:space="preserve"> BIBLIOGRAPHY </w:instrText>
              </w:r>
              <w:r>
                <w:fldChar w:fldCharType="separate"/>
              </w:r>
              <w:r>
                <w:rPr>
                  <w:noProof/>
                </w:rPr>
                <w:t xml:space="preserve">Alberto, I., 2019. A Critical Analysis of the Wind Generated Effect on the Rate of Overtopping on the Hinkley Point C Sea Wall Through the use of Physical Modelling. </w:t>
              </w:r>
              <w:r>
                <w:rPr>
                  <w:i/>
                  <w:iCs/>
                  <w:noProof/>
                </w:rPr>
                <w:t xml:space="preserve">The Plymouth Student Scientist, </w:t>
              </w:r>
              <w:r>
                <w:rPr>
                  <w:noProof/>
                </w:rPr>
                <w:t>12(1-2019), pp. 135-186.</w:t>
              </w:r>
            </w:p>
            <w:p w14:paraId="26526EE0" w14:textId="77777777" w:rsidR="0001400B" w:rsidRDefault="0001400B" w:rsidP="0001400B">
              <w:pPr>
                <w:pStyle w:val="Bibliography"/>
                <w:rPr>
                  <w:noProof/>
                </w:rPr>
              </w:pPr>
              <w:r>
                <w:rPr>
                  <w:noProof/>
                </w:rPr>
                <w:t>Aldama</w:t>
              </w:r>
              <w:r>
                <w:rPr>
                  <w:noProof/>
                </w:rPr>
                <w:noBreakHyphen/>
                <w:t xml:space="preserve">Bustos, G. et al., 2019. A streamlined approach for the seismic hazard assessment of a new nuclear power plant in the UK. </w:t>
              </w:r>
              <w:r>
                <w:rPr>
                  <w:i/>
                  <w:iCs/>
                  <w:noProof/>
                </w:rPr>
                <w:t xml:space="preserve">Bulletin of Earthquake Engineering, </w:t>
              </w:r>
              <w:r>
                <w:rPr>
                  <w:noProof/>
                </w:rPr>
                <w:t>17(1), pp. 37-54.</w:t>
              </w:r>
            </w:p>
            <w:p w14:paraId="437456F3" w14:textId="77777777" w:rsidR="0001400B" w:rsidRDefault="0001400B" w:rsidP="0001400B">
              <w:pPr>
                <w:pStyle w:val="Bibliography"/>
                <w:rPr>
                  <w:noProof/>
                </w:rPr>
              </w:pPr>
              <w:r>
                <w:rPr>
                  <w:noProof/>
                </w:rPr>
                <w:t xml:space="preserve">Butcher, A. et al., 2021. Evaluating rock mass disturbance within open-pit excavations using seismic methods: A case study from the Hinkley Point C nuclear power station.. </w:t>
              </w:r>
              <w:r>
                <w:rPr>
                  <w:i/>
                  <w:iCs/>
                  <w:noProof/>
                </w:rPr>
                <w:t xml:space="preserve">Journal of Rock Mechanics and Geotechnical Engineering, </w:t>
              </w:r>
              <w:r>
                <w:rPr>
                  <w:noProof/>
                </w:rPr>
                <w:t>13(1), pp. 500-512.</w:t>
              </w:r>
            </w:p>
            <w:p w14:paraId="61387E5E" w14:textId="77777777" w:rsidR="0001400B" w:rsidRDefault="0001400B" w:rsidP="0001400B">
              <w:pPr>
                <w:pStyle w:val="Bibliography"/>
                <w:rPr>
                  <w:noProof/>
                </w:rPr>
              </w:pPr>
              <w:r>
                <w:rPr>
                  <w:noProof/>
                </w:rPr>
                <w:t xml:space="preserve">Cossins-Smith, A., 2023. </w:t>
              </w:r>
              <w:r>
                <w:rPr>
                  <w:i/>
                  <w:iCs/>
                  <w:noProof/>
                </w:rPr>
                <w:t xml:space="preserve">Power Technology-Cost of EDF’s Hinkley Point C nuclear project rises to $40bn. </w:t>
              </w:r>
              <w:r>
                <w:rPr>
                  <w:noProof/>
                </w:rPr>
                <w:t xml:space="preserve">[Online] </w:t>
              </w:r>
              <w:r>
                <w:rPr>
                  <w:noProof/>
                </w:rPr>
                <w:br/>
                <w:t xml:space="preserve">Available at: </w:t>
              </w:r>
              <w:r>
                <w:rPr>
                  <w:noProof/>
                  <w:u w:val="single"/>
                </w:rPr>
                <w:t>https://www.power-technology.com/news/hinkley-point-c-project-costs-rise-again/</w:t>
              </w:r>
              <w:r>
                <w:rPr>
                  <w:noProof/>
                </w:rPr>
                <w:br/>
                <w:t>[Accessed 28 3 2023].</w:t>
              </w:r>
            </w:p>
            <w:p w14:paraId="4F54D109" w14:textId="77777777" w:rsidR="0001400B" w:rsidRDefault="0001400B" w:rsidP="0001400B">
              <w:pPr>
                <w:pStyle w:val="Bibliography"/>
                <w:rPr>
                  <w:noProof/>
                </w:rPr>
              </w:pPr>
              <w:r>
                <w:rPr>
                  <w:noProof/>
                </w:rPr>
                <w:t xml:space="preserve">Dyrda, J. &amp; Morrison, R., 2021. OVERVIEW OF THE HINKLEY POINT C EPR PROJECT ‘J0’ AND BEYOND.. </w:t>
              </w:r>
              <w:r>
                <w:rPr>
                  <w:i/>
                  <w:iCs/>
                  <w:noProof/>
                </w:rPr>
                <w:t xml:space="preserve">EDP Sciences. In EPJ Web of Conference, </w:t>
              </w:r>
              <w:r>
                <w:rPr>
                  <w:noProof/>
                </w:rPr>
                <w:t>247(1), p. 20001.</w:t>
              </w:r>
            </w:p>
            <w:p w14:paraId="03E42DE6" w14:textId="77777777" w:rsidR="0001400B" w:rsidRDefault="0001400B" w:rsidP="0001400B">
              <w:pPr>
                <w:pStyle w:val="Bibliography"/>
                <w:rPr>
                  <w:noProof/>
                </w:rPr>
              </w:pPr>
              <w:r>
                <w:rPr>
                  <w:noProof/>
                </w:rPr>
                <w:t xml:space="preserve">Harvey, D., 2021. </w:t>
              </w:r>
              <w:r>
                <w:rPr>
                  <w:i/>
                  <w:iCs/>
                  <w:noProof/>
                </w:rPr>
                <w:t xml:space="preserve">Hinkley nuclear power station on track for 2026 opening. </w:t>
              </w:r>
              <w:r>
                <w:rPr>
                  <w:noProof/>
                </w:rPr>
                <w:t xml:space="preserve">[Online] </w:t>
              </w:r>
              <w:r>
                <w:rPr>
                  <w:noProof/>
                </w:rPr>
                <w:br/>
                <w:t xml:space="preserve">Available at: </w:t>
              </w:r>
              <w:r>
                <w:rPr>
                  <w:noProof/>
                  <w:u w:val="single"/>
                </w:rPr>
                <w:t>https://www.bbc.co.uk/news/uk-england-somerset-58724732</w:t>
              </w:r>
              <w:r>
                <w:rPr>
                  <w:noProof/>
                </w:rPr>
                <w:br/>
                <w:t>[Accessed 28 03 2023].</w:t>
              </w:r>
            </w:p>
            <w:p w14:paraId="63C18C0C" w14:textId="77777777" w:rsidR="0001400B" w:rsidRDefault="0001400B" w:rsidP="0001400B">
              <w:pPr>
                <w:pStyle w:val="Bibliography"/>
                <w:rPr>
                  <w:noProof/>
                </w:rPr>
              </w:pPr>
              <w:r>
                <w:rPr>
                  <w:noProof/>
                </w:rPr>
                <w:t xml:space="preserve">MCINTYRE, F., 2018. </w:t>
              </w:r>
              <w:r>
                <w:rPr>
                  <w:i/>
                  <w:iCs/>
                  <w:noProof/>
                </w:rPr>
                <w:t xml:space="preserve">New Civil Engineer-Hinkley Point C quality management needs improvement, says nuclear regulator.. </w:t>
              </w:r>
              <w:r>
                <w:rPr>
                  <w:noProof/>
                </w:rPr>
                <w:t xml:space="preserve">[Online] </w:t>
              </w:r>
              <w:r>
                <w:rPr>
                  <w:noProof/>
                </w:rPr>
                <w:br/>
                <w:t xml:space="preserve">Available at: </w:t>
              </w:r>
              <w:r>
                <w:rPr>
                  <w:noProof/>
                  <w:u w:val="single"/>
                </w:rPr>
                <w:t>https://www.newcivilengineer.com/archive/hinkley-point-c-quality-management-needs-improvement-says-nuclear-regulator-16-03-2018/</w:t>
              </w:r>
              <w:r>
                <w:rPr>
                  <w:noProof/>
                </w:rPr>
                <w:br/>
                <w:t>[Accessed 30 3 2023].</w:t>
              </w:r>
            </w:p>
            <w:p w14:paraId="13268ABE" w14:textId="77777777" w:rsidR="0001400B" w:rsidRDefault="0001400B" w:rsidP="0001400B">
              <w:pPr>
                <w:pStyle w:val="Bibliography"/>
                <w:rPr>
                  <w:noProof/>
                </w:rPr>
              </w:pPr>
              <w:r>
                <w:rPr>
                  <w:noProof/>
                </w:rPr>
                <w:t xml:space="preserve">National Audit Office by Comproller and Auditor General Sir Amyas Morse, 2017. </w:t>
              </w:r>
              <w:r>
                <w:rPr>
                  <w:i/>
                  <w:iCs/>
                  <w:noProof/>
                </w:rPr>
                <w:t xml:space="preserve">Hinkley Point C, </w:t>
              </w:r>
              <w:r>
                <w:rPr>
                  <w:noProof/>
                </w:rPr>
                <w:t>London: NAO.</w:t>
              </w:r>
            </w:p>
            <w:p w14:paraId="48A56175" w14:textId="77777777" w:rsidR="0001400B" w:rsidRDefault="0001400B" w:rsidP="0001400B">
              <w:pPr>
                <w:pStyle w:val="Bibliography"/>
                <w:rPr>
                  <w:noProof/>
                </w:rPr>
              </w:pPr>
              <w:r>
                <w:rPr>
                  <w:noProof/>
                </w:rPr>
                <w:t xml:space="preserve">Parkinson, D., Kukla, K. &amp; Clear, S., 2021. Designing Resilience: Seismic Analysis and Civil Design of Hinkley Point C Offshore Heat Sink. </w:t>
              </w:r>
              <w:r>
                <w:rPr>
                  <w:i/>
                  <w:iCs/>
                  <w:noProof/>
                </w:rPr>
                <w:t xml:space="preserve">ournal of Nuclear Engineering ans Radiation Science, </w:t>
              </w:r>
              <w:r>
                <w:rPr>
                  <w:noProof/>
                </w:rPr>
                <w:t>7(4), p. 16.</w:t>
              </w:r>
            </w:p>
            <w:p w14:paraId="0B989575" w14:textId="77777777" w:rsidR="0001400B" w:rsidRDefault="0001400B" w:rsidP="0001400B">
              <w:pPr>
                <w:pStyle w:val="Bibliography"/>
                <w:rPr>
                  <w:noProof/>
                </w:rPr>
              </w:pPr>
              <w:r>
                <w:rPr>
                  <w:noProof/>
                </w:rPr>
                <w:t xml:space="preserve">Smyth, H., Lecoeuvre, L. &amp; Vaesken, P., 2018. Co-creation of value and the project context: Towards application on the case of Hinkley Point C Nuclear Power Station. </w:t>
              </w:r>
              <w:r>
                <w:rPr>
                  <w:i/>
                  <w:iCs/>
                  <w:noProof/>
                </w:rPr>
                <w:t xml:space="preserve">International Journal of Project Management, </w:t>
              </w:r>
              <w:r>
                <w:rPr>
                  <w:noProof/>
                </w:rPr>
                <w:t>36(1), pp. 170-183.</w:t>
              </w:r>
            </w:p>
            <w:p w14:paraId="77957374" w14:textId="0ED3BDA2" w:rsidR="0001400B" w:rsidRDefault="0001400B" w:rsidP="0001400B">
              <w:r>
                <w:rPr>
                  <w:b/>
                  <w:bCs/>
                  <w:noProof/>
                </w:rPr>
                <w:fldChar w:fldCharType="end"/>
              </w:r>
            </w:p>
          </w:sdtContent>
        </w:sdt>
      </w:sdtContent>
    </w:sdt>
    <w:p w14:paraId="2B7AA294" w14:textId="77777777" w:rsidR="0001400B" w:rsidRDefault="0001400B" w:rsidP="007F557C">
      <w:pPr>
        <w:pStyle w:val="Heading1"/>
        <w:spacing w:line="360" w:lineRule="auto"/>
        <w:jc w:val="both"/>
        <w:rPr>
          <w:rFonts w:ascii="Times New Roman" w:hAnsi="Times New Roman" w:cs="Times New Roman"/>
          <w:color w:val="auto"/>
          <w:sz w:val="24"/>
          <w:szCs w:val="24"/>
        </w:rPr>
      </w:pPr>
    </w:p>
    <w:p w14:paraId="34AE0A46" w14:textId="77777777" w:rsidR="0001400B" w:rsidRDefault="0001400B" w:rsidP="007F557C">
      <w:pPr>
        <w:pStyle w:val="Heading1"/>
        <w:spacing w:line="360" w:lineRule="auto"/>
        <w:jc w:val="both"/>
        <w:rPr>
          <w:rFonts w:ascii="Times New Roman" w:hAnsi="Times New Roman" w:cs="Times New Roman"/>
          <w:color w:val="auto"/>
          <w:sz w:val="24"/>
          <w:szCs w:val="24"/>
        </w:rPr>
      </w:pPr>
    </w:p>
    <w:p w14:paraId="39DF999A" w14:textId="77777777" w:rsidR="0001400B" w:rsidRDefault="0001400B" w:rsidP="007F557C">
      <w:pPr>
        <w:pStyle w:val="Heading1"/>
        <w:spacing w:line="360" w:lineRule="auto"/>
        <w:jc w:val="both"/>
        <w:rPr>
          <w:rFonts w:ascii="Times New Roman" w:hAnsi="Times New Roman" w:cs="Times New Roman"/>
          <w:color w:val="auto"/>
          <w:sz w:val="24"/>
          <w:szCs w:val="24"/>
        </w:rPr>
      </w:pPr>
    </w:p>
    <w:p w14:paraId="7555086F" w14:textId="77777777" w:rsidR="0001400B" w:rsidRDefault="0001400B" w:rsidP="007F557C">
      <w:pPr>
        <w:pStyle w:val="Heading1"/>
        <w:spacing w:line="360" w:lineRule="auto"/>
        <w:jc w:val="both"/>
        <w:rPr>
          <w:rFonts w:ascii="Times New Roman" w:hAnsi="Times New Roman" w:cs="Times New Roman"/>
          <w:color w:val="auto"/>
          <w:sz w:val="24"/>
          <w:szCs w:val="24"/>
        </w:rPr>
      </w:pPr>
    </w:p>
    <w:p w14:paraId="37DBC2F7" w14:textId="77777777" w:rsidR="0001400B" w:rsidRDefault="0001400B" w:rsidP="007F557C">
      <w:pPr>
        <w:pStyle w:val="Heading1"/>
        <w:spacing w:line="360" w:lineRule="auto"/>
        <w:jc w:val="both"/>
        <w:rPr>
          <w:rFonts w:ascii="Times New Roman" w:hAnsi="Times New Roman" w:cs="Times New Roman"/>
          <w:color w:val="auto"/>
          <w:sz w:val="24"/>
          <w:szCs w:val="24"/>
        </w:rPr>
      </w:pPr>
    </w:p>
    <w:p w14:paraId="2F3E4A70" w14:textId="77777777" w:rsidR="007F557C" w:rsidRPr="00295A83" w:rsidRDefault="007F557C" w:rsidP="007F557C">
      <w:pPr>
        <w:spacing w:line="360" w:lineRule="auto"/>
        <w:jc w:val="both"/>
        <w:rPr>
          <w:rFonts w:ascii="Times New Roman" w:hAnsi="Times New Roman" w:cs="Times New Roman"/>
          <w:color w:val="222222"/>
          <w:sz w:val="24"/>
          <w:szCs w:val="24"/>
          <w:shd w:val="clear" w:color="auto" w:fill="FFFFFF"/>
        </w:rPr>
      </w:pPr>
    </w:p>
    <w:p w14:paraId="03BA82F5" w14:textId="77777777" w:rsidR="007F557C" w:rsidRPr="00295A83" w:rsidRDefault="007F557C" w:rsidP="007F557C">
      <w:pPr>
        <w:spacing w:line="360" w:lineRule="auto"/>
        <w:jc w:val="both"/>
        <w:rPr>
          <w:rFonts w:ascii="Times New Roman" w:hAnsi="Times New Roman" w:cs="Times New Roman"/>
          <w:sz w:val="24"/>
          <w:szCs w:val="24"/>
        </w:rPr>
      </w:pPr>
    </w:p>
    <w:p w14:paraId="253EA36F" w14:textId="77777777" w:rsidR="007F557C" w:rsidRPr="00295A83" w:rsidRDefault="007F557C" w:rsidP="007F557C">
      <w:pPr>
        <w:spacing w:line="360" w:lineRule="auto"/>
        <w:jc w:val="both"/>
        <w:rPr>
          <w:rFonts w:ascii="Times New Roman" w:hAnsi="Times New Roman" w:cs="Times New Roman"/>
          <w:sz w:val="24"/>
          <w:szCs w:val="24"/>
        </w:rPr>
      </w:pPr>
    </w:p>
    <w:p w14:paraId="6F10962A" w14:textId="77777777" w:rsidR="007F557C" w:rsidRPr="00295A83" w:rsidRDefault="007F557C" w:rsidP="007F557C">
      <w:pPr>
        <w:spacing w:line="360" w:lineRule="auto"/>
        <w:jc w:val="both"/>
        <w:rPr>
          <w:rFonts w:ascii="Times New Roman" w:hAnsi="Times New Roman" w:cs="Times New Roman"/>
          <w:sz w:val="24"/>
          <w:szCs w:val="24"/>
        </w:rPr>
      </w:pPr>
    </w:p>
    <w:p w14:paraId="6A5DB5FA" w14:textId="77777777" w:rsidR="007F557C" w:rsidRPr="00295A83" w:rsidRDefault="007F557C" w:rsidP="007F557C">
      <w:pPr>
        <w:tabs>
          <w:tab w:val="center" w:pos="4680"/>
        </w:tabs>
        <w:spacing w:line="360" w:lineRule="auto"/>
        <w:jc w:val="both"/>
        <w:rPr>
          <w:rFonts w:ascii="Times New Roman" w:hAnsi="Times New Roman" w:cs="Times New Roman"/>
          <w:sz w:val="24"/>
          <w:szCs w:val="24"/>
        </w:rPr>
      </w:pPr>
    </w:p>
    <w:p w14:paraId="281B273E" w14:textId="77777777" w:rsidR="007F557C" w:rsidRPr="00295A83" w:rsidRDefault="007F557C" w:rsidP="007F557C">
      <w:pPr>
        <w:tabs>
          <w:tab w:val="center" w:pos="4680"/>
        </w:tabs>
        <w:spacing w:line="360" w:lineRule="auto"/>
        <w:jc w:val="both"/>
        <w:rPr>
          <w:rFonts w:ascii="Times New Roman" w:hAnsi="Times New Roman" w:cs="Times New Roman"/>
          <w:sz w:val="24"/>
          <w:szCs w:val="24"/>
        </w:rPr>
      </w:pPr>
    </w:p>
    <w:p w14:paraId="3950585A" w14:textId="77777777" w:rsidR="00C70BDF" w:rsidRDefault="00C70BDF"/>
    <w:sectPr w:rsidR="00C70BDF" w:rsidSect="00170D87">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70EBDC" w14:textId="77777777" w:rsidR="00515985" w:rsidRDefault="00515985">
      <w:pPr>
        <w:spacing w:after="0" w:line="240" w:lineRule="auto"/>
      </w:pPr>
      <w:r>
        <w:separator/>
      </w:r>
    </w:p>
  </w:endnote>
  <w:endnote w:type="continuationSeparator" w:id="0">
    <w:p w14:paraId="36CBC839" w14:textId="77777777" w:rsidR="00515985" w:rsidRDefault="00515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107"/>
      <w:docPartObj>
        <w:docPartGallery w:val="Page Numbers (Bottom of Page)"/>
        <w:docPartUnique/>
      </w:docPartObj>
    </w:sdtPr>
    <w:sdtContent>
      <w:p w14:paraId="5B4767E4" w14:textId="77777777" w:rsidR="00286814" w:rsidRDefault="00000000">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5D697BF4" w14:textId="77777777" w:rsidR="00286814"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710E0" w14:textId="77777777" w:rsidR="00515985" w:rsidRDefault="00515985">
      <w:pPr>
        <w:spacing w:after="0" w:line="240" w:lineRule="auto"/>
      </w:pPr>
      <w:r>
        <w:separator/>
      </w:r>
    </w:p>
  </w:footnote>
  <w:footnote w:type="continuationSeparator" w:id="0">
    <w:p w14:paraId="551F48BD" w14:textId="77777777" w:rsidR="00515985" w:rsidRDefault="0051598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D87"/>
    <w:rsid w:val="0001400B"/>
    <w:rsid w:val="00114047"/>
    <w:rsid w:val="00170D87"/>
    <w:rsid w:val="001907A6"/>
    <w:rsid w:val="004930B2"/>
    <w:rsid w:val="00515985"/>
    <w:rsid w:val="00647BE0"/>
    <w:rsid w:val="006946ED"/>
    <w:rsid w:val="006B4AA3"/>
    <w:rsid w:val="006E5710"/>
    <w:rsid w:val="006F186D"/>
    <w:rsid w:val="007964C8"/>
    <w:rsid w:val="007F557C"/>
    <w:rsid w:val="008617BD"/>
    <w:rsid w:val="00873C7A"/>
    <w:rsid w:val="008C51DE"/>
    <w:rsid w:val="00917FD7"/>
    <w:rsid w:val="00A926AE"/>
    <w:rsid w:val="00B374D3"/>
    <w:rsid w:val="00BD2FBA"/>
    <w:rsid w:val="00C11245"/>
    <w:rsid w:val="00C70BDF"/>
    <w:rsid w:val="00EF4015"/>
    <w:rsid w:val="00EF626E"/>
    <w:rsid w:val="00F6157E"/>
    <w:rsid w:val="00F753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7A306"/>
  <w15:chartTrackingRefBased/>
  <w15:docId w15:val="{0D75A877-FFF1-46C4-AD24-62A46280E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D87"/>
    <w:pPr>
      <w:spacing w:after="200" w:line="276" w:lineRule="auto"/>
    </w:pPr>
    <w:rPr>
      <w:lang w:val="en-GB"/>
    </w:rPr>
  </w:style>
  <w:style w:type="paragraph" w:styleId="Heading1">
    <w:name w:val="heading 1"/>
    <w:basedOn w:val="Normal"/>
    <w:next w:val="Normal"/>
    <w:link w:val="Heading1Char"/>
    <w:uiPriority w:val="9"/>
    <w:qFormat/>
    <w:rsid w:val="00170D8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link w:val="Heading2Char"/>
    <w:uiPriority w:val="9"/>
    <w:qFormat/>
    <w:rsid w:val="00170D87"/>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D87"/>
    <w:rPr>
      <w:rFonts w:asciiTheme="majorHAnsi" w:eastAsiaTheme="majorEastAsia" w:hAnsiTheme="majorHAnsi" w:cstheme="majorBidi"/>
      <w:b/>
      <w:bCs/>
      <w:color w:val="2F5496" w:themeColor="accent1" w:themeShade="BF"/>
      <w:sz w:val="28"/>
      <w:szCs w:val="28"/>
      <w:lang w:val="en-GB"/>
    </w:rPr>
  </w:style>
  <w:style w:type="character" w:customStyle="1" w:styleId="Heading2Char">
    <w:name w:val="Heading 2 Char"/>
    <w:basedOn w:val="DefaultParagraphFont"/>
    <w:link w:val="Heading2"/>
    <w:uiPriority w:val="9"/>
    <w:rsid w:val="00170D87"/>
    <w:rPr>
      <w:rFonts w:ascii="Times New Roman" w:eastAsia="Times New Roman" w:hAnsi="Times New Roman" w:cs="Times New Roman"/>
      <w:b/>
      <w:bCs/>
      <w:sz w:val="36"/>
      <w:szCs w:val="36"/>
    </w:rPr>
  </w:style>
  <w:style w:type="paragraph" w:styleId="Footer">
    <w:name w:val="footer"/>
    <w:basedOn w:val="Normal"/>
    <w:link w:val="FooterChar"/>
    <w:uiPriority w:val="99"/>
    <w:unhideWhenUsed/>
    <w:rsid w:val="00170D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0D87"/>
    <w:rPr>
      <w:lang w:val="en-GB"/>
    </w:rPr>
  </w:style>
  <w:style w:type="paragraph" w:styleId="Caption">
    <w:name w:val="caption"/>
    <w:basedOn w:val="Normal"/>
    <w:next w:val="Normal"/>
    <w:uiPriority w:val="35"/>
    <w:unhideWhenUsed/>
    <w:qFormat/>
    <w:rsid w:val="00170D87"/>
    <w:pPr>
      <w:spacing w:line="240" w:lineRule="auto"/>
    </w:pPr>
    <w:rPr>
      <w:b/>
      <w:bCs/>
      <w:color w:val="4472C4" w:themeColor="accent1"/>
      <w:sz w:val="18"/>
      <w:szCs w:val="18"/>
    </w:rPr>
  </w:style>
  <w:style w:type="paragraph" w:styleId="TOCHeading">
    <w:name w:val="TOC Heading"/>
    <w:basedOn w:val="Heading1"/>
    <w:next w:val="Normal"/>
    <w:uiPriority w:val="39"/>
    <w:semiHidden/>
    <w:unhideWhenUsed/>
    <w:qFormat/>
    <w:rsid w:val="00170D87"/>
    <w:pPr>
      <w:outlineLvl w:val="9"/>
    </w:pPr>
    <w:rPr>
      <w:lang w:val="en-US"/>
    </w:rPr>
  </w:style>
  <w:style w:type="paragraph" w:styleId="TOC1">
    <w:name w:val="toc 1"/>
    <w:basedOn w:val="Normal"/>
    <w:next w:val="Normal"/>
    <w:autoRedefine/>
    <w:uiPriority w:val="39"/>
    <w:unhideWhenUsed/>
    <w:rsid w:val="00170D87"/>
    <w:pPr>
      <w:spacing w:after="100"/>
    </w:pPr>
  </w:style>
  <w:style w:type="paragraph" w:styleId="TOC2">
    <w:name w:val="toc 2"/>
    <w:basedOn w:val="Normal"/>
    <w:next w:val="Normal"/>
    <w:autoRedefine/>
    <w:uiPriority w:val="39"/>
    <w:unhideWhenUsed/>
    <w:rsid w:val="00170D87"/>
    <w:pPr>
      <w:spacing w:after="100"/>
      <w:ind w:left="220"/>
    </w:pPr>
  </w:style>
  <w:style w:type="character" w:styleId="Hyperlink">
    <w:name w:val="Hyperlink"/>
    <w:basedOn w:val="DefaultParagraphFont"/>
    <w:uiPriority w:val="99"/>
    <w:unhideWhenUsed/>
    <w:rsid w:val="00170D87"/>
    <w:rPr>
      <w:color w:val="0563C1" w:themeColor="hyperlink"/>
      <w:u w:val="single"/>
    </w:rPr>
  </w:style>
  <w:style w:type="paragraph" w:styleId="NoSpacing">
    <w:name w:val="No Spacing"/>
    <w:link w:val="NoSpacingChar"/>
    <w:uiPriority w:val="1"/>
    <w:qFormat/>
    <w:rsid w:val="00170D87"/>
    <w:pPr>
      <w:spacing w:after="0" w:line="240" w:lineRule="auto"/>
    </w:pPr>
    <w:rPr>
      <w:rFonts w:eastAsiaTheme="minorEastAsia"/>
    </w:rPr>
  </w:style>
  <w:style w:type="character" w:customStyle="1" w:styleId="NoSpacingChar">
    <w:name w:val="No Spacing Char"/>
    <w:basedOn w:val="DefaultParagraphFont"/>
    <w:link w:val="NoSpacing"/>
    <w:uiPriority w:val="1"/>
    <w:rsid w:val="00170D87"/>
    <w:rPr>
      <w:rFonts w:eastAsiaTheme="minorEastAsia"/>
    </w:rPr>
  </w:style>
  <w:style w:type="paragraph" w:styleId="Bibliography">
    <w:name w:val="Bibliography"/>
    <w:basedOn w:val="Normal"/>
    <w:next w:val="Normal"/>
    <w:uiPriority w:val="37"/>
    <w:unhideWhenUsed/>
    <w:rsid w:val="00014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426995">
      <w:bodyDiv w:val="1"/>
      <w:marLeft w:val="0"/>
      <w:marRight w:val="0"/>
      <w:marTop w:val="0"/>
      <w:marBottom w:val="0"/>
      <w:divBdr>
        <w:top w:val="none" w:sz="0" w:space="0" w:color="auto"/>
        <w:left w:val="none" w:sz="0" w:space="0" w:color="auto"/>
        <w:bottom w:val="none" w:sz="0" w:space="0" w:color="auto"/>
        <w:right w:val="none" w:sz="0" w:space="0" w:color="auto"/>
      </w:divBdr>
    </w:div>
    <w:div w:id="187643526">
      <w:bodyDiv w:val="1"/>
      <w:marLeft w:val="0"/>
      <w:marRight w:val="0"/>
      <w:marTop w:val="0"/>
      <w:marBottom w:val="0"/>
      <w:divBdr>
        <w:top w:val="none" w:sz="0" w:space="0" w:color="auto"/>
        <w:left w:val="none" w:sz="0" w:space="0" w:color="auto"/>
        <w:bottom w:val="none" w:sz="0" w:space="0" w:color="auto"/>
        <w:right w:val="none" w:sz="0" w:space="0" w:color="auto"/>
      </w:divBdr>
    </w:div>
    <w:div w:id="195168358">
      <w:bodyDiv w:val="1"/>
      <w:marLeft w:val="0"/>
      <w:marRight w:val="0"/>
      <w:marTop w:val="0"/>
      <w:marBottom w:val="0"/>
      <w:divBdr>
        <w:top w:val="none" w:sz="0" w:space="0" w:color="auto"/>
        <w:left w:val="none" w:sz="0" w:space="0" w:color="auto"/>
        <w:bottom w:val="none" w:sz="0" w:space="0" w:color="auto"/>
        <w:right w:val="none" w:sz="0" w:space="0" w:color="auto"/>
      </w:divBdr>
    </w:div>
    <w:div w:id="216011828">
      <w:bodyDiv w:val="1"/>
      <w:marLeft w:val="0"/>
      <w:marRight w:val="0"/>
      <w:marTop w:val="0"/>
      <w:marBottom w:val="0"/>
      <w:divBdr>
        <w:top w:val="none" w:sz="0" w:space="0" w:color="auto"/>
        <w:left w:val="none" w:sz="0" w:space="0" w:color="auto"/>
        <w:bottom w:val="none" w:sz="0" w:space="0" w:color="auto"/>
        <w:right w:val="none" w:sz="0" w:space="0" w:color="auto"/>
      </w:divBdr>
    </w:div>
    <w:div w:id="220799459">
      <w:bodyDiv w:val="1"/>
      <w:marLeft w:val="0"/>
      <w:marRight w:val="0"/>
      <w:marTop w:val="0"/>
      <w:marBottom w:val="0"/>
      <w:divBdr>
        <w:top w:val="none" w:sz="0" w:space="0" w:color="auto"/>
        <w:left w:val="none" w:sz="0" w:space="0" w:color="auto"/>
        <w:bottom w:val="none" w:sz="0" w:space="0" w:color="auto"/>
        <w:right w:val="none" w:sz="0" w:space="0" w:color="auto"/>
      </w:divBdr>
    </w:div>
    <w:div w:id="395393397">
      <w:bodyDiv w:val="1"/>
      <w:marLeft w:val="0"/>
      <w:marRight w:val="0"/>
      <w:marTop w:val="0"/>
      <w:marBottom w:val="0"/>
      <w:divBdr>
        <w:top w:val="none" w:sz="0" w:space="0" w:color="auto"/>
        <w:left w:val="none" w:sz="0" w:space="0" w:color="auto"/>
        <w:bottom w:val="none" w:sz="0" w:space="0" w:color="auto"/>
        <w:right w:val="none" w:sz="0" w:space="0" w:color="auto"/>
      </w:divBdr>
    </w:div>
    <w:div w:id="421879200">
      <w:bodyDiv w:val="1"/>
      <w:marLeft w:val="0"/>
      <w:marRight w:val="0"/>
      <w:marTop w:val="0"/>
      <w:marBottom w:val="0"/>
      <w:divBdr>
        <w:top w:val="none" w:sz="0" w:space="0" w:color="auto"/>
        <w:left w:val="none" w:sz="0" w:space="0" w:color="auto"/>
        <w:bottom w:val="none" w:sz="0" w:space="0" w:color="auto"/>
        <w:right w:val="none" w:sz="0" w:space="0" w:color="auto"/>
      </w:divBdr>
    </w:div>
    <w:div w:id="541405433">
      <w:bodyDiv w:val="1"/>
      <w:marLeft w:val="0"/>
      <w:marRight w:val="0"/>
      <w:marTop w:val="0"/>
      <w:marBottom w:val="0"/>
      <w:divBdr>
        <w:top w:val="none" w:sz="0" w:space="0" w:color="auto"/>
        <w:left w:val="none" w:sz="0" w:space="0" w:color="auto"/>
        <w:bottom w:val="none" w:sz="0" w:space="0" w:color="auto"/>
        <w:right w:val="none" w:sz="0" w:space="0" w:color="auto"/>
      </w:divBdr>
    </w:div>
    <w:div w:id="567157578">
      <w:bodyDiv w:val="1"/>
      <w:marLeft w:val="0"/>
      <w:marRight w:val="0"/>
      <w:marTop w:val="0"/>
      <w:marBottom w:val="0"/>
      <w:divBdr>
        <w:top w:val="none" w:sz="0" w:space="0" w:color="auto"/>
        <w:left w:val="none" w:sz="0" w:space="0" w:color="auto"/>
        <w:bottom w:val="none" w:sz="0" w:space="0" w:color="auto"/>
        <w:right w:val="none" w:sz="0" w:space="0" w:color="auto"/>
      </w:divBdr>
    </w:div>
    <w:div w:id="630135815">
      <w:bodyDiv w:val="1"/>
      <w:marLeft w:val="0"/>
      <w:marRight w:val="0"/>
      <w:marTop w:val="0"/>
      <w:marBottom w:val="0"/>
      <w:divBdr>
        <w:top w:val="none" w:sz="0" w:space="0" w:color="auto"/>
        <w:left w:val="none" w:sz="0" w:space="0" w:color="auto"/>
        <w:bottom w:val="none" w:sz="0" w:space="0" w:color="auto"/>
        <w:right w:val="none" w:sz="0" w:space="0" w:color="auto"/>
      </w:divBdr>
    </w:div>
    <w:div w:id="947390881">
      <w:bodyDiv w:val="1"/>
      <w:marLeft w:val="0"/>
      <w:marRight w:val="0"/>
      <w:marTop w:val="0"/>
      <w:marBottom w:val="0"/>
      <w:divBdr>
        <w:top w:val="none" w:sz="0" w:space="0" w:color="auto"/>
        <w:left w:val="none" w:sz="0" w:space="0" w:color="auto"/>
        <w:bottom w:val="none" w:sz="0" w:space="0" w:color="auto"/>
        <w:right w:val="none" w:sz="0" w:space="0" w:color="auto"/>
      </w:divBdr>
    </w:div>
    <w:div w:id="964197087">
      <w:bodyDiv w:val="1"/>
      <w:marLeft w:val="0"/>
      <w:marRight w:val="0"/>
      <w:marTop w:val="0"/>
      <w:marBottom w:val="0"/>
      <w:divBdr>
        <w:top w:val="none" w:sz="0" w:space="0" w:color="auto"/>
        <w:left w:val="none" w:sz="0" w:space="0" w:color="auto"/>
        <w:bottom w:val="none" w:sz="0" w:space="0" w:color="auto"/>
        <w:right w:val="none" w:sz="0" w:space="0" w:color="auto"/>
      </w:divBdr>
    </w:div>
    <w:div w:id="997883011">
      <w:bodyDiv w:val="1"/>
      <w:marLeft w:val="0"/>
      <w:marRight w:val="0"/>
      <w:marTop w:val="0"/>
      <w:marBottom w:val="0"/>
      <w:divBdr>
        <w:top w:val="none" w:sz="0" w:space="0" w:color="auto"/>
        <w:left w:val="none" w:sz="0" w:space="0" w:color="auto"/>
        <w:bottom w:val="none" w:sz="0" w:space="0" w:color="auto"/>
        <w:right w:val="none" w:sz="0" w:space="0" w:color="auto"/>
      </w:divBdr>
    </w:div>
    <w:div w:id="1005280133">
      <w:bodyDiv w:val="1"/>
      <w:marLeft w:val="0"/>
      <w:marRight w:val="0"/>
      <w:marTop w:val="0"/>
      <w:marBottom w:val="0"/>
      <w:divBdr>
        <w:top w:val="none" w:sz="0" w:space="0" w:color="auto"/>
        <w:left w:val="none" w:sz="0" w:space="0" w:color="auto"/>
        <w:bottom w:val="none" w:sz="0" w:space="0" w:color="auto"/>
        <w:right w:val="none" w:sz="0" w:space="0" w:color="auto"/>
      </w:divBdr>
    </w:div>
    <w:div w:id="1012561730">
      <w:bodyDiv w:val="1"/>
      <w:marLeft w:val="0"/>
      <w:marRight w:val="0"/>
      <w:marTop w:val="0"/>
      <w:marBottom w:val="0"/>
      <w:divBdr>
        <w:top w:val="none" w:sz="0" w:space="0" w:color="auto"/>
        <w:left w:val="none" w:sz="0" w:space="0" w:color="auto"/>
        <w:bottom w:val="none" w:sz="0" w:space="0" w:color="auto"/>
        <w:right w:val="none" w:sz="0" w:space="0" w:color="auto"/>
      </w:divBdr>
    </w:div>
    <w:div w:id="1087461621">
      <w:bodyDiv w:val="1"/>
      <w:marLeft w:val="0"/>
      <w:marRight w:val="0"/>
      <w:marTop w:val="0"/>
      <w:marBottom w:val="0"/>
      <w:divBdr>
        <w:top w:val="none" w:sz="0" w:space="0" w:color="auto"/>
        <w:left w:val="none" w:sz="0" w:space="0" w:color="auto"/>
        <w:bottom w:val="none" w:sz="0" w:space="0" w:color="auto"/>
        <w:right w:val="none" w:sz="0" w:space="0" w:color="auto"/>
      </w:divBdr>
    </w:div>
    <w:div w:id="1115250389">
      <w:bodyDiv w:val="1"/>
      <w:marLeft w:val="0"/>
      <w:marRight w:val="0"/>
      <w:marTop w:val="0"/>
      <w:marBottom w:val="0"/>
      <w:divBdr>
        <w:top w:val="none" w:sz="0" w:space="0" w:color="auto"/>
        <w:left w:val="none" w:sz="0" w:space="0" w:color="auto"/>
        <w:bottom w:val="none" w:sz="0" w:space="0" w:color="auto"/>
        <w:right w:val="none" w:sz="0" w:space="0" w:color="auto"/>
      </w:divBdr>
    </w:div>
    <w:div w:id="1123427611">
      <w:bodyDiv w:val="1"/>
      <w:marLeft w:val="0"/>
      <w:marRight w:val="0"/>
      <w:marTop w:val="0"/>
      <w:marBottom w:val="0"/>
      <w:divBdr>
        <w:top w:val="none" w:sz="0" w:space="0" w:color="auto"/>
        <w:left w:val="none" w:sz="0" w:space="0" w:color="auto"/>
        <w:bottom w:val="none" w:sz="0" w:space="0" w:color="auto"/>
        <w:right w:val="none" w:sz="0" w:space="0" w:color="auto"/>
      </w:divBdr>
    </w:div>
    <w:div w:id="1188523733">
      <w:bodyDiv w:val="1"/>
      <w:marLeft w:val="0"/>
      <w:marRight w:val="0"/>
      <w:marTop w:val="0"/>
      <w:marBottom w:val="0"/>
      <w:divBdr>
        <w:top w:val="none" w:sz="0" w:space="0" w:color="auto"/>
        <w:left w:val="none" w:sz="0" w:space="0" w:color="auto"/>
        <w:bottom w:val="none" w:sz="0" w:space="0" w:color="auto"/>
        <w:right w:val="none" w:sz="0" w:space="0" w:color="auto"/>
      </w:divBdr>
    </w:div>
    <w:div w:id="1192262152">
      <w:bodyDiv w:val="1"/>
      <w:marLeft w:val="0"/>
      <w:marRight w:val="0"/>
      <w:marTop w:val="0"/>
      <w:marBottom w:val="0"/>
      <w:divBdr>
        <w:top w:val="none" w:sz="0" w:space="0" w:color="auto"/>
        <w:left w:val="none" w:sz="0" w:space="0" w:color="auto"/>
        <w:bottom w:val="none" w:sz="0" w:space="0" w:color="auto"/>
        <w:right w:val="none" w:sz="0" w:space="0" w:color="auto"/>
      </w:divBdr>
    </w:div>
    <w:div w:id="1222061864">
      <w:bodyDiv w:val="1"/>
      <w:marLeft w:val="0"/>
      <w:marRight w:val="0"/>
      <w:marTop w:val="0"/>
      <w:marBottom w:val="0"/>
      <w:divBdr>
        <w:top w:val="none" w:sz="0" w:space="0" w:color="auto"/>
        <w:left w:val="none" w:sz="0" w:space="0" w:color="auto"/>
        <w:bottom w:val="none" w:sz="0" w:space="0" w:color="auto"/>
        <w:right w:val="none" w:sz="0" w:space="0" w:color="auto"/>
      </w:divBdr>
    </w:div>
    <w:div w:id="1236009721">
      <w:bodyDiv w:val="1"/>
      <w:marLeft w:val="0"/>
      <w:marRight w:val="0"/>
      <w:marTop w:val="0"/>
      <w:marBottom w:val="0"/>
      <w:divBdr>
        <w:top w:val="none" w:sz="0" w:space="0" w:color="auto"/>
        <w:left w:val="none" w:sz="0" w:space="0" w:color="auto"/>
        <w:bottom w:val="none" w:sz="0" w:space="0" w:color="auto"/>
        <w:right w:val="none" w:sz="0" w:space="0" w:color="auto"/>
      </w:divBdr>
    </w:div>
    <w:div w:id="1256597044">
      <w:bodyDiv w:val="1"/>
      <w:marLeft w:val="0"/>
      <w:marRight w:val="0"/>
      <w:marTop w:val="0"/>
      <w:marBottom w:val="0"/>
      <w:divBdr>
        <w:top w:val="none" w:sz="0" w:space="0" w:color="auto"/>
        <w:left w:val="none" w:sz="0" w:space="0" w:color="auto"/>
        <w:bottom w:val="none" w:sz="0" w:space="0" w:color="auto"/>
        <w:right w:val="none" w:sz="0" w:space="0" w:color="auto"/>
      </w:divBdr>
    </w:div>
    <w:div w:id="1383672643">
      <w:bodyDiv w:val="1"/>
      <w:marLeft w:val="0"/>
      <w:marRight w:val="0"/>
      <w:marTop w:val="0"/>
      <w:marBottom w:val="0"/>
      <w:divBdr>
        <w:top w:val="none" w:sz="0" w:space="0" w:color="auto"/>
        <w:left w:val="none" w:sz="0" w:space="0" w:color="auto"/>
        <w:bottom w:val="none" w:sz="0" w:space="0" w:color="auto"/>
        <w:right w:val="none" w:sz="0" w:space="0" w:color="auto"/>
      </w:divBdr>
    </w:div>
    <w:div w:id="1393842767">
      <w:bodyDiv w:val="1"/>
      <w:marLeft w:val="0"/>
      <w:marRight w:val="0"/>
      <w:marTop w:val="0"/>
      <w:marBottom w:val="0"/>
      <w:divBdr>
        <w:top w:val="none" w:sz="0" w:space="0" w:color="auto"/>
        <w:left w:val="none" w:sz="0" w:space="0" w:color="auto"/>
        <w:bottom w:val="none" w:sz="0" w:space="0" w:color="auto"/>
        <w:right w:val="none" w:sz="0" w:space="0" w:color="auto"/>
      </w:divBdr>
    </w:div>
    <w:div w:id="1479808382">
      <w:bodyDiv w:val="1"/>
      <w:marLeft w:val="0"/>
      <w:marRight w:val="0"/>
      <w:marTop w:val="0"/>
      <w:marBottom w:val="0"/>
      <w:divBdr>
        <w:top w:val="none" w:sz="0" w:space="0" w:color="auto"/>
        <w:left w:val="none" w:sz="0" w:space="0" w:color="auto"/>
        <w:bottom w:val="none" w:sz="0" w:space="0" w:color="auto"/>
        <w:right w:val="none" w:sz="0" w:space="0" w:color="auto"/>
      </w:divBdr>
    </w:div>
    <w:div w:id="1530028609">
      <w:bodyDiv w:val="1"/>
      <w:marLeft w:val="0"/>
      <w:marRight w:val="0"/>
      <w:marTop w:val="0"/>
      <w:marBottom w:val="0"/>
      <w:divBdr>
        <w:top w:val="none" w:sz="0" w:space="0" w:color="auto"/>
        <w:left w:val="none" w:sz="0" w:space="0" w:color="auto"/>
        <w:bottom w:val="none" w:sz="0" w:space="0" w:color="auto"/>
        <w:right w:val="none" w:sz="0" w:space="0" w:color="auto"/>
      </w:divBdr>
    </w:div>
    <w:div w:id="1764719503">
      <w:bodyDiv w:val="1"/>
      <w:marLeft w:val="0"/>
      <w:marRight w:val="0"/>
      <w:marTop w:val="0"/>
      <w:marBottom w:val="0"/>
      <w:divBdr>
        <w:top w:val="none" w:sz="0" w:space="0" w:color="auto"/>
        <w:left w:val="none" w:sz="0" w:space="0" w:color="auto"/>
        <w:bottom w:val="none" w:sz="0" w:space="0" w:color="auto"/>
        <w:right w:val="none" w:sz="0" w:space="0" w:color="auto"/>
      </w:divBdr>
    </w:div>
    <w:div w:id="1781753972">
      <w:bodyDiv w:val="1"/>
      <w:marLeft w:val="0"/>
      <w:marRight w:val="0"/>
      <w:marTop w:val="0"/>
      <w:marBottom w:val="0"/>
      <w:divBdr>
        <w:top w:val="none" w:sz="0" w:space="0" w:color="auto"/>
        <w:left w:val="none" w:sz="0" w:space="0" w:color="auto"/>
        <w:bottom w:val="none" w:sz="0" w:space="0" w:color="auto"/>
        <w:right w:val="none" w:sz="0" w:space="0" w:color="auto"/>
      </w:divBdr>
    </w:div>
    <w:div w:id="1854028884">
      <w:bodyDiv w:val="1"/>
      <w:marLeft w:val="0"/>
      <w:marRight w:val="0"/>
      <w:marTop w:val="0"/>
      <w:marBottom w:val="0"/>
      <w:divBdr>
        <w:top w:val="none" w:sz="0" w:space="0" w:color="auto"/>
        <w:left w:val="none" w:sz="0" w:space="0" w:color="auto"/>
        <w:bottom w:val="none" w:sz="0" w:space="0" w:color="auto"/>
        <w:right w:val="none" w:sz="0" w:space="0" w:color="auto"/>
      </w:divBdr>
    </w:div>
    <w:div w:id="1918981662">
      <w:bodyDiv w:val="1"/>
      <w:marLeft w:val="0"/>
      <w:marRight w:val="0"/>
      <w:marTop w:val="0"/>
      <w:marBottom w:val="0"/>
      <w:divBdr>
        <w:top w:val="none" w:sz="0" w:space="0" w:color="auto"/>
        <w:left w:val="none" w:sz="0" w:space="0" w:color="auto"/>
        <w:bottom w:val="none" w:sz="0" w:space="0" w:color="auto"/>
        <w:right w:val="none" w:sz="0" w:space="0" w:color="auto"/>
      </w:divBdr>
    </w:div>
    <w:div w:id="1929079232">
      <w:bodyDiv w:val="1"/>
      <w:marLeft w:val="0"/>
      <w:marRight w:val="0"/>
      <w:marTop w:val="0"/>
      <w:marBottom w:val="0"/>
      <w:divBdr>
        <w:top w:val="none" w:sz="0" w:space="0" w:color="auto"/>
        <w:left w:val="none" w:sz="0" w:space="0" w:color="auto"/>
        <w:bottom w:val="none" w:sz="0" w:space="0" w:color="auto"/>
        <w:right w:val="none" w:sz="0" w:space="0" w:color="auto"/>
      </w:divBdr>
    </w:div>
    <w:div w:id="1950620103">
      <w:bodyDiv w:val="1"/>
      <w:marLeft w:val="0"/>
      <w:marRight w:val="0"/>
      <w:marTop w:val="0"/>
      <w:marBottom w:val="0"/>
      <w:divBdr>
        <w:top w:val="none" w:sz="0" w:space="0" w:color="auto"/>
        <w:left w:val="none" w:sz="0" w:space="0" w:color="auto"/>
        <w:bottom w:val="none" w:sz="0" w:space="0" w:color="auto"/>
        <w:right w:val="none" w:sz="0" w:space="0" w:color="auto"/>
      </w:divBdr>
    </w:div>
    <w:div w:id="2050715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Dav21</b:Tag>
    <b:SourceType>InternetSite</b:SourceType>
    <b:Guid>{4AB839B5-E36C-40A8-B4E2-40FA7CEBD09D}</b:Guid>
    <b:Author>
      <b:Author>
        <b:NameList>
          <b:Person>
            <b:Last>Harvey</b:Last>
            <b:First>Dave</b:First>
          </b:Person>
        </b:NameList>
      </b:Author>
    </b:Author>
    <b:Title>Hinkley nuclear power station on track for 2026 opening</b:Title>
    <b:Year>2021</b:Year>
    <b:YearAccessed>2023</b:YearAccessed>
    <b:MonthAccessed>03</b:MonthAccessed>
    <b:DayAccessed>28</b:DayAccessed>
    <b:URL>https://www.bbc.co.uk/news/uk-england-somerset-58724732</b:URL>
    <b:RefOrder>1</b:RefOrder>
  </b:Source>
  <b:Source>
    <b:Tag>Ann23</b:Tag>
    <b:SourceType>InternetSite</b:SourceType>
    <b:Guid>{7A225DFE-29CC-4B08-A998-36C7212F6AD0}</b:Guid>
    <b:Author>
      <b:Author>
        <b:NameList>
          <b:Person>
            <b:Last>Cossins-Smith</b:Last>
            <b:First>Annabel</b:First>
          </b:Person>
        </b:NameList>
      </b:Author>
    </b:Author>
    <b:Title>Power Technology-Cost of EDF’s Hinkley Point C nuclear project rises to $40bn</b:Title>
    <b:Year>2023</b:Year>
    <b:YearAccessed>2023</b:YearAccessed>
    <b:MonthAccessed>3</b:MonthAccessed>
    <b:DayAccessed>28</b:DayAccessed>
    <b:URL>https://www.power-technology.com/news/hinkley-point-c-project-costs-rise-again/</b:URL>
    <b:RefOrder>2</b:RefOrder>
  </b:Source>
  <b:Source>
    <b:Tag>Ian19</b:Tag>
    <b:SourceType>JournalArticle</b:SourceType>
    <b:Guid>{FA8B9DB8-4EEE-4562-8167-52A81F4841AD}</b:Guid>
    <b:Author>
      <b:Author>
        <b:NameList>
          <b:Person>
            <b:Last>Alberto</b:Last>
            <b:First>Ian</b:First>
          </b:Person>
        </b:NameList>
      </b:Author>
    </b:Author>
    <b:Title>A Critical Analysis of the Wind Generated Effect on the Rate of Overtopping on the Hinkley Point C Sea Wall Through the use of Physical Modelling</b:Title>
    <b:Year>2019</b:Year>
    <b:JournalName>The Plymouth Student Scientist</b:JournalName>
    <b:Pages>135-186</b:Pages>
    <b:Volume>12</b:Volume>
    <b:Issue>1-2019</b:Issue>
    <b:RefOrder>3</b:RefOrder>
  </b:Source>
  <b:Source>
    <b:Tag>Gui19</b:Tag>
    <b:SourceType>JournalArticle</b:SourceType>
    <b:Guid>{3AB69F41-8E58-45E1-BB63-19963B3AE4C3}</b:Guid>
    <b:Author>
      <b:Author>
        <b:NameList>
          <b:Person>
            <b:Last>Aldama‑Bustos</b:Last>
            <b:First>Guillermo</b:First>
          </b:Person>
          <b:Person>
            <b:Last>Tromans</b:Last>
            <b:First>Iain</b:First>
            <b:Middle>J.</b:Middle>
          </b:Person>
          <b:Person>
            <b:Last>Strasser</b:Last>
            <b:First>Fleur</b:First>
          </b:Person>
          <b:Person>
            <b:Last>Garrard</b:Last>
            <b:First>Graham</b:First>
          </b:Person>
          <b:Person>
            <b:Last>Green</b:Last>
            <b:First>Guy</b:First>
          </b:Person>
          <b:Person>
            <b:Last>Rivers</b:Last>
            <b:First>Liz</b:First>
          </b:Person>
          <b:Person>
            <b:Last>Douglas</b:Last>
            <b:First>John</b:First>
          </b:Person>
          <b:Person>
            <b:Last>Musson</b:Last>
            <b:First>Roger</b:First>
            <b:Middle>M. W.</b:Middle>
          </b:Person>
          <b:Person>
            <b:Last>Hunt</b:Last>
            <b:First>Simon</b:First>
          </b:Person>
          <b:Person>
            <b:Last>Lessi‑Cheimariou</b:Last>
            <b:First>Angeliki</b:First>
          </b:Person>
          <b:Person>
            <b:Last>Daví</b:Last>
            <b:First>Manuela</b:First>
          </b:Person>
          <b:Person>
            <b:Last>Robertson</b:Last>
            <b:First>Colin</b:First>
          </b:Person>
        </b:NameList>
      </b:Author>
    </b:Author>
    <b:Title>A streamlined approach for the seismic hazard assessment of a new nuclear power plant in the UK</b:Title>
    <b:JournalName>Bulletin of Earthquake Engineering</b:JournalName>
    <b:Year>2019</b:Year>
    <b:Pages>37-54</b:Pages>
    <b:Volume>17</b:Volume>
    <b:Issue>1</b:Issue>
    <b:RefOrder>4</b:RefOrder>
  </b:Source>
  <b:Source>
    <b:Tag>Dyl21</b:Tag>
    <b:SourceType>JournalArticle</b:SourceType>
    <b:Guid>{B755EBEC-C479-41BD-94C2-D8A178C72D51}</b:Guid>
    <b:Author>
      <b:Author>
        <b:NameList>
          <b:Person>
            <b:Last>Parkinson</b:Last>
            <b:First>Dyllan</b:First>
          </b:Person>
          <b:Person>
            <b:Last>Kukla</b:Last>
            <b:First>Konrad</b:First>
          </b:Person>
          <b:Person>
            <b:Last>Clear</b:Last>
            <b:First>Stuart</b:First>
          </b:Person>
        </b:NameList>
      </b:Author>
    </b:Author>
    <b:Title>Designing Resilience: Seismic Analysis and Civil Design of Hinkley Point C Offshore Heat Sink</b:Title>
    <b:JournalName>ournal of Nuclear Engineering ans Radiation Science</b:JournalName>
    <b:Year>2021</b:Year>
    <b:Pages>16</b:Pages>
    <b:Volume>7</b:Volume>
    <b:Issue>4</b:Issue>
    <b:RefOrder>5</b:RefOrder>
  </b:Source>
  <b:Source>
    <b:Tag>Jam21</b:Tag>
    <b:SourceType>JournalArticle</b:SourceType>
    <b:Guid>{9472D0C9-8740-46AF-8F37-E1FC0B77C46E}</b:Guid>
    <b:Author>
      <b:Author>
        <b:NameList>
          <b:Person>
            <b:Last>Dyrda</b:Last>
            <b:First>James</b:First>
          </b:Person>
          <b:Person>
            <b:Last>Morrison</b:Last>
            <b:First>Richard</b:First>
          </b:Person>
        </b:NameList>
      </b:Author>
    </b:Author>
    <b:Title>OVERVIEW OF THE HINKLEY POINT C EPR PROJECT ‘J0’ AND BEYOND.</b:Title>
    <b:JournalName>EDP Sciences. In EPJ Web of Conference</b:JournalName>
    <b:Year>2021</b:Year>
    <b:Pages>20001</b:Pages>
    <b:Volume>247</b:Volume>
    <b:Issue>1</b:Issue>
    <b:RefOrder>6</b:RefOrder>
  </b:Source>
  <b:Source>
    <b:Tag>Ant21</b:Tag>
    <b:SourceType>JournalArticle</b:SourceType>
    <b:Guid>{B8173DCE-3403-4491-8DEF-702C4435E3FE}</b:Guid>
    <b:Author>
      <b:Author>
        <b:NameList>
          <b:Person>
            <b:Last>Butcher</b:Last>
            <b:First>Antony</b:First>
          </b:Person>
          <b:Person>
            <b:Last>Stork</b:Last>
            <b:First>Anna</b:First>
            <b:Middle>L.</b:Middle>
          </b:Person>
          <b:Person>
            <b:Last>Verdon</b:Last>
            <b:First>James</b:First>
            <b:Middle>P.</b:Middle>
          </b:Person>
          <b:Person>
            <b:Last>Kendall</b:Last>
            <b:First>J-Michael</b:First>
          </b:Person>
          <b:Person>
            <b:Last>Plenkers</b:Last>
            <b:First>Katrin</b:First>
          </b:Person>
          <b:Person>
            <b:Last>Booth</b:Last>
            <b:First>Finlay</b:First>
          </b:Person>
          <b:Person>
            <b:Last>Boneham</b:Last>
            <b:First>Marcus</b:First>
          </b:Person>
          <b:Person>
            <b:Last>Koe</b:Last>
            <b:First>Adrian</b:First>
          </b:Person>
        </b:NameList>
      </b:Author>
    </b:Author>
    <b:Title>Evaluating rock mass disturbance within open-pit excavations using seismic methods: A case study from the Hinkley Point C nuclear power station.</b:Title>
    <b:JournalName>Journal of Rock Mechanics and Geotechnical Engineering</b:JournalName>
    <b:Year>2021</b:Year>
    <b:Pages>500-512</b:Pages>
    <b:Volume>13</b:Volume>
    <b:Issue>1</b:Issue>
    <b:RefOrder>7</b:RefOrder>
  </b:Source>
  <b:Source>
    <b:Tag>Hed18</b:Tag>
    <b:SourceType>JournalArticle</b:SourceType>
    <b:Guid>{B6A64600-965E-4A6F-9AC2-600C92655E62}</b:Guid>
    <b:Author>
      <b:Author>
        <b:NameList>
          <b:Person>
            <b:Last>Smyth</b:Last>
            <b:First>Hedley</b:First>
          </b:Person>
          <b:Person>
            <b:Last>Lecoeuvre</b:Last>
            <b:First>Laurence</b:First>
          </b:Person>
          <b:Person>
            <b:Last>Vaesken</b:Last>
            <b:First>Philippe</b:First>
          </b:Person>
        </b:NameList>
      </b:Author>
    </b:Author>
    <b:Title>Co-creation of value and the project context: Towards application on the case of Hinkley Point C Nuclear Power Station</b:Title>
    <b:JournalName>International Journal of Project Management</b:JournalName>
    <b:Year>2018</b:Year>
    <b:Pages>170-183</b:Pages>
    <b:Volume>36</b:Volume>
    <b:Issue>1</b:Issue>
    <b:RefOrder>8</b:RefOrder>
  </b:Source>
  <b:Source>
    <b:Tag>FIO18</b:Tag>
    <b:SourceType>InternetSite</b:SourceType>
    <b:Guid>{0A1BB29B-0FEB-44E3-A8DC-463B59A39BA4}</b:Guid>
    <b:Title>New Civil Engineer-Hinkley Point C quality management needs improvement, says nuclear regulator. </b:Title>
    <b:Year>2018</b:Year>
    <b:Author>
      <b:Author>
        <b:NameList>
          <b:Person>
            <b:Last>MCINTYRE</b:Last>
            <b:First>FIONA</b:First>
          </b:Person>
        </b:NameList>
      </b:Author>
    </b:Author>
    <b:YearAccessed>2023</b:YearAccessed>
    <b:MonthAccessed>3</b:MonthAccessed>
    <b:DayAccessed>30</b:DayAccessed>
    <b:URL>https://www.newcivilengineer.com/archive/hinkley-point-c-quality-management-needs-improvement-says-nuclear-regulator-16-03-2018/</b:URL>
    <b:RefOrder>9</b:RefOrder>
  </b:Source>
  <b:Source>
    <b:Tag>Nat17</b:Tag>
    <b:SourceType>Report</b:SourceType>
    <b:Guid>{A1424372-FC5C-484C-906E-CCDC208F5FB8}</b:Guid>
    <b:Title>Hinkley Point C</b:Title>
    <b:Year>2017</b:Year>
    <b:Author>
      <b:Author>
        <b:Corporate>National Audit Office by Comproller and Auditor General Sir Amyas Morse</b:Corporate>
      </b:Author>
    </b:Author>
    <b:Publisher>NAO</b:Publisher>
    <b:City>London</b:City>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9AAB39-5627-44E5-9A19-003F51D0E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1975</TotalTime>
  <Pages>15</Pages>
  <Words>3084</Words>
  <Characters>17580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Project management – Hikney Point c</vt:lpstr>
    </vt:vector>
  </TitlesOfParts>
  <Company/>
  <LinksUpToDate>false</LinksUpToDate>
  <CharactersWithSpaces>20623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 Hinkley Point c</dc:title>
  <dc:subject/>
  <dc:creator>Elena Nedelcheva (2112413)</dc:creator>
  <cp:keywords/>
  <dc:description/>
  <cp:lastModifiedBy>Elena Nedelcheva (2112413)</cp:lastModifiedBy>
  <cp:revision>14</cp:revision>
  <dcterms:created xsi:type="dcterms:W3CDTF">2023-04-04T14:32:00Z</dcterms:created>
  <dcterms:modified xsi:type="dcterms:W3CDTF">2023-04-06T11:49:00Z</dcterms:modified>
  <cp:category>Business Management</cp:category>
</cp:coreProperties>
</file>