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070DDC" w:rsidR="006869A8" w:rsidP="3FFDC2FF" w:rsidRDefault="0004327B" w14:paraId="7262CAB2" w14:textId="68A87382">
      <w:pPr>
        <w:pStyle w:val="Normal"/>
        <w:spacing w:line="360" w:lineRule="auto"/>
        <w:rPr>
          <w:rFonts w:ascii="Arial Nova" w:hAnsi="Arial Nova" w:eastAsia="Arial Nova" w:cs="Arial Nova"/>
          <w:noProof w:val="0"/>
          <w:sz w:val="22"/>
          <w:szCs w:val="22"/>
          <w:lang w:val="en-GB"/>
        </w:rPr>
      </w:pPr>
      <w:r w:rsidRPr="3FFDC2FF" w:rsidR="595FAEAD">
        <w:rPr>
          <w:rFonts w:ascii="Arial Nova" w:hAnsi="Arial Nova" w:eastAsia="Arial Nova" w:cs="Arial Nova"/>
          <w:noProof w:val="0"/>
          <w:sz w:val="22"/>
          <w:szCs w:val="22"/>
          <w:lang w:val="en-GB"/>
        </w:rPr>
        <w:t>Programme: BSc Health and Social care</w:t>
      </w:r>
      <w:proofErr w:type="spellStart"/>
      <w:proofErr w:type="spellEnd"/>
      <w:proofErr w:type="spellStart"/>
      <w:proofErr w:type="spellEnd"/>
      <w:proofErr w:type="spellStart"/>
      <w:proofErr w:type="spellEnd"/>
      <w:proofErr w:type="spellStart"/>
      <w:proofErr w:type="spellEnd"/>
    </w:p>
    <w:p w:rsidRPr="00070DDC" w:rsidR="006869A8" w:rsidP="3FFDC2FF" w:rsidRDefault="0004327B" w14:paraId="46E50BD6" w14:textId="502BCBF1">
      <w:pPr>
        <w:pStyle w:val="Normal"/>
        <w:spacing w:line="360" w:lineRule="auto"/>
        <w:rPr>
          <w:rFonts w:ascii="Arial Nova" w:hAnsi="Arial Nova" w:eastAsia="Arial Nova" w:cs="Arial Nova"/>
          <w:noProof w:val="0"/>
          <w:sz w:val="22"/>
          <w:szCs w:val="22"/>
          <w:lang w:val="en-GB"/>
        </w:rPr>
      </w:pPr>
      <w:r w:rsidRPr="3FFDC2FF" w:rsidR="595FAEAD">
        <w:rPr>
          <w:rFonts w:ascii="Arial Nova" w:hAnsi="Arial Nova" w:eastAsia="Arial Nova" w:cs="Arial Nova"/>
          <w:noProof w:val="0"/>
          <w:sz w:val="22"/>
          <w:szCs w:val="22"/>
          <w:lang w:val="en-GB"/>
        </w:rPr>
        <w:t>Module: Protecting and supporting families in health and care</w:t>
      </w:r>
    </w:p>
    <w:p w:rsidRPr="00070DDC" w:rsidR="006869A8" w:rsidP="3FFDC2FF" w:rsidRDefault="0004327B" w14:paraId="635D8DED" w14:textId="7861EB6B">
      <w:pPr>
        <w:pStyle w:val="Normal"/>
        <w:spacing w:line="360" w:lineRule="auto"/>
        <w:rPr>
          <w:rFonts w:ascii="Arial Nova" w:hAnsi="Arial Nova" w:eastAsia="Arial Nova" w:cs="Arial Nova"/>
          <w:noProof w:val="0"/>
          <w:sz w:val="22"/>
          <w:szCs w:val="22"/>
          <w:lang w:val="en-GB"/>
        </w:rPr>
      </w:pPr>
      <w:r w:rsidRPr="3FFDC2FF" w:rsidR="595FAEAD">
        <w:rPr>
          <w:rFonts w:ascii="Arial Nova" w:hAnsi="Arial Nova" w:eastAsia="Arial Nova" w:cs="Arial Nova"/>
          <w:noProof w:val="0"/>
          <w:sz w:val="22"/>
          <w:szCs w:val="22"/>
          <w:lang w:val="en-GB"/>
        </w:rPr>
        <w:t>Module code: BMHP5021</w:t>
      </w:r>
    </w:p>
    <w:p w:rsidRPr="00070DDC" w:rsidR="006869A8" w:rsidP="3FFDC2FF" w:rsidRDefault="0004327B" w14:paraId="0466946C" w14:textId="11547996">
      <w:pPr>
        <w:pStyle w:val="Normal"/>
        <w:spacing w:line="360" w:lineRule="auto"/>
        <w:rPr>
          <w:rFonts w:ascii="Arial Nova" w:hAnsi="Arial Nova" w:eastAsia="Arial Nova" w:cs="Arial Nova"/>
          <w:noProof w:val="0"/>
          <w:sz w:val="22"/>
          <w:szCs w:val="22"/>
          <w:lang w:val="en-GB"/>
        </w:rPr>
      </w:pPr>
      <w:r w:rsidRPr="3FFDC2FF" w:rsidR="5A6C4228">
        <w:rPr>
          <w:rFonts w:ascii="Arial Nova" w:hAnsi="Arial Nova" w:eastAsia="Arial Nova" w:cs="Arial Nova"/>
          <w:noProof w:val="0"/>
          <w:sz w:val="22"/>
          <w:szCs w:val="22"/>
          <w:lang w:val="en-GB"/>
        </w:rPr>
        <w:t>Assignment</w:t>
      </w:r>
      <w:r w:rsidRPr="3FFDC2FF" w:rsidR="595FAEAD">
        <w:rPr>
          <w:rFonts w:ascii="Arial Nova" w:hAnsi="Arial Nova" w:eastAsia="Arial Nova" w:cs="Arial Nova"/>
          <w:noProof w:val="0"/>
          <w:sz w:val="22"/>
          <w:szCs w:val="22"/>
          <w:lang w:val="en-GB"/>
        </w:rPr>
        <w:t xml:space="preserve"> title: The-Table Group Discussion Component 1</w:t>
      </w:r>
    </w:p>
    <w:p w:rsidRPr="00070DDC" w:rsidR="006869A8" w:rsidP="3FFDC2FF" w:rsidRDefault="0004327B" w14:paraId="34F3F7AE" w14:textId="42919CBA">
      <w:pPr>
        <w:pStyle w:val="Normal"/>
        <w:spacing w:line="360" w:lineRule="auto"/>
        <w:rPr>
          <w:rFonts w:ascii="Arial Nova" w:hAnsi="Arial Nova" w:eastAsia="Arial Nova" w:cs="Arial Nova"/>
          <w:noProof w:val="0"/>
          <w:sz w:val="22"/>
          <w:szCs w:val="22"/>
          <w:lang w:val="en-GB"/>
        </w:rPr>
      </w:pPr>
      <w:r w:rsidRPr="3FFDC2FF" w:rsidR="68E1DD71">
        <w:rPr>
          <w:rFonts w:ascii="Arial Nova" w:hAnsi="Arial Nova" w:eastAsia="Arial Nova" w:cs="Arial Nova"/>
          <w:noProof w:val="0"/>
          <w:sz w:val="22"/>
          <w:szCs w:val="22"/>
          <w:lang w:val="en-GB"/>
        </w:rPr>
        <w:t xml:space="preserve">Name: Janna Akhter </w:t>
      </w:r>
    </w:p>
    <w:p w:rsidRPr="00070DDC" w:rsidR="006869A8" w:rsidP="3FFDC2FF" w:rsidRDefault="0004327B" w14:paraId="2DC87742" w14:textId="40BF1301">
      <w:pPr>
        <w:pStyle w:val="Normal"/>
        <w:spacing w:line="360" w:lineRule="auto"/>
        <w:rPr>
          <w:rFonts w:ascii="Arial Nova" w:hAnsi="Arial Nova" w:eastAsia="Arial Nova" w:cs="Arial Nova"/>
          <w:noProof w:val="0"/>
          <w:sz w:val="22"/>
          <w:szCs w:val="22"/>
          <w:lang w:val="en-GB"/>
        </w:rPr>
      </w:pPr>
      <w:r w:rsidRPr="3FFDC2FF" w:rsidR="68E1DD71">
        <w:rPr>
          <w:rFonts w:ascii="Arial Nova" w:hAnsi="Arial Nova" w:eastAsia="Arial Nova" w:cs="Arial Nova"/>
          <w:noProof w:val="0"/>
          <w:sz w:val="22"/>
          <w:szCs w:val="22"/>
          <w:lang w:val="en-GB"/>
        </w:rPr>
        <w:t>Student ID: 2316153</w:t>
      </w:r>
    </w:p>
    <w:p w:rsidRPr="00070DDC" w:rsidR="006869A8" w:rsidP="3FFDC2FF" w:rsidRDefault="0004327B" w14:paraId="36641983" w14:textId="77B25104">
      <w:pPr>
        <w:pStyle w:val="Normal"/>
        <w:spacing w:line="360" w:lineRule="auto"/>
        <w:rPr>
          <w:rFonts w:ascii="Arial Nova" w:hAnsi="Arial Nova" w:eastAsia="Arial Nova" w:cs="Arial Nova"/>
          <w:noProof w:val="0"/>
          <w:sz w:val="22"/>
          <w:szCs w:val="22"/>
          <w:lang w:val="en-GB"/>
        </w:rPr>
      </w:pPr>
      <w:r w:rsidRPr="3FFDC2FF" w:rsidR="21F2112C">
        <w:rPr>
          <w:rFonts w:ascii="Arial Nova" w:hAnsi="Arial Nova" w:eastAsia="Arial Nova" w:cs="Arial Nova"/>
          <w:noProof w:val="0"/>
          <w:sz w:val="22"/>
          <w:szCs w:val="22"/>
          <w:lang w:val="en-GB"/>
        </w:rPr>
        <w:t xml:space="preserve">Good morning/Afternoon   My name is Janna Akhter Student ID </w:t>
      </w:r>
      <w:r w:rsidRPr="3FFDC2FF" w:rsidR="7395FE75">
        <w:rPr>
          <w:rFonts w:ascii="Arial Nova" w:hAnsi="Arial Nova" w:eastAsia="Arial Nova" w:cs="Arial Nova"/>
          <w:noProof w:val="0"/>
          <w:sz w:val="22"/>
          <w:szCs w:val="22"/>
          <w:lang w:val="en-GB"/>
        </w:rPr>
        <w:t>2316153</w:t>
      </w:r>
    </w:p>
    <w:p w:rsidRPr="00070DDC" w:rsidR="006869A8" w:rsidP="3FFDC2FF" w:rsidRDefault="0004327B" w14:paraId="331B6DB0" w14:textId="718DE7FB">
      <w:pPr>
        <w:pStyle w:val="Normal"/>
        <w:spacing w:line="360" w:lineRule="auto"/>
        <w:rPr>
          <w:rFonts w:ascii="Arial Nova" w:hAnsi="Arial Nova" w:eastAsia="Arial Nova" w:cs="Arial Nova"/>
          <w:noProof w:val="0"/>
          <w:sz w:val="22"/>
          <w:szCs w:val="22"/>
          <w:lang w:val="en-GB"/>
        </w:rPr>
      </w:pPr>
      <w:r w:rsidRPr="3FFDC2FF" w:rsidR="536C42A8">
        <w:rPr>
          <w:rFonts w:ascii="Arial Nova" w:hAnsi="Arial Nova" w:eastAsia="Arial Nova" w:cs="Arial Nova"/>
          <w:noProof w:val="0"/>
          <w:sz w:val="22"/>
          <w:szCs w:val="22"/>
          <w:lang w:val="en-GB"/>
        </w:rPr>
        <w:t>Today I am presenting a case from my practice as a social worker involving concerns of medical neglect in relation to a child diagnosed with Type 1 diabetes. This case required careful threshold consideration, multi-agency collaboration, and application of safeguarding legislation.</w:t>
      </w:r>
    </w:p>
    <w:p w:rsidR="536C42A8" w:rsidP="3FFDC2FF" w:rsidRDefault="536C42A8" w14:paraId="2BBD644D" w14:textId="083510BA">
      <w:pPr>
        <w:pStyle w:val="Normal"/>
        <w:spacing w:line="360" w:lineRule="auto"/>
        <w:rPr>
          <w:rFonts w:ascii="Arial Nova" w:hAnsi="Arial Nova" w:eastAsia="Arial Nova" w:cs="Arial Nova"/>
          <w:noProof w:val="0"/>
          <w:sz w:val="22"/>
          <w:szCs w:val="22"/>
          <w:lang w:val="en-GB"/>
        </w:rPr>
      </w:pPr>
      <w:r w:rsidRPr="3FFDC2FF" w:rsidR="536C42A8">
        <w:rPr>
          <w:rFonts w:ascii="Arial Nova" w:hAnsi="Arial Nova" w:eastAsia="Arial Nova" w:cs="Arial Nova"/>
          <w:noProof w:val="0"/>
          <w:sz w:val="22"/>
          <w:szCs w:val="22"/>
          <w:lang w:val="en-GB"/>
        </w:rPr>
        <w:t xml:space="preserve">Sections 17 and 47 of the Children Act of 1989 served as the main legal framework for my intervention. When there is a reasonable suspicion that a child is experiencing or will experience serious harm, Section 47 requires the local authority to investigate. However, Section 17 mandates that we protect and advance the welfare of children </w:t>
      </w:r>
      <w:r w:rsidRPr="3FFDC2FF" w:rsidR="761DF115">
        <w:rPr>
          <w:rFonts w:ascii="Arial Nova" w:hAnsi="Arial Nova" w:eastAsia="Arial Nova" w:cs="Arial Nova"/>
          <w:noProof w:val="0"/>
          <w:sz w:val="22"/>
          <w:szCs w:val="22"/>
          <w:lang w:val="en-GB"/>
        </w:rPr>
        <w:t>considered</w:t>
      </w:r>
      <w:r w:rsidRPr="3FFDC2FF" w:rsidR="536C42A8">
        <w:rPr>
          <w:rFonts w:ascii="Arial Nova" w:hAnsi="Arial Nova" w:eastAsia="Arial Nova" w:cs="Arial Nova"/>
          <w:noProof w:val="0"/>
          <w:sz w:val="22"/>
          <w:szCs w:val="22"/>
          <w:lang w:val="en-GB"/>
        </w:rPr>
        <w:t xml:space="preserve"> to be in need. The significance of coordinated multi-agency working throughout this case was further emphasised by the Children Act of 2004 and Working Together to Safeguard Children (2018).</w:t>
      </w:r>
    </w:p>
    <w:p w:rsidR="05400708" w:rsidP="3FFDC2FF" w:rsidRDefault="05400708" w14:paraId="24099729" w14:textId="1C293535">
      <w:pPr>
        <w:spacing w:line="360" w:lineRule="auto"/>
        <w:rPr>
          <w:rFonts w:ascii="Arial Nova" w:hAnsi="Arial Nova" w:eastAsia="Arial Nova" w:cs="Arial Nova"/>
          <w:noProof w:val="0"/>
          <w:sz w:val="22"/>
          <w:szCs w:val="22"/>
          <w:lang w:val="en-GB"/>
        </w:rPr>
      </w:pPr>
      <w:r w:rsidRPr="3FFDC2FF" w:rsidR="05400708">
        <w:rPr>
          <w:rFonts w:ascii="Arial Nova" w:hAnsi="Arial Nova" w:eastAsia="Arial Nova" w:cs="Arial Nova"/>
          <w:noProof w:val="0"/>
          <w:sz w:val="22"/>
          <w:szCs w:val="22"/>
          <w:lang w:val="en-GB"/>
        </w:rPr>
        <w:t xml:space="preserve">After a severe episode of diabetic to acidosis that </w:t>
      </w:r>
      <w:r w:rsidRPr="3FFDC2FF" w:rsidR="05400708">
        <w:rPr>
          <w:rFonts w:ascii="Arial Nova" w:hAnsi="Arial Nova" w:eastAsia="Arial Nova" w:cs="Arial Nova"/>
          <w:noProof w:val="0"/>
          <w:sz w:val="22"/>
          <w:szCs w:val="22"/>
          <w:lang w:val="en-GB"/>
        </w:rPr>
        <w:t>caused</w:t>
      </w:r>
      <w:r w:rsidRPr="3FFDC2FF" w:rsidR="05400708">
        <w:rPr>
          <w:rFonts w:ascii="Arial Nova" w:hAnsi="Arial Nova" w:eastAsia="Arial Nova" w:cs="Arial Nova"/>
          <w:noProof w:val="0"/>
          <w:sz w:val="22"/>
          <w:szCs w:val="22"/>
          <w:lang w:val="en-GB"/>
        </w:rPr>
        <w:t xml:space="preserve"> emergency medical care, the referral was made. Concerns were voiced by medical specialists about the parents' comprehension of diabetes management, skipped appointments, and irregular insulin delivery. This episode brought up safeguarding concerns over possible medical neglect, given the severity of DKA.</w:t>
      </w:r>
    </w:p>
    <w:p w:rsidR="3FFDC2FF" w:rsidP="3FFDC2FF" w:rsidRDefault="3FFDC2FF" w14:paraId="0F5E4F5A" w14:textId="14C353F0">
      <w:pPr>
        <w:spacing w:line="360" w:lineRule="auto"/>
        <w:rPr>
          <w:rFonts w:ascii="Arial Nova" w:hAnsi="Arial Nova" w:eastAsia="Arial Nova" w:cs="Arial Nova"/>
          <w:sz w:val="22"/>
          <w:szCs w:val="22"/>
        </w:rPr>
      </w:pPr>
    </w:p>
    <w:p w:rsidR="05400708" w:rsidP="3FFDC2FF" w:rsidRDefault="05400708" w14:paraId="1CCCD3D0" w14:textId="7A2FDA84">
      <w:pPr>
        <w:pStyle w:val="Normal"/>
        <w:spacing w:line="360" w:lineRule="auto"/>
        <w:rPr>
          <w:rFonts w:ascii="Arial Nova" w:hAnsi="Arial Nova" w:eastAsia="Arial Nova" w:cs="Arial Nova"/>
          <w:noProof w:val="0"/>
          <w:sz w:val="22"/>
          <w:szCs w:val="22"/>
          <w:lang w:val="en-GB"/>
        </w:rPr>
      </w:pPr>
      <w:r w:rsidRPr="3FFDC2FF" w:rsidR="05400708">
        <w:rPr>
          <w:rFonts w:ascii="Arial Nova" w:hAnsi="Arial Nova" w:eastAsia="Arial Nova" w:cs="Arial Nova"/>
          <w:noProof w:val="0"/>
          <w:sz w:val="22"/>
          <w:szCs w:val="22"/>
          <w:lang w:val="en-GB"/>
        </w:rPr>
        <w:t>When a carer does not look for or follow up on necessary medical care, putting a kid at serious risk, this is known as medical neglect. The youngster was especially at risk because of their long-term medical condition, and inadequate care could have had fatal results.</w:t>
      </w:r>
      <w:r w:rsidRPr="3FFDC2FF" w:rsidR="50B6145B">
        <w:rPr>
          <w:rFonts w:ascii="Arial Nova" w:hAnsi="Arial Nova" w:eastAsia="Arial Nova" w:cs="Arial Nova"/>
          <w:noProof w:val="0"/>
          <w:sz w:val="22"/>
          <w:szCs w:val="22"/>
          <w:lang w:val="en-GB"/>
        </w:rPr>
        <w:t xml:space="preserve"> </w:t>
      </w:r>
    </w:p>
    <w:p w:rsidR="50B6145B" w:rsidP="3FFDC2FF" w:rsidRDefault="50B6145B" w14:paraId="1F362EEE" w14:textId="1BB12D53">
      <w:pPr>
        <w:pStyle w:val="Normal"/>
        <w:spacing w:line="360" w:lineRule="auto"/>
        <w:rPr>
          <w:rFonts w:ascii="Arial Nova" w:hAnsi="Arial Nova" w:eastAsia="Arial Nova" w:cs="Arial Nova"/>
          <w:noProof w:val="0"/>
          <w:sz w:val="22"/>
          <w:szCs w:val="22"/>
          <w:lang w:val="en-GB"/>
        </w:rPr>
      </w:pPr>
      <w:r w:rsidRPr="3FFDC2FF" w:rsidR="50B6145B">
        <w:rPr>
          <w:rFonts w:ascii="Arial Nova" w:hAnsi="Arial Nova" w:eastAsia="Arial Nova" w:cs="Arial Nova"/>
          <w:noProof w:val="0"/>
          <w:sz w:val="22"/>
          <w:szCs w:val="22"/>
          <w:lang w:val="en-GB"/>
        </w:rPr>
        <w:t>I started a Single Assessment to find the degree of risk and whether the threshold for Section 47 inquiry was satisfied after a strategic discussion with medical experts. The child's everyday experiences, medication schedules, attendance at appointments, parental ability, and the family's comprehension of the illness were the main topics of my evaluation.</w:t>
      </w:r>
      <w:r w:rsidRPr="3FFDC2FF" w:rsidR="122E7F9A">
        <w:rPr>
          <w:rFonts w:ascii="Arial Nova" w:hAnsi="Arial Nova" w:eastAsia="Arial Nova" w:cs="Arial Nova"/>
          <w:noProof w:val="0"/>
          <w:sz w:val="22"/>
          <w:szCs w:val="22"/>
          <w:lang w:val="en-GB"/>
        </w:rPr>
        <w:t xml:space="preserve"> </w:t>
      </w:r>
      <w:r w:rsidRPr="3FFDC2FF" w:rsidR="122E7F9A">
        <w:rPr>
          <w:rFonts w:ascii="Arial Nova" w:hAnsi="Arial Nova" w:eastAsia="Arial Nova" w:cs="Arial Nova"/>
          <w:noProof w:val="0"/>
          <w:sz w:val="22"/>
          <w:szCs w:val="22"/>
          <w:lang w:val="en-GB"/>
        </w:rPr>
        <w:t xml:space="preserve">In my direct interaction with the family, I discovered that there was no proof of intentional injury, despite inconsistent diabetes management. In addition to being helpful, the parents acknowledged their nervousness about handling such a complicated medical situation. It became </w:t>
      </w:r>
      <w:r w:rsidRPr="3FFDC2FF" w:rsidR="122E7F9A">
        <w:rPr>
          <w:rFonts w:ascii="Arial Nova" w:hAnsi="Arial Nova" w:eastAsia="Arial Nova" w:cs="Arial Nova"/>
          <w:noProof w:val="0"/>
          <w:sz w:val="22"/>
          <w:szCs w:val="22"/>
          <w:lang w:val="en-GB"/>
        </w:rPr>
        <w:t>clear</w:t>
      </w:r>
      <w:r w:rsidRPr="3FFDC2FF" w:rsidR="122E7F9A">
        <w:rPr>
          <w:rFonts w:ascii="Arial Nova" w:hAnsi="Arial Nova" w:eastAsia="Arial Nova" w:cs="Arial Nova"/>
          <w:noProof w:val="0"/>
          <w:sz w:val="22"/>
          <w:szCs w:val="22"/>
          <w:lang w:val="en-GB"/>
        </w:rPr>
        <w:t xml:space="preserve"> that routine and knowledge deficiencies, not deliberate negligence, were the cause.</w:t>
      </w:r>
    </w:p>
    <w:p w:rsidR="3FFDC2FF" w:rsidP="3FFDC2FF" w:rsidRDefault="3FFDC2FF" w14:paraId="1BEAAE9B" w14:textId="52716E76">
      <w:pPr>
        <w:spacing w:line="360" w:lineRule="auto"/>
        <w:rPr>
          <w:rFonts w:ascii="Arial Nova" w:hAnsi="Arial Nova" w:eastAsia="Arial Nova" w:cs="Arial Nova"/>
          <w:sz w:val="22"/>
          <w:szCs w:val="22"/>
        </w:rPr>
      </w:pPr>
    </w:p>
    <w:p w:rsidR="122E7F9A" w:rsidP="3FFDC2FF" w:rsidRDefault="122E7F9A" w14:paraId="15D716BA" w14:textId="0C09E9EA">
      <w:pPr>
        <w:pStyle w:val="Normal"/>
        <w:spacing w:line="360" w:lineRule="auto"/>
        <w:rPr>
          <w:rFonts w:ascii="Arial Nova" w:hAnsi="Arial Nova" w:eastAsia="Arial Nova" w:cs="Arial Nova"/>
          <w:noProof w:val="0"/>
          <w:sz w:val="22"/>
          <w:szCs w:val="22"/>
          <w:lang w:val="en-GB"/>
        </w:rPr>
      </w:pPr>
      <w:r w:rsidRPr="3FFDC2FF" w:rsidR="122E7F9A">
        <w:rPr>
          <w:rFonts w:ascii="Arial Nova" w:hAnsi="Arial Nova" w:eastAsia="Arial Nova" w:cs="Arial Nova"/>
          <w:noProof w:val="0"/>
          <w:sz w:val="22"/>
          <w:szCs w:val="22"/>
          <w:lang w:val="en-GB"/>
        </w:rPr>
        <w:t xml:space="preserve">I made sure the child's opinion was at the forefront of my evaluation. The youngster did not say that they felt unsafe at home, but they did show annoyance </w:t>
      </w:r>
      <w:r w:rsidRPr="3FFDC2FF" w:rsidR="122E7F9A">
        <w:rPr>
          <w:rFonts w:ascii="Arial Nova" w:hAnsi="Arial Nova" w:eastAsia="Arial Nova" w:cs="Arial Nova"/>
          <w:noProof w:val="0"/>
          <w:sz w:val="22"/>
          <w:szCs w:val="22"/>
          <w:lang w:val="en-GB"/>
        </w:rPr>
        <w:t>about</w:t>
      </w:r>
      <w:r w:rsidRPr="3FFDC2FF" w:rsidR="122E7F9A">
        <w:rPr>
          <w:rFonts w:ascii="Arial Nova" w:hAnsi="Arial Nova" w:eastAsia="Arial Nova" w:cs="Arial Nova"/>
          <w:noProof w:val="0"/>
          <w:sz w:val="22"/>
          <w:szCs w:val="22"/>
          <w:lang w:val="en-GB"/>
        </w:rPr>
        <w:t xml:space="preserve"> hospital admissions. In my analysis, this was a crucial protective factor.</w:t>
      </w:r>
    </w:p>
    <w:p w:rsidR="23AC8D50" w:rsidP="3FFDC2FF" w:rsidRDefault="23AC8D50" w14:paraId="45CCD40F" w14:textId="23412989">
      <w:pPr>
        <w:spacing w:before="0" w:beforeAutospacing="off" w:after="240" w:afterAutospacing="off" w:line="360" w:lineRule="auto"/>
        <w:rPr>
          <w:rFonts w:ascii="Arial Nova" w:hAnsi="Arial Nova" w:eastAsia="Arial Nova" w:cs="Arial Nova"/>
          <w:noProof w:val="0"/>
          <w:sz w:val="22"/>
          <w:szCs w:val="22"/>
          <w:lang w:val="en-GB"/>
        </w:rPr>
      </w:pPr>
      <w:r w:rsidRPr="3FFDC2FF" w:rsidR="23AC8D50">
        <w:rPr>
          <w:rFonts w:ascii="Arial Nova" w:hAnsi="Arial Nova" w:eastAsia="Arial Nova" w:cs="Arial Nova"/>
          <w:noProof w:val="0"/>
          <w:sz w:val="22"/>
          <w:szCs w:val="22"/>
          <w:lang w:val="en-GB"/>
        </w:rPr>
        <w:t>Following multi-agency information sharing and risk analysis, I concluded that although the child was vulnerable and there were clear risks, the threshold for significant harm under Section 47 was not met. Therefore, the case did not progress to a Child Protection Plan. Instead, I implemented a Child in Need plan under Section 17.</w:t>
      </w:r>
    </w:p>
    <w:p w:rsidR="23AC8D50" w:rsidP="3FFDC2FF" w:rsidRDefault="23AC8D50" w14:paraId="2EEF80B6" w14:textId="4F11701D">
      <w:pPr>
        <w:spacing w:before="240" w:beforeAutospacing="off" w:after="240" w:afterAutospacing="off" w:line="360" w:lineRule="auto"/>
        <w:rPr>
          <w:rFonts w:ascii="Arial Nova" w:hAnsi="Arial Nova" w:eastAsia="Arial Nova" w:cs="Arial Nova"/>
          <w:noProof w:val="0"/>
          <w:sz w:val="22"/>
          <w:szCs w:val="22"/>
          <w:lang w:val="en-GB"/>
        </w:rPr>
      </w:pPr>
      <w:r w:rsidRPr="3FFDC2FF" w:rsidR="23AC8D50">
        <w:rPr>
          <w:rFonts w:ascii="Arial Nova" w:hAnsi="Arial Nova" w:eastAsia="Arial Nova" w:cs="Arial Nova"/>
          <w:noProof w:val="0"/>
          <w:sz w:val="22"/>
          <w:szCs w:val="22"/>
          <w:lang w:val="en-GB"/>
        </w:rPr>
        <w:t>The Child in Need plan focused on strengthening parental capacity through structured support. This included specialist input from the diabetic nurse, improved education around insulin administration, clear daily routines, and regular professional monitoring. Multi-agency meetings ensured accountability and ongoing risk assessment.</w:t>
      </w:r>
    </w:p>
    <w:p w:rsidR="23AC8D50" w:rsidP="3FFDC2FF" w:rsidRDefault="23AC8D50" w14:paraId="50FCD358" w14:textId="24B023E0">
      <w:pPr>
        <w:spacing w:line="360" w:lineRule="auto"/>
        <w:rPr>
          <w:rFonts w:ascii="Arial Nova" w:hAnsi="Arial Nova" w:eastAsia="Arial Nova" w:cs="Arial Nova"/>
          <w:noProof w:val="0"/>
          <w:sz w:val="22"/>
          <w:szCs w:val="22"/>
          <w:lang w:val="en-GB"/>
        </w:rPr>
      </w:pPr>
      <w:r w:rsidRPr="3FFDC2FF" w:rsidR="23AC8D50">
        <w:rPr>
          <w:rFonts w:ascii="Arial Nova" w:hAnsi="Arial Nova" w:eastAsia="Arial Nova" w:cs="Arial Nova"/>
          <w:noProof w:val="0"/>
          <w:sz w:val="22"/>
          <w:szCs w:val="22"/>
          <w:lang w:val="en-GB"/>
        </w:rPr>
        <w:t xml:space="preserve">Measurable progress was made over time. The parents showed increased knowledge and confidence in treating the disease, insulin administration became consistent, and appointment attendance stabilised. The likelihood of </w:t>
      </w:r>
      <w:r w:rsidRPr="3FFDC2FF" w:rsidR="23AC8D50">
        <w:rPr>
          <w:rFonts w:ascii="Arial Nova" w:hAnsi="Arial Nova" w:eastAsia="Arial Nova" w:cs="Arial Nova"/>
          <w:noProof w:val="0"/>
          <w:sz w:val="22"/>
          <w:szCs w:val="22"/>
          <w:lang w:val="en-GB"/>
        </w:rPr>
        <w:t>more</w:t>
      </w:r>
      <w:r w:rsidRPr="3FFDC2FF" w:rsidR="23AC8D50">
        <w:rPr>
          <w:rFonts w:ascii="Arial Nova" w:hAnsi="Arial Nova" w:eastAsia="Arial Nova" w:cs="Arial Nova"/>
          <w:noProof w:val="0"/>
          <w:sz w:val="22"/>
          <w:szCs w:val="22"/>
          <w:lang w:val="en-GB"/>
        </w:rPr>
        <w:t xml:space="preserve"> DKA episodes decreased, and the child's health outcomes improved.</w:t>
      </w:r>
    </w:p>
    <w:p w:rsidR="3FFDC2FF" w:rsidP="3FFDC2FF" w:rsidRDefault="3FFDC2FF" w14:paraId="25E68084" w14:textId="07B9DFCC">
      <w:pPr>
        <w:spacing w:line="360" w:lineRule="auto"/>
        <w:rPr>
          <w:rFonts w:ascii="Arial Nova" w:hAnsi="Arial Nova" w:eastAsia="Arial Nova" w:cs="Arial Nova"/>
          <w:sz w:val="22"/>
          <w:szCs w:val="22"/>
        </w:rPr>
      </w:pPr>
    </w:p>
    <w:p w:rsidR="23AC8D50" w:rsidP="3FFDC2FF" w:rsidRDefault="23AC8D50" w14:paraId="3BF43C6E" w14:textId="041B47B4">
      <w:pPr>
        <w:spacing w:line="360" w:lineRule="auto"/>
        <w:rPr>
          <w:rFonts w:ascii="Arial Nova" w:hAnsi="Arial Nova" w:eastAsia="Arial Nova" w:cs="Arial Nova"/>
          <w:noProof w:val="0"/>
          <w:sz w:val="22"/>
          <w:szCs w:val="22"/>
          <w:lang w:val="en-GB"/>
        </w:rPr>
      </w:pPr>
      <w:r w:rsidRPr="3FFDC2FF" w:rsidR="23AC8D50">
        <w:rPr>
          <w:rFonts w:ascii="Arial Nova" w:hAnsi="Arial Nova" w:eastAsia="Arial Nova" w:cs="Arial Nova"/>
          <w:noProof w:val="0"/>
          <w:sz w:val="22"/>
          <w:szCs w:val="22"/>
          <w:lang w:val="en-GB"/>
        </w:rPr>
        <w:t>After giving this case some thought, I realised how crucial proportionate intervention is. Even though not all medical neglect cases qualify for child protection, they nonetheless need thorough evaluation and well-coordinated help. It also emphasised the significance of supporting the child's voice at the centre of decision-making, doing a clear threshold analysis, and supporting professional interest.</w:t>
      </w:r>
    </w:p>
    <w:p w:rsidR="68A464A4" w:rsidP="3FFDC2FF" w:rsidRDefault="68A464A4" w14:paraId="599121C3" w14:textId="3879CC51">
      <w:pPr>
        <w:spacing w:line="360" w:lineRule="auto"/>
        <w:rPr>
          <w:rFonts w:ascii="Arial Nova" w:hAnsi="Arial Nova" w:eastAsia="Arial Nova" w:cs="Arial Nova"/>
          <w:noProof w:val="0"/>
          <w:sz w:val="22"/>
          <w:szCs w:val="22"/>
          <w:lang w:val="en-GB"/>
        </w:rPr>
      </w:pPr>
      <w:r w:rsidRPr="3FFDC2FF" w:rsidR="68A464A4">
        <w:rPr>
          <w:rFonts w:ascii="Arial Nova" w:hAnsi="Arial Nova" w:eastAsia="Arial Nova" w:cs="Arial Nova"/>
          <w:noProof w:val="0"/>
          <w:sz w:val="22"/>
          <w:szCs w:val="22"/>
          <w:lang w:val="en-GB"/>
        </w:rPr>
        <w:t>Outcome</w:t>
      </w:r>
    </w:p>
    <w:p w:rsidR="68A464A4" w:rsidP="3FFDC2FF" w:rsidRDefault="68A464A4" w14:paraId="0BBC44F2" w14:textId="18B27624">
      <w:pPr>
        <w:spacing w:line="360" w:lineRule="auto"/>
        <w:rPr>
          <w:rFonts w:ascii="Arial Nova" w:hAnsi="Arial Nova" w:eastAsia="Arial Nova" w:cs="Arial Nova"/>
          <w:noProof w:val="0"/>
          <w:sz w:val="22"/>
          <w:szCs w:val="22"/>
          <w:lang w:val="en-GB"/>
        </w:rPr>
      </w:pPr>
      <w:r w:rsidRPr="3FFDC2FF" w:rsidR="68A464A4">
        <w:rPr>
          <w:rFonts w:ascii="Arial Nova" w:hAnsi="Arial Nova" w:eastAsia="Arial Nova" w:cs="Arial Nova"/>
          <w:noProof w:val="0"/>
          <w:sz w:val="22"/>
          <w:szCs w:val="22"/>
          <w:lang w:val="en-GB"/>
        </w:rPr>
        <w:t xml:space="preserve"> </w:t>
      </w:r>
      <w:r w:rsidRPr="3FFDC2FF" w:rsidR="4BF0E3D0">
        <w:rPr>
          <w:rFonts w:ascii="Arial Nova" w:hAnsi="Arial Nova" w:eastAsia="Arial Nova" w:cs="Arial Nova"/>
          <w:noProof w:val="0"/>
          <w:sz w:val="22"/>
          <w:szCs w:val="22"/>
          <w:lang w:val="en-GB"/>
        </w:rPr>
        <w:t xml:space="preserve">Following continued multi-agency </w:t>
      </w:r>
      <w:r w:rsidRPr="3FFDC2FF" w:rsidR="4BF0E3D0">
        <w:rPr>
          <w:rFonts w:ascii="Arial Nova" w:hAnsi="Arial Nova" w:eastAsia="Arial Nova" w:cs="Arial Nova"/>
          <w:noProof w:val="0"/>
          <w:sz w:val="22"/>
          <w:szCs w:val="22"/>
          <w:lang w:val="en-GB"/>
        </w:rPr>
        <w:t>assistance</w:t>
      </w:r>
      <w:r w:rsidRPr="3FFDC2FF" w:rsidR="4BF0E3D0">
        <w:rPr>
          <w:rFonts w:ascii="Arial Nova" w:hAnsi="Arial Nova" w:eastAsia="Arial Nova" w:cs="Arial Nova"/>
          <w:noProof w:val="0"/>
          <w:sz w:val="22"/>
          <w:szCs w:val="22"/>
          <w:lang w:val="en-GB"/>
        </w:rPr>
        <w:t xml:space="preserve">, appointment attendance stabilised, parental understanding improved, and insulin administration became dependable. The child's health outcomes improved, and the chance of more DKA episodes declined. </w:t>
      </w:r>
    </w:p>
    <w:p w:rsidR="4BF0E3D0" w:rsidP="3FFDC2FF" w:rsidRDefault="4BF0E3D0" w14:paraId="75A5B80A" w14:textId="0A790325">
      <w:pPr>
        <w:pStyle w:val="Normal"/>
        <w:spacing w:line="360" w:lineRule="auto"/>
        <w:rPr>
          <w:rFonts w:ascii="Arial Nova" w:hAnsi="Arial Nova" w:eastAsia="Arial Nova" w:cs="Arial Nova"/>
          <w:noProof w:val="0"/>
          <w:sz w:val="22"/>
          <w:szCs w:val="22"/>
          <w:lang w:val="en-GB"/>
        </w:rPr>
      </w:pPr>
      <w:r w:rsidRPr="3FFDC2FF" w:rsidR="4BF0E3D0">
        <w:rPr>
          <w:rFonts w:ascii="Arial Nova" w:hAnsi="Arial Nova" w:eastAsia="Arial Nova" w:cs="Arial Nova"/>
          <w:noProof w:val="0"/>
          <w:sz w:val="22"/>
          <w:szCs w:val="22"/>
          <w:lang w:val="en-GB"/>
        </w:rPr>
        <w:t xml:space="preserve">I am aware that chronic health-related neglect requires ongoing monitoring since risk is constantly changing, even though there were less immediate safeguarding issues. </w:t>
      </w:r>
    </w:p>
    <w:p w:rsidR="4BF0E3D0" w:rsidP="3FFDC2FF" w:rsidRDefault="4BF0E3D0" w14:paraId="35A19221" w14:textId="6A9EC64D">
      <w:pPr>
        <w:pStyle w:val="Normal"/>
        <w:spacing w:line="360" w:lineRule="auto"/>
        <w:rPr>
          <w:rFonts w:ascii="Arial Nova" w:hAnsi="Arial Nova" w:eastAsia="Arial Nova" w:cs="Arial Nova"/>
          <w:noProof w:val="0"/>
          <w:sz w:val="22"/>
          <w:szCs w:val="22"/>
          <w:lang w:val="en-GB"/>
        </w:rPr>
      </w:pPr>
      <w:r w:rsidRPr="3FFDC2FF" w:rsidR="4BF0E3D0">
        <w:rPr>
          <w:rFonts w:ascii="Arial Nova" w:hAnsi="Arial Nova" w:eastAsia="Arial Nova" w:cs="Arial Nova"/>
          <w:noProof w:val="0"/>
          <w:sz w:val="22"/>
          <w:szCs w:val="22"/>
          <w:lang w:val="en-GB"/>
        </w:rPr>
        <w:t>This case highlighted the complexity of medical negligence and the importance of distinguishing between unwillingness and incapacity. Horwath (2013) asserts that several stressors, as opposed to a single incidence of parental failure, are often the cause of neglect. I was able to support clear expectations and promote change by employing an authoritative but strengths-based strategy.</w:t>
      </w:r>
    </w:p>
    <w:p w:rsidR="26110954" w:rsidP="3FFDC2FF" w:rsidRDefault="26110954" w14:paraId="31C4A771" w14:textId="71DD9116">
      <w:pPr>
        <w:pStyle w:val="Normal"/>
        <w:spacing w:line="360" w:lineRule="auto"/>
        <w:rPr>
          <w:rFonts w:ascii="Arial Nova" w:hAnsi="Arial Nova" w:eastAsia="Arial Nova" w:cs="Arial Nova"/>
          <w:noProof w:val="0"/>
          <w:sz w:val="22"/>
          <w:szCs w:val="22"/>
          <w:lang w:val="en-GB"/>
        </w:rPr>
      </w:pPr>
      <w:r w:rsidRPr="3FFDC2FF" w:rsidR="26110954">
        <w:rPr>
          <w:rFonts w:ascii="Arial Nova" w:hAnsi="Arial Nova" w:eastAsia="Arial Nova" w:cs="Arial Nova"/>
          <w:noProof w:val="0"/>
          <w:sz w:val="22"/>
          <w:szCs w:val="22"/>
          <w:lang w:val="en-GB"/>
        </w:rPr>
        <w:t xml:space="preserve">Brandon et al. (2020) draw attention to the way that covert compliance might mask persistent danger. Even while it </w:t>
      </w:r>
      <w:r w:rsidRPr="3FFDC2FF" w:rsidR="24CFAA10">
        <w:rPr>
          <w:rFonts w:ascii="Arial Nova" w:hAnsi="Arial Nova" w:eastAsia="Arial Nova" w:cs="Arial Nova"/>
          <w:noProof w:val="0"/>
          <w:sz w:val="22"/>
          <w:szCs w:val="22"/>
          <w:lang w:val="en-GB"/>
        </w:rPr>
        <w:t>was not</w:t>
      </w:r>
      <w:r w:rsidRPr="3FFDC2FF" w:rsidR="26110954">
        <w:rPr>
          <w:rFonts w:ascii="Arial Nova" w:hAnsi="Arial Nova" w:eastAsia="Arial Nova" w:cs="Arial Nova"/>
          <w:noProof w:val="0"/>
          <w:sz w:val="22"/>
          <w:szCs w:val="22"/>
          <w:lang w:val="en-GB"/>
        </w:rPr>
        <w:t xml:space="preserve"> obvious in this instance, keeping this </w:t>
      </w:r>
      <w:r w:rsidRPr="3FFDC2FF" w:rsidR="3680FDAB">
        <w:rPr>
          <w:rFonts w:ascii="Arial Nova" w:hAnsi="Arial Nova" w:eastAsia="Arial Nova" w:cs="Arial Nova"/>
          <w:noProof w:val="0"/>
          <w:sz w:val="22"/>
          <w:szCs w:val="22"/>
          <w:lang w:val="en-GB"/>
        </w:rPr>
        <w:t>possibility</w:t>
      </w:r>
      <w:r w:rsidRPr="3FFDC2FF" w:rsidR="26110954">
        <w:rPr>
          <w:rFonts w:ascii="Arial Nova" w:hAnsi="Arial Nova" w:eastAsia="Arial Nova" w:cs="Arial Nova"/>
          <w:noProof w:val="0"/>
          <w:sz w:val="22"/>
          <w:szCs w:val="22"/>
          <w:lang w:val="en-GB"/>
        </w:rPr>
        <w:t xml:space="preserve"> in mind heightened my professional curiosity.</w:t>
      </w:r>
    </w:p>
    <w:p w:rsidR="3FFDC2FF" w:rsidP="3FFDC2FF" w:rsidRDefault="3FFDC2FF" w14:paraId="67C548E3" w14:textId="1F6C259E">
      <w:pPr>
        <w:spacing w:line="360" w:lineRule="auto"/>
        <w:rPr>
          <w:rFonts w:ascii="Arial Nova" w:hAnsi="Arial Nova" w:eastAsia="Arial Nova" w:cs="Arial Nova"/>
          <w:sz w:val="22"/>
          <w:szCs w:val="22"/>
        </w:rPr>
      </w:pPr>
    </w:p>
    <w:p w:rsidR="26110954" w:rsidP="3FFDC2FF" w:rsidRDefault="26110954" w14:paraId="53E5BF69" w14:textId="7973EE55">
      <w:pPr>
        <w:pStyle w:val="Normal"/>
        <w:spacing w:line="360" w:lineRule="auto"/>
        <w:rPr>
          <w:rFonts w:ascii="Arial Nova" w:hAnsi="Arial Nova" w:eastAsia="Arial Nova" w:cs="Arial Nova"/>
          <w:noProof w:val="0"/>
          <w:sz w:val="22"/>
          <w:szCs w:val="22"/>
          <w:lang w:val="en-GB"/>
        </w:rPr>
      </w:pPr>
      <w:r w:rsidRPr="3FFDC2FF" w:rsidR="26110954">
        <w:rPr>
          <w:rFonts w:ascii="Arial Nova" w:hAnsi="Arial Nova" w:eastAsia="Arial Nova" w:cs="Arial Nova"/>
          <w:noProof w:val="0"/>
          <w:sz w:val="22"/>
          <w:szCs w:val="22"/>
          <w:lang w:val="en-GB"/>
        </w:rPr>
        <w:t xml:space="preserve">Munro (2011) highlights professional </w:t>
      </w:r>
      <w:r w:rsidRPr="3FFDC2FF" w:rsidR="26110954">
        <w:rPr>
          <w:rFonts w:ascii="Arial Nova" w:hAnsi="Arial Nova" w:eastAsia="Arial Nova" w:cs="Arial Nova"/>
          <w:noProof w:val="0"/>
          <w:sz w:val="22"/>
          <w:szCs w:val="22"/>
          <w:lang w:val="en-GB"/>
        </w:rPr>
        <w:t>expertise</w:t>
      </w:r>
      <w:r w:rsidRPr="3FFDC2FF" w:rsidR="26110954">
        <w:rPr>
          <w:rFonts w:ascii="Arial Nova" w:hAnsi="Arial Nova" w:eastAsia="Arial Nova" w:cs="Arial Nova"/>
          <w:noProof w:val="0"/>
          <w:sz w:val="22"/>
          <w:szCs w:val="22"/>
          <w:lang w:val="en-GB"/>
        </w:rPr>
        <w:t xml:space="preserve"> and criticises excessively bureaucratic safeguarding procedures. Instead of applying a threshold mechanically, this scenario called for intellectual reasoning. It helped me better grasp how dynamic risk management is an aspect of safeguarding, especially when chronic health concerns are involved.</w:t>
      </w:r>
    </w:p>
    <w:p w:rsidR="3FFDC2FF" w:rsidP="3FFDC2FF" w:rsidRDefault="3FFDC2FF" w14:paraId="43103450" w14:textId="279B1D0D">
      <w:pPr>
        <w:spacing w:line="360" w:lineRule="auto"/>
        <w:rPr>
          <w:rFonts w:ascii="Arial Nova" w:hAnsi="Arial Nova" w:eastAsia="Arial Nova" w:cs="Arial Nova"/>
          <w:sz w:val="22"/>
          <w:szCs w:val="22"/>
        </w:rPr>
      </w:pPr>
    </w:p>
    <w:p w:rsidR="68A464A4" w:rsidP="3FFDC2FF" w:rsidRDefault="68A464A4" w14:paraId="2F6B2CB4" w14:textId="1584CCDB">
      <w:pPr>
        <w:pStyle w:val="Normal"/>
        <w:spacing w:line="360" w:lineRule="auto"/>
        <w:rPr>
          <w:rFonts w:ascii="Arial Nova" w:hAnsi="Arial Nova" w:eastAsia="Arial Nova" w:cs="Arial Nova"/>
          <w:noProof w:val="0"/>
          <w:sz w:val="22"/>
          <w:szCs w:val="22"/>
          <w:lang w:val="en-GB"/>
        </w:rPr>
      </w:pPr>
      <w:r w:rsidRPr="3FFDC2FF" w:rsidR="68A464A4">
        <w:rPr>
          <w:rFonts w:ascii="Arial Nova" w:hAnsi="Arial Nova" w:eastAsia="Arial Nova" w:cs="Arial Nova"/>
          <w:noProof w:val="0"/>
          <w:sz w:val="22"/>
          <w:szCs w:val="22"/>
          <w:lang w:val="en-GB"/>
        </w:rPr>
        <w:t>Conclusion</w:t>
      </w:r>
      <w:r w:rsidRPr="3FFDC2FF" w:rsidR="68A464A4">
        <w:rPr>
          <w:rFonts w:ascii="Arial Nova" w:hAnsi="Arial Nova" w:eastAsia="Arial Nova" w:cs="Arial Nova"/>
          <w:noProof w:val="0"/>
          <w:sz w:val="22"/>
          <w:szCs w:val="22"/>
          <w:lang w:val="en-GB"/>
        </w:rPr>
        <w:t xml:space="preserve"> </w:t>
      </w:r>
    </w:p>
    <w:p w:rsidR="07559CA1" w:rsidP="3FFDC2FF" w:rsidRDefault="07559CA1" w14:paraId="5C56DA86" w14:textId="26CEFD91">
      <w:pPr>
        <w:spacing w:line="360" w:lineRule="auto"/>
        <w:rPr>
          <w:rFonts w:ascii="Arial Nova" w:hAnsi="Arial Nova" w:eastAsia="Arial Nova" w:cs="Arial Nova"/>
          <w:noProof w:val="0"/>
          <w:sz w:val="22"/>
          <w:szCs w:val="22"/>
          <w:lang w:val="en-GB"/>
        </w:rPr>
      </w:pPr>
      <w:r w:rsidRPr="3FFDC2FF" w:rsidR="07559CA1">
        <w:rPr>
          <w:rFonts w:ascii="Arial Nova" w:hAnsi="Arial Nova" w:eastAsia="Arial Nova" w:cs="Arial Nova"/>
          <w:noProof w:val="0"/>
          <w:sz w:val="22"/>
          <w:szCs w:val="22"/>
          <w:lang w:val="en-GB"/>
        </w:rPr>
        <w:t>The intricacy of protecting kids with long-term medical issues is illustrated by this example. Effective multi-agency cooperation, proportional decision-making, and crucial threshold analysis were necessary. I was able to carry out a protective yet supportive intervention under Section 17 by correctly implementing the law and using studies on cumulative injury and neglect.</w:t>
      </w:r>
    </w:p>
    <w:p w:rsidR="07559CA1" w:rsidP="3FFDC2FF" w:rsidRDefault="07559CA1" w14:paraId="20F1D4D3" w14:textId="550443DE">
      <w:pPr>
        <w:pStyle w:val="Normal"/>
        <w:spacing w:line="360" w:lineRule="auto"/>
        <w:rPr>
          <w:rFonts w:ascii="Arial Nova" w:hAnsi="Arial Nova" w:eastAsia="Arial Nova" w:cs="Arial Nova"/>
          <w:noProof w:val="0"/>
          <w:sz w:val="22"/>
          <w:szCs w:val="22"/>
          <w:lang w:val="en-GB"/>
        </w:rPr>
      </w:pPr>
      <w:r w:rsidRPr="3FFDC2FF" w:rsidR="07559CA1">
        <w:rPr>
          <w:rFonts w:ascii="Arial Nova" w:hAnsi="Arial Nova" w:eastAsia="Arial Nova" w:cs="Arial Nova"/>
          <w:noProof w:val="0"/>
          <w:sz w:val="22"/>
          <w:szCs w:val="22"/>
          <w:lang w:val="en-GB"/>
        </w:rPr>
        <w:t xml:space="preserve">In the end, this experience helped me better realise that safeguarding involves more than just responding to harm; it also entails reducing cumulative risk through child-centred, thoughtful, and analytical practice. </w:t>
      </w:r>
      <w:r w:rsidRPr="3FFDC2FF" w:rsidR="07559CA1">
        <w:rPr>
          <w:rFonts w:ascii="Arial Nova" w:hAnsi="Arial Nova" w:eastAsia="Arial Nova" w:cs="Arial Nova"/>
          <w:noProof w:val="0"/>
          <w:sz w:val="22"/>
          <w:szCs w:val="22"/>
          <w:lang w:val="en-GB"/>
        </w:rPr>
        <w:t>All things considered</w:t>
      </w:r>
      <w:r w:rsidRPr="3FFDC2FF" w:rsidR="07559CA1">
        <w:rPr>
          <w:rFonts w:ascii="Arial Nova" w:hAnsi="Arial Nova" w:eastAsia="Arial Nova" w:cs="Arial Nova"/>
          <w:noProof w:val="0"/>
          <w:sz w:val="22"/>
          <w:szCs w:val="22"/>
          <w:lang w:val="en-GB"/>
        </w:rPr>
        <w:t xml:space="preserve">, this case </w:t>
      </w:r>
      <w:r w:rsidRPr="3FFDC2FF" w:rsidR="07559CA1">
        <w:rPr>
          <w:rFonts w:ascii="Arial Nova" w:hAnsi="Arial Nova" w:eastAsia="Arial Nova" w:cs="Arial Nova"/>
          <w:noProof w:val="0"/>
          <w:sz w:val="22"/>
          <w:szCs w:val="22"/>
          <w:lang w:val="en-GB"/>
        </w:rPr>
        <w:t>proves</w:t>
      </w:r>
      <w:r w:rsidRPr="3FFDC2FF" w:rsidR="07559CA1">
        <w:rPr>
          <w:rFonts w:ascii="Arial Nova" w:hAnsi="Arial Nova" w:eastAsia="Arial Nova" w:cs="Arial Nova"/>
          <w:noProof w:val="0"/>
          <w:sz w:val="22"/>
          <w:szCs w:val="22"/>
          <w:lang w:val="en-GB"/>
        </w:rPr>
        <w:t xml:space="preserve"> that safeguarding entails more than simply legal participation; it also involves empowering families, enhancing protective factors, and working together to effect sustainable change.</w:t>
      </w:r>
    </w:p>
    <w:p w:rsidR="3FFDC2FF" w:rsidP="3FFDC2FF" w:rsidRDefault="3FFDC2FF" w14:paraId="47C2C3FB" w14:textId="04C93AEF">
      <w:pPr>
        <w:pStyle w:val="Normal"/>
        <w:spacing w:line="360" w:lineRule="auto"/>
        <w:rPr>
          <w:rFonts w:ascii="Arial Nova" w:hAnsi="Arial Nova" w:eastAsia="Arial Nova" w:cs="Arial Nova"/>
          <w:noProof w:val="0"/>
          <w:sz w:val="22"/>
          <w:szCs w:val="22"/>
          <w:lang w:val="en-GB"/>
        </w:rPr>
      </w:pPr>
    </w:p>
    <w:p w:rsidR="0721E8F0" w:rsidP="3FFDC2FF" w:rsidRDefault="0721E8F0" w14:paraId="677E081D" w14:textId="3ECE8372">
      <w:pPr>
        <w:pStyle w:val="Normal"/>
        <w:spacing w:line="360" w:lineRule="auto"/>
        <w:rPr>
          <w:rFonts w:ascii="Arial Nova" w:hAnsi="Arial Nova" w:eastAsia="Arial Nova" w:cs="Arial Nova"/>
          <w:noProof w:val="0"/>
          <w:sz w:val="22"/>
          <w:szCs w:val="22"/>
          <w:lang w:val="en-GB"/>
        </w:rPr>
      </w:pPr>
      <w:r w:rsidRPr="3FFDC2FF" w:rsidR="0721E8F0">
        <w:rPr>
          <w:rFonts w:ascii="Arial Nova" w:hAnsi="Arial Nova" w:eastAsia="Arial Nova" w:cs="Arial Nova"/>
          <w:noProof w:val="0"/>
          <w:sz w:val="22"/>
          <w:szCs w:val="22"/>
          <w:lang w:val="en-GB"/>
        </w:rPr>
        <w:t xml:space="preserve">Reference </w:t>
      </w:r>
    </w:p>
    <w:p w:rsidR="0721E8F0" w:rsidP="3FFDC2FF" w:rsidRDefault="0721E8F0" w14:paraId="3EEB7A9B" w14:textId="03FD454C">
      <w:pPr>
        <w:spacing w:before="0" w:beforeAutospacing="off" w:after="240" w:afterAutospacing="off" w:line="360" w:lineRule="auto"/>
        <w:rPr>
          <w:rFonts w:ascii="Arial Nova" w:hAnsi="Arial Nova" w:eastAsia="Arial Nova" w:cs="Arial Nova"/>
          <w:noProof w:val="0"/>
          <w:sz w:val="22"/>
          <w:szCs w:val="22"/>
          <w:lang w:val="en-GB"/>
        </w:rPr>
      </w:pPr>
      <w:r w:rsidRPr="3FFDC2FF" w:rsidR="0721E8F0">
        <w:rPr>
          <w:rFonts w:ascii="Arial Nova" w:hAnsi="Arial Nova" w:eastAsia="Arial Nova" w:cs="Arial Nova"/>
          <w:noProof w:val="0"/>
          <w:sz w:val="22"/>
          <w:szCs w:val="22"/>
          <w:lang w:val="en-GB"/>
        </w:rPr>
        <w:t xml:space="preserve">Brandon, M., Sidebotham, P., Bailey, S., </w:t>
      </w:r>
      <w:r w:rsidRPr="3FFDC2FF" w:rsidR="0721E8F0">
        <w:rPr>
          <w:rFonts w:ascii="Arial Nova" w:hAnsi="Arial Nova" w:eastAsia="Arial Nova" w:cs="Arial Nova"/>
          <w:noProof w:val="0"/>
          <w:sz w:val="22"/>
          <w:szCs w:val="22"/>
          <w:lang w:val="en-GB"/>
        </w:rPr>
        <w:t>Belderson</w:t>
      </w:r>
      <w:r w:rsidRPr="3FFDC2FF" w:rsidR="0721E8F0">
        <w:rPr>
          <w:rFonts w:ascii="Arial Nova" w:hAnsi="Arial Nova" w:eastAsia="Arial Nova" w:cs="Arial Nova"/>
          <w:noProof w:val="0"/>
          <w:sz w:val="22"/>
          <w:szCs w:val="22"/>
          <w:lang w:val="en-GB"/>
        </w:rPr>
        <w:t xml:space="preserve">, P., Hawley, C., Ellis, C. and Megson, M. (2020) </w:t>
      </w:r>
      <w:r w:rsidRPr="3FFDC2FF" w:rsidR="0721E8F0">
        <w:rPr>
          <w:rFonts w:ascii="Arial Nova" w:hAnsi="Arial Nova" w:eastAsia="Arial Nova" w:cs="Arial Nova"/>
          <w:i w:val="1"/>
          <w:iCs w:val="1"/>
          <w:noProof w:val="0"/>
          <w:sz w:val="22"/>
          <w:szCs w:val="22"/>
          <w:lang w:val="en-GB"/>
        </w:rPr>
        <w:t>Complexity and Challenge: A Triennial Analysis of Serious Case Reviews 2014–2017</w:t>
      </w:r>
      <w:r w:rsidRPr="3FFDC2FF" w:rsidR="0721E8F0">
        <w:rPr>
          <w:rFonts w:ascii="Arial Nova" w:hAnsi="Arial Nova" w:eastAsia="Arial Nova" w:cs="Arial Nova"/>
          <w:noProof w:val="0"/>
          <w:sz w:val="22"/>
          <w:szCs w:val="22"/>
          <w:lang w:val="en-GB"/>
        </w:rPr>
        <w:t>. London: Department for Education.</w:t>
      </w:r>
    </w:p>
    <w:p w:rsidR="0721E8F0" w:rsidP="3FFDC2FF" w:rsidRDefault="0721E8F0" w14:paraId="5D12EAAC" w14:textId="3E4A07E8">
      <w:pPr>
        <w:spacing w:before="240" w:beforeAutospacing="off" w:after="240" w:afterAutospacing="off" w:line="360" w:lineRule="auto"/>
        <w:rPr>
          <w:rFonts w:ascii="Arial Nova" w:hAnsi="Arial Nova" w:eastAsia="Arial Nova" w:cs="Arial Nova"/>
          <w:noProof w:val="0"/>
          <w:sz w:val="22"/>
          <w:szCs w:val="22"/>
          <w:lang w:val="en-GB"/>
        </w:rPr>
      </w:pPr>
      <w:r w:rsidRPr="3FFDC2FF" w:rsidR="0721E8F0">
        <w:rPr>
          <w:rFonts w:ascii="Arial Nova" w:hAnsi="Arial Nova" w:eastAsia="Arial Nova" w:cs="Arial Nova"/>
          <w:noProof w:val="0"/>
          <w:sz w:val="22"/>
          <w:szCs w:val="22"/>
          <w:lang w:val="en-GB"/>
        </w:rPr>
        <w:t>Children Act 1989. London: HMSO.</w:t>
      </w:r>
    </w:p>
    <w:p w:rsidR="0721E8F0" w:rsidP="3FFDC2FF" w:rsidRDefault="0721E8F0" w14:paraId="1C8F16CB" w14:textId="619649F2">
      <w:pPr>
        <w:spacing w:before="240" w:beforeAutospacing="off" w:after="240" w:afterAutospacing="off" w:line="360" w:lineRule="auto"/>
        <w:rPr>
          <w:rFonts w:ascii="Arial Nova" w:hAnsi="Arial Nova" w:eastAsia="Arial Nova" w:cs="Arial Nova"/>
          <w:noProof w:val="0"/>
          <w:sz w:val="22"/>
          <w:szCs w:val="22"/>
          <w:lang w:val="en-GB"/>
        </w:rPr>
      </w:pPr>
      <w:r w:rsidRPr="3FFDC2FF" w:rsidR="0721E8F0">
        <w:rPr>
          <w:rFonts w:ascii="Arial Nova" w:hAnsi="Arial Nova" w:eastAsia="Arial Nova" w:cs="Arial Nova"/>
          <w:noProof w:val="0"/>
          <w:sz w:val="22"/>
          <w:szCs w:val="22"/>
          <w:lang w:val="en-GB"/>
        </w:rPr>
        <w:t>Children Act 2004. London: HMSO.</w:t>
      </w:r>
    </w:p>
    <w:p w:rsidR="0721E8F0" w:rsidP="3FFDC2FF" w:rsidRDefault="0721E8F0" w14:paraId="5B831564" w14:textId="64127562">
      <w:pPr>
        <w:spacing w:before="240" w:beforeAutospacing="off" w:after="240" w:afterAutospacing="off" w:line="360" w:lineRule="auto"/>
        <w:rPr>
          <w:rFonts w:ascii="Arial Nova" w:hAnsi="Arial Nova" w:eastAsia="Arial Nova" w:cs="Arial Nova"/>
          <w:noProof w:val="0"/>
          <w:sz w:val="22"/>
          <w:szCs w:val="22"/>
          <w:lang w:val="en-GB"/>
        </w:rPr>
      </w:pPr>
      <w:r w:rsidRPr="3FFDC2FF" w:rsidR="0721E8F0">
        <w:rPr>
          <w:rFonts w:ascii="Arial Nova" w:hAnsi="Arial Nova" w:eastAsia="Arial Nova" w:cs="Arial Nova"/>
          <w:noProof w:val="0"/>
          <w:sz w:val="22"/>
          <w:szCs w:val="22"/>
          <w:lang w:val="en-GB"/>
        </w:rPr>
        <w:t xml:space="preserve">Daniel, B., Taylor, J. and Scott, J. (2011) </w:t>
      </w:r>
      <w:r w:rsidRPr="3FFDC2FF" w:rsidR="0721E8F0">
        <w:rPr>
          <w:rFonts w:ascii="Arial Nova" w:hAnsi="Arial Nova" w:eastAsia="Arial Nova" w:cs="Arial Nova"/>
          <w:i w:val="1"/>
          <w:iCs w:val="1"/>
          <w:noProof w:val="0"/>
          <w:sz w:val="22"/>
          <w:szCs w:val="22"/>
          <w:lang w:val="en-GB"/>
        </w:rPr>
        <w:t>Recognizing and Helping the Neglected Child: Evidence-Based Practice for Assessment and Intervention</w:t>
      </w:r>
      <w:r w:rsidRPr="3FFDC2FF" w:rsidR="0721E8F0">
        <w:rPr>
          <w:rFonts w:ascii="Arial Nova" w:hAnsi="Arial Nova" w:eastAsia="Arial Nova" w:cs="Arial Nova"/>
          <w:noProof w:val="0"/>
          <w:sz w:val="22"/>
          <w:szCs w:val="22"/>
          <w:lang w:val="en-GB"/>
        </w:rPr>
        <w:t>. London: Jessica Kingsley Publishers.</w:t>
      </w:r>
    </w:p>
    <w:p w:rsidR="0721E8F0" w:rsidP="3FFDC2FF" w:rsidRDefault="0721E8F0" w14:paraId="4E6579F9" w14:textId="18D15477">
      <w:pPr>
        <w:spacing w:before="240" w:beforeAutospacing="off" w:after="240" w:afterAutospacing="off" w:line="360" w:lineRule="auto"/>
        <w:rPr>
          <w:rFonts w:ascii="Arial Nova" w:hAnsi="Arial Nova" w:eastAsia="Arial Nova" w:cs="Arial Nova"/>
          <w:noProof w:val="0"/>
          <w:sz w:val="22"/>
          <w:szCs w:val="22"/>
          <w:lang w:val="en-GB"/>
        </w:rPr>
      </w:pPr>
      <w:r w:rsidRPr="3FFDC2FF" w:rsidR="0721E8F0">
        <w:rPr>
          <w:rFonts w:ascii="Arial Nova" w:hAnsi="Arial Nova" w:eastAsia="Arial Nova" w:cs="Arial Nova"/>
          <w:noProof w:val="0"/>
          <w:sz w:val="22"/>
          <w:szCs w:val="22"/>
          <w:lang w:val="en-GB"/>
        </w:rPr>
        <w:t xml:space="preserve">Department for Education (2018) </w:t>
      </w:r>
      <w:r w:rsidRPr="3FFDC2FF" w:rsidR="0721E8F0">
        <w:rPr>
          <w:rFonts w:ascii="Arial Nova" w:hAnsi="Arial Nova" w:eastAsia="Arial Nova" w:cs="Arial Nova"/>
          <w:i w:val="1"/>
          <w:iCs w:val="1"/>
          <w:noProof w:val="0"/>
          <w:sz w:val="22"/>
          <w:szCs w:val="22"/>
          <w:lang w:val="en-GB"/>
        </w:rPr>
        <w:t>Working Together to Safeguard Children</w:t>
      </w:r>
      <w:r w:rsidRPr="3FFDC2FF" w:rsidR="0721E8F0">
        <w:rPr>
          <w:rFonts w:ascii="Arial Nova" w:hAnsi="Arial Nova" w:eastAsia="Arial Nova" w:cs="Arial Nova"/>
          <w:noProof w:val="0"/>
          <w:sz w:val="22"/>
          <w:szCs w:val="22"/>
          <w:lang w:val="en-GB"/>
        </w:rPr>
        <w:t>. London: HMSO.</w:t>
      </w:r>
    </w:p>
    <w:p w:rsidR="0721E8F0" w:rsidP="3FFDC2FF" w:rsidRDefault="0721E8F0" w14:paraId="056E1BA9" w14:textId="7CE4BF8A">
      <w:pPr>
        <w:spacing w:before="240" w:beforeAutospacing="off" w:after="240" w:afterAutospacing="off" w:line="360" w:lineRule="auto"/>
        <w:rPr>
          <w:rFonts w:ascii="Arial Nova" w:hAnsi="Arial Nova" w:eastAsia="Arial Nova" w:cs="Arial Nova"/>
          <w:noProof w:val="0"/>
          <w:sz w:val="22"/>
          <w:szCs w:val="22"/>
          <w:lang w:val="en-GB"/>
        </w:rPr>
      </w:pPr>
      <w:r w:rsidRPr="3FFDC2FF" w:rsidR="0721E8F0">
        <w:rPr>
          <w:rFonts w:ascii="Arial Nova" w:hAnsi="Arial Nova" w:eastAsia="Arial Nova" w:cs="Arial Nova"/>
          <w:noProof w:val="0"/>
          <w:sz w:val="22"/>
          <w:szCs w:val="22"/>
          <w:lang w:val="en-GB"/>
        </w:rPr>
        <w:t xml:space="preserve">Department of Health, Department for Education and Employment and Home Office (2000) </w:t>
      </w:r>
      <w:r w:rsidRPr="3FFDC2FF" w:rsidR="0721E8F0">
        <w:rPr>
          <w:rFonts w:ascii="Arial Nova" w:hAnsi="Arial Nova" w:eastAsia="Arial Nova" w:cs="Arial Nova"/>
          <w:i w:val="1"/>
          <w:iCs w:val="1"/>
          <w:noProof w:val="0"/>
          <w:sz w:val="22"/>
          <w:szCs w:val="22"/>
          <w:lang w:val="en-GB"/>
        </w:rPr>
        <w:t>Framework for the Assessment of Children in Need and their Families</w:t>
      </w:r>
      <w:r w:rsidRPr="3FFDC2FF" w:rsidR="0721E8F0">
        <w:rPr>
          <w:rFonts w:ascii="Arial Nova" w:hAnsi="Arial Nova" w:eastAsia="Arial Nova" w:cs="Arial Nova"/>
          <w:noProof w:val="0"/>
          <w:sz w:val="22"/>
          <w:szCs w:val="22"/>
          <w:lang w:val="en-GB"/>
        </w:rPr>
        <w:t>. London: The Stationery Office.</w:t>
      </w:r>
    </w:p>
    <w:p w:rsidR="0721E8F0" w:rsidP="3FFDC2FF" w:rsidRDefault="0721E8F0" w14:paraId="223769F8" w14:textId="65BFCDD1">
      <w:pPr>
        <w:spacing w:before="240" w:beforeAutospacing="off" w:after="240" w:afterAutospacing="off" w:line="360" w:lineRule="auto"/>
        <w:rPr>
          <w:rFonts w:ascii="Arial Nova" w:hAnsi="Arial Nova" w:eastAsia="Arial Nova" w:cs="Arial Nova"/>
          <w:noProof w:val="0"/>
          <w:sz w:val="22"/>
          <w:szCs w:val="22"/>
          <w:lang w:val="en-GB"/>
        </w:rPr>
      </w:pPr>
      <w:r w:rsidRPr="3FFDC2FF" w:rsidR="0721E8F0">
        <w:rPr>
          <w:rFonts w:ascii="Arial Nova" w:hAnsi="Arial Nova" w:eastAsia="Arial Nova" w:cs="Arial Nova"/>
          <w:noProof w:val="0"/>
          <w:sz w:val="22"/>
          <w:szCs w:val="22"/>
          <w:lang w:val="en-GB"/>
        </w:rPr>
        <w:t xml:space="preserve">Horwath, J. (2013) </w:t>
      </w:r>
      <w:r w:rsidRPr="3FFDC2FF" w:rsidR="0721E8F0">
        <w:rPr>
          <w:rFonts w:ascii="Arial Nova" w:hAnsi="Arial Nova" w:eastAsia="Arial Nova" w:cs="Arial Nova"/>
          <w:i w:val="1"/>
          <w:iCs w:val="1"/>
          <w:noProof w:val="0"/>
          <w:sz w:val="22"/>
          <w:szCs w:val="22"/>
          <w:lang w:val="en-GB"/>
        </w:rPr>
        <w:t>Child Neglect: Planning and Intervention</w:t>
      </w:r>
      <w:r w:rsidRPr="3FFDC2FF" w:rsidR="0721E8F0">
        <w:rPr>
          <w:rFonts w:ascii="Arial Nova" w:hAnsi="Arial Nova" w:eastAsia="Arial Nova" w:cs="Arial Nova"/>
          <w:noProof w:val="0"/>
          <w:sz w:val="22"/>
          <w:szCs w:val="22"/>
          <w:lang w:val="en-GB"/>
        </w:rPr>
        <w:t>. Basingstoke: Palgrave Macmillan.</w:t>
      </w:r>
    </w:p>
    <w:p w:rsidR="0721E8F0" w:rsidP="3FFDC2FF" w:rsidRDefault="0721E8F0" w14:paraId="784A3454" w14:textId="2A2DCFE8">
      <w:pPr>
        <w:spacing w:before="240" w:beforeAutospacing="off" w:after="240" w:afterAutospacing="off" w:line="360" w:lineRule="auto"/>
        <w:rPr>
          <w:rFonts w:ascii="Arial Nova" w:hAnsi="Arial Nova" w:eastAsia="Arial Nova" w:cs="Arial Nova"/>
          <w:noProof w:val="0"/>
          <w:sz w:val="22"/>
          <w:szCs w:val="22"/>
          <w:lang w:val="en-GB"/>
        </w:rPr>
      </w:pPr>
      <w:r w:rsidRPr="3FFDC2FF" w:rsidR="0721E8F0">
        <w:rPr>
          <w:rFonts w:ascii="Arial Nova" w:hAnsi="Arial Nova" w:eastAsia="Arial Nova" w:cs="Arial Nova"/>
          <w:noProof w:val="0"/>
          <w:sz w:val="22"/>
          <w:szCs w:val="22"/>
          <w:lang w:val="en-GB"/>
        </w:rPr>
        <w:t xml:space="preserve">Munro, E. (2011) </w:t>
      </w:r>
      <w:r w:rsidRPr="3FFDC2FF" w:rsidR="0721E8F0">
        <w:rPr>
          <w:rFonts w:ascii="Arial Nova" w:hAnsi="Arial Nova" w:eastAsia="Arial Nova" w:cs="Arial Nova"/>
          <w:i w:val="1"/>
          <w:iCs w:val="1"/>
          <w:noProof w:val="0"/>
          <w:sz w:val="22"/>
          <w:szCs w:val="22"/>
          <w:lang w:val="en-GB"/>
        </w:rPr>
        <w:t>The Munro Review of Child Protection: Final Report – A Child-Centred System</w:t>
      </w:r>
      <w:r w:rsidRPr="3FFDC2FF" w:rsidR="0721E8F0">
        <w:rPr>
          <w:rFonts w:ascii="Arial Nova" w:hAnsi="Arial Nova" w:eastAsia="Arial Nova" w:cs="Arial Nova"/>
          <w:noProof w:val="0"/>
          <w:sz w:val="22"/>
          <w:szCs w:val="22"/>
          <w:lang w:val="en-GB"/>
        </w:rPr>
        <w:t>. London: Department for Education.</w:t>
      </w:r>
    </w:p>
    <w:p w:rsidR="3FFDC2FF" w:rsidP="3FFDC2FF" w:rsidRDefault="3FFDC2FF" w14:paraId="02BF7AB9" w14:textId="0485DCA5">
      <w:pPr>
        <w:pStyle w:val="Normal"/>
        <w:rPr>
          <w:rFonts w:ascii="Aptos" w:hAnsi="Aptos" w:eastAsia="Aptos" w:cs="Aptos"/>
          <w:noProof w:val="0"/>
          <w:sz w:val="24"/>
          <w:szCs w:val="24"/>
          <w:lang w:val="en-GB"/>
        </w:rPr>
      </w:pPr>
    </w:p>
    <w:sectPr w:rsidRPr="00070DDC" w:rsidR="006869A8">
      <w:pgSz w:w="11906" w:h="16838" w:orient="portrait"/>
      <w:pgMar w:top="1440" w:right="1440" w:bottom="1440" w:left="1440" w:header="708" w:footer="708" w:gutter="0"/>
      <w:cols w:space="708"/>
      <w:docGrid w:linePitch="360"/>
      <w:headerReference w:type="default" r:id="R4e397260168649f0"/>
      <w:footerReference w:type="default" r:id="R1b56e405e8d34e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FFDC2FF" w:rsidTr="3FFDC2FF" w14:paraId="2BB00059">
      <w:trPr>
        <w:trHeight w:val="300"/>
      </w:trPr>
      <w:tc>
        <w:tcPr>
          <w:tcW w:w="3005" w:type="dxa"/>
          <w:tcMar/>
        </w:tcPr>
        <w:p w:rsidR="3FFDC2FF" w:rsidP="3FFDC2FF" w:rsidRDefault="3FFDC2FF" w14:paraId="46A2064B" w14:textId="757243D0">
          <w:pPr>
            <w:pStyle w:val="Header"/>
            <w:bidi w:val="0"/>
            <w:ind w:left="-115"/>
            <w:jc w:val="left"/>
          </w:pPr>
        </w:p>
      </w:tc>
      <w:tc>
        <w:tcPr>
          <w:tcW w:w="3005" w:type="dxa"/>
          <w:tcMar/>
        </w:tcPr>
        <w:p w:rsidR="3FFDC2FF" w:rsidP="3FFDC2FF" w:rsidRDefault="3FFDC2FF" w14:paraId="175D25C0" w14:textId="18125A75">
          <w:pPr>
            <w:pStyle w:val="Header"/>
            <w:bidi w:val="0"/>
            <w:jc w:val="center"/>
          </w:pPr>
        </w:p>
      </w:tc>
      <w:tc>
        <w:tcPr>
          <w:tcW w:w="3005" w:type="dxa"/>
          <w:tcMar/>
        </w:tcPr>
        <w:p w:rsidR="3FFDC2FF" w:rsidP="3FFDC2FF" w:rsidRDefault="3FFDC2FF" w14:paraId="0C1F8F77" w14:textId="2ED532FB">
          <w:pPr>
            <w:pStyle w:val="Header"/>
            <w:bidi w:val="0"/>
            <w:ind w:right="-115"/>
            <w:jc w:val="right"/>
          </w:pPr>
        </w:p>
      </w:tc>
    </w:tr>
  </w:tbl>
  <w:p w:rsidR="3FFDC2FF" w:rsidP="3FFDC2FF" w:rsidRDefault="3FFDC2FF" w14:paraId="49A63D27" w14:textId="2977D83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FFDC2FF" w:rsidTr="3FFDC2FF" w14:paraId="3E76B0B9">
      <w:trPr>
        <w:trHeight w:val="300"/>
      </w:trPr>
      <w:tc>
        <w:tcPr>
          <w:tcW w:w="3005" w:type="dxa"/>
          <w:tcMar/>
        </w:tcPr>
        <w:p w:rsidR="3FFDC2FF" w:rsidP="3FFDC2FF" w:rsidRDefault="3FFDC2FF" w14:paraId="6ED4E9E2" w14:textId="154D9620">
          <w:pPr>
            <w:pStyle w:val="Header"/>
            <w:bidi w:val="0"/>
            <w:ind w:left="-115"/>
            <w:jc w:val="left"/>
          </w:pPr>
        </w:p>
      </w:tc>
      <w:tc>
        <w:tcPr>
          <w:tcW w:w="3005" w:type="dxa"/>
          <w:tcMar/>
        </w:tcPr>
        <w:p w:rsidR="3FFDC2FF" w:rsidP="3FFDC2FF" w:rsidRDefault="3FFDC2FF" w14:paraId="5090C9CE" w14:textId="4E9B9E93">
          <w:pPr>
            <w:pStyle w:val="Header"/>
            <w:bidi w:val="0"/>
            <w:jc w:val="center"/>
          </w:pPr>
        </w:p>
      </w:tc>
      <w:tc>
        <w:tcPr>
          <w:tcW w:w="3005" w:type="dxa"/>
          <w:tcMar/>
        </w:tcPr>
        <w:p w:rsidR="3FFDC2FF" w:rsidP="3FFDC2FF" w:rsidRDefault="3FFDC2FF" w14:paraId="31AC7BBD" w14:textId="5465E0A4">
          <w:pPr>
            <w:pStyle w:val="Header"/>
            <w:bidi w:val="0"/>
            <w:ind w:right="-115"/>
            <w:jc w:val="right"/>
          </w:pPr>
          <w:r>
            <w:fldChar w:fldCharType="begin"/>
          </w:r>
          <w:r>
            <w:instrText xml:space="preserve">PAGE</w:instrText>
          </w:r>
          <w:r>
            <w:fldChar w:fldCharType="separate"/>
          </w:r>
          <w:r>
            <w:fldChar w:fldCharType="end"/>
          </w:r>
        </w:p>
      </w:tc>
    </w:tr>
  </w:tbl>
  <w:p w:rsidR="3FFDC2FF" w:rsidP="3FFDC2FF" w:rsidRDefault="3FFDC2FF" w14:paraId="08C7D258" w14:textId="3BF73350">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7AF4"/>
    <w:rsid w:val="0004327B"/>
    <w:rsid w:val="00070DDC"/>
    <w:rsid w:val="000A1E01"/>
    <w:rsid w:val="001E1962"/>
    <w:rsid w:val="003737EB"/>
    <w:rsid w:val="003D7AF4"/>
    <w:rsid w:val="003E5CFC"/>
    <w:rsid w:val="004446B9"/>
    <w:rsid w:val="006869A8"/>
    <w:rsid w:val="00721D4D"/>
    <w:rsid w:val="009B3093"/>
    <w:rsid w:val="00BF4BBE"/>
    <w:rsid w:val="05400708"/>
    <w:rsid w:val="0721E8F0"/>
    <w:rsid w:val="07559CA1"/>
    <w:rsid w:val="08FC1505"/>
    <w:rsid w:val="09BCCC95"/>
    <w:rsid w:val="0E26C1CE"/>
    <w:rsid w:val="122E7F9A"/>
    <w:rsid w:val="1E305A85"/>
    <w:rsid w:val="1F116CEF"/>
    <w:rsid w:val="1F670F5C"/>
    <w:rsid w:val="21F2112C"/>
    <w:rsid w:val="23AC8D50"/>
    <w:rsid w:val="24CFAA10"/>
    <w:rsid w:val="26110954"/>
    <w:rsid w:val="2824C455"/>
    <w:rsid w:val="282AB8B2"/>
    <w:rsid w:val="29AB8B7E"/>
    <w:rsid w:val="2D6D6B9D"/>
    <w:rsid w:val="2D8F4E55"/>
    <w:rsid w:val="3680FDAB"/>
    <w:rsid w:val="3A7169F5"/>
    <w:rsid w:val="3A8E67C4"/>
    <w:rsid w:val="3D7B3458"/>
    <w:rsid w:val="3EEFD410"/>
    <w:rsid w:val="3F37B2F1"/>
    <w:rsid w:val="3FFDC2FF"/>
    <w:rsid w:val="41B3443E"/>
    <w:rsid w:val="45625F0A"/>
    <w:rsid w:val="4A6B2D56"/>
    <w:rsid w:val="4BF0E3D0"/>
    <w:rsid w:val="4E7CB122"/>
    <w:rsid w:val="50B6145B"/>
    <w:rsid w:val="536C42A8"/>
    <w:rsid w:val="595FAEAD"/>
    <w:rsid w:val="5A180B6B"/>
    <w:rsid w:val="5A6C4228"/>
    <w:rsid w:val="64251050"/>
    <w:rsid w:val="662E7F7C"/>
    <w:rsid w:val="68A464A4"/>
    <w:rsid w:val="68E1DD71"/>
    <w:rsid w:val="6F83072A"/>
    <w:rsid w:val="7395FE75"/>
    <w:rsid w:val="761DF115"/>
    <w:rsid w:val="77DE9839"/>
    <w:rsid w:val="7C59DA4B"/>
    <w:rsid w:val="7D775556"/>
    <w:rsid w:val="7D7946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B816C64"/>
  <w15:chartTrackingRefBased/>
  <w15:docId w15:val="{20F79BAE-CB66-984C-A959-75C163189F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3D7AF4"/>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D7AF4"/>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7A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7A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7A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7A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7A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7A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7AF4"/>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3D7AF4"/>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3D7AF4"/>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3D7AF4"/>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3D7AF4"/>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3D7AF4"/>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3D7AF4"/>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3D7AF4"/>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3D7AF4"/>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3D7AF4"/>
    <w:rPr>
      <w:rFonts w:eastAsiaTheme="majorEastAsia" w:cstheme="majorBidi"/>
      <w:color w:val="272727" w:themeColor="text1" w:themeTint="D8"/>
    </w:rPr>
  </w:style>
  <w:style w:type="paragraph" w:styleId="Title">
    <w:name w:val="Title"/>
    <w:basedOn w:val="Normal"/>
    <w:next w:val="Normal"/>
    <w:link w:val="TitleChar"/>
    <w:uiPriority w:val="10"/>
    <w:qFormat/>
    <w:rsid w:val="003D7AF4"/>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3D7AF4"/>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3D7AF4"/>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3D7A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7AF4"/>
    <w:pPr>
      <w:spacing w:before="160"/>
      <w:jc w:val="center"/>
    </w:pPr>
    <w:rPr>
      <w:i/>
      <w:iCs/>
      <w:color w:val="404040" w:themeColor="text1" w:themeTint="BF"/>
    </w:rPr>
  </w:style>
  <w:style w:type="character" w:styleId="QuoteChar" w:customStyle="1">
    <w:name w:val="Quote Char"/>
    <w:basedOn w:val="DefaultParagraphFont"/>
    <w:link w:val="Quote"/>
    <w:uiPriority w:val="29"/>
    <w:rsid w:val="003D7AF4"/>
    <w:rPr>
      <w:i/>
      <w:iCs/>
      <w:color w:val="404040" w:themeColor="text1" w:themeTint="BF"/>
    </w:rPr>
  </w:style>
  <w:style w:type="paragraph" w:styleId="ListParagraph">
    <w:name w:val="List Paragraph"/>
    <w:basedOn w:val="Normal"/>
    <w:uiPriority w:val="34"/>
    <w:qFormat/>
    <w:rsid w:val="003D7AF4"/>
    <w:pPr>
      <w:ind w:left="720"/>
      <w:contextualSpacing/>
    </w:pPr>
  </w:style>
  <w:style w:type="character" w:styleId="IntenseEmphasis">
    <w:name w:val="Intense Emphasis"/>
    <w:basedOn w:val="DefaultParagraphFont"/>
    <w:uiPriority w:val="21"/>
    <w:qFormat/>
    <w:rsid w:val="003D7AF4"/>
    <w:rPr>
      <w:i/>
      <w:iCs/>
      <w:color w:val="0F4761" w:themeColor="accent1" w:themeShade="BF"/>
    </w:rPr>
  </w:style>
  <w:style w:type="paragraph" w:styleId="IntenseQuote">
    <w:name w:val="Intense Quote"/>
    <w:basedOn w:val="Normal"/>
    <w:next w:val="Normal"/>
    <w:link w:val="IntenseQuoteChar"/>
    <w:uiPriority w:val="30"/>
    <w:qFormat/>
    <w:rsid w:val="003D7AF4"/>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3D7AF4"/>
    <w:rPr>
      <w:i/>
      <w:iCs/>
      <w:color w:val="0F4761" w:themeColor="accent1" w:themeShade="BF"/>
    </w:rPr>
  </w:style>
  <w:style w:type="character" w:styleId="IntenseReference">
    <w:name w:val="Intense Reference"/>
    <w:basedOn w:val="DefaultParagraphFont"/>
    <w:uiPriority w:val="32"/>
    <w:qFormat/>
    <w:rsid w:val="003D7AF4"/>
    <w:rPr>
      <w:b/>
      <w:bCs/>
      <w:smallCaps/>
      <w:color w:val="0F4761" w:themeColor="accent1" w:themeShade="BF"/>
      <w:spacing w:val="5"/>
    </w:rPr>
  </w:style>
  <w:style w:type="paragraph" w:styleId="Header">
    <w:uiPriority w:val="99"/>
    <w:name w:val="header"/>
    <w:basedOn w:val="Normal"/>
    <w:unhideWhenUsed/>
    <w:rsid w:val="3FFDC2FF"/>
    <w:pPr>
      <w:tabs>
        <w:tab w:val="center" w:leader="none" w:pos="4680"/>
        <w:tab w:val="right" w:leader="none" w:pos="9360"/>
      </w:tabs>
      <w:spacing w:after="0" w:line="240" w:lineRule="auto"/>
    </w:pPr>
  </w:style>
  <w:style w:type="paragraph" w:styleId="Footer">
    <w:uiPriority w:val="99"/>
    <w:name w:val="footer"/>
    <w:basedOn w:val="Normal"/>
    <w:unhideWhenUsed/>
    <w:rsid w:val="3FFDC2FF"/>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4e397260168649f0" /><Relationship Type="http://schemas.openxmlformats.org/officeDocument/2006/relationships/footer" Target="footer.xml" Id="R1b56e405e8d34e6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 m</dc:creator>
  <keywords/>
  <dc:description/>
  <lastModifiedBy>Janna Akther (2316154)</lastModifiedBy>
  <revision>12</revision>
  <dcterms:created xsi:type="dcterms:W3CDTF">2025-06-02T19:42:00.0000000Z</dcterms:created>
  <dcterms:modified xsi:type="dcterms:W3CDTF">2026-02-15T20:00:47.0818979Z</dcterms:modified>
</coreProperties>
</file>