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2345E8" w14:textId="77777777" w:rsidR="001C731F" w:rsidRPr="009744CF" w:rsidRDefault="003C358B" w:rsidP="009744CF">
      <w:pPr>
        <w:spacing w:before="100" w:beforeAutospacing="1" w:after="100" w:afterAutospacing="1"/>
        <w:rPr>
          <w:rFonts w:eastAsia="Arial" w:cs="Arial"/>
          <w:sz w:val="22"/>
          <w:szCs w:val="22"/>
        </w:rPr>
      </w:pPr>
      <w:r w:rsidRPr="009744CF">
        <w:rPr>
          <w:noProof/>
          <w:sz w:val="22"/>
          <w:szCs w:val="22"/>
        </w:rPr>
        <w:drawing>
          <wp:anchor distT="0" distB="0" distL="114300" distR="114300" simplePos="0" relativeHeight="251658240" behindDoc="0" locked="0" layoutInCell="1" hidden="0" allowOverlap="1" wp14:anchorId="27F6814E" wp14:editId="36CB4502">
            <wp:simplePos x="0" y="0"/>
            <wp:positionH relativeFrom="column">
              <wp:posOffset>1</wp:posOffset>
            </wp:positionH>
            <wp:positionV relativeFrom="paragraph">
              <wp:posOffset>292100</wp:posOffset>
            </wp:positionV>
            <wp:extent cx="1809750" cy="723900"/>
            <wp:effectExtent l="0" t="0" r="0" b="0"/>
            <wp:wrapSquare wrapText="bothSides" distT="0" distB="0" distL="114300" distR="114300"/>
            <wp:docPr id="1"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preferRelativeResize="0"/>
                  </pic:nvPicPr>
                  <pic:blipFill>
                    <a:blip r:embed="rId9"/>
                    <a:srcRect/>
                    <a:stretch>
                      <a:fillRect/>
                    </a:stretch>
                  </pic:blipFill>
                  <pic:spPr>
                    <a:xfrm>
                      <a:off x="0" y="0"/>
                      <a:ext cx="1809750" cy="723900"/>
                    </a:xfrm>
                    <a:prstGeom prst="rect">
                      <a:avLst/>
                    </a:prstGeom>
                    <a:ln/>
                  </pic:spPr>
                </pic:pic>
              </a:graphicData>
            </a:graphic>
          </wp:anchor>
        </w:drawing>
      </w:r>
    </w:p>
    <w:p w14:paraId="4E3DD196" w14:textId="77777777" w:rsidR="001C731F" w:rsidRPr="009744CF" w:rsidRDefault="001C731F" w:rsidP="009744CF">
      <w:pPr>
        <w:spacing w:before="100" w:beforeAutospacing="1" w:after="100" w:afterAutospacing="1"/>
        <w:rPr>
          <w:rFonts w:eastAsia="Arial" w:cs="Arial"/>
          <w:sz w:val="22"/>
          <w:szCs w:val="22"/>
        </w:rPr>
      </w:pPr>
    </w:p>
    <w:p w14:paraId="349E4E85" w14:textId="77777777" w:rsidR="001C731F" w:rsidRPr="009744CF" w:rsidRDefault="001C731F" w:rsidP="009744CF">
      <w:pPr>
        <w:spacing w:before="100" w:beforeAutospacing="1" w:after="100" w:afterAutospacing="1"/>
        <w:rPr>
          <w:rFonts w:eastAsia="Arial" w:cs="Arial"/>
          <w:sz w:val="22"/>
          <w:szCs w:val="22"/>
        </w:rPr>
      </w:pPr>
    </w:p>
    <w:p w14:paraId="383714CA" w14:textId="77777777" w:rsidR="001C731F" w:rsidRPr="009744CF" w:rsidRDefault="001C731F" w:rsidP="009744CF">
      <w:pPr>
        <w:spacing w:before="100" w:beforeAutospacing="1" w:after="100" w:afterAutospacing="1"/>
        <w:rPr>
          <w:rFonts w:eastAsia="Arial" w:cs="Arial"/>
          <w:sz w:val="22"/>
          <w:szCs w:val="22"/>
        </w:rPr>
      </w:pPr>
    </w:p>
    <w:p w14:paraId="4797628C" w14:textId="77777777" w:rsidR="00D65346" w:rsidRPr="00D65346" w:rsidRDefault="00D65346" w:rsidP="00D65346">
      <w:pPr>
        <w:tabs>
          <w:tab w:val="left" w:pos="6540"/>
        </w:tabs>
        <w:spacing w:before="100" w:beforeAutospacing="1" w:after="100" w:afterAutospacing="1"/>
        <w:rPr>
          <w:rFonts w:eastAsia="Arial" w:cs="Arial"/>
          <w:sz w:val="22"/>
          <w:szCs w:val="22"/>
        </w:rPr>
      </w:pPr>
      <w:r w:rsidRPr="00373332">
        <w:rPr>
          <w:rFonts w:eastAsia="Arial" w:cs="Arial"/>
          <w:b/>
          <w:bCs/>
          <w:sz w:val="28"/>
          <w:szCs w:val="28"/>
        </w:rPr>
        <w:t>Student name</w:t>
      </w:r>
      <w:r w:rsidRPr="00373332">
        <w:rPr>
          <w:rFonts w:eastAsia="Arial" w:cs="Arial"/>
          <w:sz w:val="28"/>
          <w:szCs w:val="28"/>
        </w:rPr>
        <w:t>: Renata Kunceviciute</w:t>
      </w:r>
    </w:p>
    <w:p w14:paraId="15B79CD4" w14:textId="2FE7EBFE" w:rsidR="00D65346" w:rsidRPr="00D65346" w:rsidRDefault="00D65346" w:rsidP="00D65346">
      <w:pPr>
        <w:tabs>
          <w:tab w:val="left" w:pos="6540"/>
        </w:tabs>
        <w:spacing w:before="100" w:beforeAutospacing="1" w:after="100" w:afterAutospacing="1"/>
        <w:rPr>
          <w:rFonts w:eastAsia="Arial" w:cs="Arial"/>
          <w:sz w:val="22"/>
          <w:szCs w:val="22"/>
        </w:rPr>
      </w:pPr>
      <w:r w:rsidRPr="00373332">
        <w:rPr>
          <w:rFonts w:eastAsia="Arial" w:cs="Arial"/>
          <w:b/>
          <w:bCs/>
          <w:sz w:val="28"/>
          <w:szCs w:val="28"/>
        </w:rPr>
        <w:t>Student ID:</w:t>
      </w:r>
      <w:r w:rsidRPr="00373332">
        <w:rPr>
          <w:rFonts w:eastAsia="Arial" w:cs="Arial"/>
          <w:sz w:val="28"/>
          <w:szCs w:val="28"/>
        </w:rPr>
        <w:t xml:space="preserve"> 2429719</w:t>
      </w:r>
    </w:p>
    <w:p w14:paraId="40082B29" w14:textId="77777777" w:rsidR="00D65346" w:rsidRPr="00D65346" w:rsidRDefault="00D65346" w:rsidP="00D65346">
      <w:pPr>
        <w:tabs>
          <w:tab w:val="left" w:pos="6540"/>
        </w:tabs>
        <w:spacing w:before="100" w:beforeAutospacing="1" w:after="100" w:afterAutospacing="1"/>
        <w:rPr>
          <w:rFonts w:eastAsia="Arial" w:cs="Arial"/>
          <w:sz w:val="22"/>
          <w:szCs w:val="22"/>
        </w:rPr>
      </w:pPr>
      <w:r w:rsidRPr="00373332">
        <w:rPr>
          <w:rFonts w:eastAsia="Arial" w:cs="Arial"/>
          <w:b/>
          <w:bCs/>
          <w:sz w:val="28"/>
          <w:szCs w:val="28"/>
        </w:rPr>
        <w:t>Module name:</w:t>
      </w:r>
      <w:r w:rsidRPr="00D65346">
        <w:rPr>
          <w:rFonts w:eastAsia="Arial" w:cs="Arial"/>
          <w:sz w:val="22"/>
          <w:szCs w:val="22"/>
        </w:rPr>
        <w:t xml:space="preserve"> </w:t>
      </w:r>
      <w:r w:rsidRPr="00373332">
        <w:rPr>
          <w:rFonts w:eastAsia="Arial" w:cs="Arial"/>
          <w:sz w:val="28"/>
          <w:szCs w:val="28"/>
        </w:rPr>
        <w:t>Principles of Health and Social Care Practice</w:t>
      </w:r>
    </w:p>
    <w:p w14:paraId="146C9BF0" w14:textId="77777777" w:rsidR="00D65346" w:rsidRPr="00373332" w:rsidRDefault="00D65346" w:rsidP="00D65346">
      <w:pPr>
        <w:tabs>
          <w:tab w:val="left" w:pos="6540"/>
        </w:tabs>
        <w:spacing w:before="100" w:beforeAutospacing="1" w:after="100" w:afterAutospacing="1"/>
        <w:rPr>
          <w:rFonts w:eastAsia="Arial" w:cs="Arial"/>
          <w:sz w:val="28"/>
          <w:szCs w:val="28"/>
        </w:rPr>
      </w:pPr>
      <w:r w:rsidRPr="00373332">
        <w:rPr>
          <w:rFonts w:eastAsia="Arial" w:cs="Arial"/>
          <w:b/>
          <w:bCs/>
          <w:sz w:val="28"/>
          <w:szCs w:val="28"/>
        </w:rPr>
        <w:t>Component:</w:t>
      </w:r>
      <w:r w:rsidRPr="00D65346">
        <w:rPr>
          <w:rFonts w:eastAsia="Arial" w:cs="Arial"/>
          <w:sz w:val="22"/>
          <w:szCs w:val="22"/>
        </w:rPr>
        <w:t xml:space="preserve"> </w:t>
      </w:r>
      <w:r w:rsidRPr="00373332">
        <w:rPr>
          <w:rFonts w:eastAsia="Arial" w:cs="Arial"/>
          <w:sz w:val="28"/>
          <w:szCs w:val="28"/>
        </w:rPr>
        <w:t>1</w:t>
      </w:r>
    </w:p>
    <w:p w14:paraId="25A70A13" w14:textId="77777777" w:rsidR="00D65346" w:rsidRPr="00373332" w:rsidRDefault="00D65346" w:rsidP="00D65346">
      <w:pPr>
        <w:tabs>
          <w:tab w:val="left" w:pos="6540"/>
        </w:tabs>
        <w:spacing w:before="100" w:beforeAutospacing="1" w:after="100" w:afterAutospacing="1"/>
        <w:rPr>
          <w:rFonts w:eastAsia="Arial" w:cs="Arial"/>
          <w:sz w:val="28"/>
          <w:szCs w:val="28"/>
        </w:rPr>
      </w:pPr>
      <w:r w:rsidRPr="00373332">
        <w:rPr>
          <w:rFonts w:eastAsia="Arial" w:cs="Arial"/>
          <w:b/>
          <w:bCs/>
          <w:sz w:val="28"/>
          <w:szCs w:val="28"/>
        </w:rPr>
        <w:t>Module code:</w:t>
      </w:r>
      <w:r w:rsidRPr="00D65346">
        <w:rPr>
          <w:rFonts w:eastAsia="Arial" w:cs="Arial"/>
          <w:sz w:val="22"/>
          <w:szCs w:val="22"/>
        </w:rPr>
        <w:t xml:space="preserve"> </w:t>
      </w:r>
      <w:r w:rsidRPr="00373332">
        <w:rPr>
          <w:rFonts w:eastAsia="Arial" w:cs="Arial"/>
          <w:sz w:val="28"/>
          <w:szCs w:val="28"/>
        </w:rPr>
        <w:t xml:space="preserve">BMHP5016 </w:t>
      </w:r>
    </w:p>
    <w:p w14:paraId="2A54F6C8" w14:textId="143A441C" w:rsidR="001C731F" w:rsidRPr="00373332" w:rsidRDefault="00D65346" w:rsidP="00D65346">
      <w:pPr>
        <w:tabs>
          <w:tab w:val="left" w:pos="6540"/>
        </w:tabs>
        <w:spacing w:before="100" w:beforeAutospacing="1" w:after="100" w:afterAutospacing="1"/>
        <w:rPr>
          <w:rFonts w:eastAsia="Arial" w:cs="Arial"/>
          <w:sz w:val="28"/>
          <w:szCs w:val="28"/>
        </w:rPr>
      </w:pPr>
      <w:r w:rsidRPr="00373332">
        <w:rPr>
          <w:rFonts w:eastAsia="Arial" w:cs="Arial"/>
          <w:b/>
          <w:bCs/>
          <w:sz w:val="28"/>
          <w:szCs w:val="28"/>
        </w:rPr>
        <w:t>Lecturer name:</w:t>
      </w:r>
      <w:r w:rsidRPr="00373332">
        <w:rPr>
          <w:rFonts w:eastAsia="Arial" w:cs="Arial"/>
          <w:sz w:val="28"/>
          <w:szCs w:val="28"/>
        </w:rPr>
        <w:t xml:space="preserve"> Sam Parker</w:t>
      </w:r>
    </w:p>
    <w:p w14:paraId="188C2B7A" w14:textId="77777777" w:rsidR="001C731F" w:rsidRPr="009744CF" w:rsidRDefault="003C358B" w:rsidP="009744CF">
      <w:pPr>
        <w:spacing w:before="100" w:beforeAutospacing="1" w:after="100" w:afterAutospacing="1"/>
        <w:rPr>
          <w:rFonts w:eastAsia="Arial" w:cs="Arial"/>
          <w:sz w:val="22"/>
          <w:szCs w:val="22"/>
        </w:rPr>
      </w:pPr>
      <w:r w:rsidRPr="009744CF">
        <w:rPr>
          <w:sz w:val="22"/>
          <w:szCs w:val="22"/>
        </w:rPr>
        <w:br w:type="page"/>
      </w:r>
    </w:p>
    <w:p w14:paraId="546CB279" w14:textId="77777777" w:rsidR="001C731F" w:rsidRPr="00373332" w:rsidRDefault="003C358B" w:rsidP="009744CF">
      <w:pPr>
        <w:spacing w:before="100" w:beforeAutospacing="1" w:after="100" w:afterAutospacing="1"/>
        <w:rPr>
          <w:rFonts w:eastAsia="Arial" w:cs="Arial"/>
          <w:b/>
          <w:bCs/>
          <w:sz w:val="28"/>
          <w:szCs w:val="28"/>
        </w:rPr>
      </w:pPr>
      <w:r w:rsidRPr="00373332">
        <w:rPr>
          <w:rFonts w:eastAsia="Arial" w:cs="Arial"/>
          <w:b/>
          <w:bCs/>
          <w:sz w:val="28"/>
          <w:szCs w:val="28"/>
        </w:rPr>
        <w:lastRenderedPageBreak/>
        <w:t>Table of contents</w:t>
      </w:r>
    </w:p>
    <w:sdt>
      <w:sdtPr>
        <w:rPr>
          <w:rFonts w:ascii="Arial" w:eastAsia="Times New Roman" w:hAnsi="Arial" w:cs="Times New Roman"/>
          <w:color w:val="auto"/>
          <w:sz w:val="24"/>
          <w:szCs w:val="24"/>
          <w:lang w:val="en-GB" w:eastAsia="en-IN"/>
        </w:rPr>
        <w:id w:val="1949585871"/>
        <w:docPartObj>
          <w:docPartGallery w:val="Table of Contents"/>
          <w:docPartUnique/>
        </w:docPartObj>
      </w:sdtPr>
      <w:sdtEndPr>
        <w:rPr>
          <w:b/>
          <w:bCs/>
          <w:noProof/>
          <w:sz w:val="28"/>
          <w:szCs w:val="28"/>
        </w:rPr>
      </w:sdtEndPr>
      <w:sdtContent>
        <w:p w14:paraId="2BBDF933" w14:textId="448ADB0B" w:rsidR="009744CF" w:rsidRDefault="009744CF">
          <w:pPr>
            <w:pStyle w:val="TOCHeading"/>
          </w:pPr>
        </w:p>
        <w:p w14:paraId="675B1367" w14:textId="32588307" w:rsidR="009744CF" w:rsidRPr="00373332" w:rsidRDefault="009744CF" w:rsidP="009744CF">
          <w:pPr>
            <w:pStyle w:val="TOC1"/>
            <w:tabs>
              <w:tab w:val="right" w:leader="dot" w:pos="9016"/>
            </w:tabs>
            <w:spacing w:before="100" w:beforeAutospacing="1" w:afterAutospacing="1"/>
            <w:rPr>
              <w:b/>
              <w:bCs/>
              <w:noProof/>
              <w:sz w:val="28"/>
              <w:szCs w:val="28"/>
            </w:rPr>
          </w:pPr>
          <w:r w:rsidRPr="00373332">
            <w:rPr>
              <w:b/>
              <w:bCs/>
              <w:sz w:val="28"/>
              <w:szCs w:val="28"/>
            </w:rPr>
            <w:fldChar w:fldCharType="begin"/>
          </w:r>
          <w:r w:rsidRPr="00373332">
            <w:rPr>
              <w:b/>
              <w:bCs/>
              <w:sz w:val="28"/>
              <w:szCs w:val="28"/>
            </w:rPr>
            <w:instrText xml:space="preserve"> TOC \o "1-3" \h \z \u </w:instrText>
          </w:r>
          <w:r w:rsidRPr="00373332">
            <w:rPr>
              <w:b/>
              <w:bCs/>
              <w:sz w:val="28"/>
              <w:szCs w:val="28"/>
            </w:rPr>
            <w:fldChar w:fldCharType="separate"/>
          </w:r>
          <w:hyperlink w:anchor="_Toc235208167" w:history="1">
            <w:r w:rsidRPr="00373332">
              <w:rPr>
                <w:rStyle w:val="Hyperlink"/>
                <w:rFonts w:eastAsia="Arial" w:cs="Arial"/>
                <w:b/>
                <w:bCs/>
                <w:noProof/>
                <w:sz w:val="28"/>
                <w:szCs w:val="28"/>
              </w:rPr>
              <w:t>Task 1:</w:t>
            </w:r>
            <w:r w:rsidRPr="00373332">
              <w:rPr>
                <w:b/>
                <w:bCs/>
                <w:noProof/>
                <w:webHidden/>
                <w:sz w:val="28"/>
                <w:szCs w:val="28"/>
              </w:rPr>
              <w:tab/>
            </w:r>
            <w:r w:rsidRPr="00373332">
              <w:rPr>
                <w:b/>
                <w:bCs/>
                <w:noProof/>
                <w:webHidden/>
                <w:sz w:val="28"/>
                <w:szCs w:val="28"/>
              </w:rPr>
              <w:fldChar w:fldCharType="begin"/>
            </w:r>
            <w:r w:rsidRPr="00373332">
              <w:rPr>
                <w:b/>
                <w:bCs/>
                <w:noProof/>
                <w:webHidden/>
                <w:sz w:val="28"/>
                <w:szCs w:val="28"/>
              </w:rPr>
              <w:instrText xml:space="preserve"> PAGEREF _Toc235208167 \h </w:instrText>
            </w:r>
            <w:r w:rsidRPr="00373332">
              <w:rPr>
                <w:b/>
                <w:bCs/>
                <w:noProof/>
                <w:webHidden/>
                <w:sz w:val="28"/>
                <w:szCs w:val="28"/>
              </w:rPr>
            </w:r>
            <w:r w:rsidRPr="00373332">
              <w:rPr>
                <w:b/>
                <w:bCs/>
                <w:noProof/>
                <w:webHidden/>
                <w:sz w:val="28"/>
                <w:szCs w:val="28"/>
              </w:rPr>
              <w:fldChar w:fldCharType="separate"/>
            </w:r>
            <w:r w:rsidRPr="00373332">
              <w:rPr>
                <w:b/>
                <w:bCs/>
                <w:noProof/>
                <w:webHidden/>
                <w:sz w:val="28"/>
                <w:szCs w:val="28"/>
              </w:rPr>
              <w:t>3</w:t>
            </w:r>
            <w:r w:rsidRPr="00373332">
              <w:rPr>
                <w:b/>
                <w:bCs/>
                <w:noProof/>
                <w:webHidden/>
                <w:sz w:val="28"/>
                <w:szCs w:val="28"/>
              </w:rPr>
              <w:fldChar w:fldCharType="end"/>
            </w:r>
          </w:hyperlink>
        </w:p>
        <w:p w14:paraId="2C043F65" w14:textId="17F2DEC8" w:rsidR="009744CF" w:rsidRPr="00373332" w:rsidRDefault="009744CF" w:rsidP="009744CF">
          <w:pPr>
            <w:pStyle w:val="TOC1"/>
            <w:tabs>
              <w:tab w:val="right" w:leader="dot" w:pos="9016"/>
            </w:tabs>
            <w:spacing w:before="100" w:beforeAutospacing="1" w:afterAutospacing="1"/>
            <w:rPr>
              <w:b/>
              <w:bCs/>
              <w:noProof/>
              <w:sz w:val="28"/>
              <w:szCs w:val="28"/>
            </w:rPr>
          </w:pPr>
          <w:hyperlink w:anchor="_Toc235208168" w:history="1">
            <w:r w:rsidRPr="00373332">
              <w:rPr>
                <w:rStyle w:val="Hyperlink"/>
                <w:rFonts w:eastAsia="Arial" w:cs="Arial"/>
                <w:b/>
                <w:bCs/>
                <w:noProof/>
                <w:sz w:val="28"/>
                <w:szCs w:val="28"/>
              </w:rPr>
              <w:t>Task 2:</w:t>
            </w:r>
            <w:r w:rsidRPr="00373332">
              <w:rPr>
                <w:b/>
                <w:bCs/>
                <w:noProof/>
                <w:webHidden/>
                <w:sz w:val="28"/>
                <w:szCs w:val="28"/>
              </w:rPr>
              <w:tab/>
            </w:r>
            <w:r w:rsidRPr="00373332">
              <w:rPr>
                <w:b/>
                <w:bCs/>
                <w:noProof/>
                <w:webHidden/>
                <w:sz w:val="28"/>
                <w:szCs w:val="28"/>
              </w:rPr>
              <w:fldChar w:fldCharType="begin"/>
            </w:r>
            <w:r w:rsidRPr="00373332">
              <w:rPr>
                <w:b/>
                <w:bCs/>
                <w:noProof/>
                <w:webHidden/>
                <w:sz w:val="28"/>
                <w:szCs w:val="28"/>
              </w:rPr>
              <w:instrText xml:space="preserve"> PAGEREF _Toc235208168 \h </w:instrText>
            </w:r>
            <w:r w:rsidRPr="00373332">
              <w:rPr>
                <w:b/>
                <w:bCs/>
                <w:noProof/>
                <w:webHidden/>
                <w:sz w:val="28"/>
                <w:szCs w:val="28"/>
              </w:rPr>
            </w:r>
            <w:r w:rsidRPr="00373332">
              <w:rPr>
                <w:b/>
                <w:bCs/>
                <w:noProof/>
                <w:webHidden/>
                <w:sz w:val="28"/>
                <w:szCs w:val="28"/>
              </w:rPr>
              <w:fldChar w:fldCharType="separate"/>
            </w:r>
            <w:r w:rsidRPr="00373332">
              <w:rPr>
                <w:b/>
                <w:bCs/>
                <w:noProof/>
                <w:webHidden/>
                <w:sz w:val="28"/>
                <w:szCs w:val="28"/>
              </w:rPr>
              <w:t>4</w:t>
            </w:r>
            <w:r w:rsidRPr="00373332">
              <w:rPr>
                <w:b/>
                <w:bCs/>
                <w:noProof/>
                <w:webHidden/>
                <w:sz w:val="28"/>
                <w:szCs w:val="28"/>
              </w:rPr>
              <w:fldChar w:fldCharType="end"/>
            </w:r>
          </w:hyperlink>
        </w:p>
        <w:p w14:paraId="3A00CB86" w14:textId="10260C32" w:rsidR="009744CF" w:rsidRPr="00373332" w:rsidRDefault="009744CF" w:rsidP="009744CF">
          <w:pPr>
            <w:pStyle w:val="TOC1"/>
            <w:tabs>
              <w:tab w:val="right" w:leader="dot" w:pos="9016"/>
            </w:tabs>
            <w:spacing w:before="100" w:beforeAutospacing="1" w:afterAutospacing="1"/>
            <w:rPr>
              <w:b/>
              <w:bCs/>
              <w:noProof/>
              <w:sz w:val="28"/>
              <w:szCs w:val="28"/>
            </w:rPr>
          </w:pPr>
          <w:hyperlink w:anchor="_Toc235208169" w:history="1">
            <w:r w:rsidRPr="00373332">
              <w:rPr>
                <w:rStyle w:val="Hyperlink"/>
                <w:rFonts w:eastAsia="Arial" w:cs="Arial"/>
                <w:b/>
                <w:bCs/>
                <w:noProof/>
                <w:sz w:val="28"/>
                <w:szCs w:val="28"/>
              </w:rPr>
              <w:t>Task 3:</w:t>
            </w:r>
            <w:r w:rsidRPr="00373332">
              <w:rPr>
                <w:b/>
                <w:bCs/>
                <w:noProof/>
                <w:webHidden/>
                <w:sz w:val="28"/>
                <w:szCs w:val="28"/>
              </w:rPr>
              <w:tab/>
            </w:r>
            <w:r w:rsidRPr="00373332">
              <w:rPr>
                <w:b/>
                <w:bCs/>
                <w:noProof/>
                <w:webHidden/>
                <w:sz w:val="28"/>
                <w:szCs w:val="28"/>
              </w:rPr>
              <w:fldChar w:fldCharType="begin"/>
            </w:r>
            <w:r w:rsidRPr="00373332">
              <w:rPr>
                <w:b/>
                <w:bCs/>
                <w:noProof/>
                <w:webHidden/>
                <w:sz w:val="28"/>
                <w:szCs w:val="28"/>
              </w:rPr>
              <w:instrText xml:space="preserve"> PAGEREF _Toc235208169 \h </w:instrText>
            </w:r>
            <w:r w:rsidRPr="00373332">
              <w:rPr>
                <w:b/>
                <w:bCs/>
                <w:noProof/>
                <w:webHidden/>
                <w:sz w:val="28"/>
                <w:szCs w:val="28"/>
              </w:rPr>
            </w:r>
            <w:r w:rsidRPr="00373332">
              <w:rPr>
                <w:b/>
                <w:bCs/>
                <w:noProof/>
                <w:webHidden/>
                <w:sz w:val="28"/>
                <w:szCs w:val="28"/>
              </w:rPr>
              <w:fldChar w:fldCharType="separate"/>
            </w:r>
            <w:r w:rsidRPr="00373332">
              <w:rPr>
                <w:b/>
                <w:bCs/>
                <w:noProof/>
                <w:webHidden/>
                <w:sz w:val="28"/>
                <w:szCs w:val="28"/>
              </w:rPr>
              <w:t>5</w:t>
            </w:r>
            <w:r w:rsidRPr="00373332">
              <w:rPr>
                <w:b/>
                <w:bCs/>
                <w:noProof/>
                <w:webHidden/>
                <w:sz w:val="28"/>
                <w:szCs w:val="28"/>
              </w:rPr>
              <w:fldChar w:fldCharType="end"/>
            </w:r>
          </w:hyperlink>
        </w:p>
        <w:p w14:paraId="4B8CB89C" w14:textId="28ECE4B8" w:rsidR="009744CF" w:rsidRPr="00373332" w:rsidRDefault="009744CF" w:rsidP="009744CF">
          <w:pPr>
            <w:pStyle w:val="TOC1"/>
            <w:tabs>
              <w:tab w:val="right" w:leader="dot" w:pos="9016"/>
            </w:tabs>
            <w:spacing w:before="100" w:beforeAutospacing="1" w:afterAutospacing="1"/>
            <w:rPr>
              <w:b/>
              <w:bCs/>
              <w:noProof/>
              <w:sz w:val="28"/>
              <w:szCs w:val="28"/>
            </w:rPr>
          </w:pPr>
          <w:hyperlink w:anchor="_Toc235208170" w:history="1">
            <w:r w:rsidRPr="00373332">
              <w:rPr>
                <w:rStyle w:val="Hyperlink"/>
                <w:rFonts w:eastAsia="Arial" w:cs="Arial"/>
                <w:b/>
                <w:bCs/>
                <w:noProof/>
                <w:sz w:val="28"/>
                <w:szCs w:val="28"/>
              </w:rPr>
              <w:t>Conclusion</w:t>
            </w:r>
            <w:r w:rsidRPr="00373332">
              <w:rPr>
                <w:b/>
                <w:bCs/>
                <w:noProof/>
                <w:webHidden/>
                <w:sz w:val="28"/>
                <w:szCs w:val="28"/>
              </w:rPr>
              <w:tab/>
            </w:r>
            <w:r w:rsidRPr="00373332">
              <w:rPr>
                <w:b/>
                <w:bCs/>
                <w:noProof/>
                <w:webHidden/>
                <w:sz w:val="28"/>
                <w:szCs w:val="28"/>
              </w:rPr>
              <w:fldChar w:fldCharType="begin"/>
            </w:r>
            <w:r w:rsidRPr="00373332">
              <w:rPr>
                <w:b/>
                <w:bCs/>
                <w:noProof/>
                <w:webHidden/>
                <w:sz w:val="28"/>
                <w:szCs w:val="28"/>
              </w:rPr>
              <w:instrText xml:space="preserve"> PAGEREF _Toc235208170 \h </w:instrText>
            </w:r>
            <w:r w:rsidRPr="00373332">
              <w:rPr>
                <w:b/>
                <w:bCs/>
                <w:noProof/>
                <w:webHidden/>
                <w:sz w:val="28"/>
                <w:szCs w:val="28"/>
              </w:rPr>
            </w:r>
            <w:r w:rsidRPr="00373332">
              <w:rPr>
                <w:b/>
                <w:bCs/>
                <w:noProof/>
                <w:webHidden/>
                <w:sz w:val="28"/>
                <w:szCs w:val="28"/>
              </w:rPr>
              <w:fldChar w:fldCharType="separate"/>
            </w:r>
            <w:r w:rsidRPr="00373332">
              <w:rPr>
                <w:b/>
                <w:bCs/>
                <w:noProof/>
                <w:webHidden/>
                <w:sz w:val="28"/>
                <w:szCs w:val="28"/>
              </w:rPr>
              <w:t>9</w:t>
            </w:r>
            <w:r w:rsidRPr="00373332">
              <w:rPr>
                <w:b/>
                <w:bCs/>
                <w:noProof/>
                <w:webHidden/>
                <w:sz w:val="28"/>
                <w:szCs w:val="28"/>
              </w:rPr>
              <w:fldChar w:fldCharType="end"/>
            </w:r>
          </w:hyperlink>
        </w:p>
        <w:p w14:paraId="709305D8" w14:textId="178275AB" w:rsidR="009744CF" w:rsidRPr="00373332" w:rsidRDefault="009744CF" w:rsidP="009744CF">
          <w:pPr>
            <w:pStyle w:val="TOC1"/>
            <w:tabs>
              <w:tab w:val="right" w:leader="dot" w:pos="9016"/>
            </w:tabs>
            <w:spacing w:before="100" w:beforeAutospacing="1" w:afterAutospacing="1"/>
            <w:rPr>
              <w:b/>
              <w:bCs/>
              <w:noProof/>
              <w:sz w:val="28"/>
              <w:szCs w:val="28"/>
            </w:rPr>
          </w:pPr>
          <w:hyperlink w:anchor="_Toc235208171" w:history="1">
            <w:r w:rsidRPr="00373332">
              <w:rPr>
                <w:rStyle w:val="Hyperlink"/>
                <w:rFonts w:eastAsia="Arial" w:cs="Arial"/>
                <w:b/>
                <w:bCs/>
                <w:noProof/>
                <w:sz w:val="28"/>
                <w:szCs w:val="28"/>
              </w:rPr>
              <w:t>References</w:t>
            </w:r>
            <w:r w:rsidRPr="00373332">
              <w:rPr>
                <w:b/>
                <w:bCs/>
                <w:noProof/>
                <w:webHidden/>
                <w:sz w:val="28"/>
                <w:szCs w:val="28"/>
              </w:rPr>
              <w:tab/>
            </w:r>
            <w:r w:rsidRPr="00373332">
              <w:rPr>
                <w:b/>
                <w:bCs/>
                <w:noProof/>
                <w:webHidden/>
                <w:sz w:val="28"/>
                <w:szCs w:val="28"/>
              </w:rPr>
              <w:fldChar w:fldCharType="begin"/>
            </w:r>
            <w:r w:rsidRPr="00373332">
              <w:rPr>
                <w:b/>
                <w:bCs/>
                <w:noProof/>
                <w:webHidden/>
                <w:sz w:val="28"/>
                <w:szCs w:val="28"/>
              </w:rPr>
              <w:instrText xml:space="preserve"> PAGEREF _Toc235208171 \h </w:instrText>
            </w:r>
            <w:r w:rsidRPr="00373332">
              <w:rPr>
                <w:b/>
                <w:bCs/>
                <w:noProof/>
                <w:webHidden/>
                <w:sz w:val="28"/>
                <w:szCs w:val="28"/>
              </w:rPr>
            </w:r>
            <w:r w:rsidRPr="00373332">
              <w:rPr>
                <w:b/>
                <w:bCs/>
                <w:noProof/>
                <w:webHidden/>
                <w:sz w:val="28"/>
                <w:szCs w:val="28"/>
              </w:rPr>
              <w:fldChar w:fldCharType="separate"/>
            </w:r>
            <w:r w:rsidRPr="00373332">
              <w:rPr>
                <w:b/>
                <w:bCs/>
                <w:noProof/>
                <w:webHidden/>
                <w:sz w:val="28"/>
                <w:szCs w:val="28"/>
              </w:rPr>
              <w:t>10</w:t>
            </w:r>
            <w:r w:rsidRPr="00373332">
              <w:rPr>
                <w:b/>
                <w:bCs/>
                <w:noProof/>
                <w:webHidden/>
                <w:sz w:val="28"/>
                <w:szCs w:val="28"/>
              </w:rPr>
              <w:fldChar w:fldCharType="end"/>
            </w:r>
          </w:hyperlink>
        </w:p>
        <w:p w14:paraId="320DD399" w14:textId="02E8DD25" w:rsidR="009744CF" w:rsidRPr="00373332" w:rsidRDefault="009744CF">
          <w:pPr>
            <w:rPr>
              <w:b/>
              <w:bCs/>
              <w:sz w:val="28"/>
              <w:szCs w:val="28"/>
            </w:rPr>
          </w:pPr>
          <w:r w:rsidRPr="00373332">
            <w:rPr>
              <w:b/>
              <w:bCs/>
              <w:noProof/>
              <w:sz w:val="28"/>
              <w:szCs w:val="28"/>
            </w:rPr>
            <w:fldChar w:fldCharType="end"/>
          </w:r>
        </w:p>
      </w:sdtContent>
    </w:sdt>
    <w:p w14:paraId="0A0AD761" w14:textId="77777777" w:rsidR="009744CF" w:rsidRPr="009744CF" w:rsidRDefault="009744CF" w:rsidP="009744CF">
      <w:pPr>
        <w:spacing w:before="100" w:beforeAutospacing="1" w:after="100" w:afterAutospacing="1"/>
        <w:rPr>
          <w:rFonts w:eastAsia="Arial" w:cs="Arial"/>
          <w:b/>
          <w:bCs/>
          <w:sz w:val="22"/>
          <w:szCs w:val="22"/>
        </w:rPr>
      </w:pPr>
    </w:p>
    <w:p w14:paraId="6907ACE9" w14:textId="77777777" w:rsidR="001C731F" w:rsidRPr="009744CF" w:rsidRDefault="001C731F" w:rsidP="009744CF">
      <w:pPr>
        <w:spacing w:before="100" w:beforeAutospacing="1" w:after="100" w:afterAutospacing="1"/>
        <w:rPr>
          <w:rFonts w:eastAsia="Arial" w:cs="Arial"/>
          <w:sz w:val="22"/>
          <w:szCs w:val="22"/>
        </w:rPr>
      </w:pPr>
    </w:p>
    <w:p w14:paraId="6681687E" w14:textId="77777777" w:rsidR="001C731F" w:rsidRPr="009744CF" w:rsidRDefault="001C731F" w:rsidP="009744CF">
      <w:pPr>
        <w:spacing w:before="100" w:beforeAutospacing="1" w:after="100" w:afterAutospacing="1"/>
        <w:rPr>
          <w:rFonts w:eastAsia="Arial" w:cs="Arial"/>
          <w:sz w:val="22"/>
          <w:szCs w:val="22"/>
        </w:rPr>
      </w:pPr>
    </w:p>
    <w:p w14:paraId="0D92A1A9" w14:textId="77777777" w:rsidR="001C731F" w:rsidRPr="009744CF" w:rsidRDefault="001C731F" w:rsidP="009744CF">
      <w:pPr>
        <w:spacing w:before="100" w:beforeAutospacing="1" w:after="100" w:afterAutospacing="1"/>
        <w:rPr>
          <w:rFonts w:eastAsia="Arial" w:cs="Arial"/>
          <w:sz w:val="22"/>
          <w:szCs w:val="22"/>
        </w:rPr>
      </w:pPr>
    </w:p>
    <w:p w14:paraId="4D509BD9" w14:textId="77777777" w:rsidR="001C731F" w:rsidRPr="009744CF" w:rsidRDefault="001C731F" w:rsidP="009744CF">
      <w:pPr>
        <w:spacing w:before="100" w:beforeAutospacing="1" w:after="100" w:afterAutospacing="1"/>
        <w:rPr>
          <w:rFonts w:eastAsia="Arial" w:cs="Arial"/>
          <w:sz w:val="22"/>
          <w:szCs w:val="22"/>
        </w:rPr>
      </w:pPr>
    </w:p>
    <w:p w14:paraId="2877AA4D" w14:textId="77777777" w:rsidR="001C731F" w:rsidRPr="009744CF" w:rsidRDefault="003C358B" w:rsidP="009744CF">
      <w:pPr>
        <w:spacing w:before="100" w:beforeAutospacing="1" w:after="100" w:afterAutospacing="1"/>
        <w:rPr>
          <w:rFonts w:eastAsia="Arial" w:cs="Arial"/>
          <w:sz w:val="22"/>
          <w:szCs w:val="22"/>
        </w:rPr>
      </w:pPr>
      <w:r w:rsidRPr="009744CF">
        <w:rPr>
          <w:sz w:val="22"/>
          <w:szCs w:val="22"/>
        </w:rPr>
        <w:br w:type="page"/>
      </w:r>
    </w:p>
    <w:p w14:paraId="11CD16FB" w14:textId="77777777" w:rsidR="001C731F" w:rsidRPr="009744CF" w:rsidRDefault="003C358B" w:rsidP="009744CF">
      <w:pPr>
        <w:pStyle w:val="Heading1"/>
        <w:spacing w:before="100" w:beforeAutospacing="1" w:after="100" w:afterAutospacing="1"/>
        <w:rPr>
          <w:rFonts w:eastAsia="Arial" w:cs="Arial"/>
          <w:sz w:val="22"/>
          <w:szCs w:val="22"/>
        </w:rPr>
      </w:pPr>
      <w:bookmarkStart w:id="0" w:name="_heading=h.bd46ovr38x10" w:colFirst="0" w:colLast="0"/>
      <w:bookmarkStart w:id="1" w:name="_Toc235208167"/>
      <w:bookmarkEnd w:id="0"/>
      <w:r w:rsidRPr="009744CF">
        <w:rPr>
          <w:rFonts w:eastAsia="Arial" w:cs="Arial"/>
          <w:sz w:val="22"/>
          <w:szCs w:val="22"/>
        </w:rPr>
        <w:lastRenderedPageBreak/>
        <w:t>Task 1:</w:t>
      </w:r>
      <w:bookmarkEnd w:id="1"/>
      <w:r w:rsidRPr="009744CF">
        <w:rPr>
          <w:rFonts w:eastAsia="Arial" w:cs="Arial"/>
          <w:sz w:val="22"/>
          <w:szCs w:val="22"/>
        </w:rPr>
        <w:t xml:space="preserve"> </w:t>
      </w:r>
    </w:p>
    <w:p w14:paraId="03F747D8" w14:textId="4737BC0D" w:rsidR="001C731F" w:rsidRPr="009744CF" w:rsidRDefault="003C358B" w:rsidP="009744CF">
      <w:pPr>
        <w:spacing w:before="100" w:beforeAutospacing="1" w:after="100" w:afterAutospacing="1"/>
        <w:rPr>
          <w:rFonts w:eastAsia="Arial" w:cs="Arial"/>
          <w:sz w:val="22"/>
          <w:szCs w:val="22"/>
        </w:rPr>
      </w:pPr>
      <w:r w:rsidRPr="009744CF">
        <w:rPr>
          <w:rFonts w:eastAsia="Arial" w:cs="Arial"/>
          <w:sz w:val="22"/>
          <w:szCs w:val="22"/>
        </w:rPr>
        <w:t xml:space="preserve">While defining person-centred care, Coulter and Oldham (2016) claimed that it refers to treating patients as individuals and equal partners in the act of healing through coordinated and personalised means. On this note, the philosophy of person-centred care emphasises individuals and their abilities, rather than their conditions or weaknesses. This care approach strongly aligns with Maslow’s hierarchy of needs theory that prioritises meeting basic needs, like physiological or safety-related requirements, first before focusing on higher psychological demands (Poirier and Devraj, 2019). In this sense, the healthcare practitioners need to address lower health needs and later must consider supporting a sense of belonging and empowerment to satisfy the esteem and self-actualisation needs of patients. </w:t>
      </w:r>
      <w:r w:rsidR="009744CF">
        <w:rPr>
          <w:rFonts w:eastAsia="Arial" w:cs="Arial"/>
          <w:sz w:val="22"/>
          <w:szCs w:val="22"/>
        </w:rPr>
        <w:t>The relevance</w:t>
      </w:r>
      <w:r w:rsidRPr="009744CF">
        <w:rPr>
          <w:rFonts w:eastAsia="Arial" w:cs="Arial"/>
          <w:sz w:val="22"/>
          <w:szCs w:val="22"/>
        </w:rPr>
        <w:t xml:space="preserve"> can be more effectively understood through the legislative implementation of the Care Act 2014, which operates with the well-being principle that outlines a statutory duty for local authorities to promote a holistic care plan by maximising the involvement of individuals in the assessment and delivery of care (GOV.UK, 2016). This act by prioritising the strength-based approach also underpins valuing the abilities, feelings, and aspirations, and not merely their deficits. This indicates the significance of a person-centred care approach in planning and delivering high-quality health and social care by meeting legislative requirements.   </w:t>
      </w:r>
    </w:p>
    <w:p w14:paraId="408BE6D6" w14:textId="23E93ED9" w:rsidR="001C731F" w:rsidRPr="009744CF" w:rsidRDefault="003C358B" w:rsidP="009744CF">
      <w:pPr>
        <w:spacing w:before="100" w:beforeAutospacing="1" w:after="100" w:afterAutospacing="1"/>
        <w:rPr>
          <w:rFonts w:eastAsia="Arial" w:cs="Arial"/>
          <w:sz w:val="22"/>
          <w:szCs w:val="22"/>
        </w:rPr>
      </w:pPr>
      <w:r w:rsidRPr="009744CF">
        <w:rPr>
          <w:rFonts w:eastAsia="Arial" w:cs="Arial"/>
          <w:sz w:val="22"/>
          <w:szCs w:val="22"/>
        </w:rPr>
        <w:t>In the UK care context, partnership working refers to the deliberate coordination between professionals and agencies to deliver a more planned person-centred support. As claimed by Glasby (2017), conceptually, partnership working strongly considers developing a ‘</w:t>
      </w:r>
      <w:r w:rsidR="00793940" w:rsidRPr="009744CF">
        <w:rPr>
          <w:rFonts w:eastAsia="Arial" w:cs="Arial"/>
          <w:sz w:val="22"/>
          <w:szCs w:val="22"/>
        </w:rPr>
        <w:t>joined up</w:t>
      </w:r>
      <w:r w:rsidRPr="009744CF">
        <w:rPr>
          <w:rFonts w:eastAsia="Arial" w:cs="Arial"/>
          <w:sz w:val="22"/>
          <w:szCs w:val="22"/>
        </w:rPr>
        <w:t xml:space="preserve">’ response among different health and social care experts and organisations </w:t>
      </w:r>
      <w:r w:rsidR="00EB11EE" w:rsidRPr="009744CF">
        <w:rPr>
          <w:rFonts w:eastAsia="Arial" w:cs="Arial"/>
          <w:sz w:val="22"/>
          <w:szCs w:val="22"/>
        </w:rPr>
        <w:t>to</w:t>
      </w:r>
      <w:r w:rsidRPr="009744CF">
        <w:rPr>
          <w:rFonts w:eastAsia="Arial" w:cs="Arial"/>
          <w:sz w:val="22"/>
          <w:szCs w:val="22"/>
        </w:rPr>
        <w:t xml:space="preserve"> facilitate a more prompt and efficient holistic care delivery. The Health and Care Act 2022 is a foundational legal context to understand this concept. This act stresses establishing Integrated Care Boards (ICBs) and Partnerships (ICPs) that push NHS, local councils and voluntary groups to work collaboratively </w:t>
      </w:r>
      <w:r w:rsidR="00EB11EE" w:rsidRPr="009744CF">
        <w:rPr>
          <w:rFonts w:eastAsia="Arial" w:cs="Arial"/>
          <w:sz w:val="22"/>
          <w:szCs w:val="22"/>
        </w:rPr>
        <w:t>to</w:t>
      </w:r>
      <w:r w:rsidRPr="009744CF">
        <w:rPr>
          <w:rFonts w:eastAsia="Arial" w:cs="Arial"/>
          <w:sz w:val="22"/>
          <w:szCs w:val="22"/>
        </w:rPr>
        <w:t xml:space="preserve"> improve the discharge and community support facilities (Legislation.gov.uk, n.d.). This multilevel cooperation strongly reflects the ‘mesosystem’ concept under Bronfenbrenner’s ecological systems theory by highlighting how two microsystems, for instance, a patient’s family and their GP, interact constantly. As Kern et al. (2024) claimed, when services are planned jointly, the issues, like gaps or duplication, are reduced. </w:t>
      </w:r>
      <w:r w:rsidR="00793940" w:rsidRPr="009744CF">
        <w:rPr>
          <w:rFonts w:eastAsia="Arial" w:cs="Arial"/>
          <w:sz w:val="22"/>
          <w:szCs w:val="22"/>
        </w:rPr>
        <w:t>Therefore,</w:t>
      </w:r>
      <w:r w:rsidRPr="009744CF">
        <w:rPr>
          <w:rFonts w:eastAsia="Arial" w:cs="Arial"/>
          <w:sz w:val="22"/>
          <w:szCs w:val="22"/>
        </w:rPr>
        <w:t xml:space="preserve"> this approach ensures better care and safety.   </w:t>
      </w:r>
    </w:p>
    <w:p w14:paraId="52237084" w14:textId="77777777" w:rsidR="001C731F" w:rsidRPr="009744CF" w:rsidRDefault="003C358B" w:rsidP="009744CF">
      <w:pPr>
        <w:spacing w:before="100" w:beforeAutospacing="1" w:after="100" w:afterAutospacing="1"/>
        <w:rPr>
          <w:rFonts w:eastAsia="Arial" w:cs="Arial"/>
          <w:sz w:val="22"/>
          <w:szCs w:val="22"/>
        </w:rPr>
      </w:pPr>
      <w:r w:rsidRPr="009744CF">
        <w:rPr>
          <w:rFonts w:eastAsia="Arial" w:cs="Arial"/>
          <w:sz w:val="22"/>
          <w:szCs w:val="22"/>
        </w:rPr>
        <w:t xml:space="preserve">Ethics offer a stronger moral framework to guide person-centred and collaborative care in the UK health and social care context. Here, four ethical principles, known as beneficence, non-maleficence, autonomy, and justice, are widely recognised as guiding factors in allied care practices (McLean, 2021). Autonomy refers to respecting the individual choices of patients, </w:t>
      </w:r>
      <w:r w:rsidRPr="009744CF">
        <w:rPr>
          <w:rFonts w:eastAsia="Arial" w:cs="Arial"/>
          <w:sz w:val="22"/>
          <w:szCs w:val="22"/>
        </w:rPr>
        <w:lastRenderedPageBreak/>
        <w:t>and beneficence and non-maleficence require healthcare practitioners to work collaboratively in line with the best interests of patients. Justice demands the facilitation of non-discriminatory and fair practices in care delivery, which is also codified through relevant codes of conduct, such as HCPC or even legislation, like the Equality Act 2010. Ethical practices also demand the protection of patients’ dignity and confidentiality through all means (Shelat, 2025). These ethical requirements, thus, altogether ensure the delivered care is effective and, at the same time, is right-based and just.</w:t>
      </w:r>
    </w:p>
    <w:p w14:paraId="0454F719" w14:textId="77777777" w:rsidR="001C731F" w:rsidRPr="009744CF" w:rsidRDefault="003C358B" w:rsidP="009744CF">
      <w:pPr>
        <w:pStyle w:val="Heading1"/>
        <w:spacing w:before="100" w:beforeAutospacing="1" w:after="100" w:afterAutospacing="1"/>
        <w:rPr>
          <w:rFonts w:eastAsia="Arial" w:cs="Arial"/>
          <w:sz w:val="22"/>
          <w:szCs w:val="22"/>
        </w:rPr>
      </w:pPr>
      <w:bookmarkStart w:id="2" w:name="_heading=h.5ldnffa81i6e" w:colFirst="0" w:colLast="0"/>
      <w:bookmarkStart w:id="3" w:name="_Toc235208168"/>
      <w:bookmarkEnd w:id="2"/>
      <w:r w:rsidRPr="009744CF">
        <w:rPr>
          <w:rFonts w:eastAsia="Arial" w:cs="Arial"/>
          <w:sz w:val="22"/>
          <w:szCs w:val="22"/>
        </w:rPr>
        <w:t>Task 2:</w:t>
      </w:r>
      <w:bookmarkEnd w:id="3"/>
      <w:r w:rsidRPr="009744CF">
        <w:rPr>
          <w:rFonts w:eastAsia="Arial" w:cs="Arial"/>
          <w:sz w:val="22"/>
          <w:szCs w:val="22"/>
        </w:rPr>
        <w:t xml:space="preserve"> </w:t>
      </w:r>
    </w:p>
    <w:p w14:paraId="4A981AFA" w14:textId="284FFBEE" w:rsidR="001C731F" w:rsidRPr="009744CF" w:rsidRDefault="003C358B" w:rsidP="009744CF">
      <w:pPr>
        <w:spacing w:before="100" w:beforeAutospacing="1" w:after="100" w:afterAutospacing="1"/>
        <w:rPr>
          <w:rFonts w:eastAsia="Arial" w:cs="Arial"/>
          <w:sz w:val="22"/>
          <w:szCs w:val="22"/>
        </w:rPr>
      </w:pPr>
      <w:r w:rsidRPr="009744CF">
        <w:rPr>
          <w:rFonts w:eastAsia="Arial" w:cs="Arial"/>
          <w:sz w:val="22"/>
          <w:szCs w:val="22"/>
        </w:rPr>
        <w:t xml:space="preserve">A practical example of person-centred care, ethical practice, and partnership working can be mentioned through one of my real personal experiences in a UK-based health and social care setting. As a voluntary community worker, there, I was involved in supporting the care and discharge planning of an older individual whom I admitted to the hospital after a fall that reduced his mobility. The individual also lived alone and had the symptoms of mild cognitive impairment. I also noticed that the patient had a close family member who offered him informal support. For confidentiality purposes, here no names of the patients or other people have been mentioned. To deliver effective care, at the very beginning, a multidisciplinary (MDT) team was formed at the hospital. I witnessed how nurses, occupational therapists, doctors, and a physiotherapist included me as well as the patient in the whole care planning. In line with the views of Riste et al. (2018), I understood that the adopted strategy was in line with the principles of the person-centred approach. Instead of merely focusing on the medical conditions of the patients, the professionals as a team went on investigating the personal preferences, home environment, and even the daily routines and future goals of the patients. It had also been explored during the discussion that the patient strongly wished to go back to his home and did not want to be relocated to any residential care. I think, in line with the philosophy of person-centred care, such an approach to prioritise the feelings and wishes of the patient strongly contributed to his overall well-being. </w:t>
      </w:r>
    </w:p>
    <w:p w14:paraId="356D5045" w14:textId="5EE40995" w:rsidR="001C731F" w:rsidRPr="009744CF" w:rsidRDefault="003C358B" w:rsidP="009744CF">
      <w:pPr>
        <w:spacing w:before="100" w:beforeAutospacing="1" w:after="100" w:afterAutospacing="1"/>
        <w:rPr>
          <w:rFonts w:eastAsia="Arial" w:cs="Arial"/>
          <w:sz w:val="22"/>
          <w:szCs w:val="22"/>
        </w:rPr>
      </w:pPr>
      <w:r w:rsidRPr="009744CF">
        <w:rPr>
          <w:rFonts w:eastAsia="Arial" w:cs="Arial"/>
          <w:sz w:val="22"/>
          <w:szCs w:val="22"/>
        </w:rPr>
        <w:t xml:space="preserve">Furthermore, I practically witnessed how partnership working contributed to an effective discharge process. The MDT held regular meetings to share relevant information about the patient’s care, or even they jointly assessed the risks after his discharge. The occupational therapist, for instance, assessed the home environment and recommended relevant adaptations, and the physiotherapist identified several rehabilitation strategies to improve his mobility. I had been involved in the whole process of informing all the information to the close family member of the patient. There, I witnessed how integrated work practices between professionals improve communication while planning and delivering care, which, as per </w:t>
      </w:r>
      <w:r w:rsidRPr="009744CF">
        <w:rPr>
          <w:rFonts w:eastAsia="Arial" w:cs="Arial"/>
          <w:sz w:val="22"/>
          <w:szCs w:val="22"/>
        </w:rPr>
        <w:lastRenderedPageBreak/>
        <w:t xml:space="preserve">Pradelli et al. (2025), helps reduce misunderstandings or duplications to deliver high-quality services on time. This situation also reflected several ethical considerations, as I identified. The MDT repeatedly identified the potential risks for the patient after returning home, where he stayed alone. However, the patient had the mental capacity to make decisions related to his future care. If seen from the Mental Capacity Act, 2005, it requires practitioners to support individuals to make decisions unless their incapabilities are proven (NHS, n.d.). I observed how the team, instead of discarding the wishes of the patient, discussed the possible risks and developed a risk management plan by outlining the necessary support mechanisms to promote utmost safety for the patient even after his discharge. This ethical approach also ensured the maintenance of the independence of the patient while the practitioners disclosed all information regarding the patient only to associated people into the care planning. This again ensured the maintenance of the ethical principles related to the patient’s dignity and confidentiality to meet all legal and ethical responsibilities.       </w:t>
      </w:r>
    </w:p>
    <w:p w14:paraId="3DAD251C" w14:textId="77777777" w:rsidR="001C731F" w:rsidRPr="009744CF" w:rsidRDefault="003C358B" w:rsidP="009744CF">
      <w:pPr>
        <w:pStyle w:val="Heading1"/>
        <w:spacing w:before="100" w:beforeAutospacing="1" w:after="100" w:afterAutospacing="1"/>
        <w:rPr>
          <w:rFonts w:eastAsia="Arial" w:cs="Arial"/>
          <w:sz w:val="22"/>
          <w:szCs w:val="22"/>
        </w:rPr>
      </w:pPr>
      <w:bookmarkStart w:id="4" w:name="_heading=h.18bde4qd0vcn" w:colFirst="0" w:colLast="0"/>
      <w:bookmarkStart w:id="5" w:name="_Toc235208169"/>
      <w:bookmarkEnd w:id="4"/>
      <w:r w:rsidRPr="009744CF">
        <w:rPr>
          <w:rFonts w:eastAsia="Arial" w:cs="Arial"/>
          <w:sz w:val="22"/>
          <w:szCs w:val="22"/>
        </w:rPr>
        <w:t>Task 3:</w:t>
      </w:r>
      <w:bookmarkEnd w:id="5"/>
      <w:r w:rsidRPr="009744CF">
        <w:rPr>
          <w:rFonts w:eastAsia="Arial" w:cs="Arial"/>
          <w:sz w:val="22"/>
          <w:szCs w:val="22"/>
        </w:rPr>
        <w:t xml:space="preserve"> </w:t>
      </w:r>
    </w:p>
    <w:p w14:paraId="367565EF" w14:textId="4774A3A9" w:rsidR="001C731F" w:rsidRPr="009744CF" w:rsidRDefault="003C358B" w:rsidP="009744CF">
      <w:pPr>
        <w:spacing w:before="100" w:beforeAutospacing="1" w:after="100" w:afterAutospacing="1"/>
        <w:rPr>
          <w:rFonts w:eastAsia="Arial" w:cs="Arial"/>
          <w:sz w:val="22"/>
          <w:szCs w:val="22"/>
        </w:rPr>
      </w:pPr>
      <w:r w:rsidRPr="009744CF">
        <w:rPr>
          <w:rFonts w:eastAsia="Arial" w:cs="Arial"/>
          <w:sz w:val="22"/>
          <w:szCs w:val="22"/>
        </w:rPr>
        <w:t xml:space="preserve">Considering the </w:t>
      </w:r>
      <w:r w:rsidR="009F59D4" w:rsidRPr="009744CF">
        <w:rPr>
          <w:rFonts w:eastAsia="Arial" w:cs="Arial"/>
          <w:sz w:val="22"/>
          <w:szCs w:val="22"/>
        </w:rPr>
        <w:t>experience</w:t>
      </w:r>
      <w:r w:rsidRPr="009744CF">
        <w:rPr>
          <w:rFonts w:eastAsia="Arial" w:cs="Arial"/>
          <w:sz w:val="22"/>
          <w:szCs w:val="22"/>
        </w:rPr>
        <w:t xml:space="preserve"> of mine, a critical reflective analysis has been done here to assess the contribution of the identified principles in shaping my professional growth. I have used the Gibbs reflective model here, which, according to Ocampo et al. (2025), allows a systematic reflection through six stages and outlines scope for future actions for necessary improvements.</w:t>
      </w:r>
    </w:p>
    <w:p w14:paraId="50D45598" w14:textId="77777777" w:rsidR="001C731F" w:rsidRPr="009744CF" w:rsidRDefault="003C358B" w:rsidP="009744CF">
      <w:pPr>
        <w:spacing w:before="100" w:beforeAutospacing="1" w:after="100" w:afterAutospacing="1"/>
        <w:rPr>
          <w:rFonts w:eastAsia="Arial" w:cs="Arial"/>
          <w:sz w:val="22"/>
          <w:szCs w:val="22"/>
        </w:rPr>
      </w:pPr>
      <w:r w:rsidRPr="009744CF">
        <w:rPr>
          <w:rFonts w:eastAsia="Arial" w:cs="Arial"/>
          <w:b/>
          <w:bCs/>
          <w:sz w:val="22"/>
          <w:szCs w:val="22"/>
        </w:rPr>
        <w:t>Description:</w:t>
      </w:r>
      <w:r w:rsidRPr="009744CF">
        <w:rPr>
          <w:rFonts w:eastAsia="Arial" w:cs="Arial"/>
          <w:sz w:val="22"/>
          <w:szCs w:val="22"/>
        </w:rPr>
        <w:t xml:space="preserve"> As the personal example mentioned, I participated in the event as a voluntary community worker. I was actively involved in the hospital discharge plan for an elderly patient with multiple needs who was admitted to the hospital after a fall and faced mobility issues. The patient also had mild dementia. The discharge planning, as I mentioned in the earlier section, included an MDT setup and together we created a home support plan as he wished not to be relocated to any residential care. After admitting the patient to the hospital by contacting his close relative, we went through regular discussions. During discharge, again, we had to conduct a joint risk assessment by prioritising the patient’s wish to return to his own home. The hospital staff outlined the nursing needs, and the physiotherapist decided on the short-term orthopaedic care post-discharge. As a community worker, I went through a detailed discussion with the occupational therapist regarding the home adaptation and the daily activities of the patient, such as grocery deliveries. The discussion also included the close relative of the patient to explain alternative options, and he also agreed to the patient's preferences.  </w:t>
      </w:r>
    </w:p>
    <w:p w14:paraId="7CE484E7" w14:textId="77777777" w:rsidR="001C731F" w:rsidRPr="009744CF" w:rsidRDefault="003C358B" w:rsidP="009744CF">
      <w:pPr>
        <w:spacing w:before="100" w:beforeAutospacing="1" w:after="100" w:afterAutospacing="1"/>
        <w:rPr>
          <w:rFonts w:eastAsia="Arial" w:cs="Arial"/>
          <w:sz w:val="22"/>
          <w:szCs w:val="22"/>
        </w:rPr>
      </w:pPr>
      <w:r w:rsidRPr="009744CF">
        <w:rPr>
          <w:rFonts w:eastAsia="Arial" w:cs="Arial"/>
          <w:b/>
          <w:bCs/>
          <w:sz w:val="22"/>
          <w:szCs w:val="22"/>
        </w:rPr>
        <w:lastRenderedPageBreak/>
        <w:t>Feelings:</w:t>
      </w:r>
      <w:r w:rsidRPr="009744CF">
        <w:rPr>
          <w:rFonts w:eastAsia="Arial" w:cs="Arial"/>
          <w:sz w:val="22"/>
          <w:szCs w:val="22"/>
        </w:rPr>
        <w:t xml:space="preserve"> At the initial level, I had mixed feelings of being empathetic as well as optimistic. When I noticed the patient was anxious to return to his home, I requested the MDT team to respect his wish. After seeing how the team prioritised the patient’s preference and valued my words by taking swift actions, I felt highly confident. However, when I noticed multiple practitioners were involved in the care and discharge planning, I felt a bit confused regarding how far the autonomy of the patient as well as his confidentiality, could be ensured. With time, I received professional satisfaction after seeing the level of active communication and coordination among the practitioners involved. </w:t>
      </w:r>
    </w:p>
    <w:p w14:paraId="65CB8634" w14:textId="03A1D304" w:rsidR="001C731F" w:rsidRPr="009744CF" w:rsidRDefault="003C358B" w:rsidP="009744CF">
      <w:pPr>
        <w:spacing w:before="100" w:beforeAutospacing="1" w:after="100" w:afterAutospacing="1"/>
        <w:rPr>
          <w:rFonts w:eastAsia="Arial" w:cs="Arial"/>
          <w:sz w:val="22"/>
          <w:szCs w:val="22"/>
        </w:rPr>
      </w:pPr>
      <w:r w:rsidRPr="009744CF">
        <w:rPr>
          <w:rFonts w:eastAsia="Arial" w:cs="Arial"/>
          <w:b/>
          <w:bCs/>
          <w:sz w:val="22"/>
          <w:szCs w:val="22"/>
        </w:rPr>
        <w:t xml:space="preserve">Evaluation: </w:t>
      </w:r>
      <w:r w:rsidRPr="009744CF">
        <w:rPr>
          <w:rFonts w:eastAsia="Arial" w:cs="Arial"/>
          <w:sz w:val="22"/>
          <w:szCs w:val="22"/>
        </w:rPr>
        <w:t xml:space="preserve">We strongly adhered to a person-centred care approach by actively engaging the patient in care planning. As Santana et al. (2018) claimed, a person-centred care approach must recognise the strengths and preferences of a patient, and it must be facilitated through coordinated support by maintaining the dignity and respect of the patient. In a similar strain, we regularly asked about the food preferences, daily routines, or hobbies of the patient, even which chair he liked the most. This aligned with the principle of the Care Act 2014 that requires planning around the person (Pearson and Ridley, 2017). The MDT meetings also exemplified partnership working where the voices of every member were heard, which I believe significantly helped reduce the gaps in the care delivery. In terms of ethical requirements, obtaining informed consent from the patient and respecting his preference, along with informing his family member about post-discharge risks, were in line with the principles of confidentiality, autonomy, and non-maleficence. However, I feel that the coordination had some limitations. For instance, in one meeting, the occupational therapist was late, which postponed the entire schedule, and regarding the use of some informal communication channels, like WhatsApp. From the ethical perspective, I also wondered how far the mental capacity of the patient was accurately assessed. The dementia level was determined based on the family report without a formal assessment, which could have been done as per the Mental Capacity Act 2005 to ensure legal documentation. </w:t>
      </w:r>
    </w:p>
    <w:p w14:paraId="33EACA0B" w14:textId="77777777" w:rsidR="00D1091A" w:rsidRDefault="003C358B" w:rsidP="009744CF">
      <w:pPr>
        <w:spacing w:before="100" w:beforeAutospacing="1" w:after="100" w:afterAutospacing="1"/>
        <w:rPr>
          <w:rFonts w:eastAsia="Arial" w:cs="Arial"/>
          <w:b/>
          <w:bCs/>
          <w:sz w:val="22"/>
          <w:szCs w:val="22"/>
        </w:rPr>
      </w:pPr>
      <w:r w:rsidRPr="009744CF">
        <w:rPr>
          <w:rFonts w:eastAsia="Arial" w:cs="Arial"/>
          <w:b/>
          <w:bCs/>
          <w:sz w:val="22"/>
          <w:szCs w:val="22"/>
        </w:rPr>
        <w:t xml:space="preserve">Analysis: </w:t>
      </w:r>
      <w:r w:rsidRPr="009744CF">
        <w:rPr>
          <w:rFonts w:eastAsia="Arial" w:cs="Arial"/>
          <w:sz w:val="22"/>
          <w:szCs w:val="22"/>
        </w:rPr>
        <w:t xml:space="preserve">This experience can be better analysed through Maslow’s hierarchy of needs theory. For the patient, we addressed his basic physiological and safety needs, say for instance, arranging meals or mobility aids, and installing grab bars etc., and started to address his social needs by connecting him to his close relative and other neighbours. After securing his immediate needs, we focused on fulfilling his personal goals, which he mentioned, such as his desire to spend time with his grandchildren. In the MDT meeting, the relative also appreciated us for making the patient ‘to do for himself’ rather than developing a feeling of being helpless. I, therefore, feel we were able to reach the self-esteem level, as had we not offered those supports, the patient might have experienced anxiety or depression that could </w:t>
      </w:r>
      <w:r w:rsidR="00A8743C" w:rsidRPr="009744CF">
        <w:rPr>
          <w:rFonts w:eastAsia="Arial" w:cs="Arial"/>
          <w:sz w:val="22"/>
          <w:szCs w:val="22"/>
        </w:rPr>
        <w:lastRenderedPageBreak/>
        <w:t>delay</w:t>
      </w:r>
      <w:r w:rsidRPr="009744CF">
        <w:rPr>
          <w:rFonts w:eastAsia="Arial" w:cs="Arial"/>
          <w:sz w:val="22"/>
          <w:szCs w:val="22"/>
        </w:rPr>
        <w:t xml:space="preserve"> his recovery. Also, from the perspective of the code of conduct, we strictly </w:t>
      </w:r>
      <w:r w:rsidR="00151835" w:rsidRPr="009744CF">
        <w:rPr>
          <w:rFonts w:eastAsia="Arial" w:cs="Arial"/>
          <w:sz w:val="22"/>
          <w:szCs w:val="22"/>
        </w:rPr>
        <w:t>followed</w:t>
      </w:r>
      <w:r w:rsidRPr="009744CF">
        <w:rPr>
          <w:rFonts w:eastAsia="Arial" w:cs="Arial"/>
          <w:sz w:val="22"/>
          <w:szCs w:val="22"/>
        </w:rPr>
        <w:t xml:space="preserve"> to the HCPC guideline of taking informed consent and allowing the patient to make informed decisions. The execution of post-discharge risk assessment and the inclusion of the patient’s wishes in the care plan further enabled us to meet the ethical principles of maleficence and autonomy. </w:t>
      </w:r>
      <w:r w:rsidR="0031130D" w:rsidRPr="009744CF">
        <w:rPr>
          <w:rFonts w:eastAsia="Arial" w:cs="Arial"/>
          <w:sz w:val="22"/>
          <w:szCs w:val="22"/>
        </w:rPr>
        <w:t>So</w:t>
      </w:r>
      <w:r w:rsidR="0031130D">
        <w:rPr>
          <w:rFonts w:eastAsia="Arial" w:cs="Arial"/>
          <w:sz w:val="22"/>
          <w:szCs w:val="22"/>
        </w:rPr>
        <w:t>,</w:t>
      </w:r>
      <w:r w:rsidRPr="009744CF">
        <w:rPr>
          <w:rFonts w:eastAsia="Arial" w:cs="Arial"/>
          <w:sz w:val="22"/>
          <w:szCs w:val="22"/>
        </w:rPr>
        <w:t xml:space="preserve"> in respect to this experience, while analysing my strengths, I found myself to be an empathetic individual with moderate communicative competence. However, I need to improve my legal and ethical skills, such as conducting effective capacity assessment, which is extremely crucial for </w:t>
      </w:r>
      <w:r w:rsidR="00BA43C5" w:rsidRPr="009744CF">
        <w:rPr>
          <w:rFonts w:eastAsia="Arial" w:cs="Arial"/>
          <w:sz w:val="22"/>
          <w:szCs w:val="22"/>
        </w:rPr>
        <w:t>modern</w:t>
      </w:r>
      <w:r w:rsidRPr="009744CF">
        <w:rPr>
          <w:rFonts w:eastAsia="Arial" w:cs="Arial"/>
          <w:sz w:val="22"/>
          <w:szCs w:val="22"/>
        </w:rPr>
        <w:t xml:space="preserve"> health and social care professionals.</w:t>
      </w:r>
      <w:r w:rsidRPr="009744CF">
        <w:rPr>
          <w:rFonts w:eastAsia="Arial" w:cs="Arial"/>
          <w:b/>
          <w:bCs/>
          <w:sz w:val="22"/>
          <w:szCs w:val="22"/>
        </w:rPr>
        <w:t xml:space="preserve"> </w:t>
      </w:r>
    </w:p>
    <w:p w14:paraId="2FF06599" w14:textId="4DBF0334" w:rsidR="001C731F" w:rsidRPr="009744CF" w:rsidRDefault="003C358B" w:rsidP="009744CF">
      <w:pPr>
        <w:spacing w:before="100" w:beforeAutospacing="1" w:after="100" w:afterAutospacing="1"/>
        <w:rPr>
          <w:rFonts w:eastAsia="Arial" w:cs="Arial"/>
          <w:sz w:val="22"/>
          <w:szCs w:val="22"/>
        </w:rPr>
      </w:pPr>
      <w:r w:rsidRPr="009744CF">
        <w:rPr>
          <w:rFonts w:eastAsia="Arial" w:cs="Arial"/>
          <w:sz w:val="22"/>
          <w:szCs w:val="22"/>
        </w:rPr>
        <w:t xml:space="preserve">From this experience, I have learnt that the embodiment of person-centred care, partnership, and ethics is highly required to deliver high-quality and safe care, although it depends on both good intention as well as deliberate actions. This experience significantly informed me how to listen to and respect patients’ voices within a care setting and the need to effectively coordinate and communicate with associated professionals. I still feel that I need to be more vigilant in the application of legal practices to establish myself as an ethical practitioner. </w:t>
      </w:r>
    </w:p>
    <w:p w14:paraId="34767DF7" w14:textId="18E7F79C" w:rsidR="001C731F" w:rsidRPr="009744CF" w:rsidRDefault="003C358B" w:rsidP="009744CF">
      <w:pPr>
        <w:spacing w:before="100" w:beforeAutospacing="1" w:after="100" w:afterAutospacing="1"/>
        <w:rPr>
          <w:rFonts w:eastAsia="Arial" w:cs="Arial"/>
          <w:sz w:val="22"/>
          <w:szCs w:val="22"/>
        </w:rPr>
      </w:pPr>
      <w:r w:rsidRPr="009744CF">
        <w:rPr>
          <w:rFonts w:eastAsia="Arial" w:cs="Arial"/>
          <w:b/>
          <w:bCs/>
          <w:sz w:val="22"/>
          <w:szCs w:val="22"/>
        </w:rPr>
        <w:t>Action plan:</w:t>
      </w:r>
      <w:r w:rsidRPr="009744CF">
        <w:rPr>
          <w:rFonts w:eastAsia="Arial" w:cs="Arial"/>
          <w:sz w:val="22"/>
          <w:szCs w:val="22"/>
        </w:rPr>
        <w:t xml:space="preserve"> To </w:t>
      </w:r>
      <w:r w:rsidR="003C5249" w:rsidRPr="009744CF">
        <w:rPr>
          <w:rFonts w:eastAsia="Arial" w:cs="Arial"/>
          <w:sz w:val="22"/>
          <w:szCs w:val="22"/>
        </w:rPr>
        <w:t>reach</w:t>
      </w:r>
      <w:r w:rsidRPr="009744CF">
        <w:rPr>
          <w:rFonts w:eastAsia="Arial" w:cs="Arial"/>
          <w:sz w:val="22"/>
          <w:szCs w:val="22"/>
        </w:rPr>
        <w:t xml:space="preserve"> the </w:t>
      </w:r>
      <w:r w:rsidR="004513AB" w:rsidRPr="009744CF">
        <w:rPr>
          <w:rFonts w:eastAsia="Arial" w:cs="Arial"/>
          <w:sz w:val="22"/>
          <w:szCs w:val="22"/>
        </w:rPr>
        <w:t>improvements</w:t>
      </w:r>
      <w:r w:rsidRPr="009744CF">
        <w:rPr>
          <w:rFonts w:eastAsia="Arial" w:cs="Arial"/>
          <w:sz w:val="22"/>
          <w:szCs w:val="22"/>
        </w:rPr>
        <w:t xml:space="preserve">, an action plan has been developed below. </w:t>
      </w:r>
    </w:p>
    <w:tbl>
      <w:tblPr>
        <w:tblStyle w:val="a"/>
        <w:tblW w:w="902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6"/>
        <w:gridCol w:w="2256"/>
        <w:gridCol w:w="2257"/>
        <w:gridCol w:w="2257"/>
      </w:tblGrid>
      <w:tr w:rsidR="001C731F" w:rsidRPr="009744CF" w14:paraId="22701811" w14:textId="77777777" w:rsidTr="00EC4081">
        <w:tc>
          <w:tcPr>
            <w:tcW w:w="2256" w:type="dxa"/>
            <w:tcMar>
              <w:top w:w="100" w:type="dxa"/>
              <w:left w:w="100" w:type="dxa"/>
              <w:bottom w:w="100" w:type="dxa"/>
              <w:right w:w="100" w:type="dxa"/>
            </w:tcMar>
          </w:tcPr>
          <w:p w14:paraId="40CB4F56" w14:textId="6461022C" w:rsidR="001C731F" w:rsidRPr="009744CF" w:rsidRDefault="003C358B" w:rsidP="009744CF">
            <w:pPr>
              <w:widowControl w:val="0"/>
              <w:pBdr>
                <w:top w:val="nil"/>
                <w:left w:val="nil"/>
                <w:bottom w:val="nil"/>
                <w:right w:val="nil"/>
                <w:between w:val="nil"/>
              </w:pBdr>
              <w:spacing w:before="100" w:beforeAutospacing="1" w:after="100" w:afterAutospacing="1"/>
              <w:jc w:val="center"/>
              <w:rPr>
                <w:rFonts w:eastAsia="Arial" w:cs="Arial"/>
                <w:b/>
                <w:bCs/>
                <w:sz w:val="22"/>
                <w:szCs w:val="22"/>
              </w:rPr>
            </w:pPr>
            <w:r w:rsidRPr="009744CF">
              <w:rPr>
                <w:rFonts w:eastAsia="Arial" w:cs="Arial"/>
                <w:b/>
                <w:bCs/>
                <w:sz w:val="22"/>
                <w:szCs w:val="22"/>
              </w:rPr>
              <w:t>Development area</w:t>
            </w:r>
          </w:p>
        </w:tc>
        <w:tc>
          <w:tcPr>
            <w:tcW w:w="2256" w:type="dxa"/>
            <w:tcMar>
              <w:top w:w="100" w:type="dxa"/>
              <w:left w:w="100" w:type="dxa"/>
              <w:bottom w:w="100" w:type="dxa"/>
              <w:right w:w="100" w:type="dxa"/>
            </w:tcMar>
          </w:tcPr>
          <w:p w14:paraId="52AF7194" w14:textId="77777777" w:rsidR="001C731F" w:rsidRPr="009744CF" w:rsidRDefault="003C358B" w:rsidP="009744CF">
            <w:pPr>
              <w:widowControl w:val="0"/>
              <w:pBdr>
                <w:top w:val="nil"/>
                <w:left w:val="nil"/>
                <w:bottom w:val="nil"/>
                <w:right w:val="nil"/>
                <w:between w:val="nil"/>
              </w:pBdr>
              <w:spacing w:before="100" w:beforeAutospacing="1" w:after="100" w:afterAutospacing="1"/>
              <w:jc w:val="center"/>
              <w:rPr>
                <w:rFonts w:eastAsia="Arial" w:cs="Arial"/>
                <w:b/>
                <w:bCs/>
                <w:sz w:val="22"/>
                <w:szCs w:val="22"/>
              </w:rPr>
            </w:pPr>
            <w:r w:rsidRPr="009744CF">
              <w:rPr>
                <w:rFonts w:eastAsia="Arial" w:cs="Arial"/>
                <w:b/>
                <w:bCs/>
                <w:sz w:val="22"/>
                <w:szCs w:val="22"/>
              </w:rPr>
              <w:t>Actions</w:t>
            </w:r>
          </w:p>
        </w:tc>
        <w:tc>
          <w:tcPr>
            <w:tcW w:w="2257" w:type="dxa"/>
            <w:tcMar>
              <w:top w:w="100" w:type="dxa"/>
              <w:left w:w="100" w:type="dxa"/>
              <w:bottom w:w="100" w:type="dxa"/>
              <w:right w:w="100" w:type="dxa"/>
            </w:tcMar>
          </w:tcPr>
          <w:p w14:paraId="2FA524B7" w14:textId="77777777" w:rsidR="001C731F" w:rsidRPr="009744CF" w:rsidRDefault="003C358B" w:rsidP="009744CF">
            <w:pPr>
              <w:widowControl w:val="0"/>
              <w:pBdr>
                <w:top w:val="nil"/>
                <w:left w:val="nil"/>
                <w:bottom w:val="nil"/>
                <w:right w:val="nil"/>
                <w:between w:val="nil"/>
              </w:pBdr>
              <w:spacing w:before="100" w:beforeAutospacing="1" w:after="100" w:afterAutospacing="1"/>
              <w:jc w:val="center"/>
              <w:rPr>
                <w:rFonts w:eastAsia="Arial" w:cs="Arial"/>
                <w:b/>
                <w:bCs/>
                <w:sz w:val="22"/>
                <w:szCs w:val="22"/>
              </w:rPr>
            </w:pPr>
            <w:r w:rsidRPr="009744CF">
              <w:rPr>
                <w:rFonts w:eastAsia="Arial" w:cs="Arial"/>
                <w:b/>
                <w:bCs/>
                <w:sz w:val="22"/>
                <w:szCs w:val="22"/>
              </w:rPr>
              <w:t>Resources required</w:t>
            </w:r>
          </w:p>
        </w:tc>
        <w:tc>
          <w:tcPr>
            <w:tcW w:w="2257" w:type="dxa"/>
            <w:tcMar>
              <w:top w:w="100" w:type="dxa"/>
              <w:left w:w="100" w:type="dxa"/>
              <w:bottom w:w="100" w:type="dxa"/>
              <w:right w:w="100" w:type="dxa"/>
            </w:tcMar>
          </w:tcPr>
          <w:p w14:paraId="6D7E542C" w14:textId="77777777" w:rsidR="001C731F" w:rsidRPr="009744CF" w:rsidRDefault="003C358B" w:rsidP="009744CF">
            <w:pPr>
              <w:widowControl w:val="0"/>
              <w:pBdr>
                <w:top w:val="nil"/>
                <w:left w:val="nil"/>
                <w:bottom w:val="nil"/>
                <w:right w:val="nil"/>
                <w:between w:val="nil"/>
              </w:pBdr>
              <w:spacing w:before="100" w:beforeAutospacing="1" w:after="100" w:afterAutospacing="1"/>
              <w:jc w:val="center"/>
              <w:rPr>
                <w:rFonts w:eastAsia="Arial" w:cs="Arial"/>
                <w:b/>
                <w:bCs/>
                <w:sz w:val="22"/>
                <w:szCs w:val="22"/>
              </w:rPr>
            </w:pPr>
            <w:r w:rsidRPr="009744CF">
              <w:rPr>
                <w:rFonts w:eastAsia="Arial" w:cs="Arial"/>
                <w:b/>
                <w:bCs/>
                <w:sz w:val="22"/>
                <w:szCs w:val="22"/>
              </w:rPr>
              <w:t>Timeline</w:t>
            </w:r>
          </w:p>
        </w:tc>
      </w:tr>
      <w:tr w:rsidR="001C731F" w:rsidRPr="009744CF" w14:paraId="70C376C6" w14:textId="77777777" w:rsidTr="00EC4081">
        <w:tc>
          <w:tcPr>
            <w:tcW w:w="2256" w:type="dxa"/>
            <w:tcMar>
              <w:top w:w="100" w:type="dxa"/>
              <w:left w:w="100" w:type="dxa"/>
              <w:bottom w:w="100" w:type="dxa"/>
              <w:right w:w="100" w:type="dxa"/>
            </w:tcMar>
          </w:tcPr>
          <w:p w14:paraId="41581639" w14:textId="77777777" w:rsidR="001C731F" w:rsidRPr="009744CF" w:rsidRDefault="003C358B" w:rsidP="009744CF">
            <w:pPr>
              <w:widowControl w:val="0"/>
              <w:pBdr>
                <w:top w:val="nil"/>
                <w:left w:val="nil"/>
                <w:bottom w:val="nil"/>
                <w:right w:val="nil"/>
                <w:between w:val="nil"/>
              </w:pBdr>
              <w:spacing w:before="100" w:beforeAutospacing="1" w:after="100" w:afterAutospacing="1"/>
              <w:rPr>
                <w:rFonts w:eastAsia="Arial" w:cs="Arial"/>
                <w:sz w:val="22"/>
                <w:szCs w:val="22"/>
              </w:rPr>
            </w:pPr>
            <w:r w:rsidRPr="009744CF">
              <w:rPr>
                <w:rFonts w:eastAsia="Arial" w:cs="Arial"/>
                <w:sz w:val="22"/>
                <w:szCs w:val="22"/>
              </w:rPr>
              <w:t xml:space="preserve">Developing legal and ethical skills </w:t>
            </w:r>
          </w:p>
        </w:tc>
        <w:tc>
          <w:tcPr>
            <w:tcW w:w="2256" w:type="dxa"/>
            <w:tcMar>
              <w:top w:w="100" w:type="dxa"/>
              <w:left w:w="100" w:type="dxa"/>
              <w:bottom w:w="100" w:type="dxa"/>
              <w:right w:w="100" w:type="dxa"/>
            </w:tcMar>
          </w:tcPr>
          <w:p w14:paraId="6B595E93" w14:textId="77777777" w:rsidR="001C731F" w:rsidRPr="009744CF" w:rsidRDefault="003C358B" w:rsidP="009744CF">
            <w:pPr>
              <w:widowControl w:val="0"/>
              <w:numPr>
                <w:ilvl w:val="0"/>
                <w:numId w:val="5"/>
              </w:numPr>
              <w:pBdr>
                <w:top w:val="nil"/>
                <w:left w:val="nil"/>
                <w:bottom w:val="nil"/>
                <w:right w:val="nil"/>
                <w:between w:val="nil"/>
              </w:pBdr>
              <w:spacing w:before="100" w:beforeAutospacing="1" w:after="100" w:afterAutospacing="1"/>
              <w:rPr>
                <w:rFonts w:eastAsia="Arial" w:cs="Arial"/>
                <w:sz w:val="22"/>
                <w:szCs w:val="22"/>
              </w:rPr>
            </w:pPr>
            <w:r w:rsidRPr="009744CF">
              <w:rPr>
                <w:rFonts w:eastAsia="Arial" w:cs="Arial"/>
                <w:sz w:val="22"/>
                <w:szCs w:val="22"/>
              </w:rPr>
              <w:t xml:space="preserve">Attend a workshop on the Mental Capacity Act and advocacy practices </w:t>
            </w:r>
          </w:p>
          <w:p w14:paraId="5E8E0D62" w14:textId="77777777" w:rsidR="001C731F" w:rsidRPr="009744CF" w:rsidRDefault="003C358B" w:rsidP="009744CF">
            <w:pPr>
              <w:widowControl w:val="0"/>
              <w:numPr>
                <w:ilvl w:val="0"/>
                <w:numId w:val="4"/>
              </w:numPr>
              <w:pBdr>
                <w:top w:val="nil"/>
                <w:left w:val="nil"/>
                <w:bottom w:val="nil"/>
                <w:right w:val="nil"/>
                <w:between w:val="nil"/>
              </w:pBdr>
              <w:spacing w:before="100" w:beforeAutospacing="1" w:after="100" w:afterAutospacing="1"/>
              <w:rPr>
                <w:rFonts w:eastAsia="Arial" w:cs="Arial"/>
                <w:sz w:val="22"/>
                <w:szCs w:val="22"/>
              </w:rPr>
            </w:pPr>
            <w:r w:rsidRPr="009744CF">
              <w:rPr>
                <w:rFonts w:eastAsia="Arial" w:cs="Arial"/>
                <w:sz w:val="22"/>
                <w:szCs w:val="22"/>
              </w:rPr>
              <w:t xml:space="preserve">Improve my understanding of Care Act duties on consent and rights. </w:t>
            </w:r>
          </w:p>
        </w:tc>
        <w:tc>
          <w:tcPr>
            <w:tcW w:w="2257" w:type="dxa"/>
            <w:tcMar>
              <w:top w:w="100" w:type="dxa"/>
              <w:left w:w="100" w:type="dxa"/>
              <w:bottom w:w="100" w:type="dxa"/>
              <w:right w:w="100" w:type="dxa"/>
            </w:tcMar>
          </w:tcPr>
          <w:p w14:paraId="0AA45CAB" w14:textId="77777777" w:rsidR="001C731F" w:rsidRPr="009744CF" w:rsidRDefault="003C358B" w:rsidP="009744CF">
            <w:pPr>
              <w:widowControl w:val="0"/>
              <w:numPr>
                <w:ilvl w:val="0"/>
                <w:numId w:val="1"/>
              </w:numPr>
              <w:pBdr>
                <w:top w:val="nil"/>
                <w:left w:val="nil"/>
                <w:bottom w:val="nil"/>
                <w:right w:val="nil"/>
                <w:between w:val="nil"/>
              </w:pBdr>
              <w:spacing w:before="100" w:beforeAutospacing="1" w:after="100" w:afterAutospacing="1"/>
              <w:rPr>
                <w:rFonts w:eastAsia="Arial" w:cs="Arial"/>
                <w:sz w:val="22"/>
                <w:szCs w:val="22"/>
              </w:rPr>
            </w:pPr>
            <w:r w:rsidRPr="009744CF">
              <w:rPr>
                <w:rFonts w:eastAsia="Arial" w:cs="Arial"/>
                <w:sz w:val="22"/>
                <w:szCs w:val="22"/>
              </w:rPr>
              <w:t>GMC/NMC eLearning on MCA</w:t>
            </w:r>
          </w:p>
          <w:p w14:paraId="5E83CD75" w14:textId="77777777" w:rsidR="001C731F" w:rsidRPr="009744CF" w:rsidRDefault="003C358B" w:rsidP="009744CF">
            <w:pPr>
              <w:widowControl w:val="0"/>
              <w:numPr>
                <w:ilvl w:val="0"/>
                <w:numId w:val="8"/>
              </w:numPr>
              <w:pBdr>
                <w:top w:val="nil"/>
                <w:left w:val="nil"/>
                <w:bottom w:val="nil"/>
                <w:right w:val="nil"/>
                <w:between w:val="nil"/>
              </w:pBdr>
              <w:spacing w:before="100" w:beforeAutospacing="1" w:after="100" w:afterAutospacing="1"/>
              <w:rPr>
                <w:rFonts w:eastAsia="Arial" w:cs="Arial"/>
                <w:sz w:val="22"/>
                <w:szCs w:val="22"/>
              </w:rPr>
            </w:pPr>
            <w:r w:rsidRPr="009744CF">
              <w:rPr>
                <w:rFonts w:eastAsia="Arial" w:cs="Arial"/>
                <w:sz w:val="22"/>
                <w:szCs w:val="22"/>
              </w:rPr>
              <w:t xml:space="preserve">Good Practice Flowcharts </w:t>
            </w:r>
          </w:p>
        </w:tc>
        <w:tc>
          <w:tcPr>
            <w:tcW w:w="2257" w:type="dxa"/>
            <w:tcMar>
              <w:top w:w="100" w:type="dxa"/>
              <w:left w:w="100" w:type="dxa"/>
              <w:bottom w:w="100" w:type="dxa"/>
              <w:right w:w="100" w:type="dxa"/>
            </w:tcMar>
          </w:tcPr>
          <w:p w14:paraId="016DEA55" w14:textId="77777777" w:rsidR="001C731F" w:rsidRPr="009744CF" w:rsidRDefault="003C358B" w:rsidP="009744CF">
            <w:pPr>
              <w:widowControl w:val="0"/>
              <w:pBdr>
                <w:top w:val="nil"/>
                <w:left w:val="nil"/>
                <w:bottom w:val="nil"/>
                <w:right w:val="nil"/>
                <w:between w:val="nil"/>
              </w:pBdr>
              <w:spacing w:before="100" w:beforeAutospacing="1" w:after="100" w:afterAutospacing="1"/>
              <w:rPr>
                <w:rFonts w:eastAsia="Arial" w:cs="Arial"/>
                <w:sz w:val="22"/>
                <w:szCs w:val="22"/>
              </w:rPr>
            </w:pPr>
            <w:r w:rsidRPr="009744CF">
              <w:rPr>
                <w:rFonts w:eastAsia="Arial" w:cs="Arial"/>
                <w:sz w:val="22"/>
                <w:szCs w:val="22"/>
              </w:rPr>
              <w:t>Aug 2026 - November 2026</w:t>
            </w:r>
          </w:p>
        </w:tc>
      </w:tr>
    </w:tbl>
    <w:p w14:paraId="270FD98D" w14:textId="77777777" w:rsidR="00EC4081" w:rsidRDefault="00EC4081" w:rsidP="009744CF">
      <w:pPr>
        <w:widowControl w:val="0"/>
        <w:pBdr>
          <w:top w:val="nil"/>
          <w:left w:val="nil"/>
          <w:bottom w:val="nil"/>
          <w:right w:val="nil"/>
          <w:between w:val="nil"/>
        </w:pBdr>
        <w:spacing w:before="100" w:beforeAutospacing="1" w:after="100" w:afterAutospacing="1"/>
        <w:rPr>
          <w:rFonts w:eastAsia="Arial" w:cs="Arial"/>
          <w:sz w:val="22"/>
          <w:szCs w:val="22"/>
        </w:rPr>
        <w:sectPr w:rsidR="00EC4081">
          <w:footerReference w:type="default" r:id="rId10"/>
          <w:pgSz w:w="11906" w:h="16838"/>
          <w:pgMar w:top="1440" w:right="1440" w:bottom="1440" w:left="1440" w:header="708" w:footer="708" w:gutter="0"/>
          <w:pgNumType w:start="1"/>
          <w:cols w:space="720"/>
        </w:sectPr>
      </w:pPr>
    </w:p>
    <w:tbl>
      <w:tblPr>
        <w:tblStyle w:val="a"/>
        <w:tblW w:w="902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6"/>
        <w:gridCol w:w="2256"/>
        <w:gridCol w:w="2257"/>
        <w:gridCol w:w="2257"/>
      </w:tblGrid>
      <w:tr w:rsidR="001C731F" w:rsidRPr="009744CF" w14:paraId="4DE7A229" w14:textId="77777777" w:rsidTr="00EC4081">
        <w:tc>
          <w:tcPr>
            <w:tcW w:w="2256" w:type="dxa"/>
            <w:tcMar>
              <w:top w:w="100" w:type="dxa"/>
              <w:left w:w="100" w:type="dxa"/>
              <w:bottom w:w="100" w:type="dxa"/>
              <w:right w:w="100" w:type="dxa"/>
            </w:tcMar>
          </w:tcPr>
          <w:p w14:paraId="15B0771B" w14:textId="77777777" w:rsidR="001C731F" w:rsidRPr="009744CF" w:rsidRDefault="003C358B" w:rsidP="009744CF">
            <w:pPr>
              <w:widowControl w:val="0"/>
              <w:pBdr>
                <w:top w:val="nil"/>
                <w:left w:val="nil"/>
                <w:bottom w:val="nil"/>
                <w:right w:val="nil"/>
                <w:between w:val="nil"/>
              </w:pBdr>
              <w:spacing w:before="100" w:beforeAutospacing="1" w:after="100" w:afterAutospacing="1"/>
              <w:rPr>
                <w:rFonts w:eastAsia="Arial" w:cs="Arial"/>
                <w:sz w:val="22"/>
                <w:szCs w:val="22"/>
              </w:rPr>
            </w:pPr>
            <w:r w:rsidRPr="009744CF">
              <w:rPr>
                <w:rFonts w:eastAsia="Arial" w:cs="Arial"/>
                <w:sz w:val="22"/>
                <w:szCs w:val="22"/>
              </w:rPr>
              <w:lastRenderedPageBreak/>
              <w:t>Improving my communication and person-centred skills</w:t>
            </w:r>
          </w:p>
        </w:tc>
        <w:tc>
          <w:tcPr>
            <w:tcW w:w="2256" w:type="dxa"/>
            <w:tcMar>
              <w:top w:w="100" w:type="dxa"/>
              <w:left w:w="100" w:type="dxa"/>
              <w:bottom w:w="100" w:type="dxa"/>
              <w:right w:w="100" w:type="dxa"/>
            </w:tcMar>
          </w:tcPr>
          <w:p w14:paraId="2DD5F87D" w14:textId="26C4AA26" w:rsidR="001C731F" w:rsidRPr="009744CF" w:rsidRDefault="003C358B" w:rsidP="009744CF">
            <w:pPr>
              <w:widowControl w:val="0"/>
              <w:numPr>
                <w:ilvl w:val="0"/>
                <w:numId w:val="2"/>
              </w:numPr>
              <w:pBdr>
                <w:top w:val="nil"/>
                <w:left w:val="nil"/>
                <w:bottom w:val="nil"/>
                <w:right w:val="nil"/>
                <w:between w:val="nil"/>
              </w:pBdr>
              <w:spacing w:before="100" w:beforeAutospacing="1" w:after="100" w:afterAutospacing="1"/>
              <w:rPr>
                <w:rFonts w:eastAsia="Arial" w:cs="Arial"/>
                <w:sz w:val="22"/>
                <w:szCs w:val="22"/>
              </w:rPr>
            </w:pPr>
            <w:r w:rsidRPr="009744CF">
              <w:rPr>
                <w:rFonts w:eastAsia="Arial" w:cs="Arial"/>
                <w:sz w:val="22"/>
                <w:szCs w:val="22"/>
              </w:rPr>
              <w:t>Complete CPD module on shared decision-making and accessible communication (e.g. using “Easy</w:t>
            </w:r>
            <w:r w:rsidR="009744CF">
              <w:rPr>
                <w:rFonts w:eastAsia="Arial" w:cs="Arial"/>
                <w:sz w:val="22"/>
                <w:szCs w:val="22"/>
              </w:rPr>
              <w:t>R</w:t>
            </w:r>
            <w:r w:rsidRPr="009744CF">
              <w:rPr>
                <w:rFonts w:eastAsia="Arial" w:cs="Arial"/>
                <w:sz w:val="22"/>
                <w:szCs w:val="22"/>
              </w:rPr>
              <w:t xml:space="preserve">ead” materials for dementia). </w:t>
            </w:r>
          </w:p>
        </w:tc>
        <w:tc>
          <w:tcPr>
            <w:tcW w:w="2257" w:type="dxa"/>
            <w:tcMar>
              <w:top w:w="100" w:type="dxa"/>
              <w:left w:w="100" w:type="dxa"/>
              <w:bottom w:w="100" w:type="dxa"/>
              <w:right w:w="100" w:type="dxa"/>
            </w:tcMar>
          </w:tcPr>
          <w:p w14:paraId="04AA974D" w14:textId="77777777" w:rsidR="001C731F" w:rsidRPr="009744CF" w:rsidRDefault="003C358B" w:rsidP="009744CF">
            <w:pPr>
              <w:widowControl w:val="0"/>
              <w:numPr>
                <w:ilvl w:val="0"/>
                <w:numId w:val="6"/>
              </w:numPr>
              <w:pBdr>
                <w:top w:val="nil"/>
                <w:left w:val="nil"/>
                <w:bottom w:val="nil"/>
                <w:right w:val="nil"/>
                <w:between w:val="nil"/>
              </w:pBdr>
              <w:spacing w:before="100" w:beforeAutospacing="1" w:after="100" w:afterAutospacing="1"/>
              <w:rPr>
                <w:rFonts w:eastAsia="Arial" w:cs="Arial"/>
                <w:sz w:val="22"/>
                <w:szCs w:val="22"/>
              </w:rPr>
            </w:pPr>
            <w:r w:rsidRPr="009744CF">
              <w:rPr>
                <w:rFonts w:eastAsia="Arial" w:cs="Arial"/>
                <w:sz w:val="22"/>
                <w:szCs w:val="22"/>
              </w:rPr>
              <w:t>Online courses</w:t>
            </w:r>
          </w:p>
        </w:tc>
        <w:tc>
          <w:tcPr>
            <w:tcW w:w="2257" w:type="dxa"/>
            <w:tcMar>
              <w:top w:w="100" w:type="dxa"/>
              <w:left w:w="100" w:type="dxa"/>
              <w:bottom w:w="100" w:type="dxa"/>
              <w:right w:w="100" w:type="dxa"/>
            </w:tcMar>
          </w:tcPr>
          <w:p w14:paraId="1F7B07D1" w14:textId="77777777" w:rsidR="001C731F" w:rsidRPr="009744CF" w:rsidRDefault="003C358B" w:rsidP="009744CF">
            <w:pPr>
              <w:widowControl w:val="0"/>
              <w:pBdr>
                <w:top w:val="nil"/>
                <w:left w:val="nil"/>
                <w:bottom w:val="nil"/>
                <w:right w:val="nil"/>
                <w:between w:val="nil"/>
              </w:pBdr>
              <w:spacing w:before="100" w:beforeAutospacing="1" w:after="100" w:afterAutospacing="1"/>
              <w:rPr>
                <w:rFonts w:eastAsia="Arial" w:cs="Arial"/>
                <w:sz w:val="22"/>
                <w:szCs w:val="22"/>
              </w:rPr>
            </w:pPr>
            <w:r w:rsidRPr="009744CF">
              <w:rPr>
                <w:rFonts w:eastAsia="Arial" w:cs="Arial"/>
                <w:sz w:val="22"/>
                <w:szCs w:val="22"/>
              </w:rPr>
              <w:t>Within Oct 2026</w:t>
            </w:r>
          </w:p>
        </w:tc>
      </w:tr>
      <w:tr w:rsidR="001C731F" w:rsidRPr="009744CF" w14:paraId="6384C580" w14:textId="77777777" w:rsidTr="00EC4081">
        <w:tc>
          <w:tcPr>
            <w:tcW w:w="2256" w:type="dxa"/>
            <w:tcMar>
              <w:top w:w="100" w:type="dxa"/>
              <w:left w:w="100" w:type="dxa"/>
              <w:bottom w:w="100" w:type="dxa"/>
              <w:right w:w="100" w:type="dxa"/>
            </w:tcMar>
          </w:tcPr>
          <w:p w14:paraId="4A44D270" w14:textId="77777777" w:rsidR="001C731F" w:rsidRPr="009744CF" w:rsidRDefault="003C358B" w:rsidP="009744CF">
            <w:pPr>
              <w:widowControl w:val="0"/>
              <w:pBdr>
                <w:top w:val="nil"/>
                <w:left w:val="nil"/>
                <w:bottom w:val="nil"/>
                <w:right w:val="nil"/>
                <w:between w:val="nil"/>
              </w:pBdr>
              <w:spacing w:before="100" w:beforeAutospacing="1" w:after="100" w:afterAutospacing="1"/>
              <w:rPr>
                <w:rFonts w:eastAsia="Arial" w:cs="Arial"/>
                <w:sz w:val="22"/>
                <w:szCs w:val="22"/>
              </w:rPr>
            </w:pPr>
            <w:r w:rsidRPr="009744CF">
              <w:rPr>
                <w:rFonts w:eastAsia="Arial" w:cs="Arial"/>
                <w:sz w:val="22"/>
                <w:szCs w:val="22"/>
              </w:rPr>
              <w:t>Enhancing my partnership practice abilities</w:t>
            </w:r>
          </w:p>
        </w:tc>
        <w:tc>
          <w:tcPr>
            <w:tcW w:w="2256" w:type="dxa"/>
            <w:tcMar>
              <w:top w:w="100" w:type="dxa"/>
              <w:left w:w="100" w:type="dxa"/>
              <w:bottom w:w="100" w:type="dxa"/>
              <w:right w:w="100" w:type="dxa"/>
            </w:tcMar>
          </w:tcPr>
          <w:p w14:paraId="4D4A00D5" w14:textId="77777777" w:rsidR="001C731F" w:rsidRPr="009744CF" w:rsidRDefault="003C358B" w:rsidP="009744CF">
            <w:pPr>
              <w:widowControl w:val="0"/>
              <w:numPr>
                <w:ilvl w:val="0"/>
                <w:numId w:val="3"/>
              </w:numPr>
              <w:spacing w:before="100" w:beforeAutospacing="1" w:after="100" w:afterAutospacing="1"/>
              <w:rPr>
                <w:rFonts w:eastAsia="Arial" w:cs="Arial"/>
                <w:sz w:val="22"/>
                <w:szCs w:val="22"/>
              </w:rPr>
            </w:pPr>
            <w:r w:rsidRPr="009744CF">
              <w:rPr>
                <w:rFonts w:eastAsia="Arial" w:cs="Arial"/>
                <w:sz w:val="22"/>
                <w:szCs w:val="22"/>
              </w:rPr>
              <w:t>Participating in an internship in a care setting</w:t>
            </w:r>
          </w:p>
          <w:p w14:paraId="2B0EC5AB" w14:textId="77777777" w:rsidR="001C731F" w:rsidRPr="009744CF" w:rsidRDefault="003C358B" w:rsidP="009744CF">
            <w:pPr>
              <w:widowControl w:val="0"/>
              <w:numPr>
                <w:ilvl w:val="0"/>
                <w:numId w:val="3"/>
              </w:numPr>
              <w:pBdr>
                <w:top w:val="nil"/>
                <w:left w:val="nil"/>
                <w:bottom w:val="nil"/>
                <w:right w:val="nil"/>
                <w:between w:val="nil"/>
              </w:pBdr>
              <w:spacing w:before="100" w:beforeAutospacing="1" w:after="100" w:afterAutospacing="1"/>
              <w:rPr>
                <w:rFonts w:eastAsia="Arial" w:cs="Arial"/>
                <w:sz w:val="22"/>
                <w:szCs w:val="22"/>
              </w:rPr>
            </w:pPr>
            <w:r w:rsidRPr="009744CF">
              <w:rPr>
                <w:rFonts w:eastAsia="Arial" w:cs="Arial"/>
                <w:sz w:val="22"/>
                <w:szCs w:val="22"/>
              </w:rPr>
              <w:t xml:space="preserve">Shadow a senior multi-disciplinary discharge coordinator for one week to learn coordination and information-sharing strategies </w:t>
            </w:r>
          </w:p>
        </w:tc>
        <w:tc>
          <w:tcPr>
            <w:tcW w:w="2257" w:type="dxa"/>
            <w:tcMar>
              <w:top w:w="100" w:type="dxa"/>
              <w:left w:w="100" w:type="dxa"/>
              <w:bottom w:w="100" w:type="dxa"/>
              <w:right w:w="100" w:type="dxa"/>
            </w:tcMar>
          </w:tcPr>
          <w:p w14:paraId="70C2063D" w14:textId="77777777" w:rsidR="001C731F" w:rsidRPr="009744CF" w:rsidRDefault="003C358B" w:rsidP="009744CF">
            <w:pPr>
              <w:widowControl w:val="0"/>
              <w:numPr>
                <w:ilvl w:val="0"/>
                <w:numId w:val="7"/>
              </w:numPr>
              <w:pBdr>
                <w:top w:val="nil"/>
                <w:left w:val="nil"/>
                <w:bottom w:val="nil"/>
                <w:right w:val="nil"/>
                <w:between w:val="nil"/>
              </w:pBdr>
              <w:spacing w:before="100" w:beforeAutospacing="1" w:after="100" w:afterAutospacing="1"/>
              <w:rPr>
                <w:rFonts w:eastAsia="Arial" w:cs="Arial"/>
                <w:sz w:val="22"/>
                <w:szCs w:val="22"/>
              </w:rPr>
            </w:pPr>
            <w:r w:rsidRPr="009744CF">
              <w:rPr>
                <w:rFonts w:eastAsia="Arial" w:cs="Arial"/>
                <w:sz w:val="22"/>
                <w:szCs w:val="22"/>
              </w:rPr>
              <w:t xml:space="preserve">Human support </w:t>
            </w:r>
          </w:p>
          <w:p w14:paraId="5E76392F" w14:textId="77777777" w:rsidR="001C731F" w:rsidRPr="009744CF" w:rsidRDefault="003C358B" w:rsidP="009744CF">
            <w:pPr>
              <w:widowControl w:val="0"/>
              <w:numPr>
                <w:ilvl w:val="0"/>
                <w:numId w:val="7"/>
              </w:numPr>
              <w:pBdr>
                <w:top w:val="nil"/>
                <w:left w:val="nil"/>
                <w:bottom w:val="nil"/>
                <w:right w:val="nil"/>
                <w:between w:val="nil"/>
              </w:pBdr>
              <w:spacing w:before="100" w:beforeAutospacing="1" w:after="100" w:afterAutospacing="1"/>
              <w:rPr>
                <w:rFonts w:eastAsia="Arial" w:cs="Arial"/>
                <w:sz w:val="22"/>
                <w:szCs w:val="22"/>
              </w:rPr>
            </w:pPr>
            <w:r w:rsidRPr="009744CF">
              <w:rPr>
                <w:rFonts w:eastAsia="Arial" w:cs="Arial"/>
                <w:sz w:val="22"/>
                <w:szCs w:val="22"/>
              </w:rPr>
              <w:t xml:space="preserve">Supervisor feedback </w:t>
            </w:r>
          </w:p>
        </w:tc>
        <w:tc>
          <w:tcPr>
            <w:tcW w:w="2257" w:type="dxa"/>
            <w:tcMar>
              <w:top w:w="100" w:type="dxa"/>
              <w:left w:w="100" w:type="dxa"/>
              <w:bottom w:w="100" w:type="dxa"/>
              <w:right w:w="100" w:type="dxa"/>
            </w:tcMar>
          </w:tcPr>
          <w:p w14:paraId="787CB6FB" w14:textId="7E60D890" w:rsidR="001C731F" w:rsidRPr="009744CF" w:rsidRDefault="003C358B" w:rsidP="009744CF">
            <w:pPr>
              <w:widowControl w:val="0"/>
              <w:pBdr>
                <w:top w:val="nil"/>
                <w:left w:val="nil"/>
                <w:bottom w:val="nil"/>
                <w:right w:val="nil"/>
                <w:between w:val="nil"/>
              </w:pBdr>
              <w:spacing w:before="100" w:beforeAutospacing="1" w:after="100" w:afterAutospacing="1"/>
              <w:rPr>
                <w:rFonts w:eastAsia="Arial" w:cs="Arial"/>
                <w:sz w:val="22"/>
                <w:szCs w:val="22"/>
              </w:rPr>
            </w:pPr>
            <w:r w:rsidRPr="009744CF">
              <w:rPr>
                <w:rFonts w:eastAsia="Arial" w:cs="Arial"/>
                <w:sz w:val="22"/>
                <w:szCs w:val="22"/>
              </w:rPr>
              <w:t>By Feb 2027</w:t>
            </w:r>
          </w:p>
        </w:tc>
      </w:tr>
    </w:tbl>
    <w:p w14:paraId="7799A553" w14:textId="77777777" w:rsidR="001C731F" w:rsidRPr="009744CF" w:rsidRDefault="003C358B" w:rsidP="009744CF">
      <w:pPr>
        <w:spacing w:before="100" w:beforeAutospacing="1" w:after="100" w:afterAutospacing="1"/>
        <w:jc w:val="center"/>
        <w:rPr>
          <w:rFonts w:eastAsia="Arial" w:cs="Arial"/>
          <w:b/>
          <w:bCs/>
          <w:sz w:val="22"/>
          <w:szCs w:val="22"/>
        </w:rPr>
      </w:pPr>
      <w:r w:rsidRPr="009744CF">
        <w:rPr>
          <w:rFonts w:eastAsia="Arial" w:cs="Arial"/>
          <w:b/>
          <w:bCs/>
          <w:sz w:val="22"/>
          <w:szCs w:val="22"/>
        </w:rPr>
        <w:t>Table 1: Action plan</w:t>
      </w:r>
    </w:p>
    <w:p w14:paraId="2A8E5BD7" w14:textId="159E417E" w:rsidR="001C731F" w:rsidRDefault="003C358B" w:rsidP="009744CF">
      <w:pPr>
        <w:spacing w:before="100" w:beforeAutospacing="1" w:after="100" w:afterAutospacing="1"/>
        <w:jc w:val="center"/>
        <w:rPr>
          <w:rFonts w:eastAsia="Arial" w:cs="Arial"/>
          <w:sz w:val="22"/>
          <w:szCs w:val="22"/>
        </w:rPr>
      </w:pPr>
      <w:r w:rsidRPr="009744CF">
        <w:rPr>
          <w:rFonts w:eastAsia="Arial" w:cs="Arial"/>
          <w:sz w:val="22"/>
          <w:szCs w:val="22"/>
        </w:rPr>
        <w:t>(Source: Self-made)</w:t>
      </w:r>
    </w:p>
    <w:p w14:paraId="63C902D0" w14:textId="77777777" w:rsidR="00D1091A" w:rsidRPr="009744CF" w:rsidRDefault="00D1091A" w:rsidP="009744CF">
      <w:pPr>
        <w:spacing w:before="100" w:beforeAutospacing="1" w:after="100" w:afterAutospacing="1"/>
        <w:jc w:val="center"/>
        <w:rPr>
          <w:rFonts w:eastAsia="Arial" w:cs="Arial"/>
          <w:sz w:val="22"/>
          <w:szCs w:val="22"/>
        </w:rPr>
      </w:pPr>
    </w:p>
    <w:p w14:paraId="3266127C" w14:textId="77777777" w:rsidR="001C731F" w:rsidRPr="009744CF" w:rsidRDefault="003C358B" w:rsidP="009744CF">
      <w:pPr>
        <w:pStyle w:val="Heading1"/>
        <w:spacing w:before="100" w:beforeAutospacing="1" w:after="100" w:afterAutospacing="1"/>
        <w:rPr>
          <w:rFonts w:eastAsia="Arial" w:cs="Arial"/>
          <w:sz w:val="22"/>
          <w:szCs w:val="22"/>
        </w:rPr>
      </w:pPr>
      <w:bookmarkStart w:id="6" w:name="_heading=h.8nh0wppck9r" w:colFirst="0" w:colLast="0"/>
      <w:bookmarkStart w:id="7" w:name="_Toc235208170"/>
      <w:bookmarkEnd w:id="6"/>
      <w:r w:rsidRPr="009744CF">
        <w:rPr>
          <w:rFonts w:eastAsia="Arial" w:cs="Arial"/>
          <w:sz w:val="22"/>
          <w:szCs w:val="22"/>
        </w:rPr>
        <w:lastRenderedPageBreak/>
        <w:t>Conclusion</w:t>
      </w:r>
      <w:bookmarkEnd w:id="7"/>
    </w:p>
    <w:p w14:paraId="10DFEE8D" w14:textId="14E6C4D7" w:rsidR="001C731F" w:rsidRPr="009744CF" w:rsidRDefault="003C358B" w:rsidP="009744CF">
      <w:pPr>
        <w:spacing w:before="100" w:beforeAutospacing="1" w:after="100" w:afterAutospacing="1"/>
        <w:rPr>
          <w:rFonts w:eastAsia="Arial" w:cs="Arial"/>
          <w:sz w:val="22"/>
          <w:szCs w:val="22"/>
        </w:rPr>
      </w:pPr>
      <w:r w:rsidRPr="009744CF">
        <w:rPr>
          <w:rFonts w:eastAsia="Arial" w:cs="Arial"/>
          <w:sz w:val="22"/>
          <w:szCs w:val="22"/>
        </w:rPr>
        <w:t xml:space="preserve">In </w:t>
      </w:r>
      <w:r w:rsidR="00AF5F4D">
        <w:rPr>
          <w:rFonts w:eastAsia="Arial" w:cs="Arial"/>
          <w:sz w:val="22"/>
          <w:szCs w:val="22"/>
        </w:rPr>
        <w:t>conclusion</w:t>
      </w:r>
      <w:r w:rsidRPr="009744CF">
        <w:rPr>
          <w:rFonts w:eastAsia="Arial" w:cs="Arial"/>
          <w:sz w:val="22"/>
          <w:szCs w:val="22"/>
        </w:rPr>
        <w:t xml:space="preserve">, I have learnt how person-centred care, partnership working and ethics stand as a foundational triad to deliver high-quality care in the UK context. The reflective analysis also enabled me to explore how theoretical principles, legal guidelines, and professional codes shape care practices by ensuring better collaboration among professionals. Based on this reflection, I have also outlined my current limitations, which I believe I can overcome through the action plan developed.  </w:t>
      </w:r>
    </w:p>
    <w:p w14:paraId="79CF3FFB" w14:textId="77777777" w:rsidR="001C731F" w:rsidRPr="009744CF" w:rsidRDefault="001C731F" w:rsidP="009744CF">
      <w:pPr>
        <w:spacing w:before="100" w:beforeAutospacing="1" w:after="100" w:afterAutospacing="1"/>
        <w:rPr>
          <w:rFonts w:eastAsia="Arial" w:cs="Arial"/>
          <w:color w:val="0070C0"/>
          <w:sz w:val="22"/>
          <w:szCs w:val="22"/>
        </w:rPr>
      </w:pPr>
    </w:p>
    <w:p w14:paraId="1ED67932" w14:textId="77777777" w:rsidR="001C731F" w:rsidRPr="009744CF" w:rsidRDefault="003C358B" w:rsidP="009744CF">
      <w:pPr>
        <w:pStyle w:val="Heading1"/>
        <w:spacing w:before="100" w:beforeAutospacing="1" w:after="100" w:afterAutospacing="1"/>
        <w:rPr>
          <w:rFonts w:eastAsia="Arial" w:cs="Arial"/>
          <w:sz w:val="22"/>
          <w:szCs w:val="22"/>
        </w:rPr>
      </w:pPr>
      <w:bookmarkStart w:id="8" w:name="_heading=h.erqjevurwd5d" w:colFirst="0" w:colLast="0"/>
      <w:bookmarkEnd w:id="8"/>
      <w:r w:rsidRPr="009744CF">
        <w:rPr>
          <w:sz w:val="22"/>
          <w:szCs w:val="22"/>
        </w:rPr>
        <w:br w:type="page"/>
      </w:r>
    </w:p>
    <w:p w14:paraId="24F43421" w14:textId="77777777" w:rsidR="001C731F" w:rsidRPr="009744CF" w:rsidRDefault="003C358B" w:rsidP="009744CF">
      <w:pPr>
        <w:pStyle w:val="Heading1"/>
        <w:spacing w:before="100" w:beforeAutospacing="1" w:after="100" w:afterAutospacing="1"/>
        <w:rPr>
          <w:rFonts w:eastAsia="Arial" w:cs="Arial"/>
          <w:sz w:val="22"/>
          <w:szCs w:val="22"/>
        </w:rPr>
      </w:pPr>
      <w:bookmarkStart w:id="9" w:name="_heading=h.eqv5hvvlyx6l" w:colFirst="0" w:colLast="0"/>
      <w:bookmarkStart w:id="10" w:name="_Toc235208171"/>
      <w:bookmarkEnd w:id="9"/>
      <w:r w:rsidRPr="009744CF">
        <w:rPr>
          <w:rFonts w:eastAsia="Arial" w:cs="Arial"/>
          <w:sz w:val="22"/>
          <w:szCs w:val="22"/>
        </w:rPr>
        <w:lastRenderedPageBreak/>
        <w:t>References</w:t>
      </w:r>
      <w:bookmarkEnd w:id="10"/>
    </w:p>
    <w:p w14:paraId="645FFE73" w14:textId="77777777" w:rsidR="009744CF" w:rsidRPr="009744CF" w:rsidRDefault="009744CF" w:rsidP="009744CF">
      <w:pPr>
        <w:spacing w:before="100" w:beforeAutospacing="1" w:after="100" w:afterAutospacing="1"/>
        <w:rPr>
          <w:sz w:val="22"/>
          <w:szCs w:val="22"/>
        </w:rPr>
      </w:pPr>
      <w:r w:rsidRPr="009744CF">
        <w:rPr>
          <w:sz w:val="22"/>
          <w:szCs w:val="22"/>
        </w:rPr>
        <w:t>Coulter, A. and Oldham, J. (2016</w:t>
      </w:r>
      <w:r w:rsidRPr="00981AD0">
        <w:rPr>
          <w:i/>
          <w:iCs/>
          <w:sz w:val="22"/>
          <w:szCs w:val="22"/>
        </w:rPr>
        <w:t>) ‘Person-centred care: what is it and how do we get there?’</w:t>
      </w:r>
      <w:r w:rsidRPr="009744CF">
        <w:rPr>
          <w:sz w:val="22"/>
          <w:szCs w:val="22"/>
        </w:rPr>
        <w:t>, </w:t>
      </w:r>
      <w:r w:rsidRPr="00981AD0">
        <w:rPr>
          <w:sz w:val="22"/>
          <w:szCs w:val="22"/>
        </w:rPr>
        <w:t>Future hospital journal</w:t>
      </w:r>
      <w:r w:rsidRPr="009744CF">
        <w:rPr>
          <w:sz w:val="22"/>
          <w:szCs w:val="22"/>
        </w:rPr>
        <w:t>, 3(2), pp. 114-116.</w:t>
      </w:r>
    </w:p>
    <w:p w14:paraId="51B16309" w14:textId="77777777" w:rsidR="009744CF" w:rsidRPr="009744CF" w:rsidRDefault="009744CF" w:rsidP="009744CF">
      <w:pPr>
        <w:spacing w:before="100" w:beforeAutospacing="1" w:after="100" w:afterAutospacing="1"/>
        <w:rPr>
          <w:sz w:val="22"/>
          <w:szCs w:val="22"/>
        </w:rPr>
      </w:pPr>
      <w:r w:rsidRPr="009744CF">
        <w:rPr>
          <w:sz w:val="22"/>
          <w:szCs w:val="22"/>
        </w:rPr>
        <w:t>Glasby, J. (2017) </w:t>
      </w:r>
      <w:r w:rsidRPr="009744CF">
        <w:rPr>
          <w:i/>
          <w:iCs/>
          <w:sz w:val="22"/>
          <w:szCs w:val="22"/>
        </w:rPr>
        <w:t>Partnership working in health and social care</w:t>
      </w:r>
      <w:r w:rsidRPr="009744CF">
        <w:rPr>
          <w:sz w:val="22"/>
          <w:szCs w:val="22"/>
        </w:rPr>
        <w:t> (pp. 71-94). London: Policy Press.</w:t>
      </w:r>
    </w:p>
    <w:p w14:paraId="1D312145" w14:textId="77777777" w:rsidR="009744CF" w:rsidRPr="009744CF" w:rsidRDefault="009744CF" w:rsidP="009744CF">
      <w:pPr>
        <w:spacing w:before="100" w:beforeAutospacing="1" w:after="100" w:afterAutospacing="1"/>
        <w:rPr>
          <w:b/>
          <w:bCs/>
          <w:sz w:val="22"/>
          <w:szCs w:val="22"/>
          <w:lang w:val="en-IN"/>
        </w:rPr>
      </w:pPr>
      <w:r w:rsidRPr="009744CF">
        <w:rPr>
          <w:sz w:val="22"/>
          <w:szCs w:val="22"/>
        </w:rPr>
        <w:t xml:space="preserve">GOV.UK (2016) </w:t>
      </w:r>
      <w:r w:rsidRPr="009744CF">
        <w:rPr>
          <w:rFonts w:eastAsiaTheme="minorHAnsi" w:cstheme="minorBidi"/>
          <w:i/>
          <w:iCs/>
          <w:sz w:val="22"/>
          <w:szCs w:val="22"/>
          <w:lang w:val="en-IN" w:bidi="bn-IN"/>
        </w:rPr>
        <w:t>Care Act factsheets</w:t>
      </w:r>
      <w:r w:rsidRPr="009744CF">
        <w:rPr>
          <w:i/>
          <w:iCs/>
          <w:sz w:val="22"/>
          <w:szCs w:val="22"/>
          <w:lang w:val="en-IN"/>
        </w:rPr>
        <w:t>.</w:t>
      </w:r>
      <w:r w:rsidRPr="009744CF">
        <w:rPr>
          <w:b/>
          <w:bCs/>
          <w:sz w:val="22"/>
          <w:szCs w:val="22"/>
          <w:lang w:val="en-IN"/>
        </w:rPr>
        <w:t xml:space="preserve"> </w:t>
      </w:r>
      <w:r w:rsidRPr="009744CF">
        <w:rPr>
          <w:sz w:val="22"/>
          <w:szCs w:val="22"/>
        </w:rPr>
        <w:t xml:space="preserve">Available at: </w:t>
      </w:r>
      <w:hyperlink r:id="rId11" w:history="1">
        <w:r w:rsidRPr="00CB7A89">
          <w:rPr>
            <w:rStyle w:val="Hyperlink"/>
            <w:color w:val="auto"/>
            <w:sz w:val="22"/>
            <w:szCs w:val="22"/>
          </w:rPr>
          <w:t>https://www.gov.uk/government/publications/care-act-2014-part-1-factsheets/care-act-factsheets</w:t>
        </w:r>
      </w:hyperlink>
      <w:r w:rsidRPr="009744CF">
        <w:rPr>
          <w:sz w:val="22"/>
          <w:szCs w:val="22"/>
        </w:rPr>
        <w:t xml:space="preserve"> (Accessed: 16 July 2026)</w:t>
      </w:r>
    </w:p>
    <w:p w14:paraId="00D6151C" w14:textId="77777777" w:rsidR="009744CF" w:rsidRPr="009744CF" w:rsidRDefault="009744CF" w:rsidP="009744CF">
      <w:pPr>
        <w:spacing w:before="100" w:beforeAutospacing="1" w:after="100" w:afterAutospacing="1"/>
        <w:rPr>
          <w:sz w:val="22"/>
          <w:szCs w:val="22"/>
        </w:rPr>
      </w:pPr>
      <w:r w:rsidRPr="009744CF">
        <w:rPr>
          <w:sz w:val="22"/>
          <w:szCs w:val="22"/>
        </w:rPr>
        <w:t>Kern, L.M., Bynum, J.P. and Pincus, H.A. (2024) ‘</w:t>
      </w:r>
      <w:r w:rsidRPr="00981AD0">
        <w:rPr>
          <w:i/>
          <w:iCs/>
          <w:sz w:val="22"/>
          <w:szCs w:val="22"/>
        </w:rPr>
        <w:t>Care fragmentation, care continuity, and care coordination—how they differ and why it matters’</w:t>
      </w:r>
      <w:r w:rsidRPr="009744CF">
        <w:rPr>
          <w:sz w:val="22"/>
          <w:szCs w:val="22"/>
        </w:rPr>
        <w:t>, </w:t>
      </w:r>
      <w:r w:rsidRPr="00981AD0">
        <w:rPr>
          <w:sz w:val="22"/>
          <w:szCs w:val="22"/>
        </w:rPr>
        <w:t>JAMA internal medicine</w:t>
      </w:r>
      <w:r w:rsidRPr="009744CF">
        <w:rPr>
          <w:sz w:val="22"/>
          <w:szCs w:val="22"/>
        </w:rPr>
        <w:t>, 184(3), pp. 236-237.</w:t>
      </w:r>
    </w:p>
    <w:p w14:paraId="2FF479C3" w14:textId="77777777" w:rsidR="009744CF" w:rsidRPr="009744CF" w:rsidRDefault="009744CF" w:rsidP="009744CF">
      <w:pPr>
        <w:spacing w:before="100" w:beforeAutospacing="1" w:after="100" w:afterAutospacing="1"/>
        <w:rPr>
          <w:sz w:val="22"/>
          <w:szCs w:val="22"/>
          <w:lang w:val="en-IN"/>
        </w:rPr>
      </w:pPr>
      <w:r w:rsidRPr="009744CF">
        <w:rPr>
          <w:sz w:val="22"/>
          <w:szCs w:val="22"/>
        </w:rPr>
        <w:t xml:space="preserve">Legislation.gov.uk (n.d.) </w:t>
      </w:r>
      <w:r w:rsidRPr="009744CF">
        <w:rPr>
          <w:rFonts w:eastAsiaTheme="minorHAnsi" w:cstheme="minorBidi"/>
          <w:i/>
          <w:iCs/>
          <w:sz w:val="22"/>
          <w:szCs w:val="22"/>
          <w:lang w:val="en-IN" w:bidi="bn-IN"/>
        </w:rPr>
        <w:t>Health and Care Act 2022</w:t>
      </w:r>
      <w:r w:rsidRPr="009744CF">
        <w:rPr>
          <w:i/>
          <w:iCs/>
          <w:sz w:val="22"/>
          <w:szCs w:val="22"/>
          <w:lang w:val="en-IN"/>
        </w:rPr>
        <w:t>.</w:t>
      </w:r>
      <w:r w:rsidRPr="009744CF">
        <w:rPr>
          <w:sz w:val="22"/>
          <w:szCs w:val="22"/>
          <w:lang w:val="en-IN"/>
        </w:rPr>
        <w:t xml:space="preserve"> </w:t>
      </w:r>
      <w:r w:rsidRPr="009744CF">
        <w:rPr>
          <w:sz w:val="22"/>
          <w:szCs w:val="22"/>
        </w:rPr>
        <w:t xml:space="preserve">Available at: </w:t>
      </w:r>
      <w:hyperlink r:id="rId12" w:history="1">
        <w:r w:rsidRPr="00CB7A89">
          <w:rPr>
            <w:rStyle w:val="Hyperlink"/>
            <w:color w:val="auto"/>
            <w:sz w:val="22"/>
            <w:szCs w:val="22"/>
          </w:rPr>
          <w:t>https://www.legislation.gov.uk/ukpga/2022/31/contents</w:t>
        </w:r>
      </w:hyperlink>
      <w:r w:rsidRPr="00CB7A89">
        <w:rPr>
          <w:sz w:val="22"/>
          <w:szCs w:val="22"/>
        </w:rPr>
        <w:t xml:space="preserve"> </w:t>
      </w:r>
      <w:r w:rsidRPr="009744CF">
        <w:rPr>
          <w:sz w:val="22"/>
          <w:szCs w:val="22"/>
        </w:rPr>
        <w:t>(Accessed: 16 July 2026)</w:t>
      </w:r>
    </w:p>
    <w:p w14:paraId="50EFF639" w14:textId="77777777" w:rsidR="009744CF" w:rsidRPr="009744CF" w:rsidRDefault="009744CF" w:rsidP="009744CF">
      <w:pPr>
        <w:spacing w:before="100" w:beforeAutospacing="1" w:after="100" w:afterAutospacing="1"/>
        <w:rPr>
          <w:sz w:val="22"/>
          <w:szCs w:val="22"/>
        </w:rPr>
      </w:pPr>
      <w:r w:rsidRPr="009744CF">
        <w:rPr>
          <w:sz w:val="22"/>
          <w:szCs w:val="22"/>
        </w:rPr>
        <w:t>McLean, G.R. (2021) </w:t>
      </w:r>
      <w:r w:rsidRPr="009744CF">
        <w:rPr>
          <w:i/>
          <w:iCs/>
          <w:sz w:val="22"/>
          <w:szCs w:val="22"/>
        </w:rPr>
        <w:t>Ethical basics for the caring professions: Knowledge and skills for thoughtful practice</w:t>
      </w:r>
      <w:r w:rsidRPr="009744CF">
        <w:rPr>
          <w:sz w:val="22"/>
          <w:szCs w:val="22"/>
        </w:rPr>
        <w:t>. London: Routledge.</w:t>
      </w:r>
    </w:p>
    <w:p w14:paraId="20C5B985" w14:textId="77777777" w:rsidR="009744CF" w:rsidRPr="009744CF" w:rsidRDefault="009744CF" w:rsidP="009744CF">
      <w:pPr>
        <w:spacing w:before="100" w:beforeAutospacing="1" w:after="100" w:afterAutospacing="1"/>
        <w:rPr>
          <w:b/>
          <w:bCs/>
          <w:sz w:val="22"/>
          <w:szCs w:val="22"/>
          <w:lang w:val="en-IN"/>
        </w:rPr>
      </w:pPr>
      <w:r w:rsidRPr="009744CF">
        <w:rPr>
          <w:sz w:val="22"/>
          <w:szCs w:val="22"/>
        </w:rPr>
        <w:t xml:space="preserve">NHS (n.d.) </w:t>
      </w:r>
      <w:r w:rsidRPr="009744CF">
        <w:rPr>
          <w:rFonts w:eastAsiaTheme="minorHAnsi" w:cstheme="minorBidi"/>
          <w:i/>
          <w:iCs/>
          <w:sz w:val="22"/>
          <w:szCs w:val="22"/>
          <w:lang w:val="en-IN" w:bidi="bn-IN"/>
        </w:rPr>
        <w:t>Mental Capacity Act</w:t>
      </w:r>
      <w:r w:rsidRPr="009744CF">
        <w:rPr>
          <w:i/>
          <w:iCs/>
          <w:sz w:val="22"/>
          <w:szCs w:val="22"/>
          <w:lang w:val="en-IN"/>
        </w:rPr>
        <w:t>.</w:t>
      </w:r>
      <w:r w:rsidRPr="009744CF">
        <w:rPr>
          <w:b/>
          <w:bCs/>
          <w:sz w:val="22"/>
          <w:szCs w:val="22"/>
          <w:lang w:val="en-IN"/>
        </w:rPr>
        <w:t xml:space="preserve"> </w:t>
      </w:r>
      <w:r w:rsidRPr="009744CF">
        <w:rPr>
          <w:sz w:val="22"/>
          <w:szCs w:val="22"/>
        </w:rPr>
        <w:t xml:space="preserve">Available at: </w:t>
      </w:r>
      <w:hyperlink r:id="rId13" w:history="1">
        <w:r w:rsidRPr="00CB7A89">
          <w:rPr>
            <w:rStyle w:val="Hyperlink"/>
            <w:color w:val="auto"/>
            <w:sz w:val="22"/>
            <w:szCs w:val="22"/>
          </w:rPr>
          <w:t>https://www.nhs.uk/social-care-and-support/making-decisions-for-someone-else/mental-capacity-act/</w:t>
        </w:r>
      </w:hyperlink>
      <w:r w:rsidRPr="009744CF">
        <w:rPr>
          <w:sz w:val="22"/>
          <w:szCs w:val="22"/>
        </w:rPr>
        <w:t xml:space="preserve"> (Accessed: 17 July 2026)</w:t>
      </w:r>
    </w:p>
    <w:p w14:paraId="5C6AE627" w14:textId="77777777" w:rsidR="009744CF" w:rsidRPr="009744CF" w:rsidRDefault="009744CF" w:rsidP="009744CF">
      <w:pPr>
        <w:spacing w:before="100" w:beforeAutospacing="1" w:after="100" w:afterAutospacing="1"/>
        <w:rPr>
          <w:sz w:val="22"/>
          <w:szCs w:val="22"/>
        </w:rPr>
      </w:pPr>
      <w:r w:rsidRPr="009744CF">
        <w:rPr>
          <w:sz w:val="22"/>
          <w:szCs w:val="22"/>
        </w:rPr>
        <w:t>Ocampo, F.A., McIntyre, B.G., Massey, D. and Saunders, R. (2025) ‘</w:t>
      </w:r>
      <w:r w:rsidRPr="00E075A4">
        <w:rPr>
          <w:i/>
          <w:iCs/>
          <w:sz w:val="22"/>
          <w:szCs w:val="22"/>
        </w:rPr>
        <w:t>Nursing student reflections on a research internship: A reflective discussion following the Gibbs' reflective cycle’</w:t>
      </w:r>
      <w:r w:rsidRPr="009744CF">
        <w:rPr>
          <w:sz w:val="22"/>
          <w:szCs w:val="22"/>
        </w:rPr>
        <w:t>, </w:t>
      </w:r>
      <w:r w:rsidRPr="00E075A4">
        <w:rPr>
          <w:sz w:val="22"/>
          <w:szCs w:val="22"/>
        </w:rPr>
        <w:t>Nurse education today</w:t>
      </w:r>
      <w:r w:rsidRPr="009744CF">
        <w:rPr>
          <w:sz w:val="22"/>
          <w:szCs w:val="22"/>
        </w:rPr>
        <w:t>, 145, p. 106481.</w:t>
      </w:r>
    </w:p>
    <w:p w14:paraId="0C0C40E9" w14:textId="77777777" w:rsidR="009744CF" w:rsidRPr="009744CF" w:rsidRDefault="009744CF" w:rsidP="009744CF">
      <w:pPr>
        <w:spacing w:before="100" w:beforeAutospacing="1" w:after="100" w:afterAutospacing="1"/>
        <w:rPr>
          <w:sz w:val="22"/>
          <w:szCs w:val="22"/>
        </w:rPr>
      </w:pPr>
      <w:r w:rsidRPr="009744CF">
        <w:rPr>
          <w:sz w:val="22"/>
          <w:szCs w:val="22"/>
        </w:rPr>
        <w:t xml:space="preserve">Pearson, C. and Ridley, J. (2017) </w:t>
      </w:r>
      <w:r w:rsidRPr="00E075A4">
        <w:rPr>
          <w:i/>
          <w:iCs/>
          <w:sz w:val="22"/>
          <w:szCs w:val="22"/>
        </w:rPr>
        <w:t>‘Is personalization the right plan at the wrong time? Re‐thinking cash‐for‐care in an age of Austerity’</w:t>
      </w:r>
      <w:r w:rsidRPr="009744CF">
        <w:rPr>
          <w:sz w:val="22"/>
          <w:szCs w:val="22"/>
        </w:rPr>
        <w:t>, </w:t>
      </w:r>
      <w:r w:rsidRPr="00E075A4">
        <w:rPr>
          <w:sz w:val="22"/>
          <w:szCs w:val="22"/>
        </w:rPr>
        <w:t>Social Policy &amp; Administration</w:t>
      </w:r>
      <w:r w:rsidRPr="009744CF">
        <w:rPr>
          <w:sz w:val="22"/>
          <w:szCs w:val="22"/>
        </w:rPr>
        <w:t>, 51(7), pp. 1042-1059.</w:t>
      </w:r>
    </w:p>
    <w:p w14:paraId="4D22DCD9" w14:textId="77777777" w:rsidR="009744CF" w:rsidRPr="009744CF" w:rsidRDefault="009744CF" w:rsidP="009744CF">
      <w:pPr>
        <w:spacing w:before="100" w:beforeAutospacing="1" w:after="100" w:afterAutospacing="1"/>
        <w:rPr>
          <w:sz w:val="22"/>
          <w:szCs w:val="22"/>
        </w:rPr>
      </w:pPr>
      <w:r w:rsidRPr="009744CF">
        <w:rPr>
          <w:sz w:val="22"/>
          <w:szCs w:val="22"/>
        </w:rPr>
        <w:t xml:space="preserve">Poirier, T.I. and Devraj, R. (2019) </w:t>
      </w:r>
      <w:r w:rsidRPr="00E075A4">
        <w:rPr>
          <w:i/>
          <w:iCs/>
          <w:sz w:val="22"/>
          <w:szCs w:val="22"/>
        </w:rPr>
        <w:t>‘Pharmacy in an improved health care delivery model using Maslow’s hierarchy of needs’</w:t>
      </w:r>
      <w:r w:rsidRPr="009744CF">
        <w:rPr>
          <w:sz w:val="22"/>
          <w:szCs w:val="22"/>
        </w:rPr>
        <w:t>, </w:t>
      </w:r>
      <w:r w:rsidRPr="00E075A4">
        <w:rPr>
          <w:sz w:val="22"/>
          <w:szCs w:val="22"/>
        </w:rPr>
        <w:t>American Journal of Pharmaceutical Education</w:t>
      </w:r>
      <w:r w:rsidRPr="009744CF">
        <w:rPr>
          <w:sz w:val="22"/>
          <w:szCs w:val="22"/>
        </w:rPr>
        <w:t>, 83(8), p. 7627.</w:t>
      </w:r>
    </w:p>
    <w:p w14:paraId="4D7F3F22" w14:textId="77777777" w:rsidR="009744CF" w:rsidRPr="009744CF" w:rsidRDefault="009744CF" w:rsidP="009744CF">
      <w:pPr>
        <w:spacing w:before="100" w:beforeAutospacing="1" w:after="100" w:afterAutospacing="1"/>
        <w:rPr>
          <w:sz w:val="22"/>
          <w:szCs w:val="22"/>
        </w:rPr>
      </w:pPr>
      <w:r w:rsidRPr="009744CF">
        <w:rPr>
          <w:sz w:val="22"/>
          <w:szCs w:val="22"/>
        </w:rPr>
        <w:t xml:space="preserve">Pradelli, L., Risoli, C., Summer, E., Bellini, G., Mozzarelli, F., Anderson, G., Guasconi, M., Artioli, G., Bonacaro, A. and Sarli, L. (2025) </w:t>
      </w:r>
      <w:r w:rsidRPr="00E075A4">
        <w:rPr>
          <w:i/>
          <w:iCs/>
          <w:sz w:val="22"/>
          <w:szCs w:val="22"/>
        </w:rPr>
        <w:t xml:space="preserve">‘Healthcare professional perspective on barriers </w:t>
      </w:r>
      <w:r w:rsidRPr="00E075A4">
        <w:rPr>
          <w:i/>
          <w:iCs/>
          <w:sz w:val="22"/>
          <w:szCs w:val="22"/>
        </w:rPr>
        <w:lastRenderedPageBreak/>
        <w:t>and facilitators of multidisciplinary team working in acute care setting: a systematic review and meta-synthesis’</w:t>
      </w:r>
      <w:r w:rsidRPr="009744CF">
        <w:rPr>
          <w:sz w:val="22"/>
          <w:szCs w:val="22"/>
        </w:rPr>
        <w:t>, </w:t>
      </w:r>
      <w:r w:rsidRPr="00E075A4">
        <w:rPr>
          <w:sz w:val="22"/>
          <w:szCs w:val="22"/>
        </w:rPr>
        <w:t>BMJ open</w:t>
      </w:r>
      <w:r w:rsidRPr="009744CF">
        <w:rPr>
          <w:sz w:val="22"/>
          <w:szCs w:val="22"/>
        </w:rPr>
        <w:t>, 15(3), p. e087268.</w:t>
      </w:r>
    </w:p>
    <w:p w14:paraId="25A5CE13" w14:textId="77777777" w:rsidR="009744CF" w:rsidRPr="009744CF" w:rsidRDefault="009744CF" w:rsidP="009744CF">
      <w:pPr>
        <w:spacing w:before="100" w:beforeAutospacing="1" w:after="100" w:afterAutospacing="1"/>
        <w:rPr>
          <w:sz w:val="22"/>
          <w:szCs w:val="22"/>
        </w:rPr>
      </w:pPr>
      <w:r w:rsidRPr="009744CF">
        <w:rPr>
          <w:sz w:val="22"/>
          <w:szCs w:val="22"/>
        </w:rPr>
        <w:t xml:space="preserve">Riste, L.K., Coventry, P.A., Reilly, S.T., Bower, P. and Sanders, C. (2018) </w:t>
      </w:r>
      <w:r w:rsidRPr="00E075A4">
        <w:rPr>
          <w:i/>
          <w:iCs/>
          <w:sz w:val="22"/>
          <w:szCs w:val="22"/>
        </w:rPr>
        <w:t>‘Enacting person‐centredness in integrated care: A qualitative study of practice and perspectives within multidisciplinary groups in the care of older people’, </w:t>
      </w:r>
      <w:r w:rsidRPr="00E075A4">
        <w:rPr>
          <w:sz w:val="22"/>
          <w:szCs w:val="22"/>
        </w:rPr>
        <w:t>Health Expectations</w:t>
      </w:r>
      <w:r w:rsidRPr="009744CF">
        <w:rPr>
          <w:sz w:val="22"/>
          <w:szCs w:val="22"/>
        </w:rPr>
        <w:t>, 21(6), pp. 1066-1074.</w:t>
      </w:r>
    </w:p>
    <w:p w14:paraId="64DF76C2" w14:textId="77777777" w:rsidR="009744CF" w:rsidRPr="009744CF" w:rsidRDefault="009744CF" w:rsidP="009744CF">
      <w:pPr>
        <w:spacing w:before="100" w:beforeAutospacing="1" w:after="100" w:afterAutospacing="1"/>
        <w:rPr>
          <w:sz w:val="22"/>
          <w:szCs w:val="22"/>
        </w:rPr>
      </w:pPr>
      <w:r w:rsidRPr="009744CF">
        <w:rPr>
          <w:sz w:val="22"/>
          <w:szCs w:val="22"/>
        </w:rPr>
        <w:t xml:space="preserve">Santana, M.J., Manalili, K., Jolley, R.J., Zelinsky, S., Quan, H. and Lu, M. (2018) </w:t>
      </w:r>
      <w:r w:rsidRPr="00A54AFF">
        <w:rPr>
          <w:i/>
          <w:iCs/>
          <w:sz w:val="22"/>
          <w:szCs w:val="22"/>
        </w:rPr>
        <w:t>‘How to practice person‐centred care: A conceptual framework’,</w:t>
      </w:r>
      <w:r w:rsidRPr="009744CF">
        <w:rPr>
          <w:sz w:val="22"/>
          <w:szCs w:val="22"/>
        </w:rPr>
        <w:t> </w:t>
      </w:r>
      <w:r w:rsidRPr="00A54AFF">
        <w:rPr>
          <w:sz w:val="22"/>
          <w:szCs w:val="22"/>
        </w:rPr>
        <w:t>Health Expectations</w:t>
      </w:r>
      <w:r w:rsidRPr="009744CF">
        <w:rPr>
          <w:sz w:val="22"/>
          <w:szCs w:val="22"/>
        </w:rPr>
        <w:t>, 21(2), pp. 429-440.</w:t>
      </w:r>
    </w:p>
    <w:p w14:paraId="6BDBD1BB" w14:textId="77777777" w:rsidR="009744CF" w:rsidRPr="009744CF" w:rsidRDefault="009744CF" w:rsidP="009744CF">
      <w:pPr>
        <w:spacing w:before="100" w:beforeAutospacing="1" w:after="100" w:afterAutospacing="1"/>
        <w:rPr>
          <w:sz w:val="22"/>
          <w:szCs w:val="22"/>
        </w:rPr>
      </w:pPr>
      <w:r w:rsidRPr="009744CF">
        <w:rPr>
          <w:sz w:val="22"/>
          <w:szCs w:val="22"/>
        </w:rPr>
        <w:t xml:space="preserve">Shelat, V.G. (2025) </w:t>
      </w:r>
      <w:r w:rsidRPr="00A54AFF">
        <w:rPr>
          <w:i/>
          <w:iCs/>
          <w:sz w:val="22"/>
          <w:szCs w:val="22"/>
        </w:rPr>
        <w:t>‘Respecting privacy and upholding confidentiality: core ethical duties’,</w:t>
      </w:r>
      <w:r w:rsidRPr="009744CF">
        <w:rPr>
          <w:sz w:val="22"/>
          <w:szCs w:val="22"/>
        </w:rPr>
        <w:t> </w:t>
      </w:r>
      <w:r w:rsidRPr="00A54AFF">
        <w:rPr>
          <w:sz w:val="22"/>
          <w:szCs w:val="22"/>
        </w:rPr>
        <w:t>Singapore Medical Journal</w:t>
      </w:r>
      <w:r w:rsidRPr="009744CF">
        <w:rPr>
          <w:sz w:val="22"/>
          <w:szCs w:val="22"/>
        </w:rPr>
        <w:t>, 66(12), pp. 685-689.</w:t>
      </w:r>
    </w:p>
    <w:p w14:paraId="465C7778" w14:textId="77777777" w:rsidR="009744CF" w:rsidRPr="009744CF" w:rsidRDefault="009744CF" w:rsidP="009744CF">
      <w:pPr>
        <w:spacing w:before="100" w:beforeAutospacing="1" w:after="100" w:afterAutospacing="1"/>
        <w:rPr>
          <w:sz w:val="22"/>
          <w:szCs w:val="22"/>
        </w:rPr>
      </w:pPr>
    </w:p>
    <w:p w14:paraId="47809BF9" w14:textId="77777777" w:rsidR="001C731F" w:rsidRPr="009744CF" w:rsidRDefault="001C731F" w:rsidP="009744CF">
      <w:pPr>
        <w:spacing w:before="100" w:beforeAutospacing="1" w:after="100" w:afterAutospacing="1"/>
        <w:rPr>
          <w:rFonts w:eastAsia="Arial" w:cs="Arial"/>
          <w:color w:val="0070C0"/>
          <w:sz w:val="22"/>
          <w:szCs w:val="22"/>
        </w:rPr>
      </w:pPr>
    </w:p>
    <w:p w14:paraId="2BEC6BF6" w14:textId="77777777" w:rsidR="001C731F" w:rsidRPr="009744CF" w:rsidRDefault="001C731F" w:rsidP="009744CF">
      <w:pPr>
        <w:spacing w:before="100" w:beforeAutospacing="1" w:after="100" w:afterAutospacing="1"/>
        <w:rPr>
          <w:rFonts w:eastAsia="Arial" w:cs="Arial"/>
          <w:sz w:val="22"/>
          <w:szCs w:val="22"/>
        </w:rPr>
      </w:pPr>
    </w:p>
    <w:sectPr w:rsidR="001C731F" w:rsidRPr="009744CF" w:rsidSect="008A1C44">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2616A5" w14:textId="77777777" w:rsidR="00E04A2C" w:rsidRDefault="00E04A2C" w:rsidP="009744CF">
      <w:pPr>
        <w:spacing w:after="0" w:line="240" w:lineRule="auto"/>
      </w:pPr>
      <w:r>
        <w:separator/>
      </w:r>
    </w:p>
  </w:endnote>
  <w:endnote w:type="continuationSeparator" w:id="0">
    <w:p w14:paraId="1592054C" w14:textId="77777777" w:rsidR="00E04A2C" w:rsidRDefault="00E04A2C" w:rsidP="009744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83D9138B-A362-4AA4-81C5-2C999CE7AC78}"/>
  </w:font>
  <w:font w:name="Calibri">
    <w:panose1 w:val="020F0502020204030204"/>
    <w:charset w:val="00"/>
    <w:family w:val="swiss"/>
    <w:pitch w:val="variable"/>
    <w:sig w:usb0="E4002EFF" w:usb1="C200247B" w:usb2="00000009" w:usb3="00000000" w:csb0="000001FF" w:csb1="00000000"/>
    <w:embedRegular r:id="rId2" w:fontKey="{C0168D88-70DB-49AA-B14A-40581B2E47B6}"/>
  </w:font>
  <w:font w:name="Cambria">
    <w:panose1 w:val="02040503050406030204"/>
    <w:charset w:val="00"/>
    <w:family w:val="roman"/>
    <w:pitch w:val="variable"/>
    <w:sig w:usb0="E00006FF" w:usb1="420024FF" w:usb2="02000000" w:usb3="00000000" w:csb0="0000019F" w:csb1="00000000"/>
    <w:embedRegular r:id="rId3" w:fontKey="{C127D2F8-7A27-4C78-9C08-039027A86730}"/>
    <w:embedItalic r:id="rId4" w:fontKey="{8AE4ABBA-DFC5-446C-AFE0-8195E0ABA42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8425358"/>
      <w:docPartObj>
        <w:docPartGallery w:val="Page Numbers (Bottom of Page)"/>
        <w:docPartUnique/>
      </w:docPartObj>
    </w:sdtPr>
    <w:sdtContent>
      <w:p w14:paraId="15529A3F" w14:textId="1ED1BB6A" w:rsidR="001D3307" w:rsidRDefault="001D3307">
        <w:pPr>
          <w:pStyle w:val="Footer"/>
          <w:jc w:val="right"/>
        </w:pPr>
        <w:r>
          <w:fldChar w:fldCharType="begin"/>
        </w:r>
        <w:r>
          <w:instrText>PAGE   \* MERGEFORMAT</w:instrText>
        </w:r>
        <w:r>
          <w:fldChar w:fldCharType="separate"/>
        </w:r>
        <w:r>
          <w:t>2</w:t>
        </w:r>
        <w:r>
          <w:fldChar w:fldCharType="end"/>
        </w:r>
      </w:p>
    </w:sdtContent>
  </w:sdt>
  <w:p w14:paraId="2AB2B359" w14:textId="77777777" w:rsidR="009744CF" w:rsidRDefault="009744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E7D707" w14:textId="77777777" w:rsidR="00E04A2C" w:rsidRDefault="00E04A2C" w:rsidP="009744CF">
      <w:pPr>
        <w:spacing w:after="0" w:line="240" w:lineRule="auto"/>
      </w:pPr>
      <w:r>
        <w:separator/>
      </w:r>
    </w:p>
  </w:footnote>
  <w:footnote w:type="continuationSeparator" w:id="0">
    <w:p w14:paraId="1BD4B2D3" w14:textId="77777777" w:rsidR="00E04A2C" w:rsidRDefault="00E04A2C" w:rsidP="009744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81A4D"/>
    <w:multiLevelType w:val="multilevel"/>
    <w:tmpl w:val="7A6877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27316B8"/>
    <w:multiLevelType w:val="multilevel"/>
    <w:tmpl w:val="A8D0BB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32A0F12"/>
    <w:multiLevelType w:val="multilevel"/>
    <w:tmpl w:val="D25464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8A01651"/>
    <w:multiLevelType w:val="multilevel"/>
    <w:tmpl w:val="9992FE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1BC549E"/>
    <w:multiLevelType w:val="multilevel"/>
    <w:tmpl w:val="02B2B2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4AF1278"/>
    <w:multiLevelType w:val="multilevel"/>
    <w:tmpl w:val="5C00E3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1EB52DB"/>
    <w:multiLevelType w:val="multilevel"/>
    <w:tmpl w:val="EB8C0C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34A24C0"/>
    <w:multiLevelType w:val="multilevel"/>
    <w:tmpl w:val="4580C6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58883563">
    <w:abstractNumId w:val="5"/>
  </w:num>
  <w:num w:numId="2" w16cid:durableId="39867480">
    <w:abstractNumId w:val="4"/>
  </w:num>
  <w:num w:numId="3" w16cid:durableId="131407940">
    <w:abstractNumId w:val="6"/>
  </w:num>
  <w:num w:numId="4" w16cid:durableId="537470234">
    <w:abstractNumId w:val="3"/>
  </w:num>
  <w:num w:numId="5" w16cid:durableId="1487746838">
    <w:abstractNumId w:val="0"/>
  </w:num>
  <w:num w:numId="6" w16cid:durableId="709301873">
    <w:abstractNumId w:val="1"/>
  </w:num>
  <w:num w:numId="7" w16cid:durableId="1088575520">
    <w:abstractNumId w:val="2"/>
  </w:num>
  <w:num w:numId="8" w16cid:durableId="169195584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731F"/>
    <w:rsid w:val="00151835"/>
    <w:rsid w:val="00163BC8"/>
    <w:rsid w:val="001C3852"/>
    <w:rsid w:val="001C447F"/>
    <w:rsid w:val="001C731F"/>
    <w:rsid w:val="001D3307"/>
    <w:rsid w:val="002D173D"/>
    <w:rsid w:val="0030708A"/>
    <w:rsid w:val="0031130D"/>
    <w:rsid w:val="00373332"/>
    <w:rsid w:val="003B130F"/>
    <w:rsid w:val="003C358B"/>
    <w:rsid w:val="003C5249"/>
    <w:rsid w:val="003C5C2C"/>
    <w:rsid w:val="003D2096"/>
    <w:rsid w:val="004412D9"/>
    <w:rsid w:val="0044534C"/>
    <w:rsid w:val="00446340"/>
    <w:rsid w:val="004513AB"/>
    <w:rsid w:val="004D0472"/>
    <w:rsid w:val="00560605"/>
    <w:rsid w:val="00586C64"/>
    <w:rsid w:val="00633558"/>
    <w:rsid w:val="00667825"/>
    <w:rsid w:val="0074625D"/>
    <w:rsid w:val="007468B2"/>
    <w:rsid w:val="00793940"/>
    <w:rsid w:val="007C1087"/>
    <w:rsid w:val="00851BF3"/>
    <w:rsid w:val="00861EDD"/>
    <w:rsid w:val="008A1C44"/>
    <w:rsid w:val="008F23D2"/>
    <w:rsid w:val="00966018"/>
    <w:rsid w:val="009744CF"/>
    <w:rsid w:val="00976CA4"/>
    <w:rsid w:val="00981AD0"/>
    <w:rsid w:val="009F59D4"/>
    <w:rsid w:val="00A54AFF"/>
    <w:rsid w:val="00A8743C"/>
    <w:rsid w:val="00AF5F4D"/>
    <w:rsid w:val="00B0663B"/>
    <w:rsid w:val="00BA43C5"/>
    <w:rsid w:val="00BC1AAF"/>
    <w:rsid w:val="00C60404"/>
    <w:rsid w:val="00CB7A89"/>
    <w:rsid w:val="00D1091A"/>
    <w:rsid w:val="00D222AC"/>
    <w:rsid w:val="00D65346"/>
    <w:rsid w:val="00E04A2C"/>
    <w:rsid w:val="00E075A4"/>
    <w:rsid w:val="00E40929"/>
    <w:rsid w:val="00EB11EE"/>
    <w:rsid w:val="00EB1659"/>
    <w:rsid w:val="00EC4081"/>
    <w:rsid w:val="00EF0D81"/>
    <w:rsid w:val="00EF25A3"/>
    <w:rsid w:val="00EF7ED1"/>
    <w:rsid w:val="00F17D4B"/>
    <w:rsid w:val="00F50DE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87052D"/>
  <w15:docId w15:val="{968D2D0A-828A-4026-860E-FB9F61F36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44CF"/>
    <w:pPr>
      <w:spacing w:line="360" w:lineRule="auto"/>
      <w:jc w:val="both"/>
    </w:pPr>
    <w:rPr>
      <w:rFonts w:ascii="Arial" w:hAnsi="Arial"/>
    </w:rPr>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Pr>
  </w:style>
  <w:style w:type="character" w:styleId="Hyperlink">
    <w:name w:val="Hyperlink"/>
    <w:basedOn w:val="DefaultParagraphFont"/>
    <w:uiPriority w:val="99"/>
    <w:unhideWhenUsed/>
    <w:rsid w:val="009744CF"/>
    <w:rPr>
      <w:color w:val="0000FF" w:themeColor="hyperlink"/>
      <w:u w:val="single"/>
    </w:rPr>
  </w:style>
  <w:style w:type="paragraph" w:styleId="Header">
    <w:name w:val="header"/>
    <w:basedOn w:val="Normal"/>
    <w:link w:val="HeaderChar"/>
    <w:uiPriority w:val="99"/>
    <w:unhideWhenUsed/>
    <w:rsid w:val="009744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44CF"/>
    <w:rPr>
      <w:rFonts w:ascii="Arial" w:hAnsi="Arial"/>
    </w:rPr>
  </w:style>
  <w:style w:type="paragraph" w:styleId="Footer">
    <w:name w:val="footer"/>
    <w:basedOn w:val="Normal"/>
    <w:link w:val="FooterChar"/>
    <w:uiPriority w:val="99"/>
    <w:unhideWhenUsed/>
    <w:rsid w:val="009744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44CF"/>
    <w:rPr>
      <w:rFonts w:ascii="Arial" w:hAnsi="Arial"/>
    </w:rPr>
  </w:style>
  <w:style w:type="paragraph" w:styleId="TOCHeading">
    <w:name w:val="TOC Heading"/>
    <w:basedOn w:val="Heading1"/>
    <w:next w:val="Normal"/>
    <w:uiPriority w:val="39"/>
    <w:unhideWhenUsed/>
    <w:qFormat/>
    <w:rsid w:val="009744CF"/>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9744C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nhs.uk/social-care-and-support/making-decisions-for-someone-else/mental-capacity-act/"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legislation.gov.uk/ukpga/2022/31/content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government/publications/care-act-2014-part-1-factsheets/care-act-factsheets"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yq/Ayw0QdLk2Ta8oJz5HBfu9sA==">CgMxLjAaHwoBMBIaChgICVIUChJ0YWJsZS5zb2ZwbDRmOXc3NjMyDmguYmQ0Nm92cjM4eDEwMg5oLjVsZG5mZmE4MWk2ZTIOaC4xOGJkZTRxZDB2Y24yDWguOG5oMHdwcGNrOXIyDmguZXJxamV2dXJ3ZDVkMg5oLmVxdjVodnZseXg2bDgAciExTDBVdWtfY3ZfVnc5TFpaN0NQRnpCYmZZUWd4S0ExcmQ=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0785883-9AFC-46F3-9967-75F302D491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11</Pages>
  <Words>2695</Words>
  <Characters>15363</Characters>
  <Application>Microsoft Office Word</Application>
  <DocSecurity>0</DocSecurity>
  <Lines>128</Lines>
  <Paragraphs>36</Paragraphs>
  <ScaleCrop>false</ScaleCrop>
  <Company/>
  <LinksUpToDate>false</LinksUpToDate>
  <CharactersWithSpaces>18022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Renata Kunceviciute</cp:lastModifiedBy>
  <cp:revision>9</cp:revision>
  <dcterms:created xsi:type="dcterms:W3CDTF">2026-07-26T08:40:00Z</dcterms:created>
  <dcterms:modified xsi:type="dcterms:W3CDTF">2026-07-27T11:33:00Z</dcterms:modified>
</cp:coreProperties>
</file>