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6218" w:rsidRDefault="00156218" w:rsidP="00156218">
      <w:pPr>
        <w:jc w:val="center"/>
        <w:rPr>
          <w:sz w:val="44"/>
          <w:szCs w:val="44"/>
        </w:rPr>
      </w:pPr>
      <w:r>
        <w:rPr>
          <w:sz w:val="44"/>
          <w:szCs w:val="44"/>
        </w:rPr>
        <w:t>Understanding the link between individual and organisational performance</w:t>
      </w:r>
    </w:p>
    <w:p w:rsidR="00156218" w:rsidRDefault="00156218" w:rsidP="00156218"/>
    <w:p w:rsidR="00156218" w:rsidRPr="00156218" w:rsidRDefault="00156218" w:rsidP="00156218">
      <w:pPr>
        <w:jc w:val="center"/>
        <w:rPr>
          <w:sz w:val="32"/>
          <w:szCs w:val="32"/>
        </w:rPr>
      </w:pPr>
      <w:r w:rsidRPr="00156218">
        <w:rPr>
          <w:sz w:val="32"/>
          <w:szCs w:val="32"/>
        </w:rPr>
        <w:t>Jodie Barnett</w:t>
      </w:r>
    </w:p>
    <w:p w:rsidR="00156218" w:rsidRDefault="00156218" w:rsidP="00156218">
      <w:pPr>
        <w:jc w:val="center"/>
        <w:rPr>
          <w:sz w:val="28"/>
          <w:szCs w:val="28"/>
        </w:rPr>
      </w:pPr>
    </w:p>
    <w:p w:rsidR="00156218" w:rsidRPr="00156218" w:rsidRDefault="00156218" w:rsidP="00156218">
      <w:pPr>
        <w:pStyle w:val="Default"/>
        <w:ind w:left="720" w:firstLine="720"/>
      </w:pPr>
      <w:r>
        <w:rPr>
          <w:sz w:val="28"/>
          <w:szCs w:val="28"/>
        </w:rPr>
        <w:t xml:space="preserve">               CIPD course number: </w:t>
      </w:r>
      <w:r w:rsidRPr="00156218">
        <w:rPr>
          <w:bCs/>
          <w:sz w:val="28"/>
          <w:szCs w:val="28"/>
        </w:rPr>
        <w:t>5KIOP</w:t>
      </w:r>
    </w:p>
    <w:p w:rsidR="00156218" w:rsidRDefault="00156218" w:rsidP="00156218">
      <w:pPr>
        <w:jc w:val="center"/>
        <w:rPr>
          <w:sz w:val="28"/>
          <w:szCs w:val="28"/>
        </w:rPr>
      </w:pPr>
    </w:p>
    <w:p w:rsidR="00156218" w:rsidRDefault="00156218" w:rsidP="00156218">
      <w:pPr>
        <w:jc w:val="center"/>
        <w:rPr>
          <w:sz w:val="28"/>
          <w:szCs w:val="28"/>
        </w:rPr>
      </w:pPr>
      <w:r>
        <w:rPr>
          <w:sz w:val="28"/>
          <w:szCs w:val="28"/>
        </w:rPr>
        <w:t>CIPD Membership number: 2224083X</w:t>
      </w:r>
    </w:p>
    <w:p w:rsidR="00156218" w:rsidRDefault="00156218" w:rsidP="00156218">
      <w:pPr>
        <w:pStyle w:val="NormalWeb"/>
        <w:ind w:left="2160" w:hanging="2160"/>
        <w:rPr>
          <w:rFonts w:asciiTheme="minorHAnsi" w:hAnsiTheme="minorHAnsi" w:cstheme="minorHAnsi"/>
          <w:sz w:val="28"/>
          <w:szCs w:val="28"/>
        </w:rPr>
      </w:pPr>
    </w:p>
    <w:p w:rsidR="00156218" w:rsidRDefault="00156218" w:rsidP="00156218">
      <w:pPr>
        <w:rPr>
          <w:sz w:val="28"/>
          <w:szCs w:val="28"/>
        </w:rPr>
      </w:pPr>
      <w:r>
        <w:rPr>
          <w:sz w:val="28"/>
          <w:szCs w:val="28"/>
        </w:rPr>
        <w:t xml:space="preserve">Word count: (Maximum of 750 words) </w:t>
      </w:r>
      <w:r w:rsidR="00A54479">
        <w:rPr>
          <w:b/>
          <w:sz w:val="28"/>
          <w:szCs w:val="28"/>
        </w:rPr>
        <w:t>70</w:t>
      </w:r>
      <w:r w:rsidR="000C12D8">
        <w:rPr>
          <w:b/>
          <w:sz w:val="28"/>
          <w:szCs w:val="28"/>
        </w:rPr>
        <w:t>7</w:t>
      </w:r>
      <w:r w:rsidR="00A54479">
        <w:rPr>
          <w:b/>
          <w:sz w:val="28"/>
          <w:szCs w:val="28"/>
        </w:rPr>
        <w:t xml:space="preserve"> </w:t>
      </w:r>
      <w:r w:rsidRPr="00CD0B91">
        <w:rPr>
          <w:b/>
          <w:sz w:val="28"/>
          <w:szCs w:val="28"/>
        </w:rPr>
        <w:t>words</w:t>
      </w:r>
    </w:p>
    <w:p w:rsidR="00156218" w:rsidRDefault="00156218" w:rsidP="00156218">
      <w:pPr>
        <w:rPr>
          <w:rFonts w:cs="Arial"/>
          <w:sz w:val="28"/>
          <w:szCs w:val="28"/>
        </w:rPr>
      </w:pPr>
    </w:p>
    <w:p w:rsidR="00156218" w:rsidRPr="00722608" w:rsidRDefault="00156218" w:rsidP="00156218">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156218" w:rsidRPr="00722608" w:rsidRDefault="00156218" w:rsidP="00156218">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85D956A" wp14:editId="0939B4AA">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rsidR="00156218" w:rsidRPr="00722608" w:rsidRDefault="00156218" w:rsidP="00156218">
      <w:pPr>
        <w:rPr>
          <w:rFonts w:cs="Arial"/>
          <w:sz w:val="28"/>
          <w:szCs w:val="28"/>
        </w:rPr>
      </w:pPr>
      <w:r w:rsidRPr="00722608">
        <w:rPr>
          <w:rFonts w:cs="Arial"/>
          <w:sz w:val="28"/>
          <w:szCs w:val="28"/>
        </w:rPr>
        <w:t xml:space="preserve">Date: </w:t>
      </w:r>
      <w:r>
        <w:rPr>
          <w:rFonts w:cs="Arial"/>
          <w:sz w:val="28"/>
          <w:szCs w:val="28"/>
        </w:rPr>
        <w:t xml:space="preserve"> </w:t>
      </w:r>
      <w:r w:rsidR="00FB2C3C">
        <w:rPr>
          <w:rFonts w:cs="Arial"/>
          <w:sz w:val="28"/>
          <w:szCs w:val="28"/>
        </w:rPr>
        <w:t>27</w:t>
      </w:r>
      <w:bookmarkStart w:id="0" w:name="_GoBack"/>
      <w:bookmarkEnd w:id="0"/>
      <w:r w:rsidR="00A54479" w:rsidRPr="00A54479">
        <w:rPr>
          <w:rFonts w:cs="Arial"/>
          <w:sz w:val="28"/>
          <w:szCs w:val="28"/>
          <w:vertAlign w:val="superscript"/>
        </w:rPr>
        <w:t>th</w:t>
      </w:r>
      <w:r w:rsidR="00A54479">
        <w:rPr>
          <w:rFonts w:cs="Arial"/>
          <w:sz w:val="28"/>
          <w:szCs w:val="28"/>
        </w:rPr>
        <w:t xml:space="preserve"> August 2020</w:t>
      </w:r>
    </w:p>
    <w:p w:rsidR="00156218" w:rsidRDefault="00156218" w:rsidP="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156218" w:rsidRDefault="00156218"/>
    <w:p w:rsidR="004A36DF" w:rsidRPr="004A36DF" w:rsidRDefault="004A36DF">
      <w:pPr>
        <w:rPr>
          <w:rFonts w:ascii="Arial" w:hAnsi="Arial" w:cs="Arial"/>
          <w:b/>
          <w:sz w:val="24"/>
          <w:szCs w:val="24"/>
          <w:u w:val="single"/>
        </w:rPr>
      </w:pPr>
      <w:r w:rsidRPr="004A36DF">
        <w:rPr>
          <w:rFonts w:ascii="Arial" w:hAnsi="Arial" w:cs="Arial"/>
          <w:b/>
          <w:sz w:val="24"/>
          <w:szCs w:val="24"/>
          <w:u w:val="single"/>
        </w:rPr>
        <w:lastRenderedPageBreak/>
        <w:t>Neath Port Talbot County Borough’s performance management process</w:t>
      </w:r>
    </w:p>
    <w:p w:rsidR="00156218" w:rsidRDefault="005577D0">
      <w:pPr>
        <w:rPr>
          <w:rFonts w:ascii="Arial" w:hAnsi="Arial" w:cs="Arial"/>
          <w:sz w:val="24"/>
          <w:szCs w:val="24"/>
        </w:rPr>
      </w:pPr>
      <w:r>
        <w:rPr>
          <w:rFonts w:ascii="Arial" w:hAnsi="Arial" w:cs="Arial"/>
          <w:sz w:val="24"/>
          <w:szCs w:val="24"/>
        </w:rPr>
        <w:t>Neath Port Talbot County Borough Council</w:t>
      </w:r>
      <w:r w:rsidR="004A36DF">
        <w:rPr>
          <w:rFonts w:ascii="Arial" w:hAnsi="Arial" w:cs="Arial"/>
          <w:sz w:val="24"/>
          <w:szCs w:val="24"/>
        </w:rPr>
        <w:t xml:space="preserve"> (NPTCBC)</w:t>
      </w:r>
      <w:r>
        <w:rPr>
          <w:rFonts w:ascii="Arial" w:hAnsi="Arial" w:cs="Arial"/>
          <w:sz w:val="24"/>
          <w:szCs w:val="24"/>
        </w:rPr>
        <w:t xml:space="preserve"> has implemented two policies/procedures in relation to Performance Management. First one being</w:t>
      </w:r>
      <w:r w:rsidR="00582B51">
        <w:rPr>
          <w:rFonts w:ascii="Arial" w:hAnsi="Arial" w:cs="Arial"/>
          <w:sz w:val="24"/>
          <w:szCs w:val="24"/>
        </w:rPr>
        <w:t xml:space="preserve"> the</w:t>
      </w:r>
      <w:r>
        <w:rPr>
          <w:rFonts w:ascii="Arial" w:hAnsi="Arial" w:cs="Arial"/>
          <w:sz w:val="24"/>
          <w:szCs w:val="24"/>
        </w:rPr>
        <w:t xml:space="preserve"> “Performance Appraisal” and the second one being </w:t>
      </w:r>
      <w:r w:rsidR="00582B51">
        <w:rPr>
          <w:rFonts w:ascii="Arial" w:hAnsi="Arial" w:cs="Arial"/>
          <w:sz w:val="24"/>
          <w:szCs w:val="24"/>
        </w:rPr>
        <w:t xml:space="preserve">the </w:t>
      </w:r>
      <w:r>
        <w:rPr>
          <w:rFonts w:ascii="Arial" w:hAnsi="Arial" w:cs="Arial"/>
          <w:sz w:val="24"/>
          <w:szCs w:val="24"/>
        </w:rPr>
        <w:t>“Managing Performance Policy”.</w:t>
      </w:r>
    </w:p>
    <w:p w:rsidR="00582B51" w:rsidRDefault="00582B51">
      <w:pPr>
        <w:rPr>
          <w:rFonts w:ascii="Arial" w:hAnsi="Arial" w:cs="Arial"/>
          <w:b/>
          <w:i/>
          <w:sz w:val="24"/>
          <w:szCs w:val="24"/>
        </w:rPr>
      </w:pPr>
    </w:p>
    <w:p w:rsidR="005577D0" w:rsidRDefault="0079604F">
      <w:pPr>
        <w:rPr>
          <w:rFonts w:ascii="Arial" w:hAnsi="Arial" w:cs="Arial"/>
          <w:b/>
          <w:i/>
          <w:sz w:val="24"/>
          <w:szCs w:val="24"/>
        </w:rPr>
      </w:pPr>
      <w:r w:rsidRPr="0079604F">
        <w:rPr>
          <w:rFonts w:ascii="Arial" w:hAnsi="Arial" w:cs="Arial"/>
          <w:b/>
          <w:i/>
          <w:sz w:val="24"/>
          <w:szCs w:val="24"/>
        </w:rPr>
        <w:t xml:space="preserve">Performance Appraisal </w:t>
      </w:r>
    </w:p>
    <w:p w:rsidR="00582B51" w:rsidRPr="00582B51" w:rsidRDefault="00ED01EF">
      <w:pPr>
        <w:rPr>
          <w:rFonts w:ascii="Arial" w:hAnsi="Arial" w:cs="Arial"/>
          <w:sz w:val="24"/>
          <w:szCs w:val="24"/>
        </w:rPr>
      </w:pPr>
      <w:r>
        <w:rPr>
          <w:rFonts w:ascii="Arial" w:hAnsi="Arial" w:cs="Arial"/>
          <w:sz w:val="24"/>
          <w:szCs w:val="24"/>
        </w:rPr>
        <w:t>(CIPD, 2019a</w:t>
      </w:r>
      <w:r w:rsidR="00582B51">
        <w:rPr>
          <w:rFonts w:ascii="Arial" w:hAnsi="Arial" w:cs="Arial"/>
          <w:sz w:val="24"/>
          <w:szCs w:val="24"/>
        </w:rPr>
        <w:t xml:space="preserve">) refers to a performance review (appraisal) as a tool for measuring employee performance in line with organisational objectives. </w:t>
      </w:r>
      <w:r w:rsidR="00B87E26">
        <w:rPr>
          <w:rFonts w:ascii="Arial" w:hAnsi="Arial" w:cs="Arial"/>
          <w:sz w:val="24"/>
          <w:szCs w:val="24"/>
        </w:rPr>
        <w:t>They argue the importance of such a process in identifying area for growth and development and setting plans for this.</w:t>
      </w:r>
    </w:p>
    <w:p w:rsidR="00B55DB4" w:rsidRDefault="00B87E26">
      <w:pPr>
        <w:rPr>
          <w:rFonts w:ascii="Arial" w:hAnsi="Arial" w:cs="Arial"/>
          <w:color w:val="000000"/>
          <w:sz w:val="24"/>
          <w:szCs w:val="24"/>
        </w:rPr>
      </w:pPr>
      <w:r>
        <w:rPr>
          <w:rFonts w:ascii="Arial" w:hAnsi="Arial" w:cs="Arial"/>
          <w:sz w:val="24"/>
          <w:szCs w:val="24"/>
        </w:rPr>
        <w:t xml:space="preserve">(NPTCBC, 2020) </w:t>
      </w:r>
      <w:r w:rsidR="00582B51">
        <w:rPr>
          <w:rFonts w:ascii="Arial" w:hAnsi="Arial" w:cs="Arial"/>
          <w:sz w:val="24"/>
          <w:szCs w:val="24"/>
        </w:rPr>
        <w:t xml:space="preserve">performance appraisal focuses on the importance of a two-way discussion involving both the employee and manager. </w:t>
      </w:r>
      <w:r w:rsidR="00B55DB4" w:rsidRPr="00B55DB4">
        <w:rPr>
          <w:rFonts w:ascii="Arial" w:hAnsi="Arial" w:cs="Arial"/>
          <w:sz w:val="24"/>
          <w:szCs w:val="24"/>
        </w:rPr>
        <w:t>W</w:t>
      </w:r>
      <w:r w:rsidR="00B55DB4">
        <w:rPr>
          <w:rFonts w:ascii="Arial" w:hAnsi="Arial" w:cs="Arial"/>
          <w:color w:val="000000"/>
          <w:sz w:val="24"/>
          <w:szCs w:val="24"/>
        </w:rPr>
        <w:t xml:space="preserve">hen carried </w:t>
      </w:r>
      <w:r w:rsidR="00B55DB4" w:rsidRPr="00B55DB4">
        <w:rPr>
          <w:rFonts w:ascii="Arial" w:hAnsi="Arial" w:cs="Arial"/>
          <w:color w:val="000000"/>
          <w:sz w:val="24"/>
          <w:szCs w:val="24"/>
        </w:rPr>
        <w:t>out well, it actively involves employees, helping them to understand what is expected of them. By setting agreed objectives and regularly reviewing progress, employees become responsible for their own performance.</w:t>
      </w:r>
    </w:p>
    <w:p w:rsidR="00A41599" w:rsidRDefault="00A41599">
      <w:pPr>
        <w:rPr>
          <w:rFonts w:ascii="Arial" w:hAnsi="Arial" w:cs="Arial"/>
          <w:color w:val="000000"/>
          <w:sz w:val="24"/>
          <w:szCs w:val="24"/>
        </w:rPr>
      </w:pPr>
      <w:r>
        <w:rPr>
          <w:rFonts w:ascii="Arial" w:hAnsi="Arial" w:cs="Arial"/>
          <w:color w:val="000000"/>
          <w:sz w:val="24"/>
          <w:szCs w:val="24"/>
        </w:rPr>
        <w:t xml:space="preserve">Before designing an appraisal form, feedback from managers and employees were taken into consideration. </w:t>
      </w:r>
    </w:p>
    <w:p w:rsidR="00A41599" w:rsidRDefault="00A41599">
      <w:pPr>
        <w:rPr>
          <w:rFonts w:ascii="Arial" w:hAnsi="Arial" w:cs="Arial"/>
          <w:color w:val="000000"/>
          <w:sz w:val="24"/>
          <w:szCs w:val="24"/>
        </w:rPr>
      </w:pPr>
      <w:r>
        <w:rPr>
          <w:rFonts w:ascii="Arial" w:hAnsi="Arial" w:cs="Arial"/>
          <w:color w:val="000000"/>
          <w:sz w:val="24"/>
          <w:szCs w:val="24"/>
        </w:rPr>
        <w:t>The primary aim of a performance appraisal is:</w:t>
      </w:r>
    </w:p>
    <w:p w:rsidR="00A41599" w:rsidRPr="00005356" w:rsidRDefault="00A41599" w:rsidP="00A41599">
      <w:pPr>
        <w:numPr>
          <w:ilvl w:val="0"/>
          <w:numId w:val="1"/>
        </w:numPr>
        <w:spacing w:after="0" w:line="240" w:lineRule="auto"/>
        <w:ind w:right="283"/>
        <w:rPr>
          <w:rFonts w:ascii="Arial" w:hAnsi="Arial" w:cs="Arial"/>
          <w:color w:val="000000"/>
          <w:sz w:val="24"/>
          <w:szCs w:val="24"/>
        </w:rPr>
      </w:pPr>
      <w:r w:rsidRPr="00005356">
        <w:rPr>
          <w:rFonts w:ascii="Arial" w:hAnsi="Arial" w:cs="Arial"/>
          <w:color w:val="000000"/>
          <w:sz w:val="24"/>
          <w:szCs w:val="24"/>
        </w:rPr>
        <w:t>Focus on the discussions between managers and employees during the appraisal meeting, instead of just the completion of the form.</w:t>
      </w:r>
    </w:p>
    <w:p w:rsidR="00A41599" w:rsidRPr="00005356" w:rsidRDefault="00A41599" w:rsidP="00A41599">
      <w:pPr>
        <w:numPr>
          <w:ilvl w:val="0"/>
          <w:numId w:val="1"/>
        </w:numPr>
        <w:spacing w:after="0" w:line="240" w:lineRule="auto"/>
        <w:ind w:right="283"/>
        <w:rPr>
          <w:rFonts w:ascii="Arial" w:hAnsi="Arial" w:cs="Arial"/>
          <w:color w:val="000000"/>
          <w:sz w:val="24"/>
          <w:szCs w:val="24"/>
        </w:rPr>
      </w:pPr>
      <w:r w:rsidRPr="00005356">
        <w:rPr>
          <w:rFonts w:ascii="Arial" w:hAnsi="Arial" w:cs="Arial"/>
          <w:color w:val="000000"/>
          <w:sz w:val="24"/>
          <w:szCs w:val="24"/>
        </w:rPr>
        <w:t xml:space="preserve">Focus mainly on the </w:t>
      </w:r>
      <w:r w:rsidR="00005356" w:rsidRPr="00005356">
        <w:rPr>
          <w:rFonts w:ascii="Arial" w:hAnsi="Arial" w:cs="Arial"/>
          <w:color w:val="000000"/>
          <w:sz w:val="24"/>
          <w:szCs w:val="24"/>
        </w:rPr>
        <w:t>previous year’s achievements and</w:t>
      </w:r>
    </w:p>
    <w:p w:rsidR="00A41599" w:rsidRPr="00005356" w:rsidRDefault="00A41599" w:rsidP="00A41599">
      <w:pPr>
        <w:numPr>
          <w:ilvl w:val="0"/>
          <w:numId w:val="1"/>
        </w:numPr>
        <w:spacing w:after="0" w:line="240" w:lineRule="auto"/>
        <w:ind w:right="283"/>
        <w:rPr>
          <w:rFonts w:ascii="Arial" w:hAnsi="Arial" w:cs="Arial"/>
          <w:color w:val="000000"/>
          <w:sz w:val="24"/>
          <w:szCs w:val="24"/>
        </w:rPr>
      </w:pPr>
      <w:r w:rsidRPr="00005356">
        <w:rPr>
          <w:rFonts w:ascii="Arial" w:hAnsi="Arial" w:cs="Arial"/>
          <w:color w:val="000000"/>
          <w:sz w:val="24"/>
          <w:szCs w:val="24"/>
        </w:rPr>
        <w:t>Enable the recording of future objectives and goals outcomes and development needs, including any personal career plans.</w:t>
      </w:r>
    </w:p>
    <w:p w:rsidR="00005356" w:rsidRDefault="00005356" w:rsidP="00005356">
      <w:pPr>
        <w:rPr>
          <w:rFonts w:ascii="Arial" w:hAnsi="Arial" w:cs="Arial"/>
          <w:color w:val="000000"/>
          <w:sz w:val="24"/>
          <w:szCs w:val="24"/>
        </w:rPr>
      </w:pPr>
    </w:p>
    <w:p w:rsidR="00005356" w:rsidRPr="00687F5A" w:rsidRDefault="00ED01EF" w:rsidP="00005356">
      <w:pPr>
        <w:rPr>
          <w:rFonts w:ascii="Arial" w:hAnsi="Arial" w:cs="Arial"/>
          <w:color w:val="000000"/>
        </w:rPr>
      </w:pPr>
      <w:r>
        <w:rPr>
          <w:rFonts w:ascii="Arial" w:hAnsi="Arial" w:cs="Arial"/>
          <w:color w:val="000000"/>
          <w:sz w:val="24"/>
          <w:szCs w:val="24"/>
        </w:rPr>
        <w:t xml:space="preserve">(Rees &amp; Tymon, 2016) argues that performance management should not be regarded as an </w:t>
      </w:r>
      <w:r w:rsidRPr="00687F5A">
        <w:rPr>
          <w:rFonts w:ascii="Arial" w:hAnsi="Arial" w:cs="Arial"/>
          <w:color w:val="000000"/>
          <w:sz w:val="24"/>
          <w:szCs w:val="24"/>
        </w:rPr>
        <w:t>annual review and instead refers to it as the “employee lifecycle” and the management activities which could contribute to better</w:t>
      </w:r>
      <w:r w:rsidR="00687F5A" w:rsidRPr="00687F5A">
        <w:rPr>
          <w:rFonts w:ascii="Arial" w:hAnsi="Arial" w:cs="Arial"/>
          <w:color w:val="000000"/>
          <w:sz w:val="24"/>
          <w:szCs w:val="24"/>
        </w:rPr>
        <w:t xml:space="preserve"> performance at each stage. The advantage of such </w:t>
      </w:r>
      <w:r w:rsidRPr="00687F5A">
        <w:rPr>
          <w:rFonts w:ascii="Arial" w:hAnsi="Arial" w:cs="Arial"/>
          <w:color w:val="000000"/>
          <w:sz w:val="24"/>
          <w:szCs w:val="24"/>
        </w:rPr>
        <w:t>an approach can provide guidance to an organisation on what activities to introduce and when.</w:t>
      </w:r>
    </w:p>
    <w:p w:rsidR="0079604F" w:rsidRDefault="00ED01EF">
      <w:pPr>
        <w:rPr>
          <w:rFonts w:ascii="Arial" w:hAnsi="Arial" w:cs="Arial"/>
          <w:sz w:val="24"/>
          <w:szCs w:val="24"/>
        </w:rPr>
      </w:pPr>
      <w:r>
        <w:rPr>
          <w:rFonts w:ascii="Arial" w:hAnsi="Arial" w:cs="Arial"/>
          <w:sz w:val="24"/>
          <w:szCs w:val="24"/>
        </w:rPr>
        <w:t xml:space="preserve">(CIPD, 2019b) </w:t>
      </w:r>
      <w:r w:rsidR="00687F5A">
        <w:rPr>
          <w:rFonts w:ascii="Arial" w:hAnsi="Arial" w:cs="Arial"/>
          <w:sz w:val="24"/>
          <w:szCs w:val="24"/>
        </w:rPr>
        <w:t>refers to performance management as a continuous cycle which integrates a number of HR processes.</w:t>
      </w:r>
    </w:p>
    <w:p w:rsidR="008969E4" w:rsidRDefault="00687F5A" w:rsidP="008969E4">
      <w:pPr>
        <w:spacing w:after="0" w:line="276" w:lineRule="auto"/>
        <w:ind w:right="283"/>
        <w:rPr>
          <w:rFonts w:ascii="Arial" w:eastAsia="Calibri" w:hAnsi="Arial" w:cs="Arial"/>
          <w:sz w:val="24"/>
          <w:szCs w:val="24"/>
        </w:rPr>
      </w:pPr>
      <w:r>
        <w:rPr>
          <w:rFonts w:ascii="Arial" w:hAnsi="Arial" w:cs="Arial"/>
          <w:sz w:val="24"/>
          <w:szCs w:val="24"/>
        </w:rPr>
        <w:t xml:space="preserve">(NPTCBC, 2020) argues that although appraisals are carried out annually, performance management should not be viewed as an annual event. Managers and employees should regularly </w:t>
      </w:r>
      <w:r w:rsidR="008969E4">
        <w:rPr>
          <w:rFonts w:ascii="Arial" w:hAnsi="Arial" w:cs="Arial"/>
          <w:sz w:val="24"/>
          <w:szCs w:val="24"/>
        </w:rPr>
        <w:t xml:space="preserve">discuss and should give positive and/or constructive feedback </w:t>
      </w:r>
      <w:r w:rsidR="008969E4" w:rsidRPr="008969E4">
        <w:rPr>
          <w:rFonts w:ascii="Arial" w:hAnsi="Arial" w:cs="Arial"/>
          <w:sz w:val="24"/>
          <w:szCs w:val="24"/>
        </w:rPr>
        <w:t>in</w:t>
      </w:r>
      <w:r w:rsidR="008969E4" w:rsidRPr="008969E4">
        <w:rPr>
          <w:rFonts w:ascii="Arial" w:eastAsia="Calibri" w:hAnsi="Arial" w:cs="Arial"/>
          <w:sz w:val="24"/>
          <w:szCs w:val="24"/>
        </w:rPr>
        <w:t xml:space="preserve"> team meetings, during supervision/one-to-one meetings and </w:t>
      </w:r>
      <w:r w:rsidR="008969E4">
        <w:rPr>
          <w:rFonts w:ascii="Arial" w:eastAsia="Calibri" w:hAnsi="Arial" w:cs="Arial"/>
          <w:sz w:val="24"/>
          <w:szCs w:val="24"/>
        </w:rPr>
        <w:t>i</w:t>
      </w:r>
      <w:r w:rsidR="008969E4" w:rsidRPr="008969E4">
        <w:rPr>
          <w:rFonts w:ascii="Arial" w:eastAsia="Calibri" w:hAnsi="Arial" w:cs="Arial"/>
          <w:sz w:val="24"/>
          <w:szCs w:val="24"/>
        </w:rPr>
        <w:t>nformally, as part of day-to-day working.</w:t>
      </w:r>
    </w:p>
    <w:p w:rsidR="00113112" w:rsidRDefault="00113112" w:rsidP="008969E4">
      <w:pPr>
        <w:spacing w:after="0" w:line="276" w:lineRule="auto"/>
        <w:ind w:right="283"/>
        <w:rPr>
          <w:rFonts w:ascii="Arial" w:eastAsia="Calibri" w:hAnsi="Arial" w:cs="Arial"/>
        </w:rPr>
      </w:pPr>
    </w:p>
    <w:p w:rsidR="00113112" w:rsidRPr="00113112" w:rsidRDefault="00113112" w:rsidP="00113112">
      <w:pPr>
        <w:rPr>
          <w:rFonts w:ascii="Arial" w:hAnsi="Arial" w:cs="Arial"/>
          <w:sz w:val="24"/>
          <w:szCs w:val="24"/>
        </w:rPr>
      </w:pPr>
      <w:r>
        <w:rPr>
          <w:rFonts w:ascii="Arial" w:hAnsi="Arial" w:cs="Arial"/>
          <w:sz w:val="24"/>
          <w:szCs w:val="24"/>
        </w:rPr>
        <w:lastRenderedPageBreak/>
        <w:t>(Robinson, 2009) emphasised</w:t>
      </w:r>
      <w:r w:rsidRPr="00113112">
        <w:rPr>
          <w:rFonts w:ascii="Arial" w:hAnsi="Arial" w:cs="Arial"/>
          <w:sz w:val="24"/>
          <w:szCs w:val="24"/>
        </w:rPr>
        <w:t xml:space="preserve"> </w:t>
      </w:r>
      <w:r>
        <w:rPr>
          <w:rFonts w:ascii="Arial" w:hAnsi="Arial" w:cs="Arial"/>
          <w:sz w:val="24"/>
          <w:szCs w:val="24"/>
        </w:rPr>
        <w:t>t</w:t>
      </w:r>
      <w:r w:rsidRPr="00113112">
        <w:rPr>
          <w:rFonts w:ascii="Arial" w:hAnsi="Arial" w:cs="Arial"/>
          <w:sz w:val="24"/>
          <w:szCs w:val="24"/>
        </w:rPr>
        <w:t>he importance of frequent communications, team meet</w:t>
      </w:r>
      <w:r>
        <w:rPr>
          <w:rFonts w:ascii="Arial" w:hAnsi="Arial" w:cs="Arial"/>
          <w:sz w:val="24"/>
          <w:szCs w:val="24"/>
        </w:rPr>
        <w:t>ings and one to one sessions being</w:t>
      </w:r>
      <w:r w:rsidRPr="00113112">
        <w:rPr>
          <w:rFonts w:ascii="Arial" w:hAnsi="Arial" w:cs="Arial"/>
          <w:sz w:val="24"/>
          <w:szCs w:val="24"/>
        </w:rPr>
        <w:t xml:space="preserve"> </w:t>
      </w:r>
      <w:r>
        <w:rPr>
          <w:rFonts w:ascii="Arial" w:hAnsi="Arial" w:cs="Arial"/>
          <w:sz w:val="24"/>
          <w:szCs w:val="24"/>
        </w:rPr>
        <w:t>pivotal in identifying</w:t>
      </w:r>
      <w:r w:rsidR="00B61B97">
        <w:rPr>
          <w:rFonts w:ascii="Arial" w:hAnsi="Arial" w:cs="Arial"/>
          <w:sz w:val="24"/>
          <w:szCs w:val="24"/>
        </w:rPr>
        <w:t xml:space="preserve"> clearly an employees’ </w:t>
      </w:r>
      <w:r w:rsidRPr="00113112">
        <w:rPr>
          <w:rFonts w:ascii="Arial" w:hAnsi="Arial" w:cs="Arial"/>
          <w:sz w:val="24"/>
          <w:szCs w:val="24"/>
        </w:rPr>
        <w:t>expectations and goals.</w:t>
      </w:r>
    </w:p>
    <w:p w:rsidR="00687F5A" w:rsidRDefault="00687F5A">
      <w:pPr>
        <w:rPr>
          <w:rFonts w:ascii="Arial" w:hAnsi="Arial" w:cs="Arial"/>
          <w:sz w:val="24"/>
          <w:szCs w:val="24"/>
        </w:rPr>
      </w:pPr>
    </w:p>
    <w:p w:rsidR="00687F5A" w:rsidRPr="00495F2D" w:rsidRDefault="00495F2D">
      <w:pPr>
        <w:rPr>
          <w:rFonts w:ascii="Arial" w:hAnsi="Arial" w:cs="Arial"/>
          <w:b/>
          <w:i/>
          <w:sz w:val="24"/>
          <w:szCs w:val="24"/>
        </w:rPr>
      </w:pPr>
      <w:r w:rsidRPr="00495F2D">
        <w:rPr>
          <w:rFonts w:ascii="Arial" w:hAnsi="Arial" w:cs="Arial"/>
          <w:b/>
          <w:i/>
          <w:sz w:val="24"/>
          <w:szCs w:val="24"/>
        </w:rPr>
        <w:t xml:space="preserve">Managing performance policy </w:t>
      </w:r>
    </w:p>
    <w:p w:rsidR="00B87E26" w:rsidRDefault="00495F2D">
      <w:pPr>
        <w:rPr>
          <w:rFonts w:ascii="Arial" w:hAnsi="Arial" w:cs="Arial"/>
          <w:sz w:val="24"/>
          <w:szCs w:val="24"/>
        </w:rPr>
      </w:pPr>
      <w:r>
        <w:rPr>
          <w:rFonts w:ascii="Arial" w:hAnsi="Arial" w:cs="Arial"/>
          <w:sz w:val="24"/>
          <w:szCs w:val="24"/>
        </w:rPr>
        <w:t xml:space="preserve">(NPTCBC, 2019) has </w:t>
      </w:r>
      <w:r w:rsidR="001955D0">
        <w:rPr>
          <w:rFonts w:ascii="Arial" w:hAnsi="Arial" w:cs="Arial"/>
          <w:sz w:val="24"/>
          <w:szCs w:val="24"/>
        </w:rPr>
        <w:t>a separate policy which provides guidance to managers on how to manage poor performance fairly, effectively and promptly. It emphasises the importance of managing performance</w:t>
      </w:r>
      <w:r w:rsidR="00257BB5">
        <w:rPr>
          <w:rFonts w:ascii="Arial" w:hAnsi="Arial" w:cs="Arial"/>
          <w:sz w:val="24"/>
          <w:szCs w:val="24"/>
        </w:rPr>
        <w:t xml:space="preserve"> as failure to do so will result in inefficiency and reduce engagement throughout the team. Managers are expected to address performance related issues as part of routine supervision with the aim of improving performance by setting clear goals and expectations. This policy should be applied in these cases.</w:t>
      </w:r>
    </w:p>
    <w:p w:rsidR="00B61B97" w:rsidRPr="00B61B97" w:rsidRDefault="00B61B97" w:rsidP="00B61B97">
      <w:pPr>
        <w:rPr>
          <w:rFonts w:ascii="Arial" w:hAnsi="Arial" w:cs="Arial"/>
          <w:sz w:val="24"/>
          <w:szCs w:val="24"/>
        </w:rPr>
      </w:pPr>
      <w:r w:rsidRPr="00B61B97">
        <w:rPr>
          <w:rFonts w:ascii="Arial" w:hAnsi="Arial" w:cs="Arial"/>
          <w:sz w:val="24"/>
          <w:szCs w:val="24"/>
        </w:rPr>
        <w:t>(Robinson, 2009) highlights that where there is a concern with performance, managers should be confident and trained to take immediate action in rectifying issues and not allow the problem to fester as this could lead to conflict and morale within a team.</w:t>
      </w:r>
    </w:p>
    <w:p w:rsidR="00B61B97" w:rsidRPr="00B61B97" w:rsidRDefault="00B61B97" w:rsidP="00B61B97">
      <w:pPr>
        <w:rPr>
          <w:rFonts w:ascii="Arial" w:hAnsi="Arial" w:cs="Arial"/>
          <w:sz w:val="24"/>
          <w:szCs w:val="24"/>
        </w:rPr>
      </w:pPr>
      <w:r w:rsidRPr="00B61B97">
        <w:rPr>
          <w:rFonts w:ascii="Arial" w:hAnsi="Arial" w:cs="Arial"/>
          <w:sz w:val="24"/>
          <w:szCs w:val="24"/>
        </w:rPr>
        <w:t xml:space="preserve">NPTCBC’s approach is very much the same based on their Managing performance policy. </w:t>
      </w:r>
    </w:p>
    <w:p w:rsidR="00946FE4" w:rsidRDefault="00946FE4" w:rsidP="00B61B97">
      <w:pPr>
        <w:rPr>
          <w:rFonts w:ascii="Arial" w:hAnsi="Arial" w:cs="Arial"/>
          <w:sz w:val="24"/>
          <w:szCs w:val="24"/>
        </w:rPr>
      </w:pPr>
      <w:r>
        <w:rPr>
          <w:rFonts w:ascii="Arial" w:hAnsi="Arial" w:cs="Arial"/>
          <w:sz w:val="24"/>
          <w:szCs w:val="24"/>
        </w:rPr>
        <w:t>The policy also refers to the role of the line manager in bringing any under-performing concerns to the attention of the individual and to work closely with them to improve their performance. It highlights the importance of the line manager applying the use of the Council’s capability policy should an employee remain unable to fulfil the requirements of their role.</w:t>
      </w:r>
    </w:p>
    <w:p w:rsidR="00946FE4" w:rsidRPr="00946FE4" w:rsidRDefault="00946FE4" w:rsidP="00B61B97">
      <w:pPr>
        <w:rPr>
          <w:rFonts w:ascii="Arial" w:hAnsi="Arial" w:cs="Arial"/>
          <w:sz w:val="24"/>
          <w:szCs w:val="24"/>
        </w:rPr>
      </w:pPr>
      <w:r>
        <w:rPr>
          <w:rFonts w:ascii="Arial" w:hAnsi="Arial" w:cs="Arial"/>
          <w:sz w:val="24"/>
          <w:szCs w:val="24"/>
        </w:rPr>
        <w:t xml:space="preserve">(Rees &amp; Tymon, 2016) argue that line managers should be adequately trained and </w:t>
      </w:r>
      <w:r w:rsidR="000E7E0C">
        <w:rPr>
          <w:rFonts w:ascii="Arial" w:hAnsi="Arial" w:cs="Arial"/>
          <w:sz w:val="24"/>
          <w:szCs w:val="24"/>
        </w:rPr>
        <w:t xml:space="preserve">capable to </w:t>
      </w:r>
      <w:r>
        <w:rPr>
          <w:rFonts w:ascii="Arial" w:hAnsi="Arial" w:cs="Arial"/>
          <w:sz w:val="24"/>
          <w:szCs w:val="24"/>
        </w:rPr>
        <w:t>represent general management skills such as lead</w:t>
      </w:r>
      <w:r w:rsidR="000E7E0C">
        <w:rPr>
          <w:rFonts w:ascii="Arial" w:hAnsi="Arial" w:cs="Arial"/>
          <w:sz w:val="24"/>
          <w:szCs w:val="24"/>
        </w:rPr>
        <w:t xml:space="preserve">ership, mentoring and coaching. Not possessing such skills will naturally jeopardise the performance management process. </w:t>
      </w:r>
    </w:p>
    <w:p w:rsidR="00B87E26" w:rsidRPr="000E7E0C" w:rsidRDefault="00B87E26">
      <w:pPr>
        <w:rPr>
          <w:rFonts w:ascii="Arial" w:hAnsi="Arial" w:cs="Arial"/>
          <w:b/>
          <w:sz w:val="24"/>
          <w:szCs w:val="24"/>
        </w:rPr>
      </w:pPr>
    </w:p>
    <w:p w:rsidR="000E7E0C" w:rsidRPr="000E7E0C" w:rsidRDefault="000E7E0C">
      <w:pPr>
        <w:rPr>
          <w:rFonts w:ascii="Arial" w:hAnsi="Arial" w:cs="Arial"/>
          <w:b/>
          <w:sz w:val="24"/>
          <w:szCs w:val="24"/>
        </w:rPr>
      </w:pPr>
      <w:r w:rsidRPr="000E7E0C">
        <w:rPr>
          <w:rFonts w:ascii="Arial" w:hAnsi="Arial" w:cs="Arial"/>
          <w:b/>
          <w:sz w:val="24"/>
          <w:szCs w:val="24"/>
        </w:rPr>
        <w:t>Conclusion</w:t>
      </w:r>
    </w:p>
    <w:p w:rsidR="00A54479" w:rsidRDefault="000E7E0C">
      <w:pPr>
        <w:rPr>
          <w:rFonts w:ascii="Arial" w:hAnsi="Arial" w:cs="Arial"/>
          <w:color w:val="000000"/>
          <w:sz w:val="24"/>
          <w:szCs w:val="24"/>
        </w:rPr>
      </w:pPr>
      <w:r>
        <w:rPr>
          <w:rFonts w:ascii="Arial" w:hAnsi="Arial" w:cs="Arial"/>
          <w:sz w:val="24"/>
          <w:szCs w:val="24"/>
        </w:rPr>
        <w:t>Overall, NPTCBC’s pol</w:t>
      </w:r>
      <w:r w:rsidR="00A54479">
        <w:rPr>
          <w:rFonts w:ascii="Arial" w:hAnsi="Arial" w:cs="Arial"/>
          <w:sz w:val="24"/>
          <w:szCs w:val="24"/>
        </w:rPr>
        <w:t>icies and procedures</w:t>
      </w:r>
      <w:r>
        <w:rPr>
          <w:rFonts w:ascii="Arial" w:hAnsi="Arial" w:cs="Arial"/>
          <w:sz w:val="24"/>
          <w:szCs w:val="24"/>
        </w:rPr>
        <w:t xml:space="preserve"> relating to performance management are well informative and regularly reviewed. The question seems to be whether an </w:t>
      </w:r>
      <w:r w:rsidR="00A54479">
        <w:rPr>
          <w:rFonts w:ascii="Arial" w:hAnsi="Arial" w:cs="Arial"/>
          <w:sz w:val="24"/>
          <w:szCs w:val="24"/>
        </w:rPr>
        <w:t xml:space="preserve">annual </w:t>
      </w:r>
      <w:r>
        <w:rPr>
          <w:rFonts w:ascii="Arial" w:hAnsi="Arial" w:cs="Arial"/>
          <w:sz w:val="24"/>
          <w:szCs w:val="24"/>
        </w:rPr>
        <w:t xml:space="preserve">appraisal approach should remain with many companies now adapting </w:t>
      </w:r>
      <w:r w:rsidR="00A54479" w:rsidRPr="00A54479">
        <w:rPr>
          <w:rFonts w:ascii="Arial" w:hAnsi="Arial" w:cs="Arial"/>
          <w:color w:val="000000"/>
          <w:sz w:val="24"/>
          <w:szCs w:val="24"/>
        </w:rPr>
        <w:t>a more mod</w:t>
      </w:r>
      <w:r w:rsidR="00A54479">
        <w:rPr>
          <w:rFonts w:ascii="Arial" w:hAnsi="Arial" w:cs="Arial"/>
          <w:color w:val="000000"/>
          <w:sz w:val="24"/>
          <w:szCs w:val="24"/>
        </w:rPr>
        <w:t>ern performance management process</w:t>
      </w:r>
      <w:r w:rsidR="00A54479" w:rsidRPr="00A54479">
        <w:rPr>
          <w:rFonts w:ascii="Arial" w:hAnsi="Arial" w:cs="Arial"/>
          <w:color w:val="000000"/>
          <w:sz w:val="24"/>
          <w:szCs w:val="24"/>
        </w:rPr>
        <w:t>.</w:t>
      </w:r>
    </w:p>
    <w:p w:rsidR="00B87E26" w:rsidRDefault="00A54479">
      <w:pPr>
        <w:rPr>
          <w:rFonts w:ascii="Arial" w:hAnsi="Arial" w:cs="Arial"/>
          <w:sz w:val="24"/>
          <w:szCs w:val="24"/>
        </w:rPr>
      </w:pPr>
      <w:r>
        <w:rPr>
          <w:rFonts w:ascii="Arial" w:hAnsi="Arial" w:cs="Arial"/>
          <w:color w:val="000000"/>
          <w:sz w:val="24"/>
          <w:szCs w:val="24"/>
        </w:rPr>
        <w:t xml:space="preserve">(Anticich, 2019) argues that </w:t>
      </w:r>
      <w:r w:rsidR="000E7E0C" w:rsidRPr="00A54479">
        <w:rPr>
          <w:rFonts w:ascii="Arial" w:hAnsi="Arial" w:cs="Arial"/>
          <w:color w:val="000000"/>
          <w:sz w:val="24"/>
          <w:szCs w:val="24"/>
        </w:rPr>
        <w:t xml:space="preserve">performance management is </w:t>
      </w:r>
      <w:r w:rsidRPr="00A54479">
        <w:rPr>
          <w:rFonts w:ascii="Arial" w:hAnsi="Arial" w:cs="Arial"/>
          <w:color w:val="000000"/>
          <w:sz w:val="24"/>
          <w:szCs w:val="24"/>
        </w:rPr>
        <w:t xml:space="preserve">now </w:t>
      </w:r>
      <w:r w:rsidR="000E7E0C" w:rsidRPr="00A54479">
        <w:rPr>
          <w:rFonts w:ascii="Arial" w:hAnsi="Arial" w:cs="Arial"/>
          <w:color w:val="000000"/>
          <w:sz w:val="24"/>
          <w:szCs w:val="24"/>
        </w:rPr>
        <w:t xml:space="preserve">multi-dimensional. </w:t>
      </w:r>
      <w:r>
        <w:rPr>
          <w:rFonts w:ascii="Arial" w:hAnsi="Arial" w:cs="Arial"/>
          <w:color w:val="000000"/>
          <w:sz w:val="24"/>
          <w:szCs w:val="24"/>
        </w:rPr>
        <w:t xml:space="preserve">He states that </w:t>
      </w:r>
      <w:r w:rsidRPr="00F445FC">
        <w:rPr>
          <w:rFonts w:ascii="Arial" w:hAnsi="Arial" w:cs="Arial"/>
          <w:i/>
          <w:color w:val="000000"/>
          <w:sz w:val="24"/>
          <w:szCs w:val="24"/>
        </w:rPr>
        <w:t>“</w:t>
      </w:r>
      <w:r w:rsidR="000E7E0C" w:rsidRPr="00F445FC">
        <w:rPr>
          <w:rFonts w:ascii="Arial" w:hAnsi="Arial" w:cs="Arial"/>
          <w:i/>
          <w:color w:val="000000"/>
          <w:sz w:val="24"/>
          <w:szCs w:val="24"/>
        </w:rPr>
        <w:t>It is more dynamic and more connected to work outcomes, as well as sentiment and feedback. It may not be the anchor pillar of talent, but that doesn’t marginalise its importance. Teams, business functions and companies will only thrive if they raise their game. All hail the new world of performance</w:t>
      </w:r>
      <w:r w:rsidRPr="00F445FC">
        <w:rPr>
          <w:rFonts w:ascii="Arial" w:hAnsi="Arial" w:cs="Arial"/>
          <w:i/>
          <w:color w:val="000000"/>
          <w:sz w:val="24"/>
          <w:szCs w:val="24"/>
        </w:rPr>
        <w:t>”</w:t>
      </w:r>
      <w:r w:rsidR="000E7E0C" w:rsidRPr="00F445FC">
        <w:rPr>
          <w:rFonts w:ascii="Arial" w:hAnsi="Arial" w:cs="Arial"/>
          <w:i/>
          <w:color w:val="000000"/>
          <w:sz w:val="24"/>
          <w:szCs w:val="24"/>
        </w:rPr>
        <w:t>.</w:t>
      </w:r>
    </w:p>
    <w:p w:rsidR="00A54479" w:rsidRDefault="00A54479">
      <w:pPr>
        <w:rPr>
          <w:rFonts w:ascii="Arial" w:hAnsi="Arial" w:cs="Arial"/>
          <w:sz w:val="24"/>
          <w:szCs w:val="24"/>
        </w:rPr>
      </w:pPr>
      <w:r>
        <w:rPr>
          <w:rFonts w:ascii="Arial" w:hAnsi="Arial" w:cs="Arial"/>
          <w:sz w:val="24"/>
          <w:szCs w:val="24"/>
        </w:rPr>
        <w:lastRenderedPageBreak/>
        <w:t>He argues that the focus should now be on developing a talent management strategy to attract, attain, and develop and upskill the workforce.</w:t>
      </w:r>
      <w:r w:rsidRPr="00A54479">
        <w:rPr>
          <w:rFonts w:ascii="Arial" w:hAnsi="Arial" w:cs="Arial"/>
          <w:sz w:val="24"/>
          <w:szCs w:val="24"/>
        </w:rPr>
        <w:t xml:space="preserve"> A</w:t>
      </w:r>
      <w:r w:rsidRPr="00A54479">
        <w:rPr>
          <w:rFonts w:ascii="Arial" w:hAnsi="Arial" w:cs="Arial"/>
          <w:color w:val="000000"/>
          <w:sz w:val="24"/>
          <w:szCs w:val="24"/>
        </w:rPr>
        <w:t>n annual process does not seem to increase performance.</w:t>
      </w: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B87E26" w:rsidRDefault="00B87E26">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234E11" w:rsidRDefault="00234E11">
      <w:pPr>
        <w:rPr>
          <w:rFonts w:ascii="Arial" w:hAnsi="Arial" w:cs="Arial"/>
          <w:sz w:val="24"/>
          <w:szCs w:val="24"/>
        </w:rPr>
      </w:pPr>
    </w:p>
    <w:p w:rsidR="00B87E26" w:rsidRDefault="00B87E26">
      <w:pPr>
        <w:rPr>
          <w:rFonts w:ascii="Arial" w:hAnsi="Arial" w:cs="Arial"/>
          <w:sz w:val="24"/>
          <w:szCs w:val="24"/>
        </w:rPr>
      </w:pPr>
    </w:p>
    <w:p w:rsidR="00B87E26" w:rsidRPr="00B87E26" w:rsidRDefault="00B87E26">
      <w:pPr>
        <w:rPr>
          <w:rFonts w:ascii="Arial" w:hAnsi="Arial" w:cs="Arial"/>
          <w:b/>
          <w:sz w:val="24"/>
          <w:szCs w:val="24"/>
        </w:rPr>
      </w:pPr>
      <w:r w:rsidRPr="00B87E26">
        <w:rPr>
          <w:rFonts w:ascii="Arial" w:hAnsi="Arial" w:cs="Arial"/>
          <w:b/>
          <w:sz w:val="24"/>
          <w:szCs w:val="24"/>
        </w:rPr>
        <w:lastRenderedPageBreak/>
        <w:t>References</w:t>
      </w:r>
    </w:p>
    <w:p w:rsidR="00234E11" w:rsidRDefault="00234E11">
      <w:pPr>
        <w:rPr>
          <w:rFonts w:ascii="Arial" w:hAnsi="Arial" w:cs="Arial"/>
          <w:sz w:val="24"/>
          <w:szCs w:val="24"/>
        </w:rPr>
      </w:pPr>
    </w:p>
    <w:p w:rsidR="00234E11" w:rsidRDefault="00234E11">
      <w:pPr>
        <w:rPr>
          <w:rFonts w:ascii="Arial" w:hAnsi="Arial" w:cs="Arial"/>
          <w:sz w:val="24"/>
          <w:szCs w:val="24"/>
        </w:rPr>
      </w:pPr>
      <w:proofErr w:type="spellStart"/>
      <w:r>
        <w:rPr>
          <w:rFonts w:ascii="Arial" w:hAnsi="Arial" w:cs="Arial"/>
          <w:sz w:val="24"/>
          <w:szCs w:val="24"/>
        </w:rPr>
        <w:t>Anticich</w:t>
      </w:r>
      <w:proofErr w:type="spellEnd"/>
      <w:r>
        <w:rPr>
          <w:rFonts w:ascii="Arial" w:hAnsi="Arial" w:cs="Arial"/>
          <w:sz w:val="24"/>
          <w:szCs w:val="24"/>
        </w:rPr>
        <w:t xml:space="preserve">, D. (2019) </w:t>
      </w:r>
      <w:r w:rsidRPr="000C12D8">
        <w:rPr>
          <w:rFonts w:ascii="Arial" w:hAnsi="Arial" w:cs="Arial"/>
          <w:i/>
          <w:sz w:val="24"/>
          <w:szCs w:val="24"/>
        </w:rPr>
        <w:t>The UK performance management report 2019</w:t>
      </w:r>
      <w:r w:rsidR="000C12D8">
        <w:rPr>
          <w:rFonts w:ascii="Arial" w:hAnsi="Arial" w:cs="Arial"/>
          <w:sz w:val="24"/>
          <w:szCs w:val="24"/>
        </w:rPr>
        <w:t xml:space="preserve">: Clear Review designs. </w:t>
      </w:r>
    </w:p>
    <w:p w:rsidR="00B87E26" w:rsidRDefault="00B87E26">
      <w:pPr>
        <w:rPr>
          <w:rFonts w:ascii="Arial" w:hAnsi="Arial" w:cs="Arial"/>
          <w:sz w:val="24"/>
          <w:szCs w:val="24"/>
        </w:rPr>
      </w:pPr>
      <w:r>
        <w:rPr>
          <w:rFonts w:ascii="Arial" w:hAnsi="Arial" w:cs="Arial"/>
          <w:sz w:val="24"/>
          <w:szCs w:val="24"/>
        </w:rPr>
        <w:t>CIPD (2019</w:t>
      </w:r>
      <w:r w:rsidR="00ED01EF">
        <w:rPr>
          <w:rFonts w:ascii="Arial" w:hAnsi="Arial" w:cs="Arial"/>
          <w:sz w:val="24"/>
          <w:szCs w:val="24"/>
        </w:rPr>
        <w:t>a</w:t>
      </w:r>
      <w:r>
        <w:rPr>
          <w:rFonts w:ascii="Arial" w:hAnsi="Arial" w:cs="Arial"/>
          <w:sz w:val="24"/>
          <w:szCs w:val="24"/>
        </w:rPr>
        <w:t xml:space="preserve">) </w:t>
      </w:r>
      <w:r>
        <w:rPr>
          <w:rFonts w:ascii="Arial" w:hAnsi="Arial" w:cs="Arial"/>
          <w:i/>
          <w:sz w:val="24"/>
          <w:szCs w:val="24"/>
        </w:rPr>
        <w:t>Performance reviews</w:t>
      </w:r>
      <w:r>
        <w:rPr>
          <w:rFonts w:ascii="Arial" w:hAnsi="Arial" w:cs="Arial"/>
          <w:sz w:val="24"/>
          <w:szCs w:val="24"/>
        </w:rPr>
        <w:t xml:space="preserve"> (online) Available at: </w:t>
      </w:r>
      <w:hyperlink r:id="rId6" w:anchor="6539" w:history="1">
        <w:r w:rsidRPr="005E79CF">
          <w:rPr>
            <w:rStyle w:val="Hyperlink"/>
            <w:rFonts w:ascii="Arial" w:hAnsi="Arial" w:cs="Arial"/>
            <w:sz w:val="24"/>
            <w:szCs w:val="24"/>
          </w:rPr>
          <w:t>https://www.cipd.co.uk/knowledge/fundamentals/people/performance/appraisals-factsheet#6539</w:t>
        </w:r>
      </w:hyperlink>
      <w:r>
        <w:rPr>
          <w:rFonts w:ascii="Arial" w:hAnsi="Arial" w:cs="Arial"/>
          <w:sz w:val="24"/>
          <w:szCs w:val="24"/>
        </w:rPr>
        <w:t xml:space="preserve"> (Accessed 05 August 2020)</w:t>
      </w:r>
    </w:p>
    <w:p w:rsidR="00ED01EF" w:rsidRPr="00ED01EF" w:rsidRDefault="00ED01EF" w:rsidP="00ED01EF">
      <w:pPr>
        <w:rPr>
          <w:rFonts w:ascii="Arial" w:hAnsi="Arial" w:cs="Arial"/>
          <w:sz w:val="24"/>
          <w:szCs w:val="24"/>
        </w:rPr>
      </w:pPr>
      <w:r w:rsidRPr="00ED01EF">
        <w:rPr>
          <w:rFonts w:ascii="Arial" w:hAnsi="Arial" w:cs="Arial"/>
          <w:sz w:val="24"/>
          <w:szCs w:val="24"/>
        </w:rPr>
        <w:t>CIPD (2019</w:t>
      </w:r>
      <w:r>
        <w:rPr>
          <w:rFonts w:ascii="Arial" w:hAnsi="Arial" w:cs="Arial"/>
          <w:sz w:val="24"/>
          <w:szCs w:val="24"/>
        </w:rPr>
        <w:t>b</w:t>
      </w:r>
      <w:r w:rsidRPr="00ED01EF">
        <w:rPr>
          <w:rFonts w:ascii="Arial" w:hAnsi="Arial" w:cs="Arial"/>
          <w:sz w:val="24"/>
          <w:szCs w:val="24"/>
        </w:rPr>
        <w:t xml:space="preserve">). </w:t>
      </w:r>
      <w:r w:rsidRPr="00ED01EF">
        <w:rPr>
          <w:rFonts w:ascii="Arial" w:hAnsi="Arial" w:cs="Arial"/>
          <w:i/>
          <w:iCs/>
          <w:sz w:val="24"/>
          <w:szCs w:val="24"/>
        </w:rPr>
        <w:t xml:space="preserve">Performance Management: an introduction </w:t>
      </w:r>
      <w:r w:rsidRPr="00ED01EF">
        <w:rPr>
          <w:rFonts w:ascii="Arial" w:hAnsi="Arial" w:cs="Arial"/>
          <w:sz w:val="24"/>
          <w:szCs w:val="24"/>
        </w:rPr>
        <w:t xml:space="preserve">(online) Available at: </w:t>
      </w:r>
      <w:hyperlink r:id="rId7" w:history="1">
        <w:r w:rsidRPr="00ED01EF">
          <w:rPr>
            <w:rStyle w:val="Hyperlink"/>
            <w:rFonts w:ascii="Arial" w:hAnsi="Arial" w:cs="Arial"/>
            <w:sz w:val="24"/>
            <w:szCs w:val="24"/>
          </w:rPr>
          <w:t>https://</w:t>
        </w:r>
      </w:hyperlink>
      <w:hyperlink r:id="rId8" w:history="1">
        <w:r w:rsidRPr="00ED01EF">
          <w:rPr>
            <w:rStyle w:val="Hyperlink"/>
            <w:rFonts w:ascii="Arial" w:hAnsi="Arial" w:cs="Arial"/>
            <w:sz w:val="24"/>
            <w:szCs w:val="24"/>
          </w:rPr>
          <w:t>www.cipd.co.uk/knowledge/fundamentals/people/performance/factsheet#6276</w:t>
        </w:r>
      </w:hyperlink>
      <w:r w:rsidRPr="00ED01EF">
        <w:rPr>
          <w:rFonts w:ascii="Arial" w:hAnsi="Arial" w:cs="Arial"/>
          <w:sz w:val="24"/>
          <w:szCs w:val="24"/>
        </w:rPr>
        <w:t xml:space="preserve"> (Accessed 08 July 2020).</w:t>
      </w:r>
    </w:p>
    <w:p w:rsidR="00495F2D" w:rsidRDefault="00495F2D">
      <w:pPr>
        <w:rPr>
          <w:rFonts w:ascii="Arial" w:hAnsi="Arial" w:cs="Arial"/>
          <w:sz w:val="24"/>
          <w:szCs w:val="24"/>
        </w:rPr>
      </w:pPr>
      <w:r>
        <w:rPr>
          <w:rFonts w:ascii="Arial" w:hAnsi="Arial" w:cs="Arial"/>
          <w:sz w:val="24"/>
          <w:szCs w:val="24"/>
        </w:rPr>
        <w:t xml:space="preserve">NPTCBC (2019) Managing performance policy and procedure (online) Available at: </w:t>
      </w:r>
      <w:hyperlink r:id="rId9" w:history="1">
        <w:r w:rsidRPr="005E79CF">
          <w:rPr>
            <w:rStyle w:val="Hyperlink"/>
            <w:rFonts w:ascii="Arial" w:hAnsi="Arial" w:cs="Arial"/>
            <w:sz w:val="24"/>
            <w:szCs w:val="24"/>
          </w:rPr>
          <w:t>http://umbraco.npt.gov.uk:700/media/1657/hr_managing_performance_policy_procedure_reformatted_070618.doc</w:t>
        </w:r>
      </w:hyperlink>
      <w:r>
        <w:rPr>
          <w:rFonts w:ascii="Arial" w:hAnsi="Arial" w:cs="Arial"/>
          <w:sz w:val="24"/>
          <w:szCs w:val="24"/>
        </w:rPr>
        <w:t xml:space="preserve"> (Accessed 05 August 2020)</w:t>
      </w:r>
    </w:p>
    <w:p w:rsidR="00495F2D" w:rsidRDefault="00495F2D" w:rsidP="00495F2D">
      <w:pPr>
        <w:rPr>
          <w:rFonts w:ascii="Arial" w:hAnsi="Arial" w:cs="Arial"/>
          <w:sz w:val="24"/>
          <w:szCs w:val="24"/>
        </w:rPr>
      </w:pPr>
      <w:r>
        <w:rPr>
          <w:rFonts w:ascii="Arial" w:hAnsi="Arial" w:cs="Arial"/>
          <w:sz w:val="24"/>
          <w:szCs w:val="24"/>
        </w:rPr>
        <w:t xml:space="preserve">NPTCBC (2020) </w:t>
      </w:r>
      <w:r w:rsidRPr="00B87E26">
        <w:rPr>
          <w:rFonts w:ascii="Arial" w:hAnsi="Arial" w:cs="Arial"/>
          <w:i/>
          <w:sz w:val="24"/>
          <w:szCs w:val="24"/>
        </w:rPr>
        <w:t>Performance appraisal</w:t>
      </w:r>
      <w:r>
        <w:rPr>
          <w:rFonts w:ascii="Arial" w:hAnsi="Arial" w:cs="Arial"/>
          <w:sz w:val="24"/>
          <w:szCs w:val="24"/>
        </w:rPr>
        <w:t xml:space="preserve"> (online) Available at: </w:t>
      </w:r>
      <w:hyperlink r:id="rId10" w:history="1">
        <w:r w:rsidRPr="005E79CF">
          <w:rPr>
            <w:rStyle w:val="Hyperlink"/>
            <w:rFonts w:ascii="Arial" w:hAnsi="Arial" w:cs="Arial"/>
            <w:sz w:val="24"/>
            <w:szCs w:val="24"/>
          </w:rPr>
          <w:t>http://umbraco.npt.gov.uk:700/1964</w:t>
        </w:r>
      </w:hyperlink>
      <w:r>
        <w:rPr>
          <w:rFonts w:ascii="Arial" w:hAnsi="Arial" w:cs="Arial"/>
          <w:sz w:val="24"/>
          <w:szCs w:val="24"/>
        </w:rPr>
        <w:t xml:space="preserve"> (Accessed 05 August 2020)</w:t>
      </w:r>
    </w:p>
    <w:p w:rsidR="00ED01EF" w:rsidRPr="00ED01EF" w:rsidRDefault="00ED01EF" w:rsidP="00ED01EF">
      <w:pPr>
        <w:rPr>
          <w:rFonts w:ascii="Arial" w:hAnsi="Arial" w:cs="Arial"/>
          <w:sz w:val="24"/>
          <w:szCs w:val="24"/>
        </w:rPr>
      </w:pPr>
      <w:r w:rsidRPr="00ED01EF">
        <w:rPr>
          <w:rFonts w:ascii="Arial" w:hAnsi="Arial" w:cs="Arial"/>
          <w:sz w:val="24"/>
          <w:szCs w:val="24"/>
        </w:rPr>
        <w:t xml:space="preserve">Rees, G, Tymon, A,. (2016) </w:t>
      </w:r>
      <w:r w:rsidRPr="00ED01EF">
        <w:rPr>
          <w:rFonts w:ascii="Arial" w:hAnsi="Arial" w:cs="Arial"/>
          <w:i/>
          <w:iCs/>
          <w:sz w:val="24"/>
          <w:szCs w:val="24"/>
        </w:rPr>
        <w:t>Performance Management, Motivation and Reward</w:t>
      </w:r>
      <w:r w:rsidRPr="00ED01EF">
        <w:rPr>
          <w:rFonts w:ascii="Arial" w:hAnsi="Arial" w:cs="Arial"/>
          <w:sz w:val="24"/>
          <w:szCs w:val="24"/>
        </w:rPr>
        <w:t>. in. Rees, G, &amp; French, R,. Contributing to Improving Organisational Performance (pp. 253-279). London: CIPD.</w:t>
      </w:r>
    </w:p>
    <w:p w:rsidR="00113112" w:rsidRPr="00113112" w:rsidRDefault="00113112" w:rsidP="00113112">
      <w:pPr>
        <w:rPr>
          <w:rFonts w:ascii="Arial" w:hAnsi="Arial" w:cs="Arial"/>
          <w:sz w:val="24"/>
          <w:szCs w:val="24"/>
        </w:rPr>
      </w:pPr>
      <w:r w:rsidRPr="00113112">
        <w:rPr>
          <w:rFonts w:ascii="Arial" w:hAnsi="Arial" w:cs="Arial"/>
          <w:sz w:val="24"/>
          <w:szCs w:val="24"/>
          <w:lang w:val="en-US"/>
        </w:rPr>
        <w:t xml:space="preserve">Robinson, D. (2009). </w:t>
      </w:r>
      <w:r w:rsidRPr="00113112">
        <w:rPr>
          <w:rFonts w:ascii="Arial" w:hAnsi="Arial" w:cs="Arial"/>
          <w:i/>
          <w:iCs/>
          <w:sz w:val="24"/>
          <w:szCs w:val="24"/>
          <w:lang w:val="en-US"/>
        </w:rPr>
        <w:t>The engaging manager series: The engaging manager and sticky situations.</w:t>
      </w:r>
      <w:r w:rsidRPr="00113112">
        <w:rPr>
          <w:rFonts w:ascii="Arial" w:hAnsi="Arial" w:cs="Arial"/>
          <w:sz w:val="24"/>
          <w:szCs w:val="24"/>
          <w:lang w:val="en-US"/>
        </w:rPr>
        <w:t xml:space="preserve"> Brighton: IES HR Network.</w:t>
      </w:r>
    </w:p>
    <w:p w:rsidR="00ED01EF" w:rsidRDefault="00ED01EF">
      <w:pPr>
        <w:rPr>
          <w:rFonts w:ascii="Arial" w:hAnsi="Arial" w:cs="Arial"/>
          <w:sz w:val="24"/>
          <w:szCs w:val="24"/>
        </w:rPr>
      </w:pPr>
    </w:p>
    <w:p w:rsidR="005577D0" w:rsidRPr="005577D0" w:rsidRDefault="005577D0">
      <w:pPr>
        <w:rPr>
          <w:rFonts w:ascii="Arial" w:hAnsi="Arial" w:cs="Arial"/>
          <w:sz w:val="24"/>
          <w:szCs w:val="24"/>
        </w:rPr>
      </w:pPr>
    </w:p>
    <w:p w:rsidR="00156218" w:rsidRDefault="00156218"/>
    <w:p w:rsidR="00156218" w:rsidRDefault="00156218"/>
    <w:sectPr w:rsidR="00156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AA2CE0"/>
    <w:multiLevelType w:val="hybridMultilevel"/>
    <w:tmpl w:val="8EF49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F4B0F"/>
    <w:multiLevelType w:val="hybridMultilevel"/>
    <w:tmpl w:val="49A0CE38"/>
    <w:lvl w:ilvl="0" w:tplc="08090009">
      <w:start w:val="1"/>
      <w:numFmt w:val="bullet"/>
      <w:lvlText w:val=""/>
      <w:lvlJc w:val="left"/>
      <w:pPr>
        <w:ind w:left="1723" w:hanging="360"/>
      </w:pPr>
      <w:rPr>
        <w:rFonts w:ascii="Wingdings" w:hAnsi="Wingdings" w:hint="default"/>
      </w:rPr>
    </w:lvl>
    <w:lvl w:ilvl="1" w:tplc="C84A6282">
      <w:numFmt w:val="bullet"/>
      <w:lvlText w:val="•"/>
      <w:lvlJc w:val="left"/>
      <w:pPr>
        <w:ind w:left="2443" w:hanging="360"/>
      </w:pPr>
      <w:rPr>
        <w:rFonts w:ascii="Calibri" w:eastAsia="Calibri" w:hAnsi="Calibri" w:cs="Times New Roman" w:hint="default"/>
      </w:rPr>
    </w:lvl>
    <w:lvl w:ilvl="2" w:tplc="08090005">
      <w:start w:val="1"/>
      <w:numFmt w:val="bullet"/>
      <w:lvlText w:val=""/>
      <w:lvlJc w:val="left"/>
      <w:pPr>
        <w:ind w:left="3163" w:hanging="360"/>
      </w:pPr>
      <w:rPr>
        <w:rFonts w:ascii="Wingdings" w:hAnsi="Wingdings" w:hint="default"/>
      </w:rPr>
    </w:lvl>
    <w:lvl w:ilvl="3" w:tplc="08090001">
      <w:start w:val="1"/>
      <w:numFmt w:val="bullet"/>
      <w:lvlText w:val=""/>
      <w:lvlJc w:val="left"/>
      <w:pPr>
        <w:ind w:left="3883" w:hanging="360"/>
      </w:pPr>
      <w:rPr>
        <w:rFonts w:ascii="Symbol" w:hAnsi="Symbol" w:hint="default"/>
      </w:rPr>
    </w:lvl>
    <w:lvl w:ilvl="4" w:tplc="08090003">
      <w:start w:val="1"/>
      <w:numFmt w:val="bullet"/>
      <w:lvlText w:val="o"/>
      <w:lvlJc w:val="left"/>
      <w:pPr>
        <w:ind w:left="4603" w:hanging="360"/>
      </w:pPr>
      <w:rPr>
        <w:rFonts w:ascii="Courier New" w:hAnsi="Courier New" w:cs="Courier New" w:hint="default"/>
      </w:rPr>
    </w:lvl>
    <w:lvl w:ilvl="5" w:tplc="08090005">
      <w:start w:val="1"/>
      <w:numFmt w:val="bullet"/>
      <w:lvlText w:val=""/>
      <w:lvlJc w:val="left"/>
      <w:pPr>
        <w:ind w:left="5323" w:hanging="360"/>
      </w:pPr>
      <w:rPr>
        <w:rFonts w:ascii="Wingdings" w:hAnsi="Wingdings" w:hint="default"/>
      </w:rPr>
    </w:lvl>
    <w:lvl w:ilvl="6" w:tplc="08090001">
      <w:start w:val="1"/>
      <w:numFmt w:val="bullet"/>
      <w:lvlText w:val=""/>
      <w:lvlJc w:val="left"/>
      <w:pPr>
        <w:ind w:left="6043" w:hanging="360"/>
      </w:pPr>
      <w:rPr>
        <w:rFonts w:ascii="Symbol" w:hAnsi="Symbol" w:hint="default"/>
      </w:rPr>
    </w:lvl>
    <w:lvl w:ilvl="7" w:tplc="08090003">
      <w:start w:val="1"/>
      <w:numFmt w:val="bullet"/>
      <w:lvlText w:val="o"/>
      <w:lvlJc w:val="left"/>
      <w:pPr>
        <w:ind w:left="6763" w:hanging="360"/>
      </w:pPr>
      <w:rPr>
        <w:rFonts w:ascii="Courier New" w:hAnsi="Courier New" w:cs="Courier New" w:hint="default"/>
      </w:rPr>
    </w:lvl>
    <w:lvl w:ilvl="8" w:tplc="08090005">
      <w:start w:val="1"/>
      <w:numFmt w:val="bullet"/>
      <w:lvlText w:val=""/>
      <w:lvlJc w:val="left"/>
      <w:pPr>
        <w:ind w:left="7483" w:hanging="360"/>
      </w:pPr>
      <w:rPr>
        <w:rFonts w:ascii="Wingdings" w:hAnsi="Wingdings" w:hint="default"/>
      </w:rPr>
    </w:lvl>
  </w:abstractNum>
  <w:abstractNum w:abstractNumId="2" w15:restartNumberingAfterBreak="0">
    <w:nsid w:val="4A18331B"/>
    <w:multiLevelType w:val="hybridMultilevel"/>
    <w:tmpl w:val="AC78ECB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218"/>
    <w:rsid w:val="00005356"/>
    <w:rsid w:val="000C12D8"/>
    <w:rsid w:val="000E7E0C"/>
    <w:rsid w:val="00113112"/>
    <w:rsid w:val="00156218"/>
    <w:rsid w:val="001955D0"/>
    <w:rsid w:val="00234E11"/>
    <w:rsid w:val="00257BB5"/>
    <w:rsid w:val="003621B0"/>
    <w:rsid w:val="00495F2D"/>
    <w:rsid w:val="004A36DF"/>
    <w:rsid w:val="005577D0"/>
    <w:rsid w:val="00582B51"/>
    <w:rsid w:val="00687F5A"/>
    <w:rsid w:val="0079604F"/>
    <w:rsid w:val="008969E4"/>
    <w:rsid w:val="00946FE4"/>
    <w:rsid w:val="009F35B5"/>
    <w:rsid w:val="00A41599"/>
    <w:rsid w:val="00A54479"/>
    <w:rsid w:val="00B55DB4"/>
    <w:rsid w:val="00B61B97"/>
    <w:rsid w:val="00B87E26"/>
    <w:rsid w:val="00E6432C"/>
    <w:rsid w:val="00ED01EF"/>
    <w:rsid w:val="00F445FC"/>
    <w:rsid w:val="00FB2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BC036"/>
  <w15:chartTrackingRefBased/>
  <w15:docId w15:val="{4BE48573-53BA-403E-A396-95F762F38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62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56218"/>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B87E26"/>
    <w:rPr>
      <w:color w:val="0563C1" w:themeColor="hyperlink"/>
      <w:u w:val="single"/>
    </w:rPr>
  </w:style>
  <w:style w:type="paragraph" w:styleId="ListParagraph">
    <w:name w:val="List Paragraph"/>
    <w:basedOn w:val="Normal"/>
    <w:uiPriority w:val="34"/>
    <w:qFormat/>
    <w:rsid w:val="00A415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467249">
      <w:bodyDiv w:val="1"/>
      <w:marLeft w:val="0"/>
      <w:marRight w:val="0"/>
      <w:marTop w:val="0"/>
      <w:marBottom w:val="0"/>
      <w:divBdr>
        <w:top w:val="none" w:sz="0" w:space="0" w:color="auto"/>
        <w:left w:val="none" w:sz="0" w:space="0" w:color="auto"/>
        <w:bottom w:val="none" w:sz="0" w:space="0" w:color="auto"/>
        <w:right w:val="none" w:sz="0" w:space="0" w:color="auto"/>
      </w:divBdr>
    </w:div>
    <w:div w:id="637151289">
      <w:bodyDiv w:val="1"/>
      <w:marLeft w:val="0"/>
      <w:marRight w:val="0"/>
      <w:marTop w:val="0"/>
      <w:marBottom w:val="0"/>
      <w:divBdr>
        <w:top w:val="none" w:sz="0" w:space="0" w:color="auto"/>
        <w:left w:val="none" w:sz="0" w:space="0" w:color="auto"/>
        <w:bottom w:val="none" w:sz="0" w:space="0" w:color="auto"/>
        <w:right w:val="none" w:sz="0" w:space="0" w:color="auto"/>
      </w:divBdr>
    </w:div>
    <w:div w:id="741216291">
      <w:bodyDiv w:val="1"/>
      <w:marLeft w:val="0"/>
      <w:marRight w:val="0"/>
      <w:marTop w:val="0"/>
      <w:marBottom w:val="0"/>
      <w:divBdr>
        <w:top w:val="none" w:sz="0" w:space="0" w:color="auto"/>
        <w:left w:val="none" w:sz="0" w:space="0" w:color="auto"/>
        <w:bottom w:val="none" w:sz="0" w:space="0" w:color="auto"/>
        <w:right w:val="none" w:sz="0" w:space="0" w:color="auto"/>
      </w:divBdr>
    </w:div>
    <w:div w:id="777795769">
      <w:bodyDiv w:val="1"/>
      <w:marLeft w:val="0"/>
      <w:marRight w:val="0"/>
      <w:marTop w:val="0"/>
      <w:marBottom w:val="0"/>
      <w:divBdr>
        <w:top w:val="none" w:sz="0" w:space="0" w:color="auto"/>
        <w:left w:val="none" w:sz="0" w:space="0" w:color="auto"/>
        <w:bottom w:val="none" w:sz="0" w:space="0" w:color="auto"/>
        <w:right w:val="none" w:sz="0" w:space="0" w:color="auto"/>
      </w:divBdr>
    </w:div>
    <w:div w:id="1240679675">
      <w:bodyDiv w:val="1"/>
      <w:marLeft w:val="0"/>
      <w:marRight w:val="0"/>
      <w:marTop w:val="0"/>
      <w:marBottom w:val="0"/>
      <w:divBdr>
        <w:top w:val="none" w:sz="0" w:space="0" w:color="auto"/>
        <w:left w:val="none" w:sz="0" w:space="0" w:color="auto"/>
        <w:bottom w:val="none" w:sz="0" w:space="0" w:color="auto"/>
        <w:right w:val="none" w:sz="0" w:space="0" w:color="auto"/>
      </w:divBdr>
    </w:div>
    <w:div w:id="1664233878">
      <w:bodyDiv w:val="1"/>
      <w:marLeft w:val="0"/>
      <w:marRight w:val="0"/>
      <w:marTop w:val="0"/>
      <w:marBottom w:val="0"/>
      <w:divBdr>
        <w:top w:val="none" w:sz="0" w:space="0" w:color="auto"/>
        <w:left w:val="none" w:sz="0" w:space="0" w:color="auto"/>
        <w:bottom w:val="none" w:sz="0" w:space="0" w:color="auto"/>
        <w:right w:val="none" w:sz="0" w:space="0" w:color="auto"/>
      </w:divBdr>
    </w:div>
    <w:div w:id="1681617092">
      <w:bodyDiv w:val="1"/>
      <w:marLeft w:val="0"/>
      <w:marRight w:val="0"/>
      <w:marTop w:val="0"/>
      <w:marBottom w:val="0"/>
      <w:divBdr>
        <w:top w:val="none" w:sz="0" w:space="0" w:color="auto"/>
        <w:left w:val="none" w:sz="0" w:space="0" w:color="auto"/>
        <w:bottom w:val="none" w:sz="0" w:space="0" w:color="auto"/>
        <w:right w:val="none" w:sz="0" w:space="0" w:color="auto"/>
      </w:divBdr>
    </w:div>
    <w:div w:id="208352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performance/factsheet" TargetMode="External"/><Relationship Id="rId3" Type="http://schemas.openxmlformats.org/officeDocument/2006/relationships/settings" Target="settings.xml"/><Relationship Id="rId7" Type="http://schemas.openxmlformats.org/officeDocument/2006/relationships/hyperlink" Target="https://www.cipd.co.uk/knowledge/fundamentals/people/performance/factshee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people/performance/appraisals-factsheet"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umbraco.npt.gov.uk:700/1964" TargetMode="External"/><Relationship Id="rId4" Type="http://schemas.openxmlformats.org/officeDocument/2006/relationships/webSettings" Target="webSettings.xml"/><Relationship Id="rId9" Type="http://schemas.openxmlformats.org/officeDocument/2006/relationships/hyperlink" Target="http://umbraco.npt.gov.uk:700/media/1657/hr_managing_performance_policy_procedure_reformatted_070618.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5</Pages>
  <Words>1016</Words>
  <Characters>5797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13</cp:revision>
  <dcterms:created xsi:type="dcterms:W3CDTF">2020-08-04T14:29:00Z</dcterms:created>
  <dcterms:modified xsi:type="dcterms:W3CDTF">2020-08-27T15:25:00Z</dcterms:modified>
</cp:coreProperties>
</file>