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501F0" w:rsidRPr="00302285" w:rsidRDefault="00C732EF" w:rsidP="00302285">
      <w:pPr>
        <w:spacing w:after="120"/>
        <w:rPr>
          <w:b/>
        </w:rPr>
      </w:pPr>
      <w:r>
        <w:rPr>
          <w:b/>
        </w:rPr>
        <w:t>Writing and Literacy</w:t>
      </w:r>
      <w:r w:rsidR="00302285" w:rsidRPr="00302285">
        <w:rPr>
          <w:b/>
        </w:rPr>
        <w:t xml:space="preserve"> in Mesopotamia</w:t>
      </w:r>
    </w:p>
    <w:p w:rsidR="00302285" w:rsidRDefault="00302285" w:rsidP="00302285">
      <w:pPr>
        <w:spacing w:after="120"/>
      </w:pPr>
    </w:p>
    <w:p w:rsidR="00874D23" w:rsidRPr="00523970" w:rsidRDefault="00874D23" w:rsidP="00302285">
      <w:pPr>
        <w:spacing w:after="120"/>
        <w:rPr>
          <w:i/>
        </w:rPr>
      </w:pPr>
      <w:r w:rsidRPr="00523970">
        <w:rPr>
          <w:i/>
        </w:rPr>
        <w:t>Introduction</w:t>
      </w:r>
    </w:p>
    <w:p w:rsidR="00C732EF" w:rsidRPr="00CD14B2" w:rsidRDefault="00C732EF" w:rsidP="00C732EF">
      <w:pPr>
        <w:ind w:left="709" w:hanging="709"/>
        <w:rPr>
          <w:rFonts w:ascii="Times New Roman" w:hAnsi="Times New Roman" w:cs="Times New Roman"/>
          <w:szCs w:val="24"/>
        </w:rPr>
      </w:pPr>
      <w:r w:rsidRPr="00CD14B2">
        <w:rPr>
          <w:rFonts w:ascii="Times New Roman" w:hAnsi="Times New Roman" w:cs="Times New Roman"/>
          <w:szCs w:val="24"/>
        </w:rPr>
        <w:t>Brosius, M. (ed.) 2003</w:t>
      </w:r>
      <w:r w:rsidRPr="00CD14B2">
        <w:rPr>
          <w:rFonts w:ascii="Times New Roman" w:hAnsi="Times New Roman" w:cs="Times New Roman"/>
          <w:i/>
          <w:szCs w:val="24"/>
        </w:rPr>
        <w:t>. Ancient Archives and Archival Traditions: Concepts of Record-Keeping in the Ancient World</w:t>
      </w:r>
      <w:r w:rsidRPr="00CD14B2">
        <w:rPr>
          <w:rFonts w:ascii="Times New Roman" w:hAnsi="Times New Roman" w:cs="Times New Roman"/>
          <w:szCs w:val="24"/>
        </w:rPr>
        <w:t>. Oxford: Oxford University Press.</w:t>
      </w:r>
    </w:p>
    <w:p w:rsidR="00C732EF" w:rsidRPr="00CD14B2" w:rsidRDefault="00C732EF" w:rsidP="00C732EF">
      <w:pPr>
        <w:ind w:left="709" w:hanging="709"/>
        <w:rPr>
          <w:rFonts w:ascii="Times New Roman" w:hAnsi="Times New Roman" w:cs="Times New Roman"/>
          <w:szCs w:val="24"/>
        </w:rPr>
      </w:pPr>
      <w:proofErr w:type="spellStart"/>
      <w:r w:rsidRPr="00CD14B2">
        <w:rPr>
          <w:rFonts w:ascii="Times New Roman" w:hAnsi="Times New Roman" w:cs="Times New Roman"/>
          <w:szCs w:val="24"/>
        </w:rPr>
        <w:t>Dalley</w:t>
      </w:r>
      <w:proofErr w:type="spellEnd"/>
      <w:r w:rsidRPr="00CD14B2">
        <w:rPr>
          <w:rFonts w:ascii="Times New Roman" w:hAnsi="Times New Roman" w:cs="Times New Roman"/>
          <w:szCs w:val="24"/>
        </w:rPr>
        <w:t xml:space="preserve">, S. 1998. </w:t>
      </w:r>
      <w:r w:rsidRPr="00CD14B2">
        <w:rPr>
          <w:rFonts w:ascii="Times New Roman" w:hAnsi="Times New Roman" w:cs="Times New Roman"/>
          <w:i/>
          <w:szCs w:val="24"/>
        </w:rPr>
        <w:t>Myths from Mesopotamia: Creation, the Flood, Gilgamesh, and Others</w:t>
      </w:r>
      <w:r w:rsidRPr="00CD14B2">
        <w:rPr>
          <w:rFonts w:ascii="Times New Roman" w:hAnsi="Times New Roman" w:cs="Times New Roman"/>
          <w:szCs w:val="24"/>
        </w:rPr>
        <w:t>. Oxford: OUP.</w:t>
      </w:r>
    </w:p>
    <w:p w:rsidR="00C732EF" w:rsidRDefault="00C732EF" w:rsidP="00C732EF">
      <w:pPr>
        <w:ind w:left="709" w:hanging="709"/>
        <w:rPr>
          <w:rFonts w:ascii="Times New Roman" w:hAnsi="Times New Roman" w:cs="Times New Roman"/>
          <w:szCs w:val="24"/>
        </w:rPr>
      </w:pPr>
      <w:r w:rsidRPr="00CD14B2">
        <w:rPr>
          <w:rFonts w:ascii="Times New Roman" w:hAnsi="Times New Roman" w:cs="Times New Roman"/>
          <w:szCs w:val="24"/>
        </w:rPr>
        <w:t xml:space="preserve">Van de </w:t>
      </w:r>
      <w:proofErr w:type="spellStart"/>
      <w:r w:rsidRPr="00CD14B2">
        <w:rPr>
          <w:rFonts w:ascii="Times New Roman" w:hAnsi="Times New Roman" w:cs="Times New Roman"/>
          <w:szCs w:val="24"/>
        </w:rPr>
        <w:t>Mieroop</w:t>
      </w:r>
      <w:proofErr w:type="spellEnd"/>
      <w:r w:rsidRPr="00CD14B2">
        <w:rPr>
          <w:rFonts w:ascii="Times New Roman" w:hAnsi="Times New Roman" w:cs="Times New Roman"/>
          <w:szCs w:val="24"/>
        </w:rPr>
        <w:t xml:space="preserve">, M. 1999. </w:t>
      </w:r>
      <w:r w:rsidRPr="00CD14B2">
        <w:rPr>
          <w:rFonts w:ascii="Times New Roman" w:hAnsi="Times New Roman" w:cs="Times New Roman"/>
          <w:i/>
          <w:iCs/>
          <w:szCs w:val="24"/>
        </w:rPr>
        <w:t>Cuneiform Texts and the Writing of History</w:t>
      </w:r>
      <w:r w:rsidRPr="00CD14B2">
        <w:rPr>
          <w:rFonts w:ascii="Times New Roman" w:hAnsi="Times New Roman" w:cs="Times New Roman"/>
          <w:szCs w:val="24"/>
        </w:rPr>
        <w:t xml:space="preserve">. London: Routledge. </w:t>
      </w:r>
    </w:p>
    <w:p w:rsidR="00C732EF" w:rsidRDefault="00C732EF" w:rsidP="00302285">
      <w:pPr>
        <w:spacing w:after="120"/>
        <w:ind w:left="709" w:hanging="709"/>
        <w:rPr>
          <w:lang w:val="en"/>
        </w:rPr>
      </w:pPr>
    </w:p>
    <w:p w:rsidR="00C732EF" w:rsidRDefault="00C732EF" w:rsidP="00302285">
      <w:pPr>
        <w:spacing w:after="120"/>
        <w:ind w:left="709" w:hanging="709"/>
        <w:rPr>
          <w:lang w:val="en"/>
        </w:rPr>
      </w:pPr>
    </w:p>
    <w:p w:rsidR="00C732EF" w:rsidRDefault="00C732EF" w:rsidP="00302285">
      <w:pPr>
        <w:spacing w:after="120"/>
        <w:ind w:left="709" w:hanging="709"/>
        <w:rPr>
          <w:lang w:val="en"/>
        </w:rPr>
      </w:pPr>
      <w:r w:rsidRPr="00C732EF">
        <w:rPr>
          <w:b/>
          <w:u w:val="single"/>
          <w:lang w:val="en"/>
        </w:rPr>
        <w:t>One</w:t>
      </w:r>
      <w:r>
        <w:rPr>
          <w:lang w:val="en"/>
        </w:rPr>
        <w:t xml:space="preserve"> of the following:</w:t>
      </w:r>
    </w:p>
    <w:p w:rsidR="00C732EF" w:rsidRPr="00CD14B2" w:rsidRDefault="00C732EF" w:rsidP="00C732EF">
      <w:pPr>
        <w:ind w:left="709" w:hanging="709"/>
        <w:rPr>
          <w:rFonts w:ascii="Times New Roman" w:hAnsi="Times New Roman" w:cs="Times New Roman"/>
          <w:szCs w:val="24"/>
        </w:rPr>
      </w:pPr>
      <w:proofErr w:type="spellStart"/>
      <w:r w:rsidRPr="00CD14B2">
        <w:rPr>
          <w:rFonts w:ascii="Times New Roman" w:hAnsi="Times New Roman" w:cs="Times New Roman"/>
          <w:szCs w:val="24"/>
        </w:rPr>
        <w:t>Finkel</w:t>
      </w:r>
      <w:proofErr w:type="spellEnd"/>
      <w:r w:rsidRPr="00CD14B2">
        <w:rPr>
          <w:rFonts w:ascii="Times New Roman" w:hAnsi="Times New Roman" w:cs="Times New Roman"/>
          <w:szCs w:val="24"/>
        </w:rPr>
        <w:t xml:space="preserve">, I.L. 1998. </w:t>
      </w:r>
      <w:r w:rsidRPr="00CD14B2">
        <w:rPr>
          <w:rFonts w:ascii="Times New Roman" w:hAnsi="Times New Roman" w:cs="Times New Roman"/>
          <w:i/>
          <w:szCs w:val="24"/>
        </w:rPr>
        <w:t>The Hero King Gilgamesh</w:t>
      </w:r>
      <w:r w:rsidRPr="00CD14B2">
        <w:rPr>
          <w:rFonts w:ascii="Times New Roman" w:hAnsi="Times New Roman" w:cs="Times New Roman"/>
          <w:szCs w:val="24"/>
        </w:rPr>
        <w:t>. London: British Museum Press.</w:t>
      </w:r>
    </w:p>
    <w:p w:rsidR="00C732EF" w:rsidRPr="00CD14B2" w:rsidRDefault="00C732EF" w:rsidP="00C732EF">
      <w:pPr>
        <w:ind w:left="709" w:hanging="709"/>
        <w:rPr>
          <w:rFonts w:ascii="Times New Roman" w:hAnsi="Times New Roman" w:cs="Times New Roman"/>
          <w:szCs w:val="24"/>
        </w:rPr>
      </w:pPr>
      <w:r w:rsidRPr="00CD14B2">
        <w:rPr>
          <w:rFonts w:ascii="Times New Roman" w:hAnsi="Times New Roman" w:cs="Times New Roman"/>
          <w:szCs w:val="24"/>
        </w:rPr>
        <w:t xml:space="preserve">Foster, B.R. 2001. </w:t>
      </w:r>
      <w:r w:rsidRPr="00CD14B2">
        <w:rPr>
          <w:rFonts w:ascii="Times New Roman" w:hAnsi="Times New Roman" w:cs="Times New Roman"/>
          <w:i/>
          <w:szCs w:val="24"/>
        </w:rPr>
        <w:t>The Epic of Gilgamesh: a New Translation, Analogues, Criticism</w:t>
      </w:r>
      <w:r w:rsidRPr="00CD14B2">
        <w:rPr>
          <w:rFonts w:ascii="Times New Roman" w:hAnsi="Times New Roman" w:cs="Times New Roman"/>
          <w:szCs w:val="24"/>
        </w:rPr>
        <w:t>. New York; London: Norton.</w:t>
      </w:r>
    </w:p>
    <w:p w:rsidR="00C732EF" w:rsidRDefault="00C732EF" w:rsidP="00C732EF">
      <w:pPr>
        <w:ind w:left="709" w:hanging="709"/>
        <w:rPr>
          <w:rFonts w:ascii="Times New Roman" w:hAnsi="Times New Roman" w:cs="Times New Roman"/>
          <w:szCs w:val="24"/>
        </w:rPr>
      </w:pPr>
      <w:r w:rsidRPr="00CD14B2">
        <w:rPr>
          <w:rFonts w:ascii="Times New Roman" w:hAnsi="Times New Roman" w:cs="Times New Roman"/>
          <w:szCs w:val="24"/>
        </w:rPr>
        <w:t xml:space="preserve">George, A.R. 1999. </w:t>
      </w:r>
      <w:r w:rsidR="00C96E12">
        <w:rPr>
          <w:rFonts w:ascii="Times New Roman" w:hAnsi="Times New Roman" w:cs="Times New Roman"/>
          <w:i/>
          <w:szCs w:val="24"/>
        </w:rPr>
        <w:t>The Epic of Gilgamesh</w:t>
      </w:r>
      <w:bookmarkStart w:id="0" w:name="_GoBack"/>
      <w:bookmarkEnd w:id="0"/>
      <w:r w:rsidRPr="00CD14B2">
        <w:rPr>
          <w:rFonts w:ascii="Times New Roman" w:hAnsi="Times New Roman" w:cs="Times New Roman"/>
          <w:i/>
          <w:szCs w:val="24"/>
        </w:rPr>
        <w:t>: the Babylonian Epic Poem and Other Texts in Akkadian and Sumerian : Translated and with an Introduction by Andrew George</w:t>
      </w:r>
      <w:r w:rsidRPr="00CD14B2">
        <w:rPr>
          <w:rFonts w:ascii="Times New Roman" w:hAnsi="Times New Roman" w:cs="Times New Roman"/>
          <w:szCs w:val="24"/>
        </w:rPr>
        <w:t>. London: Allen Lane</w:t>
      </w:r>
    </w:p>
    <w:p w:rsidR="00C732EF" w:rsidRDefault="00C732EF" w:rsidP="00302285">
      <w:pPr>
        <w:spacing w:after="120"/>
        <w:ind w:left="709" w:hanging="709"/>
        <w:rPr>
          <w:lang w:val="en"/>
        </w:rPr>
      </w:pPr>
    </w:p>
    <w:p w:rsidR="00523970" w:rsidRDefault="00523970" w:rsidP="00302285">
      <w:pPr>
        <w:spacing w:after="120"/>
        <w:ind w:left="709" w:hanging="709"/>
        <w:rPr>
          <w:lang w:val="en"/>
        </w:rPr>
      </w:pPr>
      <w:r w:rsidRPr="00523970">
        <w:rPr>
          <w:i/>
          <w:lang w:val="en"/>
        </w:rPr>
        <w:t>Directed Readings</w:t>
      </w:r>
    </w:p>
    <w:p w:rsidR="00C732EF" w:rsidRPr="0043467D" w:rsidRDefault="00F3524F" w:rsidP="00C732EF">
      <w:pPr>
        <w:ind w:left="709" w:hanging="709"/>
        <w:rPr>
          <w:rFonts w:ascii="Times New Roman" w:hAnsi="Times New Roman" w:cs="Times New Roman"/>
          <w:szCs w:val="24"/>
        </w:rPr>
      </w:pPr>
      <w:r w:rsidRPr="0043467D">
        <w:rPr>
          <w:rFonts w:ascii="Times New Roman" w:hAnsi="Times New Roman" w:cs="Times New Roman"/>
          <w:szCs w:val="24"/>
        </w:rPr>
        <w:t xml:space="preserve">Forster, B.R. 2013. Sumerian mythology. In </w:t>
      </w:r>
      <w:r w:rsidRPr="0043467D">
        <w:rPr>
          <w:rFonts w:ascii="Times New Roman" w:eastAsia="Calibri" w:hAnsi="Times New Roman" w:cs="Times New Roman"/>
          <w:szCs w:val="24"/>
        </w:rPr>
        <w:t xml:space="preserve">H. Crawford (ed.) </w:t>
      </w:r>
      <w:proofErr w:type="gramStart"/>
      <w:r w:rsidRPr="0043467D">
        <w:rPr>
          <w:rFonts w:ascii="Times New Roman" w:eastAsia="Calibri" w:hAnsi="Times New Roman" w:cs="Times New Roman"/>
          <w:i/>
          <w:szCs w:val="24"/>
        </w:rPr>
        <w:t>The</w:t>
      </w:r>
      <w:proofErr w:type="gramEnd"/>
      <w:r w:rsidRPr="0043467D">
        <w:rPr>
          <w:rFonts w:ascii="Times New Roman" w:eastAsia="Calibri" w:hAnsi="Times New Roman" w:cs="Times New Roman"/>
          <w:i/>
          <w:szCs w:val="24"/>
        </w:rPr>
        <w:t xml:space="preserve"> Sumerian World</w:t>
      </w:r>
      <w:r w:rsidRPr="0043467D">
        <w:rPr>
          <w:rFonts w:ascii="Times New Roman" w:eastAsia="Calibri" w:hAnsi="Times New Roman" w:cs="Times New Roman"/>
          <w:szCs w:val="24"/>
        </w:rPr>
        <w:t>. 435-43. London &amp; New York: Routledge</w:t>
      </w:r>
      <w:r w:rsidRPr="0043467D">
        <w:rPr>
          <w:rFonts w:ascii="Times New Roman" w:hAnsi="Times New Roman" w:cs="Times New Roman"/>
          <w:szCs w:val="24"/>
        </w:rPr>
        <w:t xml:space="preserve"> </w:t>
      </w:r>
      <w:proofErr w:type="spellStart"/>
      <w:r w:rsidR="00C732EF" w:rsidRPr="0043467D">
        <w:rPr>
          <w:rFonts w:ascii="Times New Roman" w:hAnsi="Times New Roman" w:cs="Times New Roman"/>
          <w:szCs w:val="24"/>
        </w:rPr>
        <w:t>Lamberg-Karlovsky</w:t>
      </w:r>
      <w:proofErr w:type="spellEnd"/>
      <w:r w:rsidR="00C732EF" w:rsidRPr="0043467D">
        <w:rPr>
          <w:rFonts w:ascii="Times New Roman" w:hAnsi="Times New Roman" w:cs="Times New Roman"/>
          <w:szCs w:val="24"/>
        </w:rPr>
        <w:t xml:space="preserve">, C.C. 2003. To write or not to write. In T. Potts, M. </w:t>
      </w:r>
      <w:proofErr w:type="spellStart"/>
      <w:r w:rsidR="00C732EF" w:rsidRPr="0043467D">
        <w:rPr>
          <w:rFonts w:ascii="Times New Roman" w:hAnsi="Times New Roman" w:cs="Times New Roman"/>
          <w:szCs w:val="24"/>
        </w:rPr>
        <w:t>Roaf</w:t>
      </w:r>
      <w:proofErr w:type="spellEnd"/>
      <w:r w:rsidR="00C732EF" w:rsidRPr="0043467D">
        <w:rPr>
          <w:rFonts w:ascii="Times New Roman" w:hAnsi="Times New Roman" w:cs="Times New Roman"/>
          <w:szCs w:val="24"/>
        </w:rPr>
        <w:t xml:space="preserve"> and D. Stein (</w:t>
      </w:r>
      <w:proofErr w:type="spellStart"/>
      <w:proofErr w:type="gramStart"/>
      <w:r w:rsidR="00C732EF" w:rsidRPr="0043467D">
        <w:rPr>
          <w:rFonts w:ascii="Times New Roman" w:hAnsi="Times New Roman" w:cs="Times New Roman"/>
          <w:szCs w:val="24"/>
        </w:rPr>
        <w:t>eds</w:t>
      </w:r>
      <w:proofErr w:type="spellEnd"/>
      <w:proofErr w:type="gramEnd"/>
      <w:r w:rsidR="00C732EF" w:rsidRPr="0043467D">
        <w:rPr>
          <w:rFonts w:ascii="Times New Roman" w:hAnsi="Times New Roman" w:cs="Times New Roman"/>
          <w:szCs w:val="24"/>
        </w:rPr>
        <w:t xml:space="preserve">), </w:t>
      </w:r>
      <w:r w:rsidR="00C732EF" w:rsidRPr="0043467D">
        <w:rPr>
          <w:rFonts w:ascii="Times New Roman" w:hAnsi="Times New Roman" w:cs="Times New Roman"/>
          <w:i/>
          <w:iCs/>
          <w:szCs w:val="24"/>
        </w:rPr>
        <w:t xml:space="preserve">Culture Through Objects: Ancient Near Eastern Studies in Honour of P.R. S. </w:t>
      </w:r>
      <w:proofErr w:type="spellStart"/>
      <w:r w:rsidR="00C732EF" w:rsidRPr="0043467D">
        <w:rPr>
          <w:rFonts w:ascii="Times New Roman" w:hAnsi="Times New Roman" w:cs="Times New Roman"/>
          <w:i/>
          <w:iCs/>
          <w:szCs w:val="24"/>
        </w:rPr>
        <w:t>Moorey</w:t>
      </w:r>
      <w:proofErr w:type="spellEnd"/>
      <w:r w:rsidR="00C732EF" w:rsidRPr="0043467D">
        <w:rPr>
          <w:rFonts w:ascii="Times New Roman" w:hAnsi="Times New Roman" w:cs="Times New Roman"/>
          <w:szCs w:val="24"/>
        </w:rPr>
        <w:t>. 59-75. Oxford: Griffith Institute.</w:t>
      </w:r>
    </w:p>
    <w:p w:rsidR="00C732EF" w:rsidRPr="008F7DEC" w:rsidRDefault="00F3524F" w:rsidP="00F3524F">
      <w:pPr>
        <w:ind w:left="709" w:hanging="709"/>
        <w:rPr>
          <w:rFonts w:ascii="Times New Roman" w:hAnsi="Times New Roman" w:cs="Times New Roman"/>
          <w:szCs w:val="24"/>
        </w:rPr>
      </w:pPr>
      <w:r>
        <w:rPr>
          <w:rFonts w:ascii="Times New Roman" w:hAnsi="Times New Roman" w:cs="Times New Roman"/>
          <w:szCs w:val="24"/>
        </w:rPr>
        <w:t>Larsen, M.T. 1988. Introduction. Literacy and social complexity. In J. Gledhill, B. Bender and M.T. Larsen (</w:t>
      </w:r>
      <w:proofErr w:type="spellStart"/>
      <w:proofErr w:type="gramStart"/>
      <w:r>
        <w:rPr>
          <w:rFonts w:ascii="Times New Roman" w:hAnsi="Times New Roman" w:cs="Times New Roman"/>
          <w:szCs w:val="24"/>
        </w:rPr>
        <w:t>eds</w:t>
      </w:r>
      <w:proofErr w:type="spellEnd"/>
      <w:proofErr w:type="gramEnd"/>
      <w:r>
        <w:rPr>
          <w:rFonts w:ascii="Times New Roman" w:hAnsi="Times New Roman" w:cs="Times New Roman"/>
          <w:szCs w:val="24"/>
        </w:rPr>
        <w:t xml:space="preserve">) </w:t>
      </w:r>
      <w:r>
        <w:rPr>
          <w:rFonts w:ascii="Times New Roman" w:hAnsi="Times New Roman" w:cs="Times New Roman"/>
          <w:i/>
          <w:szCs w:val="24"/>
        </w:rPr>
        <w:t xml:space="preserve">State and Society: The Emergence </w:t>
      </w:r>
      <w:r w:rsidR="008F7DEC">
        <w:rPr>
          <w:rFonts w:ascii="Times New Roman" w:hAnsi="Times New Roman" w:cs="Times New Roman"/>
          <w:i/>
          <w:szCs w:val="24"/>
        </w:rPr>
        <w:t xml:space="preserve">and Development </w:t>
      </w:r>
      <w:r>
        <w:rPr>
          <w:rFonts w:ascii="Times New Roman" w:hAnsi="Times New Roman" w:cs="Times New Roman"/>
          <w:i/>
          <w:szCs w:val="24"/>
        </w:rPr>
        <w:t xml:space="preserve">of </w:t>
      </w:r>
      <w:r w:rsidR="008F7DEC">
        <w:rPr>
          <w:rFonts w:ascii="Times New Roman" w:hAnsi="Times New Roman" w:cs="Times New Roman"/>
          <w:i/>
          <w:szCs w:val="24"/>
        </w:rPr>
        <w:t>Social Hierarchy and Political Centralization</w:t>
      </w:r>
      <w:r w:rsidR="008F7DEC">
        <w:rPr>
          <w:rFonts w:ascii="Times New Roman" w:hAnsi="Times New Roman" w:cs="Times New Roman"/>
          <w:szCs w:val="24"/>
        </w:rPr>
        <w:t>. 173-91. London: Unwin Hyman.</w:t>
      </w:r>
    </w:p>
    <w:p w:rsidR="00FC4B93" w:rsidRDefault="00FC4B93" w:rsidP="0043467D">
      <w:pPr>
        <w:ind w:left="709" w:hanging="709"/>
        <w:rPr>
          <w:rFonts w:ascii="Times New Roman" w:hAnsi="Times New Roman" w:cs="Times New Roman"/>
        </w:rPr>
      </w:pPr>
      <w:r w:rsidRPr="0043467D">
        <w:rPr>
          <w:rFonts w:ascii="Times New Roman" w:hAnsi="Times New Roman" w:cs="Times New Roman"/>
          <w:szCs w:val="24"/>
        </w:rPr>
        <w:t>Michalowski</w:t>
      </w:r>
      <w:r w:rsidRPr="0043467D">
        <w:rPr>
          <w:rFonts w:ascii="Times New Roman" w:hAnsi="Times New Roman" w:cs="Times New Roman"/>
        </w:rPr>
        <w:t xml:space="preserve">, P. 1983. History as </w:t>
      </w:r>
      <w:r w:rsidR="0043467D" w:rsidRPr="0043467D">
        <w:rPr>
          <w:rFonts w:ascii="Times New Roman" w:hAnsi="Times New Roman" w:cs="Times New Roman"/>
        </w:rPr>
        <w:t xml:space="preserve">charter some observations </w:t>
      </w:r>
      <w:r w:rsidRPr="0043467D">
        <w:rPr>
          <w:rFonts w:ascii="Times New Roman" w:hAnsi="Times New Roman" w:cs="Times New Roman"/>
        </w:rPr>
        <w:t xml:space="preserve">on the Sumerian King List. </w:t>
      </w:r>
      <w:r w:rsidRPr="0043467D">
        <w:rPr>
          <w:rFonts w:ascii="Times New Roman" w:hAnsi="Times New Roman" w:cs="Times New Roman"/>
          <w:i/>
        </w:rPr>
        <w:t>Journal of the American Oriental Society</w:t>
      </w:r>
      <w:r w:rsidRPr="0043467D">
        <w:rPr>
          <w:rFonts w:ascii="Times New Roman" w:hAnsi="Times New Roman" w:cs="Times New Roman"/>
        </w:rPr>
        <w:t xml:space="preserve"> 103(1): 237-48.</w:t>
      </w:r>
    </w:p>
    <w:p w:rsidR="0043467D" w:rsidRPr="0043467D" w:rsidRDefault="0043467D" w:rsidP="0043467D">
      <w:pPr>
        <w:ind w:left="709" w:hanging="709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Robson, E. </w:t>
      </w:r>
      <w:r w:rsidR="00F3524F" w:rsidRPr="0043467D">
        <w:rPr>
          <w:rFonts w:ascii="Times New Roman" w:hAnsi="Times New Roman" w:cs="Times New Roman"/>
        </w:rPr>
        <w:t>2007</w:t>
      </w:r>
      <w:r w:rsidR="00F3524F">
        <w:rPr>
          <w:rFonts w:ascii="Times New Roman" w:hAnsi="Times New Roman" w:cs="Times New Roman"/>
        </w:rPr>
        <w:t xml:space="preserve">. </w:t>
      </w:r>
      <w:r w:rsidRPr="0043467D">
        <w:rPr>
          <w:rFonts w:ascii="Times New Roman" w:hAnsi="Times New Roman" w:cs="Times New Roman"/>
        </w:rPr>
        <w:t>Literacy, numeracy and the state in early Mesopotamia</w:t>
      </w:r>
      <w:r>
        <w:rPr>
          <w:rFonts w:ascii="Times New Roman" w:hAnsi="Times New Roman" w:cs="Times New Roman"/>
        </w:rPr>
        <w:t xml:space="preserve">. In </w:t>
      </w:r>
      <w:r w:rsidRPr="0043467D">
        <w:rPr>
          <w:rFonts w:ascii="Times New Roman" w:hAnsi="Times New Roman" w:cs="Times New Roman"/>
        </w:rPr>
        <w:t>K. Lomas, R.D. Whitehouse and J.B. Wilkins (</w:t>
      </w:r>
      <w:proofErr w:type="spellStart"/>
      <w:proofErr w:type="gramStart"/>
      <w:r w:rsidRPr="0043467D">
        <w:rPr>
          <w:rFonts w:ascii="Times New Roman" w:hAnsi="Times New Roman" w:cs="Times New Roman"/>
        </w:rPr>
        <w:t>eds</w:t>
      </w:r>
      <w:proofErr w:type="spellEnd"/>
      <w:proofErr w:type="gramEnd"/>
      <w:r w:rsidRPr="0043467D">
        <w:rPr>
          <w:rFonts w:ascii="Times New Roman" w:hAnsi="Times New Roman" w:cs="Times New Roman"/>
        </w:rPr>
        <w:t xml:space="preserve">) </w:t>
      </w:r>
      <w:r w:rsidRPr="00F3524F">
        <w:rPr>
          <w:rFonts w:ascii="Times New Roman" w:hAnsi="Times New Roman" w:cs="Times New Roman"/>
          <w:i/>
        </w:rPr>
        <w:t>Literacy and the State in the Ancient Mediterranean</w:t>
      </w:r>
      <w:r w:rsidR="00F3524F">
        <w:rPr>
          <w:rFonts w:ascii="Times New Roman" w:hAnsi="Times New Roman" w:cs="Times New Roman"/>
        </w:rPr>
        <w:t>.</w:t>
      </w:r>
      <w:r w:rsidRPr="0043467D">
        <w:rPr>
          <w:rFonts w:ascii="Times New Roman" w:hAnsi="Times New Roman" w:cs="Times New Roman"/>
        </w:rPr>
        <w:t xml:space="preserve"> </w:t>
      </w:r>
      <w:r w:rsidR="00F3524F" w:rsidRPr="0043467D">
        <w:rPr>
          <w:rFonts w:ascii="Times New Roman" w:hAnsi="Times New Roman" w:cs="Times New Roman"/>
        </w:rPr>
        <w:t>37</w:t>
      </w:r>
      <w:r w:rsidR="00F3524F">
        <w:rPr>
          <w:rFonts w:ascii="Times New Roman" w:hAnsi="Times New Roman" w:cs="Times New Roman"/>
        </w:rPr>
        <w:t>-</w:t>
      </w:r>
      <w:r w:rsidR="00F3524F" w:rsidRPr="0043467D">
        <w:rPr>
          <w:rFonts w:ascii="Times New Roman" w:hAnsi="Times New Roman" w:cs="Times New Roman"/>
        </w:rPr>
        <w:t>50</w:t>
      </w:r>
      <w:r w:rsidR="00F3524F">
        <w:rPr>
          <w:rFonts w:ascii="Times New Roman" w:hAnsi="Times New Roman" w:cs="Times New Roman"/>
        </w:rPr>
        <w:t xml:space="preserve">. London: </w:t>
      </w:r>
      <w:proofErr w:type="spellStart"/>
      <w:r w:rsidRPr="0043467D">
        <w:rPr>
          <w:rFonts w:ascii="Times New Roman" w:hAnsi="Times New Roman" w:cs="Times New Roman"/>
        </w:rPr>
        <w:t>Accordia</w:t>
      </w:r>
      <w:proofErr w:type="spellEnd"/>
      <w:r w:rsidRPr="0043467D">
        <w:rPr>
          <w:rFonts w:ascii="Times New Roman" w:hAnsi="Times New Roman" w:cs="Times New Roman"/>
        </w:rPr>
        <w:t xml:space="preserve"> Research Institute.</w:t>
      </w:r>
    </w:p>
    <w:p w:rsidR="00FC4B93" w:rsidRPr="0043467D" w:rsidRDefault="00FC4B93" w:rsidP="00FC4B93">
      <w:pPr>
        <w:ind w:left="709" w:hanging="709"/>
        <w:rPr>
          <w:rFonts w:ascii="Times New Roman" w:hAnsi="Times New Roman" w:cs="Times New Roman"/>
          <w:szCs w:val="24"/>
        </w:rPr>
      </w:pPr>
      <w:r w:rsidRPr="0043467D">
        <w:rPr>
          <w:rFonts w:ascii="Times New Roman" w:hAnsi="Times New Roman" w:cs="Times New Roman"/>
          <w:szCs w:val="24"/>
        </w:rPr>
        <w:t xml:space="preserve">Rubio, G. 2001. Review of </w:t>
      </w:r>
      <w:r w:rsidRPr="0043467D">
        <w:rPr>
          <w:rFonts w:ascii="Times New Roman" w:hAnsi="Times New Roman" w:cs="Times New Roman"/>
          <w:i/>
          <w:szCs w:val="24"/>
        </w:rPr>
        <w:t xml:space="preserve">Inanna and </w:t>
      </w:r>
      <w:proofErr w:type="spellStart"/>
      <w:r w:rsidRPr="0043467D">
        <w:rPr>
          <w:rFonts w:ascii="Times New Roman" w:hAnsi="Times New Roman" w:cs="Times New Roman"/>
          <w:i/>
          <w:szCs w:val="24"/>
        </w:rPr>
        <w:t>Dumuzi</w:t>
      </w:r>
      <w:proofErr w:type="spellEnd"/>
      <w:r w:rsidRPr="0043467D">
        <w:rPr>
          <w:rFonts w:ascii="Times New Roman" w:hAnsi="Times New Roman" w:cs="Times New Roman"/>
          <w:i/>
          <w:szCs w:val="24"/>
        </w:rPr>
        <w:t xml:space="preserve">: A Sumerian Love Story. Love Songs in Sumerian Literature </w:t>
      </w:r>
      <w:r w:rsidRPr="0043467D">
        <w:rPr>
          <w:rFonts w:ascii="Times New Roman" w:hAnsi="Times New Roman" w:cs="Times New Roman"/>
          <w:szCs w:val="24"/>
        </w:rPr>
        <w:t xml:space="preserve">by </w:t>
      </w:r>
      <w:proofErr w:type="spellStart"/>
      <w:r w:rsidRPr="0043467D">
        <w:rPr>
          <w:rFonts w:ascii="Times New Roman" w:hAnsi="Times New Roman" w:cs="Times New Roman"/>
          <w:szCs w:val="24"/>
        </w:rPr>
        <w:t>Yitschak</w:t>
      </w:r>
      <w:proofErr w:type="spellEnd"/>
      <w:r w:rsidRPr="0043467D">
        <w:rPr>
          <w:rFonts w:ascii="Times New Roman" w:hAnsi="Times New Roman" w:cs="Times New Roman"/>
          <w:szCs w:val="24"/>
        </w:rPr>
        <w:t xml:space="preserve"> </w:t>
      </w:r>
      <w:proofErr w:type="spellStart"/>
      <w:r w:rsidRPr="0043467D">
        <w:rPr>
          <w:rFonts w:ascii="Times New Roman" w:hAnsi="Times New Roman" w:cs="Times New Roman"/>
          <w:szCs w:val="24"/>
        </w:rPr>
        <w:t>Sefati</w:t>
      </w:r>
      <w:proofErr w:type="spellEnd"/>
      <w:r w:rsidRPr="0043467D">
        <w:rPr>
          <w:rFonts w:ascii="Times New Roman" w:hAnsi="Times New Roman" w:cs="Times New Roman"/>
          <w:szCs w:val="24"/>
        </w:rPr>
        <w:t xml:space="preserve">. </w:t>
      </w:r>
      <w:r w:rsidRPr="0043467D">
        <w:rPr>
          <w:rFonts w:ascii="Times New Roman" w:hAnsi="Times New Roman" w:cs="Times New Roman"/>
          <w:i/>
          <w:szCs w:val="24"/>
        </w:rPr>
        <w:t>Journal of the American Oriental Society</w:t>
      </w:r>
      <w:r w:rsidRPr="0043467D">
        <w:rPr>
          <w:rFonts w:ascii="Times New Roman" w:hAnsi="Times New Roman" w:cs="Times New Roman"/>
          <w:szCs w:val="24"/>
        </w:rPr>
        <w:t xml:space="preserve"> 121(2): 268-74.</w:t>
      </w:r>
    </w:p>
    <w:p w:rsidR="00FC4B93" w:rsidRPr="0043467D" w:rsidRDefault="00FC4B93" w:rsidP="00FC4B93">
      <w:pPr>
        <w:ind w:left="709" w:hanging="709"/>
        <w:rPr>
          <w:rFonts w:ascii="Times New Roman" w:hAnsi="Times New Roman" w:cs="Times New Roman"/>
          <w:szCs w:val="24"/>
        </w:rPr>
      </w:pPr>
      <w:proofErr w:type="spellStart"/>
      <w:r w:rsidRPr="0043467D">
        <w:rPr>
          <w:rFonts w:ascii="Times New Roman" w:hAnsi="Times New Roman" w:cs="Times New Roman"/>
          <w:szCs w:val="24"/>
        </w:rPr>
        <w:t>Tinney</w:t>
      </w:r>
      <w:proofErr w:type="spellEnd"/>
      <w:r w:rsidRPr="0043467D">
        <w:rPr>
          <w:rFonts w:ascii="Times New Roman" w:hAnsi="Times New Roman" w:cs="Times New Roman"/>
          <w:szCs w:val="24"/>
        </w:rPr>
        <w:t>, S. 1999. Ur-</w:t>
      </w:r>
      <w:proofErr w:type="spellStart"/>
      <w:r w:rsidRPr="0043467D">
        <w:rPr>
          <w:rFonts w:ascii="Times New Roman" w:hAnsi="Times New Roman" w:cs="Times New Roman"/>
          <w:szCs w:val="24"/>
        </w:rPr>
        <w:t>Namma</w:t>
      </w:r>
      <w:proofErr w:type="spellEnd"/>
      <w:r w:rsidRPr="0043467D">
        <w:rPr>
          <w:rFonts w:ascii="Times New Roman" w:hAnsi="Times New Roman" w:cs="Times New Roman"/>
          <w:szCs w:val="24"/>
        </w:rPr>
        <w:t xml:space="preserve"> the canal-digger: context, continuity and change in Sumerian literature. </w:t>
      </w:r>
      <w:r w:rsidRPr="0043467D">
        <w:rPr>
          <w:rFonts w:ascii="Times New Roman" w:hAnsi="Times New Roman" w:cs="Times New Roman"/>
          <w:i/>
          <w:szCs w:val="24"/>
        </w:rPr>
        <w:t>Journal of Cuneiform Studies</w:t>
      </w:r>
      <w:r w:rsidRPr="0043467D">
        <w:rPr>
          <w:rFonts w:ascii="Times New Roman" w:hAnsi="Times New Roman" w:cs="Times New Roman"/>
          <w:szCs w:val="24"/>
        </w:rPr>
        <w:t xml:space="preserve"> 51: 31-54.</w:t>
      </w:r>
    </w:p>
    <w:p w:rsidR="00C732EF" w:rsidRPr="0043467D" w:rsidRDefault="00C732EF" w:rsidP="00C732EF">
      <w:pPr>
        <w:spacing w:after="120"/>
        <w:ind w:left="709" w:hanging="709"/>
        <w:rPr>
          <w:rFonts w:ascii="Times New Roman" w:hAnsi="Times New Roman" w:cs="Times New Roman"/>
          <w:szCs w:val="24"/>
        </w:rPr>
      </w:pPr>
      <w:proofErr w:type="spellStart"/>
      <w:r w:rsidRPr="0043467D">
        <w:rPr>
          <w:rFonts w:ascii="Times New Roman" w:hAnsi="Times New Roman" w:cs="Times New Roman"/>
          <w:szCs w:val="24"/>
        </w:rPr>
        <w:t>Zimansky</w:t>
      </w:r>
      <w:proofErr w:type="spellEnd"/>
      <w:r w:rsidRPr="0043467D">
        <w:rPr>
          <w:rFonts w:ascii="Times New Roman" w:hAnsi="Times New Roman" w:cs="Times New Roman"/>
          <w:szCs w:val="24"/>
        </w:rPr>
        <w:t xml:space="preserve">, P. 2005. Archaeology and texts in the Ancient Near East. In S. Pollock and R. </w:t>
      </w:r>
      <w:proofErr w:type="spellStart"/>
      <w:r w:rsidRPr="0043467D">
        <w:rPr>
          <w:rFonts w:ascii="Times New Roman" w:hAnsi="Times New Roman" w:cs="Times New Roman"/>
          <w:szCs w:val="24"/>
        </w:rPr>
        <w:t>Bernbeck</w:t>
      </w:r>
      <w:proofErr w:type="spellEnd"/>
      <w:r w:rsidRPr="0043467D">
        <w:rPr>
          <w:rFonts w:ascii="Times New Roman" w:hAnsi="Times New Roman" w:cs="Times New Roman"/>
          <w:szCs w:val="24"/>
        </w:rPr>
        <w:t xml:space="preserve"> (</w:t>
      </w:r>
      <w:proofErr w:type="spellStart"/>
      <w:proofErr w:type="gramStart"/>
      <w:r w:rsidRPr="0043467D">
        <w:rPr>
          <w:rFonts w:ascii="Times New Roman" w:hAnsi="Times New Roman" w:cs="Times New Roman"/>
          <w:szCs w:val="24"/>
        </w:rPr>
        <w:t>eds</w:t>
      </w:r>
      <w:proofErr w:type="spellEnd"/>
      <w:proofErr w:type="gramEnd"/>
      <w:r w:rsidRPr="0043467D">
        <w:rPr>
          <w:rFonts w:ascii="Times New Roman" w:hAnsi="Times New Roman" w:cs="Times New Roman"/>
          <w:szCs w:val="24"/>
        </w:rPr>
        <w:t xml:space="preserve">) </w:t>
      </w:r>
      <w:r w:rsidRPr="0043467D">
        <w:rPr>
          <w:rFonts w:ascii="Times New Roman" w:hAnsi="Times New Roman" w:cs="Times New Roman"/>
          <w:i/>
          <w:szCs w:val="24"/>
        </w:rPr>
        <w:t>Archaeologies of the Middle East: Critical Perspectives</w:t>
      </w:r>
      <w:r w:rsidRPr="0043467D">
        <w:rPr>
          <w:rFonts w:ascii="Times New Roman" w:hAnsi="Times New Roman" w:cs="Times New Roman"/>
          <w:szCs w:val="24"/>
        </w:rPr>
        <w:t>. 308-26. Oxford: Blackwell Publishing.</w:t>
      </w:r>
    </w:p>
    <w:p w:rsidR="00C732EF" w:rsidRDefault="00C732EF" w:rsidP="00302285">
      <w:pPr>
        <w:spacing w:after="120"/>
        <w:ind w:left="709" w:hanging="709"/>
        <w:rPr>
          <w:lang w:val="en"/>
        </w:rPr>
      </w:pPr>
    </w:p>
    <w:p w:rsidR="00FC4B93" w:rsidRPr="00C732EF" w:rsidRDefault="00FC4B93" w:rsidP="00302285">
      <w:pPr>
        <w:spacing w:after="120"/>
        <w:ind w:left="709" w:hanging="709"/>
        <w:rPr>
          <w:lang w:val="en"/>
        </w:rPr>
      </w:pPr>
    </w:p>
    <w:sectPr w:rsidR="00FC4B93" w:rsidRPr="00C732E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de">
    <w:altName w:val="Code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2285"/>
    <w:rsid w:val="001130BF"/>
    <w:rsid w:val="00135142"/>
    <w:rsid w:val="001746F4"/>
    <w:rsid w:val="002501F0"/>
    <w:rsid w:val="00302285"/>
    <w:rsid w:val="00403F3B"/>
    <w:rsid w:val="0043467D"/>
    <w:rsid w:val="00523970"/>
    <w:rsid w:val="00874D23"/>
    <w:rsid w:val="00895076"/>
    <w:rsid w:val="008F7DEC"/>
    <w:rsid w:val="00C732EF"/>
    <w:rsid w:val="00C96E12"/>
    <w:rsid w:val="00DA376D"/>
    <w:rsid w:val="00DD00FE"/>
    <w:rsid w:val="00EA0AB9"/>
    <w:rsid w:val="00F3524F"/>
    <w:rsid w:val="00FC4B93"/>
    <w:rsid w:val="00FE17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CE3BC6"/>
  <w15:chartTrackingRefBased/>
  <w15:docId w15:val="{A022597A-319B-46FD-B350-B39EA0C7AD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mbria" w:eastAsiaTheme="minorHAnsi" w:hAnsi="Cambria" w:cstheme="minorBidi"/>
        <w:sz w:val="24"/>
        <w:szCs w:val="22"/>
        <w:lang w:val="en-GB" w:eastAsia="en-US" w:bidi="ar-SA"/>
      </w:rPr>
    </w:rPrDefault>
    <w:pPrDefault>
      <w:pPr>
        <w:spacing w:line="360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spacing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302285"/>
    <w:pPr>
      <w:autoSpaceDE w:val="0"/>
      <w:autoSpaceDN w:val="0"/>
      <w:adjustRightInd w:val="0"/>
      <w:spacing w:line="240" w:lineRule="auto"/>
    </w:pPr>
    <w:rPr>
      <w:rFonts w:ascii="Code" w:hAnsi="Code" w:cs="Code"/>
      <w:color w:val="000000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1</Pages>
  <Words>335</Words>
  <Characters>1915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6</cp:revision>
  <dcterms:created xsi:type="dcterms:W3CDTF">2019-02-05T11:30:00Z</dcterms:created>
  <dcterms:modified xsi:type="dcterms:W3CDTF">2019-02-05T15:48:00Z</dcterms:modified>
</cp:coreProperties>
</file>