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5A40B" w14:textId="51EDDB75" w:rsidR="00D72278" w:rsidRDefault="00D72278" w:rsidP="00B86A53">
      <w:pPr>
        <w:spacing w:line="480" w:lineRule="auto"/>
        <w:ind w:left="720"/>
        <w:rPr>
          <w:rFonts w:cstheme="minorHAnsi"/>
          <w:b/>
          <w:bCs/>
          <w:sz w:val="28"/>
          <w:szCs w:val="28"/>
          <w:u w:val="single"/>
        </w:rPr>
      </w:pPr>
      <w:r w:rsidRPr="00D64C96">
        <w:rPr>
          <w:rFonts w:cstheme="minorHAnsi"/>
          <w:b/>
          <w:bCs/>
          <w:sz w:val="28"/>
          <w:szCs w:val="28"/>
          <w:u w:val="single"/>
        </w:rPr>
        <w:t>‘A critical evaluation and the identification of next teaching and learning steps focusing on a case study of an individual learner or a group of learners, based on an observed critical incident.’</w:t>
      </w:r>
    </w:p>
    <w:p w14:paraId="703DB41F" w14:textId="25B92771" w:rsidR="00B86A53" w:rsidRPr="00B86A53" w:rsidRDefault="00B86A53" w:rsidP="00B86A53">
      <w:pPr>
        <w:spacing w:line="480" w:lineRule="auto"/>
        <w:ind w:left="720"/>
        <w:rPr>
          <w:rFonts w:cstheme="minorHAnsi"/>
          <w:sz w:val="20"/>
          <w:szCs w:val="20"/>
          <w:u w:val="single"/>
        </w:rPr>
      </w:pPr>
      <w:r w:rsidRPr="00B86A53">
        <w:rPr>
          <w:rFonts w:cstheme="minorHAnsi"/>
          <w:sz w:val="20"/>
          <w:szCs w:val="20"/>
          <w:u w:val="single"/>
        </w:rPr>
        <w:t>Word count: 3740</w:t>
      </w:r>
    </w:p>
    <w:p w14:paraId="776A681E" w14:textId="77777777" w:rsidR="00D72278" w:rsidRPr="00D64C96" w:rsidRDefault="00D72278" w:rsidP="008D394A">
      <w:pPr>
        <w:spacing w:line="480" w:lineRule="auto"/>
        <w:rPr>
          <w:rFonts w:cstheme="minorHAnsi"/>
          <w:sz w:val="28"/>
          <w:szCs w:val="28"/>
          <w:u w:val="single"/>
        </w:rPr>
      </w:pPr>
    </w:p>
    <w:p w14:paraId="5CE3A034" w14:textId="61F11983" w:rsidR="005A3EED" w:rsidRPr="00A11DAF" w:rsidRDefault="00EC0B54" w:rsidP="008818B4">
      <w:pPr>
        <w:spacing w:line="480" w:lineRule="auto"/>
        <w:rPr>
          <w:b/>
          <w:bCs/>
          <w:color w:val="ED7D31" w:themeColor="accent2"/>
          <w:sz w:val="24"/>
          <w:szCs w:val="24"/>
          <w:u w:val="single"/>
        </w:rPr>
      </w:pPr>
      <w:r w:rsidRPr="00736CDE">
        <w:rPr>
          <w:b/>
          <w:bCs/>
          <w:sz w:val="24"/>
          <w:szCs w:val="24"/>
          <w:u w:val="single"/>
        </w:rPr>
        <w:t xml:space="preserve">Aim, focus and understanding of </w:t>
      </w:r>
      <w:r w:rsidR="00AA0762" w:rsidRPr="00736CDE">
        <w:rPr>
          <w:b/>
          <w:bCs/>
          <w:sz w:val="24"/>
          <w:szCs w:val="24"/>
          <w:u w:val="single"/>
        </w:rPr>
        <w:t>critical incident</w:t>
      </w:r>
      <w:r w:rsidR="004F4784">
        <w:rPr>
          <w:b/>
          <w:bCs/>
          <w:sz w:val="24"/>
          <w:szCs w:val="24"/>
          <w:u w:val="single"/>
        </w:rPr>
        <w:t>.</w:t>
      </w:r>
    </w:p>
    <w:p w14:paraId="53587431" w14:textId="3002D947" w:rsidR="007764A4" w:rsidRDefault="007764A4" w:rsidP="008818B4">
      <w:pPr>
        <w:spacing w:line="480" w:lineRule="auto"/>
        <w:rPr>
          <w:sz w:val="24"/>
          <w:szCs w:val="24"/>
        </w:rPr>
      </w:pPr>
      <w:r w:rsidRPr="007764A4">
        <w:rPr>
          <w:sz w:val="24"/>
          <w:szCs w:val="24"/>
        </w:rPr>
        <w:t>An occurrence or circumstance that has important ramifications for a person, a group, or an organisation as a whole is referred to as a critical incident. The idea of cr</w:t>
      </w:r>
      <w:r w:rsidR="006B3D49">
        <w:rPr>
          <w:sz w:val="24"/>
          <w:szCs w:val="24"/>
        </w:rPr>
        <w:t xml:space="preserve">itical incidents </w:t>
      </w:r>
      <w:r w:rsidRPr="007764A4">
        <w:rPr>
          <w:sz w:val="24"/>
          <w:szCs w:val="24"/>
        </w:rPr>
        <w:t>was first propos</w:t>
      </w:r>
      <w:r w:rsidRPr="006D0B9F">
        <w:rPr>
          <w:sz w:val="24"/>
          <w:szCs w:val="24"/>
        </w:rPr>
        <w:t>ed by John C. Flanagan in 1954. He</w:t>
      </w:r>
      <w:r w:rsidRPr="007764A4">
        <w:rPr>
          <w:sz w:val="24"/>
          <w:szCs w:val="24"/>
        </w:rPr>
        <w:t xml:space="preserve"> defined critical incidents as those that stand out as being especially notew</w:t>
      </w:r>
      <w:r w:rsidRPr="003E09BB">
        <w:rPr>
          <w:sz w:val="24"/>
          <w:szCs w:val="24"/>
        </w:rPr>
        <w:t>orthy, instructional, or unforgettable.</w:t>
      </w:r>
      <w:r w:rsidR="00D040C6" w:rsidRPr="003E09BB">
        <w:rPr>
          <w:sz w:val="24"/>
          <w:szCs w:val="24"/>
        </w:rPr>
        <w:t xml:space="preserve"> </w:t>
      </w:r>
      <w:r w:rsidR="000A374E" w:rsidRPr="003E09BB">
        <w:rPr>
          <w:sz w:val="24"/>
          <w:szCs w:val="24"/>
        </w:rPr>
        <w:t>This idea is expanded upon in Tripps' 1993 study, which explores the</w:t>
      </w:r>
      <w:r w:rsidR="000A374E" w:rsidRPr="000A374E">
        <w:rPr>
          <w:sz w:val="24"/>
          <w:szCs w:val="24"/>
        </w:rPr>
        <w:t xml:space="preserve"> characteristics and consequences of critical episodes in organisational contexts. Tripps underlined that critical occurrences can have both positive and negative aspects, and they frequently present individuals and organisations with invaluable learning opportunities. These occurrences have the power to subvert preconceived notions, attitudes, and customs, encouraging introspection, adaptation, and development.</w:t>
      </w:r>
      <w:r w:rsidR="002D670C" w:rsidRPr="002D670C">
        <w:rPr>
          <w:sz w:val="24"/>
          <w:szCs w:val="24"/>
        </w:rPr>
        <w:t xml:space="preserve"> In summary, Tripps’ research on critical incidents contributes to our understanding of how these events impact individuals and </w:t>
      </w:r>
      <w:r w:rsidR="00F20D78" w:rsidRPr="002D670C">
        <w:rPr>
          <w:sz w:val="24"/>
          <w:szCs w:val="24"/>
        </w:rPr>
        <w:t>organisations</w:t>
      </w:r>
      <w:r w:rsidR="002D670C" w:rsidRPr="002D670C">
        <w:rPr>
          <w:sz w:val="24"/>
          <w:szCs w:val="24"/>
        </w:rPr>
        <w:t xml:space="preserve">, highlighting their role as catalysts for learning, growth, and adaptation. By acknowledging and </w:t>
      </w:r>
      <w:r w:rsidR="00F20D78" w:rsidRPr="002D670C">
        <w:rPr>
          <w:sz w:val="24"/>
          <w:szCs w:val="24"/>
        </w:rPr>
        <w:t>analysing</w:t>
      </w:r>
      <w:r w:rsidR="002D670C" w:rsidRPr="002D670C">
        <w:rPr>
          <w:sz w:val="24"/>
          <w:szCs w:val="24"/>
        </w:rPr>
        <w:t xml:space="preserve"> critical incidents, </w:t>
      </w:r>
      <w:r w:rsidR="00F20D78" w:rsidRPr="002D670C">
        <w:rPr>
          <w:sz w:val="24"/>
          <w:szCs w:val="24"/>
        </w:rPr>
        <w:t>organisations</w:t>
      </w:r>
      <w:r w:rsidR="002D670C" w:rsidRPr="002D670C">
        <w:rPr>
          <w:sz w:val="24"/>
          <w:szCs w:val="24"/>
        </w:rPr>
        <w:t xml:space="preserve"> can leverage these experiences to foster resilience, innovation, and continuous improvement.</w:t>
      </w:r>
    </w:p>
    <w:p w14:paraId="3C24D75A" w14:textId="0AA61722" w:rsidR="0007491D" w:rsidRDefault="00DD6979" w:rsidP="008466FB">
      <w:pPr>
        <w:spacing w:line="480" w:lineRule="auto"/>
        <w:ind w:firstLine="720"/>
        <w:rPr>
          <w:sz w:val="24"/>
          <w:szCs w:val="24"/>
        </w:rPr>
      </w:pPr>
      <w:r w:rsidRPr="00DD6979">
        <w:rPr>
          <w:sz w:val="24"/>
          <w:szCs w:val="24"/>
        </w:rPr>
        <w:t>The way that Tripp's CIT emphasises reflection and learning from particular experiences, empowering practitioners to improve their professional practice, is one of its main advantages. Studies like those co</w:t>
      </w:r>
      <w:r w:rsidRPr="00BA5CAE">
        <w:rPr>
          <w:sz w:val="24"/>
          <w:szCs w:val="24"/>
        </w:rPr>
        <w:t>nducted by Brooks and Wilson (2012), for exa</w:t>
      </w:r>
      <w:r w:rsidRPr="00DD6979">
        <w:rPr>
          <w:sz w:val="24"/>
          <w:szCs w:val="24"/>
        </w:rPr>
        <w:t xml:space="preserve">mple, </w:t>
      </w:r>
      <w:r w:rsidRPr="00DD6979">
        <w:rPr>
          <w:sz w:val="24"/>
          <w:szCs w:val="24"/>
        </w:rPr>
        <w:lastRenderedPageBreak/>
        <w:t>have demonstrated how CIT encourages educators to engage in deep reflection, which improves teaching tactics and classroom management practices.</w:t>
      </w:r>
    </w:p>
    <w:p w14:paraId="60104547" w14:textId="4AEF815F" w:rsidR="00336982" w:rsidRDefault="00336982" w:rsidP="008466FB">
      <w:pPr>
        <w:spacing w:line="480" w:lineRule="auto"/>
        <w:ind w:firstLine="720"/>
        <w:rPr>
          <w:sz w:val="24"/>
          <w:szCs w:val="24"/>
        </w:rPr>
      </w:pPr>
      <w:r w:rsidRPr="00336982">
        <w:rPr>
          <w:sz w:val="24"/>
          <w:szCs w:val="24"/>
        </w:rPr>
        <w:t>Nonetheless, some academics have criticised Tripp's CIT for relying too heavily on subjective interpretation and lacking clarity on what defines a "critical incident." According t</w:t>
      </w:r>
      <w:r w:rsidRPr="00920C3A">
        <w:rPr>
          <w:sz w:val="24"/>
          <w:szCs w:val="24"/>
        </w:rPr>
        <w:t xml:space="preserve">o </w:t>
      </w:r>
      <w:proofErr w:type="spellStart"/>
      <w:r w:rsidRPr="00920C3A">
        <w:rPr>
          <w:sz w:val="24"/>
          <w:szCs w:val="24"/>
        </w:rPr>
        <w:t>Calderhead</w:t>
      </w:r>
      <w:proofErr w:type="spellEnd"/>
      <w:r w:rsidRPr="00920C3A">
        <w:rPr>
          <w:sz w:val="24"/>
          <w:szCs w:val="24"/>
        </w:rPr>
        <w:t xml:space="preserve"> (1989), this</w:t>
      </w:r>
      <w:r w:rsidRPr="00336982">
        <w:rPr>
          <w:sz w:val="24"/>
          <w:szCs w:val="24"/>
        </w:rPr>
        <w:t xml:space="preserve"> ambiguity can make it less useful in real-world situations. He said that in the absence of precise standards, educators might find it difficult to recognise and evaluate crucial instances.</w:t>
      </w:r>
    </w:p>
    <w:p w14:paraId="29E3BE1D" w14:textId="72E33A18" w:rsidR="0041086C" w:rsidRDefault="00D5246F" w:rsidP="008466FB">
      <w:pPr>
        <w:spacing w:line="480" w:lineRule="auto"/>
        <w:ind w:firstLine="720"/>
        <w:rPr>
          <w:sz w:val="24"/>
          <w:szCs w:val="24"/>
        </w:rPr>
      </w:pPr>
      <w:r w:rsidRPr="00D5246F">
        <w:rPr>
          <w:sz w:val="24"/>
          <w:szCs w:val="24"/>
        </w:rPr>
        <w:t xml:space="preserve">Tripp's thesis has also been </w:t>
      </w:r>
      <w:r w:rsidR="004F4784">
        <w:rPr>
          <w:sz w:val="24"/>
          <w:szCs w:val="24"/>
        </w:rPr>
        <w:t>criticised</w:t>
      </w:r>
      <w:r w:rsidRPr="00D5246F">
        <w:rPr>
          <w:sz w:val="24"/>
          <w:szCs w:val="24"/>
        </w:rPr>
        <w:t xml:space="preserve"> for paying too little attention to the emotional aspects of significant situati</w:t>
      </w:r>
      <w:r w:rsidRPr="006A52F0">
        <w:rPr>
          <w:sz w:val="24"/>
          <w:szCs w:val="24"/>
        </w:rPr>
        <w:t>ons. Hatton and Smith's (1995) research</w:t>
      </w:r>
      <w:r w:rsidRPr="00D5246F">
        <w:rPr>
          <w:sz w:val="24"/>
          <w:szCs w:val="24"/>
        </w:rPr>
        <w:t xml:space="preserve"> highlight the significance of recognising and treating the emotional impact of these events on students and teachers, contending that emotional reactions can have a major impact on the learning process.</w:t>
      </w:r>
    </w:p>
    <w:p w14:paraId="4C1D121F" w14:textId="4DD283B0" w:rsidR="005A720F" w:rsidRDefault="005A720F" w:rsidP="008466FB">
      <w:pPr>
        <w:spacing w:line="480" w:lineRule="auto"/>
        <w:ind w:firstLine="720"/>
        <w:rPr>
          <w:sz w:val="24"/>
          <w:szCs w:val="24"/>
        </w:rPr>
      </w:pPr>
      <w:r w:rsidRPr="005A720F">
        <w:rPr>
          <w:sz w:val="24"/>
          <w:szCs w:val="24"/>
        </w:rPr>
        <w:t>To sum up, Tripp's Critical Incident Theory provides a useful framework for reflective practice in training and education, but it's important to take into account both its advantages and disadvantages. In order to create more robust and inclusive learning environments, educators can take use of the theory's advantages while resolving its disadvantages by incorporating insights from scholarly literature.</w:t>
      </w:r>
    </w:p>
    <w:p w14:paraId="3A857909" w14:textId="7424B023" w:rsidR="007764A4" w:rsidRDefault="00296FE6" w:rsidP="00B514AD">
      <w:pPr>
        <w:spacing w:line="480" w:lineRule="auto"/>
        <w:ind w:firstLine="720"/>
        <w:rPr>
          <w:sz w:val="24"/>
          <w:szCs w:val="24"/>
        </w:rPr>
      </w:pPr>
      <w:r w:rsidRPr="00296FE6">
        <w:rPr>
          <w:sz w:val="24"/>
          <w:szCs w:val="24"/>
        </w:rPr>
        <w:t xml:space="preserve">The critical event </w:t>
      </w:r>
      <w:r w:rsidR="00CB15B2">
        <w:rPr>
          <w:sz w:val="24"/>
          <w:szCs w:val="24"/>
        </w:rPr>
        <w:t>in relation</w:t>
      </w:r>
      <w:r w:rsidRPr="00296FE6">
        <w:rPr>
          <w:sz w:val="24"/>
          <w:szCs w:val="24"/>
        </w:rPr>
        <w:t xml:space="preserve"> to ability groups in the context of an English-medium school with 29 pupils of all genders and ages ranging from 7 to 8 strongly overlaps with Tripp's Critical event Theory (CIT). Tripp's framework aims to improve teaching practices and foster student learning by encouraging educators to focus on important events that occur inside learning contexts.</w:t>
      </w:r>
    </w:p>
    <w:p w14:paraId="3FA8D47F" w14:textId="2B0A72D0" w:rsidR="00E621C9" w:rsidRDefault="00E621C9" w:rsidP="00B514AD">
      <w:pPr>
        <w:spacing w:line="480" w:lineRule="auto"/>
        <w:ind w:firstLine="720"/>
        <w:rPr>
          <w:sz w:val="24"/>
          <w:szCs w:val="24"/>
        </w:rPr>
      </w:pPr>
      <w:r w:rsidRPr="00E621C9">
        <w:rPr>
          <w:sz w:val="24"/>
          <w:szCs w:val="24"/>
        </w:rPr>
        <w:t xml:space="preserve">First off, according to Tripp's CIT, moments that question accepted beliefs or conventions in the classroom are frequently included in the list of key incidents. Regarding </w:t>
      </w:r>
      <w:r w:rsidRPr="00E621C9">
        <w:rPr>
          <w:sz w:val="24"/>
          <w:szCs w:val="24"/>
        </w:rPr>
        <w:lastRenderedPageBreak/>
        <w:t>ability grouping, the crucial event could centre on noticing differences in student performance or realising the possible repercussions of dividing students according to perceived ability.</w:t>
      </w:r>
    </w:p>
    <w:p w14:paraId="60E3E389" w14:textId="4E4E0547" w:rsidR="00397D76" w:rsidRDefault="00397D76" w:rsidP="00B514AD">
      <w:pPr>
        <w:spacing w:line="480" w:lineRule="auto"/>
        <w:ind w:firstLine="720"/>
        <w:rPr>
          <w:sz w:val="24"/>
          <w:szCs w:val="24"/>
        </w:rPr>
      </w:pPr>
      <w:r w:rsidRPr="00397D76">
        <w:rPr>
          <w:sz w:val="24"/>
          <w:szCs w:val="24"/>
        </w:rPr>
        <w:t xml:space="preserve">Academic literature sheds light on the consequences of ability </w:t>
      </w:r>
      <w:r w:rsidR="00D6715E" w:rsidRPr="00397D76">
        <w:rPr>
          <w:sz w:val="24"/>
          <w:szCs w:val="24"/>
        </w:rPr>
        <w:t>categorisati</w:t>
      </w:r>
      <w:r w:rsidR="00D6715E" w:rsidRPr="00C870E4">
        <w:rPr>
          <w:sz w:val="24"/>
          <w:szCs w:val="24"/>
        </w:rPr>
        <w:t>on</w:t>
      </w:r>
      <w:r w:rsidRPr="00C870E4">
        <w:rPr>
          <w:sz w:val="24"/>
          <w:szCs w:val="24"/>
        </w:rPr>
        <w:t>. Hattie (2009), for example, addresses how ability grouping can worsen performance disparities and</w:t>
      </w:r>
      <w:r w:rsidRPr="00397D76">
        <w:rPr>
          <w:sz w:val="24"/>
          <w:szCs w:val="24"/>
        </w:rPr>
        <w:t xml:space="preserve"> sustain inequality since children who perform worse may be given less credit and have less access to intensive teaching. This is consistent with Tripp's focus on identifying experiences that have the capacity to alter since it forces educators to critically examine their methods when they become aware of these unfavourable effects.</w:t>
      </w:r>
    </w:p>
    <w:p w14:paraId="7B909C35" w14:textId="03D16278" w:rsidR="00A3175E" w:rsidRDefault="00A3175E" w:rsidP="00B514AD">
      <w:pPr>
        <w:spacing w:line="480" w:lineRule="auto"/>
        <w:ind w:firstLine="720"/>
        <w:rPr>
          <w:sz w:val="24"/>
          <w:szCs w:val="24"/>
        </w:rPr>
      </w:pPr>
      <w:r w:rsidRPr="00A3175E">
        <w:rPr>
          <w:sz w:val="24"/>
          <w:szCs w:val="24"/>
        </w:rPr>
        <w:t xml:space="preserve">In order to make sense of crucial situations, Tripp's CIT also pushes instructors to have in-depth conversations and reflections. Within the framework of ability grouping, this could entail teacher conversations regarding the efficiency and fairness of these methods. </w:t>
      </w:r>
    </w:p>
    <w:p w14:paraId="598508C0" w14:textId="7362851E" w:rsidR="00A3175E" w:rsidRDefault="00FF0A34" w:rsidP="00B514AD">
      <w:pPr>
        <w:spacing w:line="480" w:lineRule="auto"/>
        <w:ind w:firstLine="720"/>
        <w:rPr>
          <w:sz w:val="24"/>
          <w:szCs w:val="24"/>
        </w:rPr>
      </w:pPr>
      <w:r w:rsidRPr="00FF0A34">
        <w:rPr>
          <w:sz w:val="24"/>
          <w:szCs w:val="24"/>
        </w:rPr>
        <w:t>Tripp's idea emphasises how crucial it is to use cr</w:t>
      </w:r>
      <w:r w:rsidR="00C04D83">
        <w:rPr>
          <w:sz w:val="24"/>
          <w:szCs w:val="24"/>
        </w:rPr>
        <w:t xml:space="preserve">itical incidents </w:t>
      </w:r>
      <w:r w:rsidRPr="00FF0A34">
        <w:rPr>
          <w:sz w:val="24"/>
          <w:szCs w:val="24"/>
        </w:rPr>
        <w:t xml:space="preserve">as chances for development and learning. When it comes to ability grouping, teachers might take this incident as a chance to reevaluate their methods and look into different ways to fulfil the different needs of every </w:t>
      </w:r>
      <w:r w:rsidRPr="00C04D83">
        <w:rPr>
          <w:sz w:val="24"/>
          <w:szCs w:val="24"/>
        </w:rPr>
        <w:t>student. Tomlinson's (2001) resear</w:t>
      </w:r>
      <w:r w:rsidRPr="00FF0A34">
        <w:rPr>
          <w:sz w:val="24"/>
          <w:szCs w:val="24"/>
        </w:rPr>
        <w:t>ch highlights the need of tailored instruction in fostering inclusivity and academic achievement for students with different skill levels.</w:t>
      </w:r>
    </w:p>
    <w:p w14:paraId="1CF2E1A4" w14:textId="05BC3899" w:rsidR="00736CDE" w:rsidRDefault="004A1483" w:rsidP="00B86B1D">
      <w:pPr>
        <w:spacing w:line="480" w:lineRule="auto"/>
        <w:ind w:firstLine="720"/>
        <w:rPr>
          <w:sz w:val="24"/>
          <w:szCs w:val="24"/>
        </w:rPr>
      </w:pPr>
      <w:r w:rsidRPr="004A1483">
        <w:rPr>
          <w:sz w:val="24"/>
          <w:szCs w:val="24"/>
        </w:rPr>
        <w:t>Overall, by encouraging educators to think, discuss, and take action, the critical incident concerning ability grouping in the English-medium school is consistent with Tripp's Critical Incident Theory. Teachers can gain a deeper grasp of the effects of ability grouping and strive towards more equitable and efficient teaching techniques by reading scholarly literature on the subject</w:t>
      </w:r>
      <w:r w:rsidR="00E671B9">
        <w:rPr>
          <w:sz w:val="24"/>
          <w:szCs w:val="24"/>
        </w:rPr>
        <w:t>.</w:t>
      </w:r>
    </w:p>
    <w:p w14:paraId="004E3762" w14:textId="77777777" w:rsidR="00B86B1D" w:rsidRPr="00B86B1D" w:rsidRDefault="00B86B1D" w:rsidP="00B86B1D">
      <w:pPr>
        <w:spacing w:line="480" w:lineRule="auto"/>
        <w:ind w:firstLine="720"/>
        <w:rPr>
          <w:sz w:val="24"/>
          <w:szCs w:val="24"/>
        </w:rPr>
      </w:pPr>
    </w:p>
    <w:p w14:paraId="21E4F5A0" w14:textId="75C80C48" w:rsidR="000B40C0" w:rsidRPr="00117BBE" w:rsidRDefault="001473C3" w:rsidP="008D394A">
      <w:pPr>
        <w:spacing w:line="480" w:lineRule="auto"/>
        <w:rPr>
          <w:rFonts w:hAnsi="Calibri"/>
          <w:b/>
          <w:bCs/>
          <w:color w:val="1A1A1A" w:themeColor="background1" w:themeShade="1A"/>
          <w:kern w:val="24"/>
          <w:sz w:val="24"/>
          <w:szCs w:val="24"/>
          <w:u w:val="single"/>
          <w14:ligatures w14:val="none"/>
        </w:rPr>
      </w:pPr>
      <w:r w:rsidRPr="00117BBE">
        <w:rPr>
          <w:rFonts w:hAnsi="Calibri"/>
          <w:b/>
          <w:bCs/>
          <w:color w:val="1A1A1A" w:themeColor="background1" w:themeShade="1A"/>
          <w:kern w:val="24"/>
          <w:sz w:val="24"/>
          <w:szCs w:val="24"/>
          <w:u w:val="single"/>
          <w14:ligatures w14:val="none"/>
        </w:rPr>
        <w:lastRenderedPageBreak/>
        <w:t>Overview of relevant literature</w:t>
      </w:r>
      <w:r w:rsidR="00117BBE" w:rsidRPr="00117BBE">
        <w:rPr>
          <w:rFonts w:hAnsi="Calibri"/>
          <w:b/>
          <w:bCs/>
          <w:color w:val="1A1A1A" w:themeColor="background1" w:themeShade="1A"/>
          <w:kern w:val="24"/>
          <w:sz w:val="24"/>
          <w:szCs w:val="24"/>
          <w:u w:val="single"/>
          <w14:ligatures w14:val="none"/>
        </w:rPr>
        <w:t>.</w:t>
      </w:r>
    </w:p>
    <w:p w14:paraId="5C64FD9D" w14:textId="4DC93C42" w:rsidR="000B40C0" w:rsidRDefault="00F774F0" w:rsidP="008D394A">
      <w:pPr>
        <w:spacing w:line="480" w:lineRule="auto"/>
        <w:rPr>
          <w:rFonts w:hAnsi="Calibri"/>
          <w:color w:val="1A1A1A" w:themeColor="background1" w:themeShade="1A"/>
          <w:kern w:val="24"/>
          <w:sz w:val="24"/>
          <w:szCs w:val="24"/>
          <w14:ligatures w14:val="none"/>
        </w:rPr>
      </w:pPr>
      <w:r w:rsidRPr="00F774F0">
        <w:rPr>
          <w:rFonts w:hAnsi="Calibri"/>
          <w:color w:val="1A1A1A" w:themeColor="background1" w:themeShade="1A"/>
          <w:kern w:val="24"/>
          <w:sz w:val="24"/>
          <w:szCs w:val="24"/>
          <w14:ligatures w14:val="none"/>
        </w:rPr>
        <w:t>The research on ability grouping provides complex insights into how it affects social dynamics in classrooms as well as student achievement. A thorough review of the field's researc</w:t>
      </w:r>
      <w:r w:rsidRPr="009F5A1D">
        <w:rPr>
          <w:rFonts w:hAnsi="Calibri"/>
          <w:color w:val="1A1A1A" w:themeColor="background1" w:themeShade="1A"/>
          <w:kern w:val="24"/>
          <w:sz w:val="24"/>
          <w:szCs w:val="24"/>
          <w14:ligatures w14:val="none"/>
        </w:rPr>
        <w:t>h is given by Hattie's (2009) meta-analy</w:t>
      </w:r>
      <w:r w:rsidRPr="00F774F0">
        <w:rPr>
          <w:rFonts w:hAnsi="Calibri"/>
          <w:color w:val="1A1A1A" w:themeColor="background1" w:themeShade="1A"/>
          <w:kern w:val="24"/>
          <w:sz w:val="24"/>
          <w:szCs w:val="24"/>
          <w14:ligatures w14:val="none"/>
        </w:rPr>
        <w:t>sis, which also presents conflicting results about the usefulness of ability grouping. While some research points to modest advantages for high achievers, other studies show negative consequences for those who perform worse, possibly leading to lower expectations and less access to challenging education. This synthesis emphasises how crucial it is to take into account the various needs and experiences of students when putting ability grouping procedures into practice.</w:t>
      </w:r>
    </w:p>
    <w:p w14:paraId="24BD96F0" w14:textId="6453C52D" w:rsidR="006A217E" w:rsidRDefault="004A1240" w:rsidP="008D394A">
      <w:pPr>
        <w:spacing w:line="480" w:lineRule="auto"/>
        <w:rPr>
          <w:rFonts w:hAnsi="Calibri"/>
          <w:color w:val="1A1A1A" w:themeColor="background1" w:themeShade="1A"/>
          <w:kern w:val="24"/>
          <w:sz w:val="24"/>
          <w:szCs w:val="24"/>
          <w14:ligatures w14:val="none"/>
        </w:rPr>
      </w:pPr>
      <w:r w:rsidRPr="004A1240">
        <w:rPr>
          <w:rFonts w:hAnsi="Calibri"/>
          <w:color w:val="1A1A1A" w:themeColor="background1" w:themeShade="1A"/>
          <w:kern w:val="24"/>
          <w:sz w:val="24"/>
          <w:szCs w:val="24"/>
          <w14:ligatures w14:val="none"/>
        </w:rPr>
        <w:t xml:space="preserve">In addition, researchers like </w:t>
      </w:r>
      <w:r w:rsidRPr="00512989">
        <w:rPr>
          <w:rFonts w:hAnsi="Calibri"/>
          <w:color w:val="1A1A1A" w:themeColor="background1" w:themeShade="1A"/>
          <w:kern w:val="24"/>
          <w:sz w:val="24"/>
          <w:szCs w:val="24"/>
          <w14:ligatures w14:val="none"/>
        </w:rPr>
        <w:t>Hallinan and Sorenson (1983)</w:t>
      </w:r>
      <w:r w:rsidRPr="004A1240">
        <w:rPr>
          <w:rFonts w:hAnsi="Calibri"/>
          <w:color w:val="1A1A1A" w:themeColor="background1" w:themeShade="1A"/>
          <w:kern w:val="24"/>
          <w:sz w:val="24"/>
          <w:szCs w:val="24"/>
          <w14:ligatures w14:val="none"/>
        </w:rPr>
        <w:t xml:space="preserve"> explore the sociocultural effects of ability grouping, highlighting how it influences students' interactions with peers and their own self-concept. Their study sheds light on the ways in which ability grouping might uphold social hierarchies and sustain disparities in terms of ethnicity, socioeconomic class, and other overlapping variables. Teachers can place the critical incident into a framework of social justice and equity by critically analysing the interactions between ability grouping and larger societal factors. This approach is consistent with Tripp's call for transformative thought and action.</w:t>
      </w:r>
    </w:p>
    <w:p w14:paraId="4C09C5A0" w14:textId="671A6330" w:rsidR="0022263E" w:rsidRDefault="00EA4282" w:rsidP="008D394A">
      <w:pPr>
        <w:spacing w:line="480" w:lineRule="auto"/>
        <w:rPr>
          <w:rFonts w:hAnsi="Calibri"/>
          <w:color w:val="1A1A1A" w:themeColor="background1" w:themeShade="1A"/>
          <w:kern w:val="24"/>
          <w:sz w:val="24"/>
          <w:szCs w:val="24"/>
          <w14:ligatures w14:val="none"/>
        </w:rPr>
      </w:pPr>
      <w:r w:rsidRPr="00EA4282">
        <w:rPr>
          <w:rFonts w:hAnsi="Calibri"/>
          <w:color w:val="1A1A1A" w:themeColor="background1" w:themeShade="1A"/>
          <w:kern w:val="24"/>
          <w:sz w:val="24"/>
          <w:szCs w:val="24"/>
          <w14:ligatures w14:val="none"/>
        </w:rPr>
        <w:t>On the other hand, the literature presents differing viewpoints regarding the moral implications and effectiveness of ability grouping. Advocates contend that assigning students to groups according to their academic standings facilitates focused ins</w:t>
      </w:r>
      <w:r w:rsidRPr="00B939E9">
        <w:rPr>
          <w:rFonts w:hAnsi="Calibri"/>
          <w:color w:val="1A1A1A" w:themeColor="background1" w:themeShade="1A"/>
          <w:kern w:val="24"/>
          <w:sz w:val="24"/>
          <w:szCs w:val="24"/>
          <w14:ligatures w14:val="none"/>
        </w:rPr>
        <w:t>truction and differentiation, which in turn fosters personalised learning opportunities (</w:t>
      </w:r>
      <w:proofErr w:type="spellStart"/>
      <w:r w:rsidRPr="00B939E9">
        <w:rPr>
          <w:rFonts w:hAnsi="Calibri"/>
          <w:color w:val="1A1A1A" w:themeColor="background1" w:themeShade="1A"/>
          <w:kern w:val="24"/>
          <w:sz w:val="24"/>
          <w:szCs w:val="24"/>
          <w14:ligatures w14:val="none"/>
        </w:rPr>
        <w:t>Slavin</w:t>
      </w:r>
      <w:proofErr w:type="spellEnd"/>
      <w:r w:rsidRPr="00B939E9">
        <w:rPr>
          <w:rFonts w:hAnsi="Calibri"/>
          <w:color w:val="1A1A1A" w:themeColor="background1" w:themeShade="1A"/>
          <w:kern w:val="24"/>
          <w:sz w:val="24"/>
          <w:szCs w:val="24"/>
          <w14:ligatures w14:val="none"/>
        </w:rPr>
        <w:t>, 1990). Th</w:t>
      </w:r>
      <w:r w:rsidRPr="00EA4282">
        <w:rPr>
          <w:rFonts w:hAnsi="Calibri"/>
          <w:color w:val="1A1A1A" w:themeColor="background1" w:themeShade="1A"/>
          <w:kern w:val="24"/>
          <w:sz w:val="24"/>
          <w:szCs w:val="24"/>
          <w14:ligatures w14:val="none"/>
        </w:rPr>
        <w:t xml:space="preserve">ey argue that ability grouping can help teachers effectively adapt their education to the demands of varied learners by reducing the detrimental impacts of accomplishment. This </w:t>
      </w:r>
      <w:r w:rsidRPr="00EA4282">
        <w:rPr>
          <w:rFonts w:hAnsi="Calibri"/>
          <w:color w:val="1A1A1A" w:themeColor="background1" w:themeShade="1A"/>
          <w:kern w:val="24"/>
          <w:sz w:val="24"/>
          <w:szCs w:val="24"/>
          <w14:ligatures w14:val="none"/>
        </w:rPr>
        <w:lastRenderedPageBreak/>
        <w:t>viewpoint aligns with Tripp's emphasis on using key episodes as chances for professional development</w:t>
      </w:r>
      <w:r w:rsidR="00B10BF6">
        <w:rPr>
          <w:rFonts w:hAnsi="Calibri"/>
          <w:color w:val="1A1A1A" w:themeColor="background1" w:themeShade="1A"/>
          <w:kern w:val="24"/>
          <w:sz w:val="24"/>
          <w:szCs w:val="24"/>
          <w14:ligatures w14:val="none"/>
        </w:rPr>
        <w:t>.</w:t>
      </w:r>
    </w:p>
    <w:p w14:paraId="50CD8415" w14:textId="68758739" w:rsidR="00EA4282" w:rsidRDefault="00E645FD" w:rsidP="008D394A">
      <w:pPr>
        <w:spacing w:line="480" w:lineRule="auto"/>
        <w:rPr>
          <w:rFonts w:hAnsi="Calibri"/>
          <w:color w:val="1A1A1A" w:themeColor="background1" w:themeShade="1A"/>
          <w:kern w:val="24"/>
          <w:sz w:val="24"/>
          <w:szCs w:val="24"/>
          <w14:ligatures w14:val="none"/>
        </w:rPr>
      </w:pPr>
      <w:r w:rsidRPr="00E645FD">
        <w:rPr>
          <w:rFonts w:hAnsi="Calibri"/>
          <w:color w:val="1A1A1A" w:themeColor="background1" w:themeShade="1A"/>
          <w:kern w:val="24"/>
          <w:sz w:val="24"/>
          <w:szCs w:val="24"/>
          <w14:ligatures w14:val="none"/>
        </w:rPr>
        <w:t>However, opponents of ability grouping advise against its propensity to make disparities worse and sustain structural inequities in educational institutions. As a more equitable option, differentiated instruction is supported b</w:t>
      </w:r>
      <w:r w:rsidRPr="00A334DB">
        <w:rPr>
          <w:rFonts w:hAnsi="Calibri"/>
          <w:color w:val="1A1A1A" w:themeColor="background1" w:themeShade="1A"/>
          <w:kern w:val="24"/>
          <w:sz w:val="24"/>
          <w:szCs w:val="24"/>
          <w14:ligatures w14:val="none"/>
        </w:rPr>
        <w:t>y Tomlinson (2001),</w:t>
      </w:r>
      <w:r w:rsidRPr="00E645FD">
        <w:rPr>
          <w:rFonts w:hAnsi="Calibri"/>
          <w:color w:val="1A1A1A" w:themeColor="background1" w:themeShade="1A"/>
          <w:kern w:val="24"/>
          <w:sz w:val="24"/>
          <w:szCs w:val="24"/>
          <w14:ligatures w14:val="none"/>
        </w:rPr>
        <w:t xml:space="preserve"> who highlights the significance of giving all children access to demanding and pertinent learning opportunities. Differentiated instruction aims to create inclusive classrooms where all students can succeed academically and socially by taking into account variances in learning styles, interests, and readiness levels.</w:t>
      </w:r>
    </w:p>
    <w:p w14:paraId="26F11DD7" w14:textId="40F8C891" w:rsidR="009C2C52" w:rsidRDefault="004178C0" w:rsidP="008D394A">
      <w:pPr>
        <w:spacing w:line="480" w:lineRule="auto"/>
        <w:rPr>
          <w:rFonts w:hAnsi="Calibri"/>
          <w:color w:val="1A1A1A" w:themeColor="background1" w:themeShade="1A"/>
          <w:kern w:val="24"/>
          <w:sz w:val="24"/>
          <w:szCs w:val="24"/>
          <w14:ligatures w14:val="none"/>
        </w:rPr>
      </w:pPr>
      <w:r w:rsidRPr="004178C0">
        <w:rPr>
          <w:rFonts w:hAnsi="Calibri"/>
          <w:color w:val="1A1A1A" w:themeColor="background1" w:themeShade="1A"/>
          <w:kern w:val="24"/>
          <w:sz w:val="24"/>
          <w:szCs w:val="24"/>
          <w14:ligatures w14:val="none"/>
        </w:rPr>
        <w:t xml:space="preserve">Furthermore, </w:t>
      </w:r>
      <w:r w:rsidRPr="002367D7">
        <w:rPr>
          <w:rFonts w:hAnsi="Calibri"/>
          <w:color w:val="1A1A1A" w:themeColor="background1" w:themeShade="1A"/>
          <w:kern w:val="24"/>
          <w:sz w:val="24"/>
          <w:szCs w:val="24"/>
          <w14:ligatures w14:val="none"/>
        </w:rPr>
        <w:t>Hatton and Smith's (1995) em</w:t>
      </w:r>
      <w:r w:rsidRPr="004178C0">
        <w:rPr>
          <w:rFonts w:hAnsi="Calibri"/>
          <w:color w:val="1A1A1A" w:themeColor="background1" w:themeShade="1A"/>
          <w:kern w:val="24"/>
          <w:sz w:val="24"/>
          <w:szCs w:val="24"/>
          <w14:ligatures w14:val="none"/>
        </w:rPr>
        <w:t xml:space="preserve">phasis on the emotional aspects of ability </w:t>
      </w:r>
      <w:r w:rsidR="00FE474A" w:rsidRPr="004178C0">
        <w:rPr>
          <w:rFonts w:hAnsi="Calibri"/>
          <w:color w:val="1A1A1A" w:themeColor="background1" w:themeShade="1A"/>
          <w:kern w:val="24"/>
          <w:sz w:val="24"/>
          <w:szCs w:val="24"/>
          <w14:ligatures w14:val="none"/>
        </w:rPr>
        <w:t>categorisation</w:t>
      </w:r>
      <w:r w:rsidRPr="004178C0">
        <w:rPr>
          <w:rFonts w:hAnsi="Calibri"/>
          <w:color w:val="1A1A1A" w:themeColor="background1" w:themeShade="1A"/>
          <w:kern w:val="24"/>
          <w:sz w:val="24"/>
          <w:szCs w:val="24"/>
          <w14:ligatures w14:val="none"/>
        </w:rPr>
        <w:t xml:space="preserve"> emphasises the need of considering them. The significant effects of ability grouping on students' motivation, sense of self-worth, and sense of community in the classroom are highlighted by their research. Higher achievers may feel more isolated and disengaged from their studies, which exacerbates the inequities that are maintained by ability grouping techniques. This emotional component complicates the crucial episode further and forces educators to take into account the social and affective aspects of their judgements about instruction in addition to the academic ones.</w:t>
      </w:r>
    </w:p>
    <w:p w14:paraId="59D0E186" w14:textId="09F5B380" w:rsidR="004178C0" w:rsidRDefault="00824448" w:rsidP="008D394A">
      <w:pPr>
        <w:spacing w:line="480" w:lineRule="auto"/>
        <w:rPr>
          <w:rFonts w:hAnsi="Calibri"/>
          <w:color w:val="1A1A1A" w:themeColor="background1" w:themeShade="1A"/>
          <w:kern w:val="24"/>
          <w:sz w:val="24"/>
          <w:szCs w:val="24"/>
          <w14:ligatures w14:val="none"/>
        </w:rPr>
      </w:pPr>
      <w:r w:rsidRPr="00824448">
        <w:rPr>
          <w:rFonts w:hAnsi="Calibri"/>
          <w:color w:val="1A1A1A" w:themeColor="background1" w:themeShade="1A"/>
          <w:kern w:val="24"/>
          <w:sz w:val="24"/>
          <w:szCs w:val="24"/>
          <w14:ligatures w14:val="none"/>
        </w:rPr>
        <w:t xml:space="preserve">Teachers must critically assess the effects of ability grouping in their particular situations in light of these differing viewpoints, using knowledge from scholarly literature and theoretical frameworks like as Tripp's CIT. Through the integration of theoretical frameworks, empirical studies, and pragmatic factors, educators can </w:t>
      </w:r>
      <w:r w:rsidR="00F50E25">
        <w:rPr>
          <w:rFonts w:hAnsi="Calibri"/>
          <w:color w:val="1A1A1A" w:themeColor="background1" w:themeShade="1A"/>
          <w:kern w:val="24"/>
          <w:sz w:val="24"/>
          <w:szCs w:val="24"/>
          <w14:ligatures w14:val="none"/>
        </w:rPr>
        <w:t>understand all affects</w:t>
      </w:r>
      <w:r w:rsidRPr="00824448">
        <w:rPr>
          <w:rFonts w:hAnsi="Calibri"/>
          <w:color w:val="1A1A1A" w:themeColor="background1" w:themeShade="1A"/>
          <w:kern w:val="24"/>
          <w:sz w:val="24"/>
          <w:szCs w:val="24"/>
          <w14:ligatures w14:val="none"/>
        </w:rPr>
        <w:t xml:space="preserve"> of ability grouping. This all-encompassing strategy is consistent with Tripp's idea of reflective practice acting as a catalyst for revolutionary change in educational environments</w:t>
      </w:r>
      <w:r w:rsidR="00445F3F">
        <w:rPr>
          <w:rFonts w:hAnsi="Calibri"/>
          <w:color w:val="1A1A1A" w:themeColor="background1" w:themeShade="1A"/>
          <w:kern w:val="24"/>
          <w:sz w:val="24"/>
          <w:szCs w:val="24"/>
          <w14:ligatures w14:val="none"/>
        </w:rPr>
        <w:t>.</w:t>
      </w:r>
    </w:p>
    <w:p w14:paraId="3D23A087" w14:textId="77777777" w:rsidR="00DE46AC" w:rsidRDefault="00DE46AC" w:rsidP="008D394A">
      <w:pPr>
        <w:spacing w:line="480" w:lineRule="auto"/>
        <w:rPr>
          <w:rFonts w:hAnsi="Calibri"/>
          <w:color w:val="1A1A1A" w:themeColor="background1" w:themeShade="1A"/>
          <w:kern w:val="24"/>
          <w:sz w:val="24"/>
          <w:szCs w:val="24"/>
          <w14:ligatures w14:val="none"/>
        </w:rPr>
      </w:pPr>
    </w:p>
    <w:p w14:paraId="0A7D93B8" w14:textId="3943CF4D" w:rsidR="00DE46AC" w:rsidRDefault="00DE46AC" w:rsidP="008D394A">
      <w:pPr>
        <w:spacing w:line="480" w:lineRule="auto"/>
        <w:rPr>
          <w:rFonts w:hAnsi="Calibri"/>
          <w:i/>
          <w:iCs/>
          <w:color w:val="1A1A1A" w:themeColor="background1" w:themeShade="1A"/>
          <w:kern w:val="24"/>
          <w:sz w:val="24"/>
          <w:szCs w:val="24"/>
          <w:u w:val="single"/>
          <w14:ligatures w14:val="none"/>
        </w:rPr>
      </w:pPr>
      <w:r w:rsidRPr="006A21CD">
        <w:rPr>
          <w:rFonts w:hAnsi="Calibri"/>
          <w:i/>
          <w:iCs/>
          <w:color w:val="1A1A1A" w:themeColor="background1" w:themeShade="1A"/>
          <w:kern w:val="24"/>
          <w:sz w:val="24"/>
          <w:szCs w:val="24"/>
          <w:u w:val="single"/>
          <w14:ligatures w14:val="none"/>
        </w:rPr>
        <w:lastRenderedPageBreak/>
        <w:t>Ab</w:t>
      </w:r>
      <w:r w:rsidR="006A21CD" w:rsidRPr="006A21CD">
        <w:rPr>
          <w:rFonts w:hAnsi="Calibri"/>
          <w:i/>
          <w:iCs/>
          <w:color w:val="1A1A1A" w:themeColor="background1" w:themeShade="1A"/>
          <w:kern w:val="24"/>
          <w:sz w:val="24"/>
          <w:szCs w:val="24"/>
          <w:u w:val="single"/>
          <w14:ligatures w14:val="none"/>
        </w:rPr>
        <w:t xml:space="preserve">ility grouping within educational settings. </w:t>
      </w:r>
    </w:p>
    <w:p w14:paraId="2819EDA1" w14:textId="14EE6A28" w:rsidR="00635008" w:rsidRDefault="00635008" w:rsidP="008D394A">
      <w:pPr>
        <w:spacing w:line="480" w:lineRule="auto"/>
        <w:rPr>
          <w:rFonts w:hAnsi="Calibri"/>
          <w:color w:val="1A1A1A" w:themeColor="background1" w:themeShade="1A"/>
          <w:kern w:val="24"/>
          <w:sz w:val="24"/>
          <w:szCs w:val="24"/>
          <w14:ligatures w14:val="none"/>
        </w:rPr>
      </w:pPr>
      <w:r w:rsidRPr="00635008">
        <w:rPr>
          <w:rFonts w:hAnsi="Calibri"/>
          <w:color w:val="1A1A1A" w:themeColor="background1" w:themeShade="1A"/>
          <w:kern w:val="24"/>
          <w:sz w:val="24"/>
          <w:szCs w:val="24"/>
          <w14:ligatures w14:val="none"/>
        </w:rPr>
        <w:t xml:space="preserve">Teachers can customise instruction to meet the unique needs of each group by using ability grouping. This </w:t>
      </w:r>
      <w:r w:rsidRPr="00D3498E">
        <w:rPr>
          <w:rFonts w:hAnsi="Calibri"/>
          <w:color w:val="1A1A1A" w:themeColor="background1" w:themeShade="1A"/>
          <w:kern w:val="24"/>
          <w:sz w:val="24"/>
          <w:szCs w:val="24"/>
          <w14:ligatures w14:val="none"/>
        </w:rPr>
        <w:t>may result in more focused teaching methods and improved student academic performance</w:t>
      </w:r>
      <w:r w:rsidR="00797B06">
        <w:rPr>
          <w:rFonts w:hAnsi="Calibri"/>
          <w:color w:val="1A1A1A" w:themeColor="background1" w:themeShade="1A"/>
          <w:kern w:val="24"/>
          <w:sz w:val="24"/>
          <w:szCs w:val="24"/>
          <w14:ligatures w14:val="none"/>
        </w:rPr>
        <w:t xml:space="preserve"> (</w:t>
      </w:r>
      <w:proofErr w:type="spellStart"/>
      <w:r w:rsidRPr="00D3498E">
        <w:rPr>
          <w:rFonts w:hAnsi="Calibri"/>
          <w:color w:val="1A1A1A" w:themeColor="background1" w:themeShade="1A"/>
          <w:kern w:val="24"/>
          <w:sz w:val="24"/>
          <w:szCs w:val="24"/>
          <w14:ligatures w14:val="none"/>
        </w:rPr>
        <w:t>Hallinan</w:t>
      </w:r>
      <w:proofErr w:type="spellEnd"/>
      <w:r w:rsidRPr="00D3498E">
        <w:rPr>
          <w:rFonts w:hAnsi="Calibri"/>
          <w:color w:val="1A1A1A" w:themeColor="background1" w:themeShade="1A"/>
          <w:kern w:val="24"/>
          <w:sz w:val="24"/>
          <w:szCs w:val="24"/>
          <w14:ligatures w14:val="none"/>
        </w:rPr>
        <w:t xml:space="preserve">, 1994). </w:t>
      </w:r>
      <w:r w:rsidR="00400A67" w:rsidRPr="00D3498E">
        <w:rPr>
          <w:rFonts w:hAnsi="Calibri"/>
          <w:color w:val="1A1A1A" w:themeColor="background1" w:themeShade="1A"/>
          <w:kern w:val="24"/>
          <w:sz w:val="24"/>
          <w:szCs w:val="24"/>
          <w14:ligatures w14:val="none"/>
        </w:rPr>
        <w:t>A</w:t>
      </w:r>
      <w:r w:rsidR="00400A67" w:rsidRPr="00400A67">
        <w:rPr>
          <w:rFonts w:hAnsi="Calibri"/>
          <w:color w:val="1A1A1A" w:themeColor="background1" w:themeShade="1A"/>
          <w:kern w:val="24"/>
          <w:sz w:val="24"/>
          <w:szCs w:val="24"/>
          <w14:ligatures w14:val="none"/>
        </w:rPr>
        <w:t>ccording to research, ability grouping can close the achievement gap between kids who perform well and those who don't by giving each group the right amount of diffic</w:t>
      </w:r>
      <w:r w:rsidR="00400A67" w:rsidRPr="00A90421">
        <w:rPr>
          <w:rFonts w:hAnsi="Calibri"/>
          <w:color w:val="1A1A1A" w:themeColor="background1" w:themeShade="1A"/>
          <w:kern w:val="24"/>
          <w:sz w:val="24"/>
          <w:szCs w:val="24"/>
          <w14:ligatures w14:val="none"/>
        </w:rPr>
        <w:t>ulty</w:t>
      </w:r>
      <w:r w:rsidR="00797B06" w:rsidRPr="00A90421">
        <w:rPr>
          <w:rFonts w:hAnsi="Calibri"/>
          <w:color w:val="1A1A1A" w:themeColor="background1" w:themeShade="1A"/>
          <w:kern w:val="24"/>
          <w:sz w:val="24"/>
          <w:szCs w:val="24"/>
          <w14:ligatures w14:val="none"/>
        </w:rPr>
        <w:t xml:space="preserve"> (</w:t>
      </w:r>
      <w:proofErr w:type="spellStart"/>
      <w:r w:rsidR="00400A67" w:rsidRPr="00A90421">
        <w:rPr>
          <w:rFonts w:hAnsi="Calibri"/>
          <w:color w:val="1A1A1A" w:themeColor="background1" w:themeShade="1A"/>
          <w:kern w:val="24"/>
          <w:sz w:val="24"/>
          <w:szCs w:val="24"/>
          <w14:ligatures w14:val="none"/>
        </w:rPr>
        <w:t>Gamoran</w:t>
      </w:r>
      <w:proofErr w:type="spellEnd"/>
      <w:r w:rsidR="00400A67" w:rsidRPr="00A90421">
        <w:rPr>
          <w:rFonts w:hAnsi="Calibri"/>
          <w:color w:val="1A1A1A" w:themeColor="background1" w:themeShade="1A"/>
          <w:kern w:val="24"/>
          <w:sz w:val="24"/>
          <w:szCs w:val="24"/>
          <w14:ligatures w14:val="none"/>
        </w:rPr>
        <w:t xml:space="preserve">, 1992). </w:t>
      </w:r>
      <w:r w:rsidR="00962A32" w:rsidRPr="00A90421">
        <w:rPr>
          <w:rFonts w:hAnsi="Calibri"/>
          <w:color w:val="1A1A1A" w:themeColor="background1" w:themeShade="1A"/>
          <w:kern w:val="24"/>
          <w:sz w:val="24"/>
          <w:szCs w:val="24"/>
          <w14:ligatures w14:val="none"/>
        </w:rPr>
        <w:t>Wh</w:t>
      </w:r>
      <w:r w:rsidR="00962A32" w:rsidRPr="00962A32">
        <w:rPr>
          <w:rFonts w:hAnsi="Calibri"/>
          <w:color w:val="1A1A1A" w:themeColor="background1" w:themeShade="1A"/>
          <w:kern w:val="24"/>
          <w:sz w:val="24"/>
          <w:szCs w:val="24"/>
          <w14:ligatures w14:val="none"/>
        </w:rPr>
        <w:t>en students are grouped with peers who have similar academic aptitude, they may feel more motivated and engaged. This can promote intellectual progress and a feeling o</w:t>
      </w:r>
      <w:r w:rsidR="00962A32" w:rsidRPr="009B5678">
        <w:rPr>
          <w:rFonts w:hAnsi="Calibri"/>
          <w:color w:val="1A1A1A" w:themeColor="background1" w:themeShade="1A"/>
          <w:kern w:val="24"/>
          <w:sz w:val="24"/>
          <w:szCs w:val="24"/>
          <w14:ligatures w14:val="none"/>
        </w:rPr>
        <w:t xml:space="preserve">f community. </w:t>
      </w:r>
      <w:proofErr w:type="spellStart"/>
      <w:r w:rsidR="00962A32" w:rsidRPr="009B5678">
        <w:rPr>
          <w:rFonts w:hAnsi="Calibri"/>
          <w:color w:val="1A1A1A" w:themeColor="background1" w:themeShade="1A"/>
          <w:kern w:val="24"/>
          <w:sz w:val="24"/>
          <w:szCs w:val="24"/>
          <w14:ligatures w14:val="none"/>
        </w:rPr>
        <w:t>Slavin</w:t>
      </w:r>
      <w:proofErr w:type="spellEnd"/>
      <w:r w:rsidR="00962A32" w:rsidRPr="009B5678">
        <w:rPr>
          <w:rFonts w:hAnsi="Calibri"/>
          <w:color w:val="1A1A1A" w:themeColor="background1" w:themeShade="1A"/>
          <w:kern w:val="24"/>
          <w:sz w:val="24"/>
          <w:szCs w:val="24"/>
          <w14:ligatures w14:val="none"/>
        </w:rPr>
        <w:t xml:space="preserve"> (1990). </w:t>
      </w:r>
    </w:p>
    <w:p w14:paraId="18BCB724" w14:textId="77777777" w:rsidR="004050CF" w:rsidRDefault="004050CF" w:rsidP="008D394A">
      <w:pPr>
        <w:spacing w:line="480" w:lineRule="auto"/>
        <w:rPr>
          <w:rFonts w:hAnsi="Calibri"/>
          <w:color w:val="1A1A1A" w:themeColor="background1" w:themeShade="1A"/>
          <w:kern w:val="24"/>
          <w:sz w:val="24"/>
          <w:szCs w:val="24"/>
          <w14:ligatures w14:val="none"/>
        </w:rPr>
      </w:pPr>
    </w:p>
    <w:p w14:paraId="6AB9272B" w14:textId="7EB0671B" w:rsidR="004050CF" w:rsidRDefault="00F63B48" w:rsidP="008D394A">
      <w:pPr>
        <w:spacing w:line="480" w:lineRule="auto"/>
        <w:rPr>
          <w:rFonts w:hAnsi="Calibri"/>
          <w:color w:val="1A1A1A" w:themeColor="background1" w:themeShade="1A"/>
          <w:kern w:val="24"/>
          <w:sz w:val="24"/>
          <w:szCs w:val="24"/>
          <w14:ligatures w14:val="none"/>
        </w:rPr>
      </w:pPr>
      <w:r w:rsidRPr="00F63B48">
        <w:rPr>
          <w:rFonts w:hAnsi="Calibri"/>
          <w:color w:val="1A1A1A" w:themeColor="background1" w:themeShade="1A"/>
          <w:kern w:val="24"/>
          <w:sz w:val="24"/>
          <w:szCs w:val="24"/>
          <w14:ligatures w14:val="none"/>
        </w:rPr>
        <w:t>Because ability grouping reinforces prejudices and limits chances for pupils from underprivileged backgrounds, it can worsen social inequality. The achievement gap might be wid</w:t>
      </w:r>
      <w:r w:rsidRPr="00FA4279">
        <w:rPr>
          <w:rFonts w:hAnsi="Calibri"/>
          <w:color w:val="1A1A1A" w:themeColor="background1" w:themeShade="1A"/>
          <w:kern w:val="24"/>
          <w:sz w:val="24"/>
          <w:szCs w:val="24"/>
          <w14:ligatures w14:val="none"/>
        </w:rPr>
        <w:t>ened even more if low-achieving groups were to get inferior instruction and fewer resources. (Oakes, 2005)</w:t>
      </w:r>
      <w:r w:rsidR="003E22F3" w:rsidRPr="00FA4279">
        <w:rPr>
          <w:rFonts w:hAnsi="Calibri"/>
          <w:color w:val="1A1A1A" w:themeColor="background1" w:themeShade="1A"/>
          <w:kern w:val="24"/>
          <w:sz w:val="24"/>
          <w:szCs w:val="24"/>
          <w14:ligatures w14:val="none"/>
        </w:rPr>
        <w:t>.</w:t>
      </w:r>
    </w:p>
    <w:p w14:paraId="19BE40F1" w14:textId="491ECB66" w:rsidR="002C7BD5" w:rsidRDefault="00A75F97" w:rsidP="0018418C">
      <w:pPr>
        <w:spacing w:line="480" w:lineRule="auto"/>
        <w:rPr>
          <w:rFonts w:hAnsi="Calibri"/>
          <w:color w:val="1A1A1A" w:themeColor="background1" w:themeShade="1A"/>
          <w:kern w:val="24"/>
          <w:sz w:val="24"/>
          <w:szCs w:val="24"/>
          <w14:ligatures w14:val="none"/>
        </w:rPr>
      </w:pPr>
      <w:r w:rsidRPr="00A75F97">
        <w:rPr>
          <w:rFonts w:hAnsi="Calibri"/>
          <w:color w:val="1A1A1A" w:themeColor="background1" w:themeShade="1A"/>
          <w:kern w:val="24"/>
          <w:sz w:val="24"/>
          <w:szCs w:val="24"/>
          <w14:ligatures w14:val="none"/>
        </w:rPr>
        <w:t>Stigmatisation and poor self-perceptions may be experienced by students put in lower ability groups, which may have an effect on their academic performance and long-term educational achieve</w:t>
      </w:r>
      <w:r w:rsidRPr="0061782D">
        <w:rPr>
          <w:rFonts w:hAnsi="Calibri"/>
          <w:color w:val="1A1A1A" w:themeColor="background1" w:themeShade="1A"/>
          <w:kern w:val="24"/>
          <w:sz w:val="24"/>
          <w:szCs w:val="24"/>
          <w14:ligatures w14:val="none"/>
        </w:rPr>
        <w:t>ments. (</w:t>
      </w:r>
      <w:proofErr w:type="spellStart"/>
      <w:r w:rsidRPr="0061782D">
        <w:rPr>
          <w:rFonts w:hAnsi="Calibri"/>
          <w:color w:val="1A1A1A" w:themeColor="background1" w:themeShade="1A"/>
          <w:kern w:val="24"/>
          <w:sz w:val="24"/>
          <w:szCs w:val="24"/>
          <w14:ligatures w14:val="none"/>
        </w:rPr>
        <w:t>Dweck</w:t>
      </w:r>
      <w:proofErr w:type="spellEnd"/>
      <w:r w:rsidRPr="0061782D">
        <w:rPr>
          <w:rFonts w:hAnsi="Calibri"/>
          <w:color w:val="1A1A1A" w:themeColor="background1" w:themeShade="1A"/>
          <w:kern w:val="24"/>
          <w:sz w:val="24"/>
          <w:szCs w:val="24"/>
          <w14:ligatures w14:val="none"/>
        </w:rPr>
        <w:t xml:space="preserve">, 1999). </w:t>
      </w:r>
      <w:r w:rsidR="002240C5" w:rsidRPr="0061782D">
        <w:rPr>
          <w:rFonts w:hAnsi="Calibri"/>
          <w:color w:val="1A1A1A" w:themeColor="background1" w:themeShade="1A"/>
          <w:kern w:val="24"/>
          <w:sz w:val="24"/>
          <w:szCs w:val="24"/>
          <w14:ligatures w14:val="none"/>
        </w:rPr>
        <w:t>Fixe</w:t>
      </w:r>
      <w:r w:rsidR="002240C5" w:rsidRPr="002240C5">
        <w:rPr>
          <w:rFonts w:hAnsi="Calibri"/>
          <w:color w:val="1A1A1A" w:themeColor="background1" w:themeShade="1A"/>
          <w:kern w:val="24"/>
          <w:sz w:val="24"/>
          <w:szCs w:val="24"/>
          <w14:ligatures w14:val="none"/>
        </w:rPr>
        <w:t>d ability groupings may restrict students’ opportunities for academic growth and development. Research suggests that students placed in lower ability groups may not receive the support they need to reach their full potential. (L</w:t>
      </w:r>
      <w:r w:rsidR="002240C5" w:rsidRPr="007C2133">
        <w:rPr>
          <w:rFonts w:hAnsi="Calibri"/>
          <w:color w:val="1A1A1A" w:themeColor="background1" w:themeShade="1A"/>
          <w:kern w:val="24"/>
          <w:sz w:val="24"/>
          <w:szCs w:val="24"/>
          <w14:ligatures w14:val="none"/>
        </w:rPr>
        <w:t xml:space="preserve">ou et al., 1996). </w:t>
      </w:r>
      <w:r w:rsidR="00E832B2" w:rsidRPr="007C2133">
        <w:rPr>
          <w:rFonts w:hAnsi="Calibri"/>
          <w:color w:val="1A1A1A" w:themeColor="background1" w:themeShade="1A"/>
          <w:kern w:val="24"/>
          <w:sz w:val="24"/>
          <w:szCs w:val="24"/>
          <w14:ligatures w14:val="none"/>
        </w:rPr>
        <w:t>There's</w:t>
      </w:r>
      <w:r w:rsidR="00E832B2" w:rsidRPr="00E832B2">
        <w:rPr>
          <w:rFonts w:hAnsi="Calibri"/>
          <w:color w:val="1A1A1A" w:themeColor="background1" w:themeShade="1A"/>
          <w:kern w:val="24"/>
          <w:sz w:val="24"/>
          <w:szCs w:val="24"/>
          <w14:ligatures w14:val="none"/>
        </w:rPr>
        <w:t xml:space="preserve"> a chance that teacher prejudice will skew placement judgements, making it harder to accurately assess stud</w:t>
      </w:r>
      <w:r w:rsidR="00E832B2" w:rsidRPr="006B1231">
        <w:rPr>
          <w:rFonts w:hAnsi="Calibri"/>
          <w:color w:val="1A1A1A" w:themeColor="background1" w:themeShade="1A"/>
          <w:kern w:val="24"/>
          <w:sz w:val="24"/>
          <w:szCs w:val="24"/>
          <w14:ligatures w14:val="none"/>
        </w:rPr>
        <w:t>ents' talents. As a result, pupils who are not in the right place may receive education at the wrong level. (Mickelson, 1990)</w:t>
      </w:r>
    </w:p>
    <w:p w14:paraId="3C09D9A8" w14:textId="77777777" w:rsidR="0047511B" w:rsidRPr="0047511B" w:rsidRDefault="0047511B" w:rsidP="0018418C">
      <w:pPr>
        <w:spacing w:line="480" w:lineRule="auto"/>
        <w:rPr>
          <w:rFonts w:hAnsi="Calibri"/>
          <w:color w:val="1A1A1A" w:themeColor="background1" w:themeShade="1A"/>
          <w:kern w:val="24"/>
          <w:sz w:val="24"/>
          <w:szCs w:val="24"/>
          <w14:ligatures w14:val="none"/>
        </w:rPr>
      </w:pPr>
    </w:p>
    <w:p w14:paraId="4116864C" w14:textId="29DAA8BE" w:rsidR="000D2332" w:rsidRDefault="00794491" w:rsidP="009878F6">
      <w:pPr>
        <w:spacing w:line="480" w:lineRule="auto"/>
        <w:rPr>
          <w:b/>
          <w:bCs/>
          <w:sz w:val="24"/>
          <w:szCs w:val="24"/>
          <w:u w:val="single"/>
        </w:rPr>
      </w:pPr>
      <w:r w:rsidRPr="0064000B">
        <w:rPr>
          <w:b/>
          <w:bCs/>
          <w:sz w:val="24"/>
          <w:szCs w:val="24"/>
          <w:u w:val="single"/>
        </w:rPr>
        <w:t>Explanation of case study</w:t>
      </w:r>
    </w:p>
    <w:p w14:paraId="09850121" w14:textId="3C2F8B50" w:rsidR="005A67CE" w:rsidRDefault="00F74403" w:rsidP="00CF397E">
      <w:pPr>
        <w:spacing w:line="480" w:lineRule="auto"/>
        <w:ind w:firstLine="720"/>
        <w:rPr>
          <w:sz w:val="24"/>
          <w:szCs w:val="24"/>
        </w:rPr>
      </w:pPr>
      <w:r w:rsidRPr="00F74403">
        <w:rPr>
          <w:sz w:val="24"/>
          <w:szCs w:val="24"/>
        </w:rPr>
        <w:lastRenderedPageBreak/>
        <w:t>In a classroom of 29 pupils, aged 7-8, they were grouped into three categories based on their understanding of the material. The ‘lower ability’ students occupied one table, the ‘higher ability’ students sat at a separate table across the room, while the ‘able group’ was placed in the middle. This division was acknowledged by the students, who were aware of the rationale behind the arrangement. Recognising this as a prevalent classroom structure, I identified it as a critical incident warranting improvement in classroom layout and instructional practices.</w:t>
      </w:r>
    </w:p>
    <w:p w14:paraId="41237A38" w14:textId="05CF3702" w:rsidR="003F407C" w:rsidRDefault="000A14A4" w:rsidP="00CF397E">
      <w:pPr>
        <w:spacing w:line="480" w:lineRule="auto"/>
        <w:ind w:firstLine="720"/>
        <w:rPr>
          <w:sz w:val="24"/>
          <w:szCs w:val="24"/>
        </w:rPr>
      </w:pPr>
      <w:r w:rsidRPr="000A14A4">
        <w:rPr>
          <w:sz w:val="24"/>
          <w:szCs w:val="24"/>
        </w:rPr>
        <w:t xml:space="preserve">The important issue of ability-based grouping in the classroom is highlighted in this case study, with particular attention paid to how it affects students' views and possible ramifications for their educational experiences. We can use </w:t>
      </w:r>
      <w:r w:rsidRPr="00651467">
        <w:rPr>
          <w:sz w:val="24"/>
          <w:szCs w:val="24"/>
        </w:rPr>
        <w:t xml:space="preserve">constructivist and socio-cultural theories to analyse this issue by drawing on the work of educational theorists like John Dewey and Lev </w:t>
      </w:r>
      <w:proofErr w:type="spellStart"/>
      <w:r w:rsidRPr="00651467">
        <w:rPr>
          <w:sz w:val="24"/>
          <w:szCs w:val="24"/>
        </w:rPr>
        <w:t>Vygotsky</w:t>
      </w:r>
      <w:proofErr w:type="spellEnd"/>
      <w:r w:rsidRPr="00651467">
        <w:rPr>
          <w:sz w:val="24"/>
          <w:szCs w:val="24"/>
        </w:rPr>
        <w:t>.</w:t>
      </w:r>
    </w:p>
    <w:p w14:paraId="2D1B7314" w14:textId="77777777" w:rsidR="00301462" w:rsidRPr="00301462" w:rsidRDefault="00301462" w:rsidP="00301462">
      <w:pPr>
        <w:spacing w:line="480" w:lineRule="auto"/>
        <w:ind w:firstLine="720"/>
        <w:rPr>
          <w:sz w:val="24"/>
          <w:szCs w:val="24"/>
        </w:rPr>
      </w:pPr>
      <w:r w:rsidRPr="00651467">
        <w:rPr>
          <w:sz w:val="24"/>
          <w:szCs w:val="24"/>
        </w:rPr>
        <w:t xml:space="preserve">The socio-cultural theory of </w:t>
      </w:r>
      <w:proofErr w:type="spellStart"/>
      <w:r w:rsidRPr="00651467">
        <w:rPr>
          <w:sz w:val="24"/>
          <w:szCs w:val="24"/>
        </w:rPr>
        <w:t>Vygotsky</w:t>
      </w:r>
      <w:proofErr w:type="spellEnd"/>
      <w:r w:rsidRPr="00651467">
        <w:rPr>
          <w:sz w:val="24"/>
          <w:szCs w:val="24"/>
        </w:rPr>
        <w:t xml:space="preserve"> places a</w:t>
      </w:r>
      <w:r w:rsidRPr="00301462">
        <w:rPr>
          <w:sz w:val="24"/>
          <w:szCs w:val="24"/>
        </w:rPr>
        <w:t xml:space="preserve"> strong emphasis on the role that social interaction and cultural background play in education. In this instance, the division in the classroom caused by the physical separation of pupils according to perceived skill levels may reinforce a hierarchical system in which kids feel better or worse than their colleagues. Their sense of self and desire to participate in educational activities may be affected by this.</w:t>
      </w:r>
    </w:p>
    <w:p w14:paraId="111A8C7A" w14:textId="77777777" w:rsidR="00301462" w:rsidRPr="00301462" w:rsidRDefault="00301462" w:rsidP="00301462">
      <w:pPr>
        <w:spacing w:line="480" w:lineRule="auto"/>
        <w:ind w:firstLine="720"/>
        <w:rPr>
          <w:sz w:val="24"/>
          <w:szCs w:val="24"/>
        </w:rPr>
      </w:pPr>
    </w:p>
    <w:p w14:paraId="746F95E3" w14:textId="428BDF5D" w:rsidR="00301462" w:rsidRDefault="00301462" w:rsidP="00CF397E">
      <w:pPr>
        <w:spacing w:line="480" w:lineRule="auto"/>
        <w:ind w:firstLine="720"/>
        <w:rPr>
          <w:sz w:val="24"/>
          <w:szCs w:val="24"/>
        </w:rPr>
      </w:pPr>
      <w:r w:rsidRPr="00AD15F0">
        <w:rPr>
          <w:sz w:val="24"/>
          <w:szCs w:val="24"/>
        </w:rPr>
        <w:t>The zone of proximal development (ZPD), wh</w:t>
      </w:r>
      <w:r w:rsidRPr="00301462">
        <w:rPr>
          <w:sz w:val="24"/>
          <w:szCs w:val="24"/>
        </w:rPr>
        <w:t xml:space="preserve">ich is the difference between what a learner can accomplish on their own and what they can accomplish with assistance, was also established by </w:t>
      </w:r>
      <w:proofErr w:type="spellStart"/>
      <w:r w:rsidRPr="00301462">
        <w:rPr>
          <w:sz w:val="24"/>
          <w:szCs w:val="24"/>
        </w:rPr>
        <w:t>Vygotsky</w:t>
      </w:r>
      <w:proofErr w:type="spellEnd"/>
      <w:r w:rsidRPr="00301462">
        <w:rPr>
          <w:sz w:val="24"/>
          <w:szCs w:val="24"/>
        </w:rPr>
        <w:t>. Students may lose out on opportunities for peer collaboration and scaffolding when they are placed in ability groups. These experiences are crucial for enabling students to realise their maximum potential within their zone of proficiency.</w:t>
      </w:r>
    </w:p>
    <w:p w14:paraId="736DE797" w14:textId="2EDF10AE" w:rsidR="00E31B4D" w:rsidRPr="0054183D" w:rsidRDefault="00E26624" w:rsidP="00CF397E">
      <w:pPr>
        <w:spacing w:line="480" w:lineRule="auto"/>
        <w:ind w:firstLine="720"/>
        <w:rPr>
          <w:sz w:val="24"/>
          <w:szCs w:val="24"/>
        </w:rPr>
      </w:pPr>
      <w:r w:rsidRPr="00574262">
        <w:rPr>
          <w:sz w:val="24"/>
          <w:szCs w:val="24"/>
        </w:rPr>
        <w:lastRenderedPageBreak/>
        <w:t>John Dewey, who adv</w:t>
      </w:r>
      <w:r w:rsidRPr="00E26624">
        <w:rPr>
          <w:sz w:val="24"/>
          <w:szCs w:val="24"/>
        </w:rPr>
        <w:t xml:space="preserve">ocated for experiential learning and </w:t>
      </w:r>
      <w:r w:rsidR="0010393B" w:rsidRPr="00E26624">
        <w:rPr>
          <w:sz w:val="24"/>
          <w:szCs w:val="24"/>
        </w:rPr>
        <w:t>student-centred</w:t>
      </w:r>
      <w:r w:rsidRPr="00E26624">
        <w:rPr>
          <w:sz w:val="24"/>
          <w:szCs w:val="24"/>
        </w:rPr>
        <w:t xml:space="preserve"> learning, would probably object to students being placed in strict groups based only on their apparent academic aptitude. Dewey stressed the value of developing inclusive learning settings where students actively participate in fulfilling learning opportunities that play to their strengths and areas of interest. There is a chance that dividing children into ability groups will reduce their access to </w:t>
      </w:r>
      <w:r w:rsidRPr="0054183D">
        <w:rPr>
          <w:sz w:val="24"/>
          <w:szCs w:val="24"/>
        </w:rPr>
        <w:t>a variety of educational opportunities and group problem-solving techniques.</w:t>
      </w:r>
    </w:p>
    <w:p w14:paraId="624F4A79" w14:textId="4A57B608" w:rsidR="00954055" w:rsidRDefault="00FB5A12" w:rsidP="00CF397E">
      <w:pPr>
        <w:spacing w:line="480" w:lineRule="auto"/>
        <w:ind w:firstLine="720"/>
        <w:rPr>
          <w:sz w:val="24"/>
          <w:szCs w:val="24"/>
        </w:rPr>
      </w:pPr>
      <w:r w:rsidRPr="0054183D">
        <w:rPr>
          <w:sz w:val="24"/>
          <w:szCs w:val="24"/>
        </w:rPr>
        <w:t>According to Piaget's theory of</w:t>
      </w:r>
      <w:r w:rsidRPr="00FB5A12">
        <w:rPr>
          <w:sz w:val="24"/>
          <w:szCs w:val="24"/>
        </w:rPr>
        <w:t xml:space="preserve"> cognitive development, it is crucial for each learner to actively explore and engage with their surroundings in order to form their own understanding of the world. According to Piaget, ability-based grouping may impede students' chances for cognitive growth by restricting their exposure to difficult assignments and a variety of viewpoints. Piaget thought that in order to foster intellectual development, cognitive conflicts and interactions with peers of different skill levels are crucial.</w:t>
      </w:r>
    </w:p>
    <w:p w14:paraId="25B24188" w14:textId="38F0E121" w:rsidR="006B06F3" w:rsidRDefault="006B06F3" w:rsidP="00CF397E">
      <w:pPr>
        <w:spacing w:line="480" w:lineRule="auto"/>
        <w:ind w:firstLine="720"/>
        <w:rPr>
          <w:sz w:val="24"/>
          <w:szCs w:val="24"/>
        </w:rPr>
      </w:pPr>
      <w:r w:rsidRPr="006B06F3">
        <w:rPr>
          <w:sz w:val="24"/>
          <w:szCs w:val="24"/>
        </w:rPr>
        <w:t xml:space="preserve">According </w:t>
      </w:r>
      <w:r w:rsidRPr="00DC6FF1">
        <w:rPr>
          <w:sz w:val="24"/>
          <w:szCs w:val="24"/>
        </w:rPr>
        <w:t>to Gardner's theory of multiple</w:t>
      </w:r>
      <w:r w:rsidRPr="006B06F3">
        <w:rPr>
          <w:sz w:val="24"/>
          <w:szCs w:val="24"/>
        </w:rPr>
        <w:t xml:space="preserve"> intelligences, intelligence is made up of a range of skills, including musical, linguistic, spatial, </w:t>
      </w:r>
      <w:proofErr w:type="spellStart"/>
      <w:r w:rsidRPr="006B06F3">
        <w:rPr>
          <w:sz w:val="24"/>
          <w:szCs w:val="24"/>
        </w:rPr>
        <w:t>bodily-kinesthetic</w:t>
      </w:r>
      <w:proofErr w:type="spellEnd"/>
      <w:r w:rsidRPr="006B06F3">
        <w:rPr>
          <w:sz w:val="24"/>
          <w:szCs w:val="24"/>
        </w:rPr>
        <w:t>, logical-mathematical, interpersonal, intrapersonal, and naturalistic intelligences. Because ability-based grouping generally concentrates on traditional academic skills, it may ignore the unique talents and strengths of pupils. By creating learning experiences that address the various intelligences present in the classroom, educators can create a more inclusive and all-encompassing approach to teaching by utilising Gardner's theory.</w:t>
      </w:r>
    </w:p>
    <w:p w14:paraId="7704A777" w14:textId="19AEE55B" w:rsidR="000075DB" w:rsidRDefault="000075DB" w:rsidP="00CF397E">
      <w:pPr>
        <w:spacing w:line="480" w:lineRule="auto"/>
        <w:ind w:firstLine="720"/>
        <w:rPr>
          <w:sz w:val="24"/>
          <w:szCs w:val="24"/>
        </w:rPr>
      </w:pPr>
      <w:r w:rsidRPr="000075DB">
        <w:rPr>
          <w:sz w:val="24"/>
          <w:szCs w:val="24"/>
        </w:rPr>
        <w:t>In order to explain how behaviour and cognition a</w:t>
      </w:r>
      <w:r w:rsidRPr="002B2ED4">
        <w:rPr>
          <w:sz w:val="24"/>
          <w:szCs w:val="24"/>
        </w:rPr>
        <w:t xml:space="preserve">re shaped, </w:t>
      </w:r>
      <w:proofErr w:type="spellStart"/>
      <w:r w:rsidRPr="002B2ED4">
        <w:rPr>
          <w:sz w:val="24"/>
          <w:szCs w:val="24"/>
        </w:rPr>
        <w:t>Bandura's</w:t>
      </w:r>
      <w:proofErr w:type="spellEnd"/>
      <w:r w:rsidRPr="002B2ED4">
        <w:rPr>
          <w:sz w:val="24"/>
          <w:szCs w:val="24"/>
        </w:rPr>
        <w:t xml:space="preserve"> social</w:t>
      </w:r>
      <w:r w:rsidRPr="000075DB">
        <w:rPr>
          <w:sz w:val="24"/>
          <w:szCs w:val="24"/>
        </w:rPr>
        <w:t xml:space="preserve"> cognitive theory highlights the importance of self-efficacy, social modelling, and observational learning. </w:t>
      </w:r>
      <w:proofErr w:type="spellStart"/>
      <w:r w:rsidRPr="000075DB">
        <w:rPr>
          <w:sz w:val="24"/>
          <w:szCs w:val="24"/>
        </w:rPr>
        <w:t>Bandura</w:t>
      </w:r>
      <w:proofErr w:type="spellEnd"/>
      <w:r w:rsidRPr="000075DB">
        <w:rPr>
          <w:sz w:val="24"/>
          <w:szCs w:val="24"/>
        </w:rPr>
        <w:t xml:space="preserve"> contends that ability-based grouping may have an impact on students' academic self-concept and self-efficacy beliefs since it separates pupils based on perceived skills. While students in higher ability groups could feel excessive pressure to </w:t>
      </w:r>
      <w:r w:rsidRPr="000075DB">
        <w:rPr>
          <w:sz w:val="24"/>
          <w:szCs w:val="24"/>
        </w:rPr>
        <w:lastRenderedPageBreak/>
        <w:t xml:space="preserve">preserve their standing, those placed in lower ability groups might internalise unfavourable opinions of their abilities. </w:t>
      </w:r>
      <w:proofErr w:type="spellStart"/>
      <w:r w:rsidRPr="000075DB">
        <w:rPr>
          <w:sz w:val="24"/>
          <w:szCs w:val="24"/>
        </w:rPr>
        <w:t>Bandura</w:t>
      </w:r>
      <w:proofErr w:type="spellEnd"/>
      <w:r w:rsidRPr="000075DB">
        <w:rPr>
          <w:sz w:val="24"/>
          <w:szCs w:val="24"/>
        </w:rPr>
        <w:t xml:space="preserve"> emphasises how crucial it is to provide kids the chance to see and emulate positive behaviours and skills in people with a range of skill levels.</w:t>
      </w:r>
    </w:p>
    <w:p w14:paraId="5E1638C4" w14:textId="2A58E0A2" w:rsidR="007311A7" w:rsidRDefault="007311A7" w:rsidP="00CF397E">
      <w:pPr>
        <w:spacing w:line="480" w:lineRule="auto"/>
        <w:ind w:firstLine="720"/>
        <w:rPr>
          <w:sz w:val="24"/>
          <w:szCs w:val="24"/>
        </w:rPr>
      </w:pPr>
      <w:r w:rsidRPr="001D3D38">
        <w:rPr>
          <w:sz w:val="24"/>
          <w:szCs w:val="24"/>
        </w:rPr>
        <w:t>According to Bruner's constructivist theory, knowl</w:t>
      </w:r>
      <w:r w:rsidRPr="007311A7">
        <w:rPr>
          <w:sz w:val="24"/>
          <w:szCs w:val="24"/>
        </w:rPr>
        <w:t>edge is actively constructed through social interactions and interactions with the environment. He presented the idea of scaffolding, in which experts offer assistance and direction to students while they work on difficult assignments. capacity-based grouping may reduce the amount of time that students have for collaborative learning and peer scaffolding, which will impede their capacity to make sense of the material and comprehend it more deeply. Bruner supports teaching strategies that encourage students of different skill levels to engage in active inquiry, problem-solving, and discourse.</w:t>
      </w:r>
    </w:p>
    <w:p w14:paraId="40600B50" w14:textId="576C9DAA" w:rsidR="00AB6EF3" w:rsidRDefault="00AB6EF3" w:rsidP="00AB6EF3">
      <w:pPr>
        <w:spacing w:line="480" w:lineRule="auto"/>
        <w:ind w:firstLine="720"/>
        <w:rPr>
          <w:sz w:val="24"/>
          <w:szCs w:val="24"/>
        </w:rPr>
      </w:pPr>
    </w:p>
    <w:p w14:paraId="22D6A59F" w14:textId="77777777" w:rsidR="00784D74" w:rsidRDefault="00784D74" w:rsidP="00AB6EF3">
      <w:pPr>
        <w:spacing w:line="480" w:lineRule="auto"/>
        <w:ind w:firstLine="720"/>
        <w:rPr>
          <w:sz w:val="24"/>
          <w:szCs w:val="24"/>
        </w:rPr>
      </w:pPr>
    </w:p>
    <w:p w14:paraId="49CBE43F" w14:textId="47D0EFEA" w:rsidR="00AB6EF3" w:rsidRDefault="004211F9" w:rsidP="00810D63">
      <w:pPr>
        <w:spacing w:line="480" w:lineRule="auto"/>
        <w:ind w:firstLine="720"/>
        <w:rPr>
          <w:sz w:val="24"/>
          <w:szCs w:val="24"/>
        </w:rPr>
      </w:pPr>
      <w:r w:rsidRPr="004211F9">
        <w:rPr>
          <w:b/>
          <w:bCs/>
          <w:sz w:val="24"/>
          <w:szCs w:val="24"/>
          <w:u w:val="single"/>
        </w:rPr>
        <w:t>Teaching and learning methods</w:t>
      </w:r>
      <w:r w:rsidR="00784D74">
        <w:rPr>
          <w:b/>
          <w:bCs/>
          <w:sz w:val="24"/>
          <w:szCs w:val="24"/>
          <w:u w:val="single"/>
        </w:rPr>
        <w:t>.</w:t>
      </w:r>
    </w:p>
    <w:p w14:paraId="09C799FC" w14:textId="6D35A56D" w:rsidR="00810D63" w:rsidRDefault="00810D63" w:rsidP="00810D63">
      <w:pPr>
        <w:spacing w:line="480" w:lineRule="auto"/>
        <w:ind w:firstLine="720"/>
        <w:rPr>
          <w:sz w:val="24"/>
          <w:szCs w:val="24"/>
        </w:rPr>
      </w:pPr>
      <w:r>
        <w:rPr>
          <w:sz w:val="24"/>
          <w:szCs w:val="24"/>
        </w:rPr>
        <w:t>There are many different teaching and learning methods that may be adapted into primary schools.</w:t>
      </w:r>
      <w:r w:rsidR="008A4F4F" w:rsidRPr="008A4F4F">
        <w:rPr>
          <w:sz w:val="24"/>
          <w:szCs w:val="24"/>
        </w:rPr>
        <w:t xml:space="preserve"> Students in ability groups have comparable skill or competency levels. With this method, educators may better adjust their lessons to meet the needs of each group. To push pupils at the right level, teachers can offer focused interventions or extensions. Teachers can more successfully target particular learning standards or objectives when they are organised into ability groups.</w:t>
      </w:r>
      <w:r w:rsidR="008409E1">
        <w:rPr>
          <w:sz w:val="24"/>
          <w:szCs w:val="24"/>
        </w:rPr>
        <w:t xml:space="preserve"> </w:t>
      </w:r>
      <w:r w:rsidR="008A4F4F">
        <w:rPr>
          <w:sz w:val="24"/>
          <w:szCs w:val="24"/>
        </w:rPr>
        <w:t>A</w:t>
      </w:r>
      <w:r w:rsidR="00E94239">
        <w:rPr>
          <w:sz w:val="24"/>
          <w:szCs w:val="24"/>
        </w:rPr>
        <w:t>bility</w:t>
      </w:r>
      <w:r w:rsidR="00E94239" w:rsidRPr="00E94239">
        <w:rPr>
          <w:sz w:val="24"/>
          <w:szCs w:val="24"/>
        </w:rPr>
        <w:t xml:space="preserve"> grouping enables educators to customise their lessons to the unique requirements and skill levels of each group, which may result in more potent instructional techni</w:t>
      </w:r>
      <w:r w:rsidR="00E94239" w:rsidRPr="00457EEB">
        <w:rPr>
          <w:sz w:val="24"/>
          <w:szCs w:val="24"/>
        </w:rPr>
        <w:t>ques</w:t>
      </w:r>
      <w:r w:rsidR="00784D74" w:rsidRPr="00457EEB">
        <w:rPr>
          <w:sz w:val="24"/>
          <w:szCs w:val="24"/>
        </w:rPr>
        <w:t xml:space="preserve"> </w:t>
      </w:r>
      <w:r w:rsidR="00E94239" w:rsidRPr="00457EEB">
        <w:rPr>
          <w:sz w:val="24"/>
          <w:szCs w:val="24"/>
        </w:rPr>
        <w:t xml:space="preserve">Hattie (2009). </w:t>
      </w:r>
      <w:r w:rsidR="00551ED0" w:rsidRPr="00457EEB">
        <w:rPr>
          <w:sz w:val="24"/>
          <w:szCs w:val="24"/>
        </w:rPr>
        <w:t>This met</w:t>
      </w:r>
      <w:r w:rsidR="00551ED0">
        <w:rPr>
          <w:sz w:val="24"/>
          <w:szCs w:val="24"/>
        </w:rPr>
        <w:t>hod may also increase confiden</w:t>
      </w:r>
      <w:r w:rsidR="00BF0C00">
        <w:rPr>
          <w:sz w:val="24"/>
          <w:szCs w:val="24"/>
        </w:rPr>
        <w:t xml:space="preserve">ce in learners. </w:t>
      </w:r>
      <w:r w:rsidR="00637DB8" w:rsidRPr="00637DB8">
        <w:rPr>
          <w:sz w:val="24"/>
          <w:szCs w:val="24"/>
        </w:rPr>
        <w:t>When placed among peers who have comparable skills, students may feel more at ease and secure taking part in conversations and activities, which can boost their self-</w:t>
      </w:r>
      <w:r w:rsidR="00637DB8" w:rsidRPr="00637DB8">
        <w:rPr>
          <w:sz w:val="24"/>
          <w:szCs w:val="24"/>
        </w:rPr>
        <w:lastRenderedPageBreak/>
        <w:t>este</w:t>
      </w:r>
      <w:r w:rsidR="00637DB8" w:rsidRPr="00B031F8">
        <w:rPr>
          <w:sz w:val="24"/>
          <w:szCs w:val="24"/>
        </w:rPr>
        <w:t xml:space="preserve">em. </w:t>
      </w:r>
      <w:proofErr w:type="spellStart"/>
      <w:r w:rsidR="00637DB8" w:rsidRPr="00B031F8">
        <w:rPr>
          <w:sz w:val="24"/>
          <w:szCs w:val="24"/>
        </w:rPr>
        <w:t>Slavin</w:t>
      </w:r>
      <w:proofErr w:type="spellEnd"/>
      <w:r w:rsidR="00637DB8" w:rsidRPr="00B031F8">
        <w:rPr>
          <w:sz w:val="24"/>
          <w:szCs w:val="24"/>
        </w:rPr>
        <w:t xml:space="preserve"> (1987)</w:t>
      </w:r>
      <w:r w:rsidR="00210A81" w:rsidRPr="00B031F8">
        <w:rPr>
          <w:sz w:val="24"/>
          <w:szCs w:val="24"/>
        </w:rPr>
        <w:t>.</w:t>
      </w:r>
      <w:r w:rsidR="009575E3" w:rsidRPr="00B031F8">
        <w:rPr>
          <w:sz w:val="24"/>
          <w:szCs w:val="24"/>
        </w:rPr>
        <w:t xml:space="preserve"> Students m</w:t>
      </w:r>
      <w:r w:rsidR="009575E3" w:rsidRPr="009575E3">
        <w:rPr>
          <w:sz w:val="24"/>
          <w:szCs w:val="24"/>
        </w:rPr>
        <w:t>ay be able to participate in specialised assistance or ex</w:t>
      </w:r>
      <w:r w:rsidR="009575E3" w:rsidRPr="00B15C72">
        <w:rPr>
          <w:sz w:val="24"/>
          <w:szCs w:val="24"/>
        </w:rPr>
        <w:t>tension activities through ability grouping, which is based on each student's unique learning needs. (Tomlinson, 2005)</w:t>
      </w:r>
      <w:r w:rsidR="00D310D5" w:rsidRPr="00B15C72">
        <w:rPr>
          <w:sz w:val="24"/>
          <w:szCs w:val="24"/>
        </w:rPr>
        <w:t>.</w:t>
      </w:r>
    </w:p>
    <w:p w14:paraId="3EAC99D3" w14:textId="25487A92" w:rsidR="00F233D7" w:rsidRDefault="00113D1F" w:rsidP="00F233D7">
      <w:pPr>
        <w:spacing w:line="480" w:lineRule="auto"/>
        <w:ind w:firstLine="720"/>
        <w:rPr>
          <w:sz w:val="24"/>
          <w:szCs w:val="24"/>
        </w:rPr>
      </w:pPr>
      <w:r>
        <w:rPr>
          <w:sz w:val="24"/>
          <w:szCs w:val="24"/>
        </w:rPr>
        <w:t>Although ability grouping has many positives within education</w:t>
      </w:r>
      <w:r w:rsidR="00AC1771">
        <w:rPr>
          <w:sz w:val="24"/>
          <w:szCs w:val="24"/>
        </w:rPr>
        <w:t xml:space="preserve">al institution, concerns may also arise. </w:t>
      </w:r>
      <w:r w:rsidR="005A18E2" w:rsidRPr="005A18E2">
        <w:rPr>
          <w:sz w:val="24"/>
          <w:szCs w:val="24"/>
        </w:rPr>
        <w:t xml:space="preserve">Students who are labelled as "low achievers" may feel stigmatised and stereotypes reinforced by ability grouping, which can lower their motivation and cause them to view themselves </w:t>
      </w:r>
      <w:r w:rsidR="005A18E2" w:rsidRPr="00AA21BF">
        <w:rPr>
          <w:sz w:val="24"/>
          <w:szCs w:val="24"/>
        </w:rPr>
        <w:t>negatively. (</w:t>
      </w:r>
      <w:proofErr w:type="spellStart"/>
      <w:r w:rsidR="005A18E2" w:rsidRPr="00AA21BF">
        <w:rPr>
          <w:sz w:val="24"/>
          <w:szCs w:val="24"/>
        </w:rPr>
        <w:t>Gamoran</w:t>
      </w:r>
      <w:proofErr w:type="spellEnd"/>
      <w:r w:rsidR="005A18E2" w:rsidRPr="00AA21BF">
        <w:rPr>
          <w:sz w:val="24"/>
          <w:szCs w:val="24"/>
        </w:rPr>
        <w:t xml:space="preserve"> </w:t>
      </w:r>
      <w:r w:rsidR="00AA21BF" w:rsidRPr="00AA21BF">
        <w:rPr>
          <w:sz w:val="24"/>
          <w:szCs w:val="24"/>
        </w:rPr>
        <w:t>et al</w:t>
      </w:r>
      <w:r w:rsidR="005A18E2" w:rsidRPr="00AA21BF">
        <w:rPr>
          <w:sz w:val="24"/>
          <w:szCs w:val="24"/>
        </w:rPr>
        <w:t>, 2007).</w:t>
      </w:r>
      <w:r w:rsidR="00D2637C" w:rsidRPr="00D2637C">
        <w:rPr>
          <w:sz w:val="24"/>
          <w:szCs w:val="24"/>
        </w:rPr>
        <w:t xml:space="preserve"> Pupils in ability groups would not have as many opportunities to socialise with classmates who are at different skill levels, which could impede the growth of empathy and social sk</w:t>
      </w:r>
      <w:r w:rsidR="00D2637C" w:rsidRPr="00481DD9">
        <w:rPr>
          <w:sz w:val="24"/>
          <w:szCs w:val="24"/>
        </w:rPr>
        <w:t>ills. (</w:t>
      </w:r>
      <w:proofErr w:type="spellStart"/>
      <w:r w:rsidR="00D2637C" w:rsidRPr="00481DD9">
        <w:rPr>
          <w:sz w:val="24"/>
          <w:szCs w:val="24"/>
        </w:rPr>
        <w:t>Hallinan</w:t>
      </w:r>
      <w:proofErr w:type="spellEnd"/>
      <w:r w:rsidR="00D2637C" w:rsidRPr="00481DD9">
        <w:rPr>
          <w:sz w:val="24"/>
          <w:szCs w:val="24"/>
        </w:rPr>
        <w:t>, 1994)</w:t>
      </w:r>
      <w:r w:rsidR="002945B2" w:rsidRPr="00481DD9">
        <w:rPr>
          <w:sz w:val="24"/>
          <w:szCs w:val="24"/>
        </w:rPr>
        <w:t xml:space="preserve">. </w:t>
      </w:r>
      <w:r w:rsidR="00F233D7" w:rsidRPr="00481DD9">
        <w:rPr>
          <w:sz w:val="24"/>
          <w:szCs w:val="24"/>
        </w:rPr>
        <w:t>A</w:t>
      </w:r>
      <w:r w:rsidR="00F233D7" w:rsidRPr="00F233D7">
        <w:rPr>
          <w:sz w:val="24"/>
          <w:szCs w:val="24"/>
        </w:rPr>
        <w:t>bility grouping may lead to an unfair distribution of chances and resources, with less support and resources for education going to kids in l</w:t>
      </w:r>
      <w:r w:rsidR="00F233D7" w:rsidRPr="00296D94">
        <w:rPr>
          <w:sz w:val="24"/>
          <w:szCs w:val="24"/>
        </w:rPr>
        <w:t>ower groups. (Oakes, 1985)</w:t>
      </w:r>
      <w:r w:rsidR="0060112C" w:rsidRPr="00296D94">
        <w:rPr>
          <w:sz w:val="24"/>
          <w:szCs w:val="24"/>
        </w:rPr>
        <w:t>.</w:t>
      </w:r>
    </w:p>
    <w:p w14:paraId="729DF56C" w14:textId="77777777" w:rsidR="005D0FFB" w:rsidRDefault="005D0FFB" w:rsidP="00F233D7">
      <w:pPr>
        <w:spacing w:line="480" w:lineRule="auto"/>
        <w:ind w:firstLine="720"/>
        <w:rPr>
          <w:sz w:val="24"/>
          <w:szCs w:val="24"/>
        </w:rPr>
      </w:pPr>
    </w:p>
    <w:p w14:paraId="378324C1" w14:textId="4C74C6DC" w:rsidR="009C53B3" w:rsidRDefault="009C53B3" w:rsidP="00F233D7">
      <w:pPr>
        <w:spacing w:line="480" w:lineRule="auto"/>
        <w:ind w:firstLine="720"/>
        <w:rPr>
          <w:sz w:val="24"/>
          <w:szCs w:val="24"/>
        </w:rPr>
      </w:pPr>
      <w:r>
        <w:rPr>
          <w:sz w:val="24"/>
          <w:szCs w:val="24"/>
        </w:rPr>
        <w:t xml:space="preserve">A teaching and learning technique that </w:t>
      </w:r>
      <w:r w:rsidR="001C1E62">
        <w:rPr>
          <w:sz w:val="24"/>
          <w:szCs w:val="24"/>
        </w:rPr>
        <w:t>could be adopting in order to address the critical incident in discussion may b</w:t>
      </w:r>
      <w:r w:rsidR="00102E2D">
        <w:rPr>
          <w:sz w:val="24"/>
          <w:szCs w:val="24"/>
        </w:rPr>
        <w:t>e</w:t>
      </w:r>
      <w:r w:rsidR="006E1C0E">
        <w:rPr>
          <w:sz w:val="24"/>
          <w:szCs w:val="24"/>
        </w:rPr>
        <w:t xml:space="preserve"> </w:t>
      </w:r>
      <w:r w:rsidR="00C36B2E" w:rsidRPr="00C36B2E">
        <w:rPr>
          <w:sz w:val="24"/>
          <w:szCs w:val="24"/>
        </w:rPr>
        <w:t>mixed ability grouping</w:t>
      </w:r>
      <w:r w:rsidR="006E1C0E">
        <w:rPr>
          <w:sz w:val="24"/>
          <w:szCs w:val="24"/>
        </w:rPr>
        <w:t>. This</w:t>
      </w:r>
      <w:r w:rsidR="00C36B2E" w:rsidRPr="00C36B2E">
        <w:rPr>
          <w:sz w:val="24"/>
          <w:szCs w:val="24"/>
        </w:rPr>
        <w:t xml:space="preserve"> entails putting pupils of different skill levels together to work on particular </w:t>
      </w:r>
      <w:r w:rsidR="006E1C0E">
        <w:rPr>
          <w:sz w:val="24"/>
          <w:szCs w:val="24"/>
        </w:rPr>
        <w:t>tasks</w:t>
      </w:r>
      <w:r w:rsidR="00C36B2E" w:rsidRPr="00C36B2E">
        <w:rPr>
          <w:sz w:val="24"/>
          <w:szCs w:val="24"/>
        </w:rPr>
        <w:t xml:space="preserve"> or projects.</w:t>
      </w:r>
      <w:r w:rsidR="006E1C0E">
        <w:rPr>
          <w:sz w:val="24"/>
          <w:szCs w:val="24"/>
        </w:rPr>
        <w:t xml:space="preserve"> </w:t>
      </w:r>
      <w:r w:rsidR="00E21D1E" w:rsidRPr="00E21D1E">
        <w:rPr>
          <w:sz w:val="24"/>
          <w:szCs w:val="24"/>
        </w:rPr>
        <w:t>Mixed ability groupings encourage collaboration among students with diverse abilities. Resea</w:t>
      </w:r>
      <w:r w:rsidR="00E21D1E" w:rsidRPr="00A3729E">
        <w:rPr>
          <w:sz w:val="24"/>
          <w:szCs w:val="24"/>
        </w:rPr>
        <w:t xml:space="preserve">rch by </w:t>
      </w:r>
      <w:proofErr w:type="spellStart"/>
      <w:r w:rsidR="00E21D1E" w:rsidRPr="00A3729E">
        <w:rPr>
          <w:sz w:val="24"/>
          <w:szCs w:val="24"/>
        </w:rPr>
        <w:t>Slavin</w:t>
      </w:r>
      <w:proofErr w:type="spellEnd"/>
      <w:r w:rsidR="00E21D1E" w:rsidRPr="00A3729E">
        <w:rPr>
          <w:sz w:val="24"/>
          <w:szCs w:val="24"/>
        </w:rPr>
        <w:t xml:space="preserve"> (2014)</w:t>
      </w:r>
      <w:r w:rsidR="00E21D1E" w:rsidRPr="00E21D1E">
        <w:rPr>
          <w:sz w:val="24"/>
          <w:szCs w:val="24"/>
        </w:rPr>
        <w:t xml:space="preserve"> indicates that cooperative learning strategies within mixed ability groups can lead to improved academic outcomes and positive social interactions.</w:t>
      </w:r>
    </w:p>
    <w:p w14:paraId="54361AEF" w14:textId="0F7D7CCB" w:rsidR="00632FC2" w:rsidRDefault="00A656C7" w:rsidP="00F233D7">
      <w:pPr>
        <w:spacing w:line="480" w:lineRule="auto"/>
        <w:ind w:firstLine="720"/>
        <w:rPr>
          <w:sz w:val="24"/>
          <w:szCs w:val="24"/>
        </w:rPr>
      </w:pPr>
      <w:r w:rsidRPr="00A656C7">
        <w:rPr>
          <w:sz w:val="24"/>
          <w:szCs w:val="24"/>
        </w:rPr>
        <w:t>Incorporating students with varying skill levels fosters tolerance and diversity within the classroom. Every student has the chance to contribute to the assignment, which promotes a feeling of community and lessens the stig</w:t>
      </w:r>
      <w:r w:rsidRPr="007D1AA0">
        <w:rPr>
          <w:sz w:val="24"/>
          <w:szCs w:val="24"/>
        </w:rPr>
        <w:t>ma attached to ability grouping (Hattie, 2009).</w:t>
      </w:r>
    </w:p>
    <w:p w14:paraId="33746F7B" w14:textId="6C7AC770" w:rsidR="00A656C7" w:rsidRDefault="00CB7E4C" w:rsidP="00F233D7">
      <w:pPr>
        <w:spacing w:line="480" w:lineRule="auto"/>
        <w:ind w:firstLine="720"/>
        <w:rPr>
          <w:sz w:val="24"/>
          <w:szCs w:val="24"/>
        </w:rPr>
      </w:pPr>
      <w:r>
        <w:rPr>
          <w:sz w:val="24"/>
          <w:szCs w:val="24"/>
        </w:rPr>
        <w:t>Mixed ability groupings</w:t>
      </w:r>
      <w:r w:rsidRPr="00CB7E4C">
        <w:rPr>
          <w:sz w:val="24"/>
          <w:szCs w:val="24"/>
        </w:rPr>
        <w:t xml:space="preserve"> usually consist of students who are at different ability or proficiency levels in a given subject. This method encourages group learning and teamwork </w:t>
      </w:r>
      <w:r w:rsidRPr="00CB7E4C">
        <w:rPr>
          <w:sz w:val="24"/>
          <w:szCs w:val="24"/>
        </w:rPr>
        <w:lastRenderedPageBreak/>
        <w:t>because more capable students can assist less experienced ones. In addition to fostering diversity and tolerance in the classroom, mixed ability groups help students recognise and benefit from each other's advantages and disadvantages.</w:t>
      </w:r>
      <w:r>
        <w:rPr>
          <w:sz w:val="24"/>
          <w:szCs w:val="24"/>
        </w:rPr>
        <w:t xml:space="preserve"> </w:t>
      </w:r>
      <w:r w:rsidR="001A55A6" w:rsidRPr="001A55A6">
        <w:rPr>
          <w:sz w:val="24"/>
          <w:szCs w:val="24"/>
        </w:rPr>
        <w:t xml:space="preserve">Students with different backgrounds and skill levels </w:t>
      </w:r>
      <w:r w:rsidR="001A55A6" w:rsidRPr="001554D5">
        <w:rPr>
          <w:sz w:val="24"/>
          <w:szCs w:val="24"/>
        </w:rPr>
        <w:t xml:space="preserve">are brought together in mixed ability groups to facilitate the sharing of ideas and viewpoints. Cohen and </w:t>
      </w:r>
      <w:proofErr w:type="spellStart"/>
      <w:r w:rsidR="001A55A6" w:rsidRPr="001554D5">
        <w:rPr>
          <w:sz w:val="24"/>
          <w:szCs w:val="24"/>
        </w:rPr>
        <w:t>Lotan</w:t>
      </w:r>
      <w:proofErr w:type="spellEnd"/>
      <w:r w:rsidR="001A55A6" w:rsidRPr="001554D5">
        <w:rPr>
          <w:sz w:val="24"/>
          <w:szCs w:val="24"/>
        </w:rPr>
        <w:t xml:space="preserve"> (2014) found that varie</w:t>
      </w:r>
      <w:r w:rsidR="001A55A6" w:rsidRPr="001A55A6">
        <w:rPr>
          <w:sz w:val="24"/>
          <w:szCs w:val="24"/>
        </w:rPr>
        <w:t>ty can promote more thorough problem-solving and critical thinking.</w:t>
      </w:r>
    </w:p>
    <w:p w14:paraId="74CC7256" w14:textId="635FAA70" w:rsidR="001A55A6" w:rsidRPr="00416796" w:rsidRDefault="009861C3" w:rsidP="001554D5">
      <w:pPr>
        <w:spacing w:line="480" w:lineRule="auto"/>
        <w:ind w:firstLine="720"/>
        <w:rPr>
          <w:sz w:val="24"/>
          <w:szCs w:val="24"/>
        </w:rPr>
      </w:pPr>
      <w:r w:rsidRPr="009861C3">
        <w:rPr>
          <w:sz w:val="24"/>
          <w:szCs w:val="24"/>
        </w:rPr>
        <w:t>Working in mixed ability groups provides opportunities for students to develop social and emo</w:t>
      </w:r>
      <w:r w:rsidRPr="00FC5324">
        <w:rPr>
          <w:sz w:val="24"/>
          <w:szCs w:val="24"/>
        </w:rPr>
        <w:t xml:space="preserve">tional skills, such as empathy, communication, and teamwork. This aligns with research by </w:t>
      </w:r>
      <w:proofErr w:type="spellStart"/>
      <w:r w:rsidRPr="00FC5324">
        <w:rPr>
          <w:sz w:val="24"/>
          <w:szCs w:val="24"/>
        </w:rPr>
        <w:t>Juvonen</w:t>
      </w:r>
      <w:proofErr w:type="spellEnd"/>
      <w:r w:rsidRPr="00FC5324">
        <w:rPr>
          <w:sz w:val="24"/>
          <w:szCs w:val="24"/>
        </w:rPr>
        <w:t xml:space="preserve"> and Wentzel (2017), which e</w:t>
      </w:r>
      <w:r w:rsidRPr="009861C3">
        <w:rPr>
          <w:sz w:val="24"/>
          <w:szCs w:val="24"/>
        </w:rPr>
        <w:t>mphasi</w:t>
      </w:r>
      <w:r w:rsidR="001554D5">
        <w:rPr>
          <w:sz w:val="24"/>
          <w:szCs w:val="24"/>
        </w:rPr>
        <w:t>s</w:t>
      </w:r>
      <w:r w:rsidRPr="009861C3">
        <w:rPr>
          <w:sz w:val="24"/>
          <w:szCs w:val="24"/>
        </w:rPr>
        <w:t>es the importance of social relatio</w:t>
      </w:r>
      <w:r w:rsidRPr="00416796">
        <w:rPr>
          <w:sz w:val="24"/>
          <w:szCs w:val="24"/>
        </w:rPr>
        <w:t>nships in academic settings.</w:t>
      </w:r>
    </w:p>
    <w:p w14:paraId="40F2F32C" w14:textId="4D079661" w:rsidR="009861C3" w:rsidRDefault="001A16EA" w:rsidP="00DB037E">
      <w:pPr>
        <w:spacing w:line="480" w:lineRule="auto"/>
        <w:ind w:firstLine="720"/>
        <w:rPr>
          <w:sz w:val="24"/>
          <w:szCs w:val="24"/>
        </w:rPr>
      </w:pPr>
      <w:r w:rsidRPr="00416796">
        <w:rPr>
          <w:sz w:val="24"/>
          <w:szCs w:val="24"/>
        </w:rPr>
        <w:t>Mixed ability group</w:t>
      </w:r>
      <w:r w:rsidR="001049B0" w:rsidRPr="00416796">
        <w:rPr>
          <w:sz w:val="24"/>
          <w:szCs w:val="24"/>
        </w:rPr>
        <w:t>i</w:t>
      </w:r>
      <w:r w:rsidR="00E5090D" w:rsidRPr="00416796">
        <w:rPr>
          <w:sz w:val="24"/>
          <w:szCs w:val="24"/>
        </w:rPr>
        <w:t>ng aligns with the Four purposes of the curriculum, promoted by Donaldson, 2015.</w:t>
      </w:r>
      <w:r w:rsidR="00E5090D">
        <w:rPr>
          <w:sz w:val="24"/>
          <w:szCs w:val="24"/>
        </w:rPr>
        <w:t xml:space="preserve"> </w:t>
      </w:r>
      <w:r w:rsidR="00373F63">
        <w:rPr>
          <w:sz w:val="24"/>
          <w:szCs w:val="24"/>
        </w:rPr>
        <w:t xml:space="preserve"> </w:t>
      </w:r>
    </w:p>
    <w:p w14:paraId="2C7658FB" w14:textId="75F67334" w:rsidR="00827026" w:rsidRPr="004530C9" w:rsidRDefault="00916E45" w:rsidP="004530C9">
      <w:pPr>
        <w:pStyle w:val="ListParagraph"/>
        <w:numPr>
          <w:ilvl w:val="0"/>
          <w:numId w:val="2"/>
        </w:numPr>
        <w:spacing w:line="480" w:lineRule="auto"/>
      </w:pPr>
      <w:r w:rsidRPr="004530C9">
        <w:t>Ambitious, capable learners: Mixed ability grouping gives all students the chance to take on difficult assignments and reach their maximum potential in terms of knowledge and skill development. Students who collaborate with peers of different skill levels can benefit from each other's talents and encourage one another along their learning path.</w:t>
      </w:r>
    </w:p>
    <w:p w14:paraId="031C7663" w14:textId="28576C5A" w:rsidR="004530C9" w:rsidRDefault="004530C9" w:rsidP="004530C9">
      <w:pPr>
        <w:pStyle w:val="ListParagraph"/>
        <w:numPr>
          <w:ilvl w:val="0"/>
          <w:numId w:val="2"/>
        </w:numPr>
        <w:spacing w:line="480" w:lineRule="auto"/>
      </w:pPr>
      <w:r w:rsidRPr="004530C9">
        <w:t>2. Healthy, confident individuals: Students in mixed ability groups can cultivate empathy, communication, and teamwork, as well as positive connections and social and emotional abilities. This enhances their general well-being and builds their resilience and confidence.</w:t>
      </w:r>
    </w:p>
    <w:p w14:paraId="7169C1E7" w14:textId="38BFD965" w:rsidR="00CC4E55" w:rsidRDefault="00843E6D" w:rsidP="004530C9">
      <w:pPr>
        <w:pStyle w:val="ListParagraph"/>
        <w:numPr>
          <w:ilvl w:val="0"/>
          <w:numId w:val="2"/>
        </w:numPr>
        <w:spacing w:line="480" w:lineRule="auto"/>
      </w:pPr>
      <w:r w:rsidRPr="00843E6D">
        <w:t xml:space="preserve">Ethical, informed citizens: Mixed-ability grouping encourages inclusion and diversity by cultivating an appreciation for and understanding of other viewpoints and backgrounds. Students gain empathy, respect, and a feeling of social duty </w:t>
      </w:r>
      <w:r w:rsidRPr="00843E6D">
        <w:lastRenderedPageBreak/>
        <w:t>through working with peers of different skill levels. These are critical traits of morally upright, knowledgeable citizens.</w:t>
      </w:r>
    </w:p>
    <w:p w14:paraId="31C42006" w14:textId="7FA22EA5" w:rsidR="00843E6D" w:rsidRDefault="00615FCC" w:rsidP="004530C9">
      <w:pPr>
        <w:pStyle w:val="ListParagraph"/>
        <w:numPr>
          <w:ilvl w:val="0"/>
          <w:numId w:val="2"/>
        </w:numPr>
        <w:spacing w:line="480" w:lineRule="auto"/>
      </w:pPr>
      <w:r w:rsidRPr="00615FCC">
        <w:t>Enterprising, creative contributors: Mixed ability grouping fosters critical thinking, creativity, and invention. Students are exposed to a range of concepts and methods when they work with peers who have varying ability levels, which sparks their creativity and problem-solving talents. This equips students to become enterprising people who can flourish in a changing and unpredictable world.</w:t>
      </w:r>
    </w:p>
    <w:p w14:paraId="05EF6354" w14:textId="77777777" w:rsidR="004F53C6" w:rsidRDefault="004F53C6" w:rsidP="004F53C6">
      <w:pPr>
        <w:spacing w:line="480" w:lineRule="auto"/>
      </w:pPr>
    </w:p>
    <w:p w14:paraId="38394BD1" w14:textId="464D45D9" w:rsidR="004F53C6" w:rsidRDefault="00DB037E" w:rsidP="004F53C6">
      <w:pPr>
        <w:spacing w:line="480" w:lineRule="auto"/>
      </w:pPr>
      <w:r>
        <w:t>Although mixed ability groupings display an a</w:t>
      </w:r>
      <w:r w:rsidR="00395A51">
        <w:t>rray of positive influences on learning, it is also crucial to consider the negative affects on learning outcomes</w:t>
      </w:r>
      <w:r w:rsidR="00816CAF">
        <w:t xml:space="preserve">. </w:t>
      </w:r>
      <w:r w:rsidR="002814AE" w:rsidRPr="002814AE">
        <w:t>The possibility of unequal contributions within groups is one of the challenges associated with mixed ability grouping. While less accomplished pupils could find it difficult to participate completely, higher achievers might dominate the task. The efficiency of group work may be hampered by this imbalanc</w:t>
      </w:r>
      <w:r w:rsidR="002814AE" w:rsidRPr="009E38A5">
        <w:t>e (</w:t>
      </w:r>
      <w:proofErr w:type="spellStart"/>
      <w:r w:rsidR="002814AE" w:rsidRPr="009E38A5">
        <w:t>Kulik</w:t>
      </w:r>
      <w:proofErr w:type="spellEnd"/>
      <w:r w:rsidR="002814AE" w:rsidRPr="009E38A5">
        <w:t xml:space="preserve"> &amp; </w:t>
      </w:r>
      <w:proofErr w:type="spellStart"/>
      <w:r w:rsidR="002814AE" w:rsidRPr="009E38A5">
        <w:t>Kulik</w:t>
      </w:r>
      <w:proofErr w:type="spellEnd"/>
      <w:r w:rsidR="002814AE" w:rsidRPr="009E38A5">
        <w:t>, 1992).</w:t>
      </w:r>
    </w:p>
    <w:p w14:paraId="5EF1BC69" w14:textId="5B920195" w:rsidR="00B528F8" w:rsidRDefault="00E737BF" w:rsidP="004F53C6">
      <w:pPr>
        <w:spacing w:line="480" w:lineRule="auto"/>
      </w:pPr>
      <w:r w:rsidRPr="00E737BF">
        <w:t>Differentiating education to address the varied needs of students in mixed ability groups presents a challenge for teachers. It might be difficult to sustain instructional pace while giving each student the right amount of assistance and challen</w:t>
      </w:r>
      <w:r w:rsidRPr="00D86BD5">
        <w:t>ge (Tomlinson, 2000).</w:t>
      </w:r>
    </w:p>
    <w:p w14:paraId="1FB955C0" w14:textId="49D9C97E" w:rsidR="00E737BF" w:rsidRDefault="00E737BF" w:rsidP="004F53C6">
      <w:pPr>
        <w:spacing w:line="480" w:lineRule="auto"/>
      </w:pPr>
      <w:r>
        <w:tab/>
      </w:r>
      <w:r w:rsidR="003D1442" w:rsidRPr="003D1442">
        <w:t>Compared to homogenous groups, mixed ability groups may take longer to finish activities because some students may need more assistance or clarification. This may have an impact on the pace of instruction and the quantity of material covered in a particular amoun</w:t>
      </w:r>
      <w:r w:rsidR="003D1442" w:rsidRPr="002428C6">
        <w:t>t of time (Hess &amp; Biggs, 2004).</w:t>
      </w:r>
    </w:p>
    <w:p w14:paraId="344267D5" w14:textId="6BF67DB3" w:rsidR="002949EE" w:rsidRPr="004530C9" w:rsidRDefault="002949EE" w:rsidP="004F53C6">
      <w:pPr>
        <w:spacing w:line="480" w:lineRule="auto"/>
      </w:pPr>
      <w:r>
        <w:tab/>
      </w:r>
      <w:r w:rsidRPr="002949EE">
        <w:t>Mixed-ability groups can result in social comparison among students, which can cause lower-achieving students to feel inadequate or low on self-wort</w:t>
      </w:r>
      <w:r w:rsidRPr="00AF42E7">
        <w:t>h. Marsh's (1987) research empha</w:t>
      </w:r>
      <w:r w:rsidRPr="002949EE">
        <w:t>sises the detrimental impacts of social comparison on academic motivation and self-concept.</w:t>
      </w:r>
    </w:p>
    <w:p w14:paraId="5779424A" w14:textId="5A684B9F" w:rsidR="00AB6EF3" w:rsidRDefault="00AB6EF3" w:rsidP="002C7BD5">
      <w:pPr>
        <w:spacing w:line="480" w:lineRule="auto"/>
        <w:ind w:firstLine="720"/>
        <w:rPr>
          <w:sz w:val="24"/>
          <w:szCs w:val="24"/>
        </w:rPr>
      </w:pPr>
    </w:p>
    <w:p w14:paraId="75C7E614" w14:textId="77777777" w:rsidR="00AB6EF3" w:rsidRDefault="00AB6EF3" w:rsidP="002C7BD5">
      <w:pPr>
        <w:spacing w:line="480" w:lineRule="auto"/>
        <w:ind w:firstLine="720"/>
        <w:rPr>
          <w:sz w:val="24"/>
          <w:szCs w:val="24"/>
        </w:rPr>
      </w:pPr>
    </w:p>
    <w:p w14:paraId="772B561D" w14:textId="77777777" w:rsidR="00AB6EF3" w:rsidRDefault="00AB6EF3" w:rsidP="002C7BD5">
      <w:pPr>
        <w:spacing w:line="480" w:lineRule="auto"/>
        <w:ind w:firstLine="720"/>
        <w:rPr>
          <w:sz w:val="24"/>
          <w:szCs w:val="24"/>
        </w:rPr>
      </w:pPr>
    </w:p>
    <w:p w14:paraId="62DD0E49" w14:textId="10D28454" w:rsidR="007A3D81" w:rsidRDefault="00202FCC" w:rsidP="002C7BD5">
      <w:pPr>
        <w:spacing w:line="480" w:lineRule="auto"/>
        <w:ind w:firstLine="720"/>
        <w:rPr>
          <w:sz w:val="24"/>
          <w:szCs w:val="24"/>
        </w:rPr>
      </w:pPr>
      <w:r>
        <w:rPr>
          <w:sz w:val="24"/>
          <w:szCs w:val="24"/>
        </w:rPr>
        <w:t xml:space="preserve"> </w:t>
      </w:r>
    </w:p>
    <w:p w14:paraId="3D450283" w14:textId="21266745" w:rsidR="0040387C" w:rsidRPr="00A86535" w:rsidRDefault="009F467E" w:rsidP="00842941">
      <w:pPr>
        <w:spacing w:line="480" w:lineRule="auto"/>
        <w:ind w:firstLine="720"/>
        <w:rPr>
          <w:b/>
          <w:bCs/>
          <w:i/>
          <w:iCs/>
          <w:color w:val="ED7D31" w:themeColor="accent2"/>
          <w:sz w:val="24"/>
          <w:szCs w:val="24"/>
          <w:u w:val="single"/>
        </w:rPr>
      </w:pPr>
      <w:r w:rsidRPr="00A86535">
        <w:rPr>
          <w:b/>
          <w:bCs/>
          <w:i/>
          <w:iCs/>
          <w:sz w:val="24"/>
          <w:szCs w:val="24"/>
          <w:u w:val="single"/>
        </w:rPr>
        <w:t>Discussion</w:t>
      </w:r>
      <w:r w:rsidR="00A86535" w:rsidRPr="00A86535">
        <w:rPr>
          <w:b/>
          <w:bCs/>
          <w:i/>
          <w:iCs/>
          <w:sz w:val="24"/>
          <w:szCs w:val="24"/>
          <w:u w:val="single"/>
        </w:rPr>
        <w:t>.</w:t>
      </w:r>
      <w:r w:rsidR="009B06FD" w:rsidRPr="00A86535">
        <w:rPr>
          <w:b/>
          <w:bCs/>
          <w:i/>
          <w:iCs/>
          <w:color w:val="ED7D31" w:themeColor="accent2"/>
          <w:sz w:val="24"/>
          <w:szCs w:val="24"/>
          <w:u w:val="single"/>
        </w:rPr>
        <w:t xml:space="preserve"> </w:t>
      </w:r>
    </w:p>
    <w:p w14:paraId="1C2E0FED" w14:textId="6D3D4BCB" w:rsidR="001E4654" w:rsidRDefault="00A60AB1" w:rsidP="00EF61C1">
      <w:pPr>
        <w:spacing w:line="480" w:lineRule="auto"/>
        <w:ind w:firstLine="720"/>
        <w:rPr>
          <w:sz w:val="24"/>
          <w:szCs w:val="24"/>
        </w:rPr>
      </w:pPr>
      <w:r w:rsidRPr="00A60AB1">
        <w:rPr>
          <w:sz w:val="24"/>
          <w:szCs w:val="24"/>
        </w:rPr>
        <w:t>Pedagogy is the umbrella term for the various strategies and tactics teachers use to help students learn in the classroom. It includes a variety of methods, approaches, and tactics for teaching that are customised to each student's needs. Scholarly literature emphasises how e</w:t>
      </w:r>
      <w:r w:rsidRPr="00317B9D">
        <w:rPr>
          <w:sz w:val="24"/>
          <w:szCs w:val="24"/>
        </w:rPr>
        <w:t>ducation is multidimensional and how it shapes students' cognitive, social, and emotional growth (Hattie, 2009). In o</w:t>
      </w:r>
      <w:r w:rsidRPr="00A60AB1">
        <w:rPr>
          <w:sz w:val="24"/>
          <w:szCs w:val="24"/>
        </w:rPr>
        <w:t>rder to be effective, pedagogy must provide meaningful learning experiences that captivate students and promote in-depth comprehension in addition to im</w:t>
      </w:r>
      <w:r w:rsidRPr="006530DC">
        <w:rPr>
          <w:sz w:val="24"/>
          <w:szCs w:val="24"/>
        </w:rPr>
        <w:t>parting knowledge (</w:t>
      </w:r>
      <w:proofErr w:type="spellStart"/>
      <w:r w:rsidRPr="006530DC">
        <w:rPr>
          <w:sz w:val="24"/>
          <w:szCs w:val="24"/>
        </w:rPr>
        <w:t>Shulman</w:t>
      </w:r>
      <w:proofErr w:type="spellEnd"/>
      <w:r w:rsidRPr="006530DC">
        <w:rPr>
          <w:sz w:val="24"/>
          <w:szCs w:val="24"/>
        </w:rPr>
        <w:t>, 2005). Teach</w:t>
      </w:r>
      <w:r w:rsidRPr="00A60AB1">
        <w:rPr>
          <w:sz w:val="24"/>
          <w:szCs w:val="24"/>
        </w:rPr>
        <w:t>ers can maximise the efficacy of their pedagogical techniques and foster positive learning outcomes by utilising evidence-bas</w:t>
      </w:r>
      <w:r w:rsidRPr="00317B9D">
        <w:rPr>
          <w:sz w:val="24"/>
          <w:szCs w:val="24"/>
        </w:rPr>
        <w:t>ed strategies and making adjustments to meet the different requirements of learners (</w:t>
      </w:r>
      <w:proofErr w:type="spellStart"/>
      <w:r w:rsidRPr="00317B9D">
        <w:rPr>
          <w:sz w:val="24"/>
          <w:szCs w:val="24"/>
        </w:rPr>
        <w:t>Slavin</w:t>
      </w:r>
      <w:proofErr w:type="spellEnd"/>
      <w:r w:rsidRPr="00317B9D">
        <w:rPr>
          <w:sz w:val="24"/>
          <w:szCs w:val="24"/>
        </w:rPr>
        <w:t>, 2014).</w:t>
      </w:r>
    </w:p>
    <w:p w14:paraId="27AB7C32" w14:textId="39834C90" w:rsidR="00103B72" w:rsidRDefault="00103B72" w:rsidP="000A0958">
      <w:pPr>
        <w:spacing w:line="480" w:lineRule="auto"/>
        <w:ind w:firstLine="720"/>
        <w:rPr>
          <w:sz w:val="24"/>
          <w:szCs w:val="24"/>
        </w:rPr>
      </w:pPr>
      <w:r>
        <w:rPr>
          <w:sz w:val="24"/>
          <w:szCs w:val="24"/>
        </w:rPr>
        <w:t>Th</w:t>
      </w:r>
      <w:r w:rsidR="007F667F">
        <w:rPr>
          <w:sz w:val="24"/>
          <w:szCs w:val="24"/>
        </w:rPr>
        <w:t>rough this research of ability groupings within the classroom setting, it is essential to weig</w:t>
      </w:r>
      <w:r w:rsidR="000A0958">
        <w:rPr>
          <w:sz w:val="24"/>
          <w:szCs w:val="24"/>
        </w:rPr>
        <w:t>h</w:t>
      </w:r>
      <w:r w:rsidR="007F667F">
        <w:rPr>
          <w:sz w:val="24"/>
          <w:szCs w:val="24"/>
        </w:rPr>
        <w:t xml:space="preserve"> up the positive and negative impact on learning and teaching</w:t>
      </w:r>
      <w:r w:rsidR="003C2079">
        <w:rPr>
          <w:sz w:val="24"/>
          <w:szCs w:val="24"/>
        </w:rPr>
        <w:t xml:space="preserve">. </w:t>
      </w:r>
      <w:r w:rsidR="000A0958">
        <w:rPr>
          <w:sz w:val="24"/>
          <w:szCs w:val="24"/>
        </w:rPr>
        <w:t xml:space="preserve">In reviewing the literature throughout, </w:t>
      </w:r>
      <w:r w:rsidR="00AD6AB7">
        <w:rPr>
          <w:sz w:val="24"/>
          <w:szCs w:val="24"/>
        </w:rPr>
        <w:t xml:space="preserve">a mixture of both ability grouping and mixed ability grouping would be a </w:t>
      </w:r>
      <w:r w:rsidR="00992786">
        <w:rPr>
          <w:sz w:val="24"/>
          <w:szCs w:val="24"/>
        </w:rPr>
        <w:t>strategy I would use within my classroom, working toward</w:t>
      </w:r>
      <w:r w:rsidR="00314902">
        <w:rPr>
          <w:sz w:val="24"/>
          <w:szCs w:val="24"/>
        </w:rPr>
        <w:t xml:space="preserve">. </w:t>
      </w:r>
    </w:p>
    <w:p w14:paraId="5EC20456" w14:textId="46615562" w:rsidR="00314902" w:rsidRDefault="00314902" w:rsidP="000A0958">
      <w:pPr>
        <w:spacing w:line="480" w:lineRule="auto"/>
        <w:ind w:firstLine="720"/>
        <w:rPr>
          <w:sz w:val="24"/>
          <w:szCs w:val="24"/>
        </w:rPr>
      </w:pPr>
      <w:r>
        <w:rPr>
          <w:sz w:val="24"/>
          <w:szCs w:val="24"/>
        </w:rPr>
        <w:t xml:space="preserve">By </w:t>
      </w:r>
      <w:r w:rsidR="00CB7E4C">
        <w:rPr>
          <w:sz w:val="24"/>
          <w:szCs w:val="24"/>
        </w:rPr>
        <w:t xml:space="preserve">using </w:t>
      </w:r>
      <w:r w:rsidR="00D843EA">
        <w:rPr>
          <w:sz w:val="24"/>
          <w:szCs w:val="24"/>
        </w:rPr>
        <w:t>a blended approach to these groupings</w:t>
      </w:r>
      <w:r>
        <w:rPr>
          <w:sz w:val="24"/>
          <w:szCs w:val="24"/>
        </w:rPr>
        <w:t xml:space="preserve">, I would be ale to </w:t>
      </w:r>
      <w:r w:rsidR="00382C6F">
        <w:rPr>
          <w:sz w:val="24"/>
          <w:szCs w:val="24"/>
        </w:rPr>
        <w:t>address</w:t>
      </w:r>
      <w:r>
        <w:rPr>
          <w:sz w:val="24"/>
          <w:szCs w:val="24"/>
        </w:rPr>
        <w:t xml:space="preserve"> the negatives of ability groupings and allow </w:t>
      </w:r>
      <w:r w:rsidR="00382C6F">
        <w:rPr>
          <w:sz w:val="24"/>
          <w:szCs w:val="24"/>
        </w:rPr>
        <w:t xml:space="preserve">the learners to receive a variety of </w:t>
      </w:r>
      <w:r w:rsidR="00FB50E2">
        <w:rPr>
          <w:sz w:val="24"/>
          <w:szCs w:val="24"/>
        </w:rPr>
        <w:t>opportunities of discussion</w:t>
      </w:r>
      <w:r w:rsidR="00D843EA">
        <w:rPr>
          <w:sz w:val="24"/>
          <w:szCs w:val="24"/>
        </w:rPr>
        <w:t>s</w:t>
      </w:r>
      <w:r w:rsidR="00FB50E2">
        <w:rPr>
          <w:sz w:val="24"/>
          <w:szCs w:val="24"/>
        </w:rPr>
        <w:t xml:space="preserve"> through these groupings. </w:t>
      </w:r>
    </w:p>
    <w:p w14:paraId="1B48640D" w14:textId="1A54EAB5" w:rsidR="003D7F76" w:rsidRDefault="00584AF9" w:rsidP="00EF61C1">
      <w:pPr>
        <w:spacing w:line="480" w:lineRule="auto"/>
        <w:ind w:firstLine="720"/>
        <w:rPr>
          <w:sz w:val="24"/>
          <w:szCs w:val="24"/>
        </w:rPr>
      </w:pPr>
      <w:r w:rsidRPr="00584AF9">
        <w:rPr>
          <w:sz w:val="24"/>
          <w:szCs w:val="24"/>
        </w:rPr>
        <w:t>In primary settings, a blended approach that includes both ability groupings and mixed abilities offers advantages li</w:t>
      </w:r>
      <w:r w:rsidRPr="00317B9D">
        <w:rPr>
          <w:sz w:val="24"/>
          <w:szCs w:val="24"/>
        </w:rPr>
        <w:t>ke social skill development, inclusion, and peer learning (Tomlinson, 1999; Hattie, 2009). But it also brings</w:t>
      </w:r>
      <w:r w:rsidRPr="00584AF9">
        <w:rPr>
          <w:sz w:val="24"/>
          <w:szCs w:val="24"/>
        </w:rPr>
        <w:t xml:space="preserve"> with it difficulties with instructional differentiation, the possibility of achievement inequalities expanding, and effects on </w:t>
      </w:r>
      <w:r w:rsidRPr="00584AF9">
        <w:rPr>
          <w:sz w:val="24"/>
          <w:szCs w:val="24"/>
        </w:rPr>
        <w:lastRenderedPageBreak/>
        <w:t>students' motivation and attitu</w:t>
      </w:r>
      <w:r w:rsidRPr="00E53EED">
        <w:rPr>
          <w:sz w:val="24"/>
          <w:szCs w:val="24"/>
        </w:rPr>
        <w:t>des (</w:t>
      </w:r>
      <w:proofErr w:type="spellStart"/>
      <w:r w:rsidRPr="00E53EED">
        <w:rPr>
          <w:sz w:val="24"/>
          <w:szCs w:val="24"/>
        </w:rPr>
        <w:t>Wiliam</w:t>
      </w:r>
      <w:proofErr w:type="spellEnd"/>
      <w:r w:rsidRPr="00E53EED">
        <w:rPr>
          <w:sz w:val="24"/>
          <w:szCs w:val="24"/>
        </w:rPr>
        <w:t xml:space="preserve">, 2011; </w:t>
      </w:r>
      <w:proofErr w:type="spellStart"/>
      <w:r w:rsidRPr="00E53EED">
        <w:rPr>
          <w:sz w:val="24"/>
          <w:szCs w:val="24"/>
        </w:rPr>
        <w:t>Slavin</w:t>
      </w:r>
      <w:proofErr w:type="spellEnd"/>
      <w:r w:rsidRPr="00E53EED">
        <w:rPr>
          <w:sz w:val="24"/>
          <w:szCs w:val="24"/>
        </w:rPr>
        <w:t>, 2</w:t>
      </w:r>
      <w:r w:rsidRPr="00317B9D">
        <w:rPr>
          <w:sz w:val="24"/>
          <w:szCs w:val="24"/>
        </w:rPr>
        <w:t xml:space="preserve">014). </w:t>
      </w:r>
      <w:r w:rsidR="00CF1D3B" w:rsidRPr="00317B9D">
        <w:rPr>
          <w:sz w:val="24"/>
          <w:szCs w:val="24"/>
        </w:rPr>
        <w:t>E</w:t>
      </w:r>
      <w:r w:rsidR="00CF1D3B" w:rsidRPr="00CF1D3B">
        <w:rPr>
          <w:sz w:val="24"/>
          <w:szCs w:val="24"/>
        </w:rPr>
        <w:t xml:space="preserve">ffective application of this strategy requires rigorous analysis of pedagogical approaches, ongoing evaluation, and teacher assistance in order to maximise its benefits and minimise its </w:t>
      </w:r>
      <w:r w:rsidR="00CF1D3B" w:rsidRPr="004932D0">
        <w:rPr>
          <w:sz w:val="24"/>
          <w:szCs w:val="24"/>
        </w:rPr>
        <w:t xml:space="preserve">drawbacks (Tomlinson &amp; </w:t>
      </w:r>
      <w:proofErr w:type="spellStart"/>
      <w:r w:rsidR="00CF1D3B" w:rsidRPr="004932D0">
        <w:rPr>
          <w:sz w:val="24"/>
          <w:szCs w:val="24"/>
        </w:rPr>
        <w:t>Imbeau</w:t>
      </w:r>
      <w:proofErr w:type="spellEnd"/>
      <w:r w:rsidR="00CF1D3B" w:rsidRPr="004932D0">
        <w:rPr>
          <w:sz w:val="24"/>
          <w:szCs w:val="24"/>
        </w:rPr>
        <w:t xml:space="preserve">, 2010; Hattie &amp; </w:t>
      </w:r>
      <w:proofErr w:type="spellStart"/>
      <w:r w:rsidR="00CF1D3B" w:rsidRPr="004932D0">
        <w:rPr>
          <w:sz w:val="24"/>
          <w:szCs w:val="24"/>
        </w:rPr>
        <w:t>Timperley</w:t>
      </w:r>
      <w:proofErr w:type="spellEnd"/>
      <w:r w:rsidR="00CF1D3B" w:rsidRPr="004932D0">
        <w:rPr>
          <w:sz w:val="24"/>
          <w:szCs w:val="24"/>
        </w:rPr>
        <w:t xml:space="preserve">, 2007). </w:t>
      </w:r>
      <w:proofErr w:type="spellStart"/>
      <w:r w:rsidR="00CF1D3B" w:rsidRPr="004932D0">
        <w:rPr>
          <w:sz w:val="24"/>
          <w:szCs w:val="24"/>
        </w:rPr>
        <w:t>Vygotsky's</w:t>
      </w:r>
      <w:proofErr w:type="spellEnd"/>
      <w:r w:rsidR="00CF1D3B" w:rsidRPr="004932D0">
        <w:rPr>
          <w:sz w:val="24"/>
          <w:szCs w:val="24"/>
        </w:rPr>
        <w:t xml:space="preserve"> (1978) research highlights the significance of scaffolding in mixed-ability groups for promoting peer development and learning. Furthermore, research by Piaget (1976) emphasises the value of offeri</w:t>
      </w:r>
      <w:r w:rsidR="00CF1D3B" w:rsidRPr="00CF1D3B">
        <w:rPr>
          <w:sz w:val="24"/>
          <w:szCs w:val="24"/>
        </w:rPr>
        <w:t>ng individualised education based o</w:t>
      </w:r>
      <w:r w:rsidR="00CF1D3B" w:rsidRPr="00D9662F">
        <w:rPr>
          <w:sz w:val="24"/>
          <w:szCs w:val="24"/>
        </w:rPr>
        <w:t>n each student's requirements in order to solve the difficulties posed by students' differing ability levels in the classroom. Additionally, Darling-Hammond's (2010) research</w:t>
      </w:r>
      <w:r w:rsidR="00CF1D3B" w:rsidRPr="00CF1D3B">
        <w:rPr>
          <w:sz w:val="24"/>
          <w:szCs w:val="24"/>
        </w:rPr>
        <w:t xml:space="preserve"> emphasises how important it is for teachers to collaborate on planning and continue their professional development in order to successfully apply blended learning strategies. Teachers can improve their techniques to better meet the different needs of their students and create inclusive learning environments by incorporating the insights from these scholars.</w:t>
      </w:r>
    </w:p>
    <w:p w14:paraId="192200C2" w14:textId="77777777" w:rsidR="003D7F76" w:rsidRPr="00A86535" w:rsidRDefault="003D7F76" w:rsidP="00EF61C1">
      <w:pPr>
        <w:spacing w:line="480" w:lineRule="auto"/>
        <w:ind w:firstLine="720"/>
        <w:rPr>
          <w:i/>
          <w:iCs/>
          <w:sz w:val="24"/>
          <w:szCs w:val="24"/>
          <w:u w:val="single"/>
        </w:rPr>
      </w:pPr>
    </w:p>
    <w:p w14:paraId="03988472" w14:textId="3DB4184C" w:rsidR="003D7F76" w:rsidRDefault="003A6725" w:rsidP="00EF61C1">
      <w:pPr>
        <w:spacing w:line="480" w:lineRule="auto"/>
        <w:ind w:firstLine="720"/>
        <w:rPr>
          <w:sz w:val="24"/>
          <w:szCs w:val="24"/>
        </w:rPr>
      </w:pPr>
      <w:r w:rsidRPr="00A86535">
        <w:rPr>
          <w:i/>
          <w:iCs/>
          <w:sz w:val="24"/>
          <w:szCs w:val="24"/>
          <w:u w:val="single"/>
        </w:rPr>
        <w:t>Conclusions</w:t>
      </w:r>
    </w:p>
    <w:p w14:paraId="370CAB0F" w14:textId="1EB100FD" w:rsidR="003A6725" w:rsidRDefault="00323672" w:rsidP="00EF61C1">
      <w:pPr>
        <w:spacing w:line="480" w:lineRule="auto"/>
        <w:ind w:firstLine="720"/>
        <w:rPr>
          <w:sz w:val="24"/>
          <w:szCs w:val="24"/>
        </w:rPr>
      </w:pPr>
      <w:r w:rsidRPr="00323672">
        <w:rPr>
          <w:sz w:val="24"/>
          <w:szCs w:val="24"/>
        </w:rPr>
        <w:t xml:space="preserve">In summary, the examination of ability grouping and mixed ability grouping in the framework of pedagogy highlights the significance of using a blended learning strategy to meet the needs of a wide range of students. Teachers can better negotiate the complexities of classroom dynamics by incorporating ideas from academics like Hattie, Tomlinson, </w:t>
      </w:r>
      <w:proofErr w:type="spellStart"/>
      <w:r w:rsidRPr="00323672">
        <w:rPr>
          <w:sz w:val="24"/>
          <w:szCs w:val="24"/>
        </w:rPr>
        <w:t>Vygotsky</w:t>
      </w:r>
      <w:proofErr w:type="spellEnd"/>
      <w:r w:rsidRPr="00323672">
        <w:rPr>
          <w:sz w:val="24"/>
          <w:szCs w:val="24"/>
        </w:rPr>
        <w:t>, Piaget, and Darling-Hammond. Ability grouping runs the risk of escalating inequality and restricting social relationships, even though it provides specialised education and chances for customised solutions. Conversely, mixed ability grouping encourages diversity, inclusion, and peer cooperation but presents difficulties for instructional differentiation and motivation maintenance.</w:t>
      </w:r>
    </w:p>
    <w:p w14:paraId="64B9AB6F" w14:textId="38B27A4D" w:rsidR="000D29A6" w:rsidRDefault="007468D1" w:rsidP="006929B4">
      <w:pPr>
        <w:spacing w:line="480" w:lineRule="auto"/>
        <w:ind w:firstLine="720"/>
        <w:rPr>
          <w:sz w:val="24"/>
          <w:szCs w:val="24"/>
        </w:rPr>
      </w:pPr>
      <w:r w:rsidRPr="007468D1">
        <w:rPr>
          <w:sz w:val="24"/>
          <w:szCs w:val="24"/>
        </w:rPr>
        <w:lastRenderedPageBreak/>
        <w:t>A balanced pedagogical strategy that capitalises on the advantages of both ability grouping and mixed ability grouping while minimising their respective limits arises as a result of acknowledging the pros and cons of each approach. This sophisticated strategy is in line with the complex nature of education and the requirement for ongoing evaluation and modification of instructional strategies. Adopting a blended learning strategy allows teachers to support students' academic, social, and emotional growth in a holistic way, emulating the transformative education philosophy promoted by top educational thinkers.</w:t>
      </w:r>
    </w:p>
    <w:p w14:paraId="4FA7E47E" w14:textId="77777777" w:rsidR="004A176E" w:rsidRDefault="004A176E" w:rsidP="006929B4">
      <w:pPr>
        <w:spacing w:line="480" w:lineRule="auto"/>
        <w:ind w:firstLine="720"/>
        <w:rPr>
          <w:sz w:val="24"/>
          <w:szCs w:val="24"/>
        </w:rPr>
      </w:pPr>
    </w:p>
    <w:p w14:paraId="468A8096" w14:textId="77777777" w:rsidR="004A176E" w:rsidRDefault="004A176E" w:rsidP="006929B4">
      <w:pPr>
        <w:spacing w:line="480" w:lineRule="auto"/>
        <w:ind w:firstLine="720"/>
        <w:rPr>
          <w:sz w:val="24"/>
          <w:szCs w:val="24"/>
        </w:rPr>
      </w:pPr>
    </w:p>
    <w:p w14:paraId="5735A31A" w14:textId="77777777" w:rsidR="004A176E" w:rsidRDefault="004A176E" w:rsidP="006929B4">
      <w:pPr>
        <w:spacing w:line="480" w:lineRule="auto"/>
        <w:ind w:firstLine="720"/>
        <w:rPr>
          <w:sz w:val="24"/>
          <w:szCs w:val="24"/>
        </w:rPr>
      </w:pPr>
    </w:p>
    <w:p w14:paraId="2039AF4F" w14:textId="77777777" w:rsidR="004A176E" w:rsidRDefault="004A176E" w:rsidP="006929B4">
      <w:pPr>
        <w:spacing w:line="480" w:lineRule="auto"/>
        <w:ind w:firstLine="720"/>
        <w:rPr>
          <w:sz w:val="24"/>
          <w:szCs w:val="24"/>
        </w:rPr>
      </w:pPr>
    </w:p>
    <w:p w14:paraId="0E2A7FAD" w14:textId="77777777" w:rsidR="004A176E" w:rsidRDefault="004A176E" w:rsidP="006929B4">
      <w:pPr>
        <w:spacing w:line="480" w:lineRule="auto"/>
        <w:ind w:firstLine="720"/>
        <w:rPr>
          <w:sz w:val="24"/>
          <w:szCs w:val="24"/>
        </w:rPr>
      </w:pPr>
    </w:p>
    <w:p w14:paraId="73A05D38" w14:textId="77777777" w:rsidR="004A176E" w:rsidRDefault="004A176E" w:rsidP="006929B4">
      <w:pPr>
        <w:spacing w:line="480" w:lineRule="auto"/>
        <w:ind w:firstLine="720"/>
        <w:rPr>
          <w:sz w:val="24"/>
          <w:szCs w:val="24"/>
        </w:rPr>
      </w:pPr>
    </w:p>
    <w:p w14:paraId="2D403D67" w14:textId="77777777" w:rsidR="004A176E" w:rsidRDefault="004A176E" w:rsidP="006929B4">
      <w:pPr>
        <w:spacing w:line="480" w:lineRule="auto"/>
        <w:ind w:firstLine="720"/>
        <w:rPr>
          <w:sz w:val="24"/>
          <w:szCs w:val="24"/>
        </w:rPr>
      </w:pPr>
    </w:p>
    <w:p w14:paraId="1E4D43EB" w14:textId="77777777" w:rsidR="004A176E" w:rsidRDefault="004A176E" w:rsidP="006929B4">
      <w:pPr>
        <w:spacing w:line="480" w:lineRule="auto"/>
        <w:ind w:firstLine="720"/>
        <w:rPr>
          <w:sz w:val="24"/>
          <w:szCs w:val="24"/>
        </w:rPr>
      </w:pPr>
    </w:p>
    <w:p w14:paraId="6D82B032" w14:textId="77777777" w:rsidR="004A176E" w:rsidRDefault="004A176E" w:rsidP="006929B4">
      <w:pPr>
        <w:spacing w:line="480" w:lineRule="auto"/>
        <w:ind w:firstLine="720"/>
        <w:rPr>
          <w:sz w:val="24"/>
          <w:szCs w:val="24"/>
        </w:rPr>
      </w:pPr>
    </w:p>
    <w:p w14:paraId="41DB9432" w14:textId="77777777" w:rsidR="004A176E" w:rsidRDefault="004A176E" w:rsidP="006929B4">
      <w:pPr>
        <w:spacing w:line="480" w:lineRule="auto"/>
        <w:ind w:firstLine="720"/>
        <w:rPr>
          <w:sz w:val="24"/>
          <w:szCs w:val="24"/>
        </w:rPr>
      </w:pPr>
    </w:p>
    <w:p w14:paraId="31B6A05C" w14:textId="77777777" w:rsidR="004A176E" w:rsidRDefault="004A176E" w:rsidP="006929B4">
      <w:pPr>
        <w:spacing w:line="480" w:lineRule="auto"/>
        <w:ind w:firstLine="720"/>
        <w:rPr>
          <w:sz w:val="24"/>
          <w:szCs w:val="24"/>
        </w:rPr>
      </w:pPr>
    </w:p>
    <w:p w14:paraId="21ADF337" w14:textId="77777777" w:rsidR="004A176E" w:rsidRDefault="004A176E" w:rsidP="006929B4">
      <w:pPr>
        <w:spacing w:line="480" w:lineRule="auto"/>
        <w:ind w:firstLine="720"/>
        <w:rPr>
          <w:sz w:val="24"/>
          <w:szCs w:val="24"/>
        </w:rPr>
      </w:pPr>
    </w:p>
    <w:p w14:paraId="3CB6616C" w14:textId="77777777" w:rsidR="004A176E" w:rsidRDefault="004A176E" w:rsidP="006929B4">
      <w:pPr>
        <w:spacing w:line="480" w:lineRule="auto"/>
        <w:ind w:firstLine="720"/>
        <w:rPr>
          <w:sz w:val="24"/>
          <w:szCs w:val="24"/>
        </w:rPr>
      </w:pPr>
    </w:p>
    <w:p w14:paraId="70D2DA53" w14:textId="77777777" w:rsidR="004A176E" w:rsidRDefault="004A176E" w:rsidP="006929B4">
      <w:pPr>
        <w:spacing w:line="480" w:lineRule="auto"/>
        <w:ind w:firstLine="720"/>
        <w:rPr>
          <w:sz w:val="24"/>
          <w:szCs w:val="24"/>
        </w:rPr>
      </w:pPr>
    </w:p>
    <w:p w14:paraId="209CAD0D" w14:textId="77777777" w:rsidR="004A176E" w:rsidRDefault="004A176E" w:rsidP="006929B4">
      <w:pPr>
        <w:spacing w:line="480" w:lineRule="auto"/>
        <w:ind w:firstLine="720"/>
        <w:rPr>
          <w:sz w:val="24"/>
          <w:szCs w:val="24"/>
        </w:rPr>
      </w:pPr>
    </w:p>
    <w:p w14:paraId="792E9203" w14:textId="77777777" w:rsidR="004A176E" w:rsidRDefault="004A176E" w:rsidP="006929B4">
      <w:pPr>
        <w:spacing w:line="480" w:lineRule="auto"/>
        <w:ind w:firstLine="720"/>
        <w:rPr>
          <w:sz w:val="24"/>
          <w:szCs w:val="24"/>
        </w:rPr>
      </w:pPr>
    </w:p>
    <w:p w14:paraId="2D4910C3" w14:textId="77777777" w:rsidR="004A176E" w:rsidRDefault="004A176E" w:rsidP="006929B4">
      <w:pPr>
        <w:spacing w:line="480" w:lineRule="auto"/>
        <w:ind w:firstLine="720"/>
        <w:rPr>
          <w:sz w:val="24"/>
          <w:szCs w:val="24"/>
        </w:rPr>
      </w:pPr>
    </w:p>
    <w:p w14:paraId="0A5667B3" w14:textId="77777777" w:rsidR="00DE2EF8" w:rsidRPr="00DE2EF8" w:rsidRDefault="00DE2EF8" w:rsidP="00DE2EF8">
      <w:pPr>
        <w:spacing w:after="240" w:line="540" w:lineRule="atLeast"/>
        <w:outlineLvl w:val="0"/>
        <w:divId w:val="262420098"/>
        <w:rPr>
          <w:rFonts w:ascii="Times New Roman" w:eastAsia="Times New Roman" w:hAnsi="Times New Roman" w:cs="Times New Roman"/>
          <w:b/>
          <w:bCs/>
          <w:color w:val="000000"/>
          <w:kern w:val="36"/>
          <w:sz w:val="36"/>
          <w:szCs w:val="36"/>
          <w:u w:val="single"/>
          <w14:ligatures w14:val="none"/>
        </w:rPr>
      </w:pPr>
      <w:r w:rsidRPr="00DE2EF8">
        <w:rPr>
          <w:rFonts w:ascii="Times New Roman" w:eastAsia="Times New Roman" w:hAnsi="Times New Roman" w:cs="Times New Roman"/>
          <w:b/>
          <w:bCs/>
          <w:color w:val="000000"/>
          <w:kern w:val="36"/>
          <w:sz w:val="36"/>
          <w:szCs w:val="36"/>
          <w:u w:val="single"/>
          <w14:ligatures w14:val="none"/>
        </w:rPr>
        <w:lastRenderedPageBreak/>
        <w:t>Reference list</w:t>
      </w:r>
    </w:p>
    <w:p w14:paraId="2FD5049C"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Bandura</w:t>
      </w:r>
      <w:proofErr w:type="spellEnd"/>
      <w:r w:rsidRPr="00DE2EF8">
        <w:rPr>
          <w:rFonts w:ascii="Times New Roman" w:hAnsi="Times New Roman" w:cs="Times New Roman"/>
          <w:color w:val="000000"/>
          <w:kern w:val="0"/>
          <w:sz w:val="24"/>
          <w:szCs w:val="24"/>
          <w14:ligatures w14:val="none"/>
        </w:rPr>
        <w:t>, A. (1977). </w:t>
      </w:r>
      <w:r w:rsidRPr="00DE2EF8">
        <w:rPr>
          <w:rFonts w:ascii="Times New Roman" w:hAnsi="Times New Roman" w:cs="Times New Roman"/>
          <w:i/>
          <w:iCs/>
          <w:color w:val="000000"/>
          <w:kern w:val="0"/>
          <w:sz w:val="24"/>
          <w:szCs w:val="24"/>
          <w14:ligatures w14:val="none"/>
        </w:rPr>
        <w:t>Social learning theory</w:t>
      </w:r>
      <w:r w:rsidRPr="00DE2EF8">
        <w:rPr>
          <w:rFonts w:ascii="Times New Roman" w:hAnsi="Times New Roman" w:cs="Times New Roman"/>
          <w:color w:val="000000"/>
          <w:kern w:val="0"/>
          <w:sz w:val="24"/>
          <w:szCs w:val="24"/>
          <w14:ligatures w14:val="none"/>
        </w:rPr>
        <w:t>. Englewood Cliffs, N.J. Prentice-Hall.</w:t>
      </w:r>
    </w:p>
    <w:p w14:paraId="1A1EB28F"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Biggs, J.B. and Tang, C.S.-K. (2011). </w:t>
      </w:r>
      <w:r w:rsidRPr="00DE2EF8">
        <w:rPr>
          <w:rFonts w:ascii="Times New Roman" w:hAnsi="Times New Roman" w:cs="Times New Roman"/>
          <w:i/>
          <w:iCs/>
          <w:color w:val="000000"/>
          <w:kern w:val="0"/>
          <w:sz w:val="24"/>
          <w:szCs w:val="24"/>
          <w14:ligatures w14:val="none"/>
        </w:rPr>
        <w:t>Teaching for Quality Learning at University : What the Student Does</w:t>
      </w:r>
      <w:r w:rsidRPr="00DE2EF8">
        <w:rPr>
          <w:rFonts w:ascii="Times New Roman" w:hAnsi="Times New Roman" w:cs="Times New Roman"/>
          <w:color w:val="000000"/>
          <w:kern w:val="0"/>
          <w:sz w:val="24"/>
          <w:szCs w:val="24"/>
          <w14:ligatures w14:val="none"/>
        </w:rPr>
        <w:t xml:space="preserve">. 4th ed. Maidenhead, England ; New York: </w:t>
      </w:r>
      <w:proofErr w:type="spellStart"/>
      <w:r w:rsidRPr="00DE2EF8">
        <w:rPr>
          <w:rFonts w:ascii="Times New Roman" w:hAnsi="Times New Roman" w:cs="Times New Roman"/>
          <w:color w:val="000000"/>
          <w:kern w:val="0"/>
          <w:sz w:val="24"/>
          <w:szCs w:val="24"/>
          <w14:ligatures w14:val="none"/>
        </w:rPr>
        <w:t>Mcgraw-Hill</w:t>
      </w:r>
      <w:proofErr w:type="spellEnd"/>
      <w:r w:rsidRPr="00DE2EF8">
        <w:rPr>
          <w:rFonts w:ascii="Times New Roman" w:hAnsi="Times New Roman" w:cs="Times New Roman"/>
          <w:color w:val="000000"/>
          <w:kern w:val="0"/>
          <w:sz w:val="24"/>
          <w:szCs w:val="24"/>
          <w14:ligatures w14:val="none"/>
        </w:rPr>
        <w:t>, Society For Research Into Higher Education &amp; Open University Press.</w:t>
      </w:r>
    </w:p>
    <w:p w14:paraId="26B4E248"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Brooks, G. and Wilson, J. (2015). </w:t>
      </w:r>
      <w:r w:rsidRPr="00DE2EF8">
        <w:rPr>
          <w:rFonts w:ascii="Times New Roman" w:hAnsi="Times New Roman" w:cs="Times New Roman"/>
          <w:i/>
          <w:iCs/>
          <w:color w:val="000000"/>
          <w:kern w:val="0"/>
          <w:sz w:val="24"/>
          <w:szCs w:val="24"/>
          <w14:ligatures w14:val="none"/>
        </w:rPr>
        <w:t>Using oral presentations to improve students’ English language skills</w:t>
      </w:r>
      <w:r w:rsidRPr="00DE2EF8">
        <w:rPr>
          <w:rFonts w:ascii="Times New Roman" w:hAnsi="Times New Roman" w:cs="Times New Roman"/>
          <w:color w:val="000000"/>
          <w:kern w:val="0"/>
          <w:sz w:val="24"/>
          <w:szCs w:val="24"/>
          <w14:ligatures w14:val="none"/>
        </w:rPr>
        <w:t>. [online] ResearchGate. Available at: https://www.researchgate.net/publication/324217578_Using_oral_presentations_to_improve_students%27_English_language_skills.</w:t>
      </w:r>
    </w:p>
    <w:p w14:paraId="04599ED4"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Bruner, J.S. (1966). </w:t>
      </w:r>
      <w:r w:rsidRPr="00DE2EF8">
        <w:rPr>
          <w:rFonts w:ascii="Times New Roman" w:hAnsi="Times New Roman" w:cs="Times New Roman"/>
          <w:i/>
          <w:iCs/>
          <w:color w:val="000000"/>
          <w:kern w:val="0"/>
          <w:sz w:val="24"/>
          <w:szCs w:val="24"/>
          <w14:ligatures w14:val="none"/>
        </w:rPr>
        <w:t>Toward a Theory of Instruction</w:t>
      </w:r>
      <w:r w:rsidRPr="00DE2EF8">
        <w:rPr>
          <w:rFonts w:ascii="Times New Roman" w:hAnsi="Times New Roman" w:cs="Times New Roman"/>
          <w:color w:val="000000"/>
          <w:kern w:val="0"/>
          <w:sz w:val="24"/>
          <w:szCs w:val="24"/>
          <w14:ligatures w14:val="none"/>
        </w:rPr>
        <w:t>. Massachusetts: Harvard University Press.</w:t>
      </w:r>
    </w:p>
    <w:p w14:paraId="7D2EE71B"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Calderhead</w:t>
      </w:r>
      <w:proofErr w:type="spellEnd"/>
      <w:r w:rsidRPr="00DE2EF8">
        <w:rPr>
          <w:rFonts w:ascii="Times New Roman" w:hAnsi="Times New Roman" w:cs="Times New Roman"/>
          <w:color w:val="000000"/>
          <w:kern w:val="0"/>
          <w:sz w:val="24"/>
          <w:szCs w:val="24"/>
          <w14:ligatures w14:val="none"/>
        </w:rPr>
        <w:t>, J. (1989). Reflective teaching and teacher education. </w:t>
      </w:r>
      <w:r w:rsidRPr="00DE2EF8">
        <w:rPr>
          <w:rFonts w:ascii="Times New Roman" w:hAnsi="Times New Roman" w:cs="Times New Roman"/>
          <w:i/>
          <w:iCs/>
          <w:color w:val="000000"/>
          <w:kern w:val="0"/>
          <w:sz w:val="24"/>
          <w:szCs w:val="24"/>
          <w14:ligatures w14:val="none"/>
        </w:rPr>
        <w:t>Teaching and Teacher Education</w:t>
      </w:r>
      <w:r w:rsidRPr="00DE2EF8">
        <w:rPr>
          <w:rFonts w:ascii="Times New Roman" w:hAnsi="Times New Roman" w:cs="Times New Roman"/>
          <w:color w:val="000000"/>
          <w:kern w:val="0"/>
          <w:sz w:val="24"/>
          <w:szCs w:val="24"/>
          <w14:ligatures w14:val="none"/>
        </w:rPr>
        <w:t xml:space="preserve">, 5(1), pp.43–51.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://doi.org/10.1016/0742-051x(89)90018-8.</w:t>
      </w:r>
    </w:p>
    <w:p w14:paraId="0B64EA94"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 xml:space="preserve">Carol Ann Tomlinson and </w:t>
      </w:r>
      <w:proofErr w:type="spellStart"/>
      <w:r w:rsidRPr="00DE2EF8">
        <w:rPr>
          <w:rFonts w:ascii="Times New Roman" w:hAnsi="Times New Roman" w:cs="Times New Roman"/>
          <w:color w:val="000000"/>
          <w:kern w:val="0"/>
          <w:sz w:val="24"/>
          <w:szCs w:val="24"/>
          <w14:ligatures w14:val="none"/>
        </w:rPr>
        <w:t>Imbeau</w:t>
      </w:r>
      <w:proofErr w:type="spellEnd"/>
      <w:r w:rsidRPr="00DE2EF8">
        <w:rPr>
          <w:rFonts w:ascii="Times New Roman" w:hAnsi="Times New Roman" w:cs="Times New Roman"/>
          <w:color w:val="000000"/>
          <w:kern w:val="0"/>
          <w:sz w:val="24"/>
          <w:szCs w:val="24"/>
          <w14:ligatures w14:val="none"/>
        </w:rPr>
        <w:t>, M.B. (2023). </w:t>
      </w:r>
      <w:r w:rsidRPr="00DE2EF8">
        <w:rPr>
          <w:rFonts w:ascii="Times New Roman" w:hAnsi="Times New Roman" w:cs="Times New Roman"/>
          <w:i/>
          <w:iCs/>
          <w:color w:val="000000"/>
          <w:kern w:val="0"/>
          <w:sz w:val="24"/>
          <w:szCs w:val="24"/>
          <w14:ligatures w14:val="none"/>
        </w:rPr>
        <w:t>Leading and Managing a Differentiated Classroom</w:t>
      </w:r>
      <w:r w:rsidRPr="00DE2EF8">
        <w:rPr>
          <w:rFonts w:ascii="Times New Roman" w:hAnsi="Times New Roman" w:cs="Times New Roman"/>
          <w:color w:val="000000"/>
          <w:kern w:val="0"/>
          <w:sz w:val="24"/>
          <w:szCs w:val="24"/>
          <w14:ligatures w14:val="none"/>
        </w:rPr>
        <w:t>. ASCD.</w:t>
      </w:r>
    </w:p>
    <w:p w14:paraId="3987D54E"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Carol Ann Tomlinson and Strickland, C.A. (2008). </w:t>
      </w:r>
      <w:r w:rsidRPr="00DE2EF8">
        <w:rPr>
          <w:rFonts w:ascii="Times New Roman" w:hAnsi="Times New Roman" w:cs="Times New Roman"/>
          <w:i/>
          <w:iCs/>
          <w:color w:val="000000"/>
          <w:kern w:val="0"/>
          <w:sz w:val="24"/>
          <w:szCs w:val="24"/>
          <w14:ligatures w14:val="none"/>
        </w:rPr>
        <w:t>Differentiation in practice : a resource guide for differentiating curriculum, grades 9-12</w:t>
      </w:r>
      <w:r w:rsidRPr="00DE2EF8">
        <w:rPr>
          <w:rFonts w:ascii="Times New Roman" w:hAnsi="Times New Roman" w:cs="Times New Roman"/>
          <w:color w:val="000000"/>
          <w:kern w:val="0"/>
          <w:sz w:val="24"/>
          <w:szCs w:val="24"/>
          <w14:ligatures w14:val="none"/>
        </w:rPr>
        <w:t>. Cheltenham, Melbourne: Hawker Brownlow Education.</w:t>
      </w:r>
    </w:p>
    <w:p w14:paraId="2B0EEB40"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 xml:space="preserve">Cohen, E.G. and </w:t>
      </w:r>
      <w:proofErr w:type="spellStart"/>
      <w:r w:rsidRPr="00DE2EF8">
        <w:rPr>
          <w:rFonts w:ascii="Times New Roman" w:hAnsi="Times New Roman" w:cs="Times New Roman"/>
          <w:color w:val="000000"/>
          <w:kern w:val="0"/>
          <w:sz w:val="24"/>
          <w:szCs w:val="24"/>
          <w14:ligatures w14:val="none"/>
        </w:rPr>
        <w:t>Lotan</w:t>
      </w:r>
      <w:proofErr w:type="spellEnd"/>
      <w:r w:rsidRPr="00DE2EF8">
        <w:rPr>
          <w:rFonts w:ascii="Times New Roman" w:hAnsi="Times New Roman" w:cs="Times New Roman"/>
          <w:color w:val="000000"/>
          <w:kern w:val="0"/>
          <w:sz w:val="24"/>
          <w:szCs w:val="24"/>
          <w14:ligatures w14:val="none"/>
        </w:rPr>
        <w:t>, R.A. (2014). </w:t>
      </w:r>
      <w:r w:rsidRPr="00DE2EF8">
        <w:rPr>
          <w:rFonts w:ascii="Times New Roman" w:hAnsi="Times New Roman" w:cs="Times New Roman"/>
          <w:i/>
          <w:iCs/>
          <w:color w:val="000000"/>
          <w:kern w:val="0"/>
          <w:sz w:val="24"/>
          <w:szCs w:val="24"/>
          <w14:ligatures w14:val="none"/>
        </w:rPr>
        <w:t xml:space="preserve">Designing </w:t>
      </w:r>
      <w:proofErr w:type="spellStart"/>
      <w:r w:rsidRPr="00DE2EF8">
        <w:rPr>
          <w:rFonts w:ascii="Times New Roman" w:hAnsi="Times New Roman" w:cs="Times New Roman"/>
          <w:i/>
          <w:iCs/>
          <w:color w:val="000000"/>
          <w:kern w:val="0"/>
          <w:sz w:val="24"/>
          <w:szCs w:val="24"/>
          <w14:ligatures w14:val="none"/>
        </w:rPr>
        <w:t>Groupwork</w:t>
      </w:r>
      <w:proofErr w:type="spellEnd"/>
      <w:r w:rsidRPr="00DE2EF8">
        <w:rPr>
          <w:rFonts w:ascii="Times New Roman" w:hAnsi="Times New Roman" w:cs="Times New Roman"/>
          <w:color w:val="000000"/>
          <w:kern w:val="0"/>
          <w:sz w:val="24"/>
          <w:szCs w:val="24"/>
          <w14:ligatures w14:val="none"/>
        </w:rPr>
        <w:t>. Teachers College Press.</w:t>
      </w:r>
    </w:p>
    <w:p w14:paraId="7663CEE3"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Darling-Hammond, L. (2010). </w:t>
      </w:r>
      <w:r w:rsidRPr="00DE2EF8">
        <w:rPr>
          <w:rFonts w:ascii="Times New Roman" w:hAnsi="Times New Roman" w:cs="Times New Roman"/>
          <w:i/>
          <w:iCs/>
          <w:color w:val="000000"/>
          <w:kern w:val="0"/>
          <w:sz w:val="24"/>
          <w:szCs w:val="24"/>
          <w14:ligatures w14:val="none"/>
        </w:rPr>
        <w:t>Flat World And Education.</w:t>
      </w:r>
      <w:r w:rsidRPr="00DE2EF8">
        <w:rPr>
          <w:rFonts w:ascii="Times New Roman" w:hAnsi="Times New Roman" w:cs="Times New Roman"/>
          <w:color w:val="000000"/>
          <w:kern w:val="0"/>
          <w:sz w:val="24"/>
          <w:szCs w:val="24"/>
          <w14:ligatures w14:val="none"/>
        </w:rPr>
        <w:t> Teachers College Press.</w:t>
      </w:r>
    </w:p>
    <w:p w14:paraId="6E04D618"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Dewey, J. (2010). </w:t>
      </w:r>
      <w:r w:rsidRPr="00DE2EF8">
        <w:rPr>
          <w:rFonts w:ascii="Times New Roman" w:hAnsi="Times New Roman" w:cs="Times New Roman"/>
          <w:i/>
          <w:iCs/>
          <w:color w:val="000000"/>
          <w:kern w:val="0"/>
          <w:sz w:val="24"/>
          <w:szCs w:val="24"/>
          <w14:ligatures w14:val="none"/>
        </w:rPr>
        <w:t>Democracy and education : an introduction to the philosophy of education</w:t>
      </w:r>
      <w:r w:rsidRPr="00DE2EF8">
        <w:rPr>
          <w:rFonts w:ascii="Times New Roman" w:hAnsi="Times New Roman" w:cs="Times New Roman"/>
          <w:color w:val="000000"/>
          <w:kern w:val="0"/>
          <w:sz w:val="24"/>
          <w:szCs w:val="24"/>
          <w14:ligatures w14:val="none"/>
        </w:rPr>
        <w:t xml:space="preserve">. Memphis, </w:t>
      </w:r>
      <w:proofErr w:type="spellStart"/>
      <w:r w:rsidRPr="00DE2EF8">
        <w:rPr>
          <w:rFonts w:ascii="Times New Roman" w:hAnsi="Times New Roman" w:cs="Times New Roman"/>
          <w:color w:val="000000"/>
          <w:kern w:val="0"/>
          <w:sz w:val="24"/>
          <w:szCs w:val="24"/>
          <w14:ligatures w14:val="none"/>
        </w:rPr>
        <w:t>Tenn</w:t>
      </w:r>
      <w:proofErr w:type="spellEnd"/>
      <w:r w:rsidRPr="00DE2EF8">
        <w:rPr>
          <w:rFonts w:ascii="Times New Roman" w:hAnsi="Times New Roman" w:cs="Times New Roman"/>
          <w:color w:val="000000"/>
          <w:kern w:val="0"/>
          <w:sz w:val="24"/>
          <w:szCs w:val="24"/>
          <w14:ligatures w14:val="none"/>
        </w:rPr>
        <w:t>.: General Books.</w:t>
      </w:r>
    </w:p>
    <w:p w14:paraId="4A964BAE"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Donaldson, G. (2015). </w:t>
      </w:r>
      <w:r w:rsidRPr="00DE2EF8">
        <w:rPr>
          <w:rFonts w:ascii="Times New Roman" w:hAnsi="Times New Roman" w:cs="Times New Roman"/>
          <w:i/>
          <w:iCs/>
          <w:color w:val="000000"/>
          <w:kern w:val="0"/>
          <w:sz w:val="24"/>
          <w:szCs w:val="24"/>
          <w14:ligatures w14:val="none"/>
        </w:rPr>
        <w:t>Successful Futures Independent Review of Curriculum and Assessment Arrangements in Wales</w:t>
      </w:r>
      <w:r w:rsidRPr="00DE2EF8">
        <w:rPr>
          <w:rFonts w:ascii="Times New Roman" w:hAnsi="Times New Roman" w:cs="Times New Roman"/>
          <w:color w:val="000000"/>
          <w:kern w:val="0"/>
          <w:sz w:val="24"/>
          <w:szCs w:val="24"/>
          <w14:ligatures w14:val="none"/>
        </w:rPr>
        <w:t>. [online] Available at: https://www.gov.wales/sites/default/files/publications/2018-03/successful-futures.pdf.</w:t>
      </w:r>
    </w:p>
    <w:p w14:paraId="02E240E2"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Dweck</w:t>
      </w:r>
      <w:proofErr w:type="spellEnd"/>
      <w:r w:rsidRPr="00DE2EF8">
        <w:rPr>
          <w:rFonts w:ascii="Times New Roman" w:hAnsi="Times New Roman" w:cs="Times New Roman"/>
          <w:color w:val="000000"/>
          <w:kern w:val="0"/>
          <w:sz w:val="24"/>
          <w:szCs w:val="24"/>
          <w14:ligatures w14:val="none"/>
        </w:rPr>
        <w:t>, C.S. (1999). </w:t>
      </w:r>
      <w:r w:rsidRPr="00DE2EF8">
        <w:rPr>
          <w:rFonts w:ascii="Times New Roman" w:hAnsi="Times New Roman" w:cs="Times New Roman"/>
          <w:i/>
          <w:iCs/>
          <w:color w:val="000000"/>
          <w:kern w:val="0"/>
          <w:sz w:val="24"/>
          <w:szCs w:val="24"/>
          <w14:ligatures w14:val="none"/>
        </w:rPr>
        <w:t>Self-theories : their role in motivation, personality, and development</w:t>
      </w:r>
      <w:r w:rsidRPr="00DE2EF8">
        <w:rPr>
          <w:rFonts w:ascii="Times New Roman" w:hAnsi="Times New Roman" w:cs="Times New Roman"/>
          <w:color w:val="000000"/>
          <w:kern w:val="0"/>
          <w:sz w:val="24"/>
          <w:szCs w:val="24"/>
          <w14:ligatures w14:val="none"/>
        </w:rPr>
        <w:t>. Philadelphia, Pa: Psychology Press, pp.5–14.</w:t>
      </w:r>
    </w:p>
    <w:p w14:paraId="3CDFDC71"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Flanagan, J.C. (1954). The critical incident technique. </w:t>
      </w:r>
      <w:r w:rsidRPr="00DE2EF8">
        <w:rPr>
          <w:rFonts w:ascii="Times New Roman" w:hAnsi="Times New Roman" w:cs="Times New Roman"/>
          <w:i/>
          <w:iCs/>
          <w:color w:val="000000"/>
          <w:kern w:val="0"/>
          <w:sz w:val="24"/>
          <w:szCs w:val="24"/>
          <w14:ligatures w14:val="none"/>
        </w:rPr>
        <w:t>Psychological Bulletin</w:t>
      </w:r>
      <w:r w:rsidRPr="00DE2EF8">
        <w:rPr>
          <w:rFonts w:ascii="Times New Roman" w:hAnsi="Times New Roman" w:cs="Times New Roman"/>
          <w:color w:val="000000"/>
          <w:kern w:val="0"/>
          <w:sz w:val="24"/>
          <w:szCs w:val="24"/>
          <w14:ligatures w14:val="none"/>
        </w:rPr>
        <w:t xml:space="preserve">, [online] 51(4), pp.327–358.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://doi.org/10.1037/h0061470.</w:t>
      </w:r>
    </w:p>
    <w:p w14:paraId="7318B9AF"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lastRenderedPageBreak/>
        <w:t>Gamoran</w:t>
      </w:r>
      <w:proofErr w:type="spellEnd"/>
      <w:r w:rsidRPr="00DE2EF8">
        <w:rPr>
          <w:rFonts w:ascii="Times New Roman" w:hAnsi="Times New Roman" w:cs="Times New Roman"/>
          <w:color w:val="000000"/>
          <w:kern w:val="0"/>
          <w:sz w:val="24"/>
          <w:szCs w:val="24"/>
          <w14:ligatures w14:val="none"/>
        </w:rPr>
        <w:t>, A. (1992). The Variable Effects of High School Tracking. </w:t>
      </w:r>
      <w:r w:rsidRPr="00DE2EF8">
        <w:rPr>
          <w:rFonts w:ascii="Times New Roman" w:hAnsi="Times New Roman" w:cs="Times New Roman"/>
          <w:i/>
          <w:iCs/>
          <w:color w:val="000000"/>
          <w:kern w:val="0"/>
          <w:sz w:val="24"/>
          <w:szCs w:val="24"/>
          <w14:ligatures w14:val="none"/>
        </w:rPr>
        <w:t>American Sociological Review</w:t>
      </w:r>
      <w:r w:rsidRPr="00DE2EF8">
        <w:rPr>
          <w:rFonts w:ascii="Times New Roman" w:hAnsi="Times New Roman" w:cs="Times New Roman"/>
          <w:color w:val="000000"/>
          <w:kern w:val="0"/>
          <w:sz w:val="24"/>
          <w:szCs w:val="24"/>
          <w14:ligatures w14:val="none"/>
        </w:rPr>
        <w:t xml:space="preserve">, 57(6), p.812.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://doi.org/10.2307/2096125.</w:t>
      </w:r>
    </w:p>
    <w:p w14:paraId="16986F3B"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Gamoran</w:t>
      </w:r>
      <w:proofErr w:type="spellEnd"/>
      <w:r w:rsidRPr="00DE2EF8">
        <w:rPr>
          <w:rFonts w:ascii="Times New Roman" w:hAnsi="Times New Roman" w:cs="Times New Roman"/>
          <w:color w:val="000000"/>
          <w:kern w:val="0"/>
          <w:sz w:val="24"/>
          <w:szCs w:val="24"/>
          <w14:ligatures w14:val="none"/>
        </w:rPr>
        <w:t>, A. (2008). </w:t>
      </w:r>
      <w:r w:rsidRPr="00DE2EF8">
        <w:rPr>
          <w:rFonts w:ascii="Times New Roman" w:hAnsi="Times New Roman" w:cs="Times New Roman"/>
          <w:i/>
          <w:iCs/>
          <w:color w:val="000000"/>
          <w:kern w:val="0"/>
          <w:sz w:val="24"/>
          <w:szCs w:val="24"/>
          <w14:ligatures w14:val="none"/>
        </w:rPr>
        <w:t>Standards-Based Reform and the Poverty Gap</w:t>
      </w:r>
      <w:r w:rsidRPr="00DE2EF8">
        <w:rPr>
          <w:rFonts w:ascii="Times New Roman" w:hAnsi="Times New Roman" w:cs="Times New Roman"/>
          <w:color w:val="000000"/>
          <w:kern w:val="0"/>
          <w:sz w:val="24"/>
          <w:szCs w:val="24"/>
          <w14:ligatures w14:val="none"/>
        </w:rPr>
        <w:t>. Brookings Institution Press.</w:t>
      </w:r>
    </w:p>
    <w:p w14:paraId="70EFD943"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Gardner, H. (1993). </w:t>
      </w:r>
      <w:r w:rsidRPr="00DE2EF8">
        <w:rPr>
          <w:rFonts w:ascii="Times New Roman" w:hAnsi="Times New Roman" w:cs="Times New Roman"/>
          <w:i/>
          <w:iCs/>
          <w:color w:val="000000"/>
          <w:kern w:val="0"/>
          <w:sz w:val="24"/>
          <w:szCs w:val="24"/>
          <w14:ligatures w14:val="none"/>
        </w:rPr>
        <w:t>Multiple intelligences: the theory in practice</w:t>
      </w:r>
      <w:r w:rsidRPr="00DE2EF8">
        <w:rPr>
          <w:rFonts w:ascii="Times New Roman" w:hAnsi="Times New Roman" w:cs="Times New Roman"/>
          <w:color w:val="000000"/>
          <w:kern w:val="0"/>
          <w:sz w:val="24"/>
          <w:szCs w:val="24"/>
          <w14:ligatures w14:val="none"/>
        </w:rPr>
        <w:t>. New York, Ny: Basic Books.</w:t>
      </w:r>
    </w:p>
    <w:p w14:paraId="3C6ECD56"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Hallinan</w:t>
      </w:r>
      <w:proofErr w:type="spellEnd"/>
      <w:r w:rsidRPr="00DE2EF8">
        <w:rPr>
          <w:rFonts w:ascii="Times New Roman" w:hAnsi="Times New Roman" w:cs="Times New Roman"/>
          <w:color w:val="000000"/>
          <w:kern w:val="0"/>
          <w:sz w:val="24"/>
          <w:szCs w:val="24"/>
          <w14:ligatures w14:val="none"/>
        </w:rPr>
        <w:t>, M.T. (1994). Tracking: From Theory to Practice. </w:t>
      </w:r>
      <w:r w:rsidRPr="00DE2EF8">
        <w:rPr>
          <w:rFonts w:ascii="Times New Roman" w:hAnsi="Times New Roman" w:cs="Times New Roman"/>
          <w:i/>
          <w:iCs/>
          <w:color w:val="000000"/>
          <w:kern w:val="0"/>
          <w:sz w:val="24"/>
          <w:szCs w:val="24"/>
          <w14:ligatures w14:val="none"/>
        </w:rPr>
        <w:t>Sociology of Education</w:t>
      </w:r>
      <w:r w:rsidRPr="00DE2EF8">
        <w:rPr>
          <w:rFonts w:ascii="Times New Roman" w:hAnsi="Times New Roman" w:cs="Times New Roman"/>
          <w:color w:val="000000"/>
          <w:kern w:val="0"/>
          <w:sz w:val="24"/>
          <w:szCs w:val="24"/>
          <w14:ligatures w14:val="none"/>
        </w:rPr>
        <w:t xml:space="preserve">, 67(2), p.79.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://doi.org/10.2307/2112697.</w:t>
      </w:r>
    </w:p>
    <w:p w14:paraId="01C82899"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Hattie, J. (2008). </w:t>
      </w:r>
      <w:r w:rsidRPr="00DE2EF8">
        <w:rPr>
          <w:rFonts w:ascii="Times New Roman" w:hAnsi="Times New Roman" w:cs="Times New Roman"/>
          <w:i/>
          <w:iCs/>
          <w:color w:val="000000"/>
          <w:kern w:val="0"/>
          <w:sz w:val="24"/>
          <w:szCs w:val="24"/>
          <w14:ligatures w14:val="none"/>
        </w:rPr>
        <w:t>Visible Learning A Synthesis of Over 800 Meta-Analyses Relating to Achievement</w:t>
      </w:r>
      <w:r w:rsidRPr="00DE2EF8">
        <w:rPr>
          <w:rFonts w:ascii="Times New Roman" w:hAnsi="Times New Roman" w:cs="Times New Roman"/>
          <w:color w:val="000000"/>
          <w:kern w:val="0"/>
          <w:sz w:val="24"/>
          <w:szCs w:val="24"/>
          <w14:ligatures w14:val="none"/>
        </w:rPr>
        <w:t xml:space="preserve">. </w:t>
      </w:r>
      <w:proofErr w:type="spellStart"/>
      <w:r w:rsidRPr="00DE2EF8">
        <w:rPr>
          <w:rFonts w:ascii="Times New Roman" w:hAnsi="Times New Roman" w:cs="Times New Roman"/>
          <w:color w:val="000000"/>
          <w:kern w:val="0"/>
          <w:sz w:val="24"/>
          <w:szCs w:val="24"/>
          <w14:ligatures w14:val="none"/>
        </w:rPr>
        <w:t>Routledge</w:t>
      </w:r>
      <w:proofErr w:type="spellEnd"/>
      <w:r w:rsidRPr="00DE2EF8">
        <w:rPr>
          <w:rFonts w:ascii="Times New Roman" w:hAnsi="Times New Roman" w:cs="Times New Roman"/>
          <w:color w:val="000000"/>
          <w:kern w:val="0"/>
          <w:sz w:val="24"/>
          <w:szCs w:val="24"/>
          <w14:ligatures w14:val="none"/>
        </w:rPr>
        <w:t>.</w:t>
      </w:r>
    </w:p>
    <w:p w14:paraId="76CA2C94"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 xml:space="preserve">Hattie, J. and </w:t>
      </w:r>
      <w:proofErr w:type="spellStart"/>
      <w:r w:rsidRPr="00DE2EF8">
        <w:rPr>
          <w:rFonts w:ascii="Times New Roman" w:hAnsi="Times New Roman" w:cs="Times New Roman"/>
          <w:color w:val="000000"/>
          <w:kern w:val="0"/>
          <w:sz w:val="24"/>
          <w:szCs w:val="24"/>
          <w14:ligatures w14:val="none"/>
        </w:rPr>
        <w:t>Timperley</w:t>
      </w:r>
      <w:proofErr w:type="spellEnd"/>
      <w:r w:rsidRPr="00DE2EF8">
        <w:rPr>
          <w:rFonts w:ascii="Times New Roman" w:hAnsi="Times New Roman" w:cs="Times New Roman"/>
          <w:color w:val="000000"/>
          <w:kern w:val="0"/>
          <w:sz w:val="24"/>
          <w:szCs w:val="24"/>
          <w14:ligatures w14:val="none"/>
        </w:rPr>
        <w:t>, H. (2007). The Power of Feedback. </w:t>
      </w:r>
      <w:r w:rsidRPr="00DE2EF8">
        <w:rPr>
          <w:rFonts w:ascii="Times New Roman" w:hAnsi="Times New Roman" w:cs="Times New Roman"/>
          <w:i/>
          <w:iCs/>
          <w:color w:val="000000"/>
          <w:kern w:val="0"/>
          <w:sz w:val="24"/>
          <w:szCs w:val="24"/>
          <w14:ligatures w14:val="none"/>
        </w:rPr>
        <w:t>Review of Educational Research</w:t>
      </w:r>
      <w:r w:rsidRPr="00DE2EF8">
        <w:rPr>
          <w:rFonts w:ascii="Times New Roman" w:hAnsi="Times New Roman" w:cs="Times New Roman"/>
          <w:color w:val="000000"/>
          <w:kern w:val="0"/>
          <w:sz w:val="24"/>
          <w:szCs w:val="24"/>
          <w14:ligatures w14:val="none"/>
        </w:rPr>
        <w:t xml:space="preserve">, [online] 77(1), pp.81–112.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://doi.org/10.3102/003465430298487.</w:t>
      </w:r>
    </w:p>
    <w:p w14:paraId="451D100C"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Hatton, N. and Smith, D. (1995). Reflection in Teacher education: Towards Definition and Implementation. </w:t>
      </w:r>
      <w:r w:rsidRPr="00DE2EF8">
        <w:rPr>
          <w:rFonts w:ascii="Times New Roman" w:hAnsi="Times New Roman" w:cs="Times New Roman"/>
          <w:i/>
          <w:iCs/>
          <w:color w:val="000000"/>
          <w:kern w:val="0"/>
          <w:sz w:val="24"/>
          <w:szCs w:val="24"/>
          <w14:ligatures w14:val="none"/>
        </w:rPr>
        <w:t>Teaching and Teacher Education</w:t>
      </w:r>
      <w:r w:rsidRPr="00DE2EF8">
        <w:rPr>
          <w:rFonts w:ascii="Times New Roman" w:hAnsi="Times New Roman" w:cs="Times New Roman"/>
          <w:color w:val="000000"/>
          <w:kern w:val="0"/>
          <w:sz w:val="24"/>
          <w:szCs w:val="24"/>
          <w14:ligatures w14:val="none"/>
        </w:rPr>
        <w:t xml:space="preserve">, [online] 11(1), pp.33–49.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://doi.org/10.1016/0742-051x(94)00012-u.</w:t>
      </w:r>
    </w:p>
    <w:p w14:paraId="06FD6485"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Hausfather</w:t>
      </w:r>
      <w:proofErr w:type="spellEnd"/>
      <w:r w:rsidRPr="00DE2EF8">
        <w:rPr>
          <w:rFonts w:ascii="Times New Roman" w:hAnsi="Times New Roman" w:cs="Times New Roman"/>
          <w:color w:val="000000"/>
          <w:kern w:val="0"/>
          <w:sz w:val="24"/>
          <w:szCs w:val="24"/>
          <w14:ligatures w14:val="none"/>
        </w:rPr>
        <w:t xml:space="preserve">, S.J. (1996). </w:t>
      </w:r>
      <w:proofErr w:type="spellStart"/>
      <w:r w:rsidRPr="00DE2EF8">
        <w:rPr>
          <w:rFonts w:ascii="Times New Roman" w:hAnsi="Times New Roman" w:cs="Times New Roman"/>
          <w:color w:val="000000"/>
          <w:kern w:val="0"/>
          <w:sz w:val="24"/>
          <w:szCs w:val="24"/>
          <w14:ligatures w14:val="none"/>
        </w:rPr>
        <w:t>Vygotsky</w:t>
      </w:r>
      <w:proofErr w:type="spellEnd"/>
      <w:r w:rsidRPr="00DE2EF8">
        <w:rPr>
          <w:rFonts w:ascii="Times New Roman" w:hAnsi="Times New Roman" w:cs="Times New Roman"/>
          <w:color w:val="000000"/>
          <w:kern w:val="0"/>
          <w:sz w:val="24"/>
          <w:szCs w:val="24"/>
          <w14:ligatures w14:val="none"/>
        </w:rPr>
        <w:t xml:space="preserve"> and Schooling: Creating a Social Context for Learning. </w:t>
      </w:r>
      <w:r w:rsidRPr="00DE2EF8">
        <w:rPr>
          <w:rFonts w:ascii="Times New Roman" w:hAnsi="Times New Roman" w:cs="Times New Roman"/>
          <w:i/>
          <w:iCs/>
          <w:color w:val="000000"/>
          <w:kern w:val="0"/>
          <w:sz w:val="24"/>
          <w:szCs w:val="24"/>
          <w14:ligatures w14:val="none"/>
        </w:rPr>
        <w:t>Action in Teacher Education</w:t>
      </w:r>
      <w:r w:rsidRPr="00DE2EF8">
        <w:rPr>
          <w:rFonts w:ascii="Times New Roman" w:hAnsi="Times New Roman" w:cs="Times New Roman"/>
          <w:color w:val="000000"/>
          <w:kern w:val="0"/>
          <w:sz w:val="24"/>
          <w:szCs w:val="24"/>
          <w14:ligatures w14:val="none"/>
        </w:rPr>
        <w:t xml:space="preserve">, [online] 18(2), pp.1–10.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://doi.org/10.1080/01626620.1996.10462828.</w:t>
      </w:r>
    </w:p>
    <w:p w14:paraId="4205F2B8"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 xml:space="preserve">Hornby, G. and </w:t>
      </w:r>
      <w:proofErr w:type="spellStart"/>
      <w:r w:rsidRPr="00DE2EF8">
        <w:rPr>
          <w:rFonts w:ascii="Times New Roman" w:hAnsi="Times New Roman" w:cs="Times New Roman"/>
          <w:color w:val="000000"/>
          <w:kern w:val="0"/>
          <w:sz w:val="24"/>
          <w:szCs w:val="24"/>
          <w14:ligatures w14:val="none"/>
        </w:rPr>
        <w:t>Witte</w:t>
      </w:r>
      <w:proofErr w:type="spellEnd"/>
      <w:r w:rsidRPr="00DE2EF8">
        <w:rPr>
          <w:rFonts w:ascii="Times New Roman" w:hAnsi="Times New Roman" w:cs="Times New Roman"/>
          <w:color w:val="000000"/>
          <w:kern w:val="0"/>
          <w:sz w:val="24"/>
          <w:szCs w:val="24"/>
          <w14:ligatures w14:val="none"/>
        </w:rPr>
        <w:t>, C. (2014). Ability Grouping in New Zealand High Schools: Are Practices Evidence-Based?. </w:t>
      </w:r>
      <w:r w:rsidRPr="00DE2EF8">
        <w:rPr>
          <w:rFonts w:ascii="Times New Roman" w:hAnsi="Times New Roman" w:cs="Times New Roman"/>
          <w:i/>
          <w:iCs/>
          <w:color w:val="000000"/>
          <w:kern w:val="0"/>
          <w:sz w:val="24"/>
          <w:szCs w:val="24"/>
          <w14:ligatures w14:val="none"/>
        </w:rPr>
        <w:t>Preventing School Failure</w:t>
      </w:r>
      <w:r w:rsidRPr="00DE2EF8">
        <w:rPr>
          <w:rFonts w:ascii="Times New Roman" w:hAnsi="Times New Roman" w:cs="Times New Roman"/>
          <w:color w:val="000000"/>
          <w:kern w:val="0"/>
          <w:sz w:val="24"/>
          <w:szCs w:val="24"/>
          <w14:ligatures w14:val="none"/>
        </w:rPr>
        <w:t xml:space="preserve">, 58(2), pp.90–95.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://doi.org/10.1080/1045988x.2013.782531.</w:t>
      </w:r>
    </w:p>
    <w:p w14:paraId="793D63B8"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Kulik</w:t>
      </w:r>
      <w:proofErr w:type="spellEnd"/>
      <w:r w:rsidRPr="00DE2EF8">
        <w:rPr>
          <w:rFonts w:ascii="Times New Roman" w:hAnsi="Times New Roman" w:cs="Times New Roman"/>
          <w:color w:val="000000"/>
          <w:kern w:val="0"/>
          <w:sz w:val="24"/>
          <w:szCs w:val="24"/>
          <w14:ligatures w14:val="none"/>
        </w:rPr>
        <w:t xml:space="preserve">, J.A. and </w:t>
      </w:r>
      <w:proofErr w:type="spellStart"/>
      <w:r w:rsidRPr="00DE2EF8">
        <w:rPr>
          <w:rFonts w:ascii="Times New Roman" w:hAnsi="Times New Roman" w:cs="Times New Roman"/>
          <w:color w:val="000000"/>
          <w:kern w:val="0"/>
          <w:sz w:val="24"/>
          <w:szCs w:val="24"/>
          <w14:ligatures w14:val="none"/>
        </w:rPr>
        <w:t>Kulik</w:t>
      </w:r>
      <w:proofErr w:type="spellEnd"/>
      <w:r w:rsidRPr="00DE2EF8">
        <w:rPr>
          <w:rFonts w:ascii="Times New Roman" w:hAnsi="Times New Roman" w:cs="Times New Roman"/>
          <w:color w:val="000000"/>
          <w:kern w:val="0"/>
          <w:sz w:val="24"/>
          <w:szCs w:val="24"/>
          <w14:ligatures w14:val="none"/>
        </w:rPr>
        <w:t>, C.-L.C. (1992). Meta-analytic Findings on Grouping Programs. </w:t>
      </w:r>
      <w:r w:rsidRPr="00DE2EF8">
        <w:rPr>
          <w:rFonts w:ascii="Times New Roman" w:hAnsi="Times New Roman" w:cs="Times New Roman"/>
          <w:i/>
          <w:iCs/>
          <w:color w:val="000000"/>
          <w:kern w:val="0"/>
          <w:sz w:val="24"/>
          <w:szCs w:val="24"/>
          <w14:ligatures w14:val="none"/>
        </w:rPr>
        <w:t>Gifted Child Quarterly</w:t>
      </w:r>
      <w:r w:rsidRPr="00DE2EF8">
        <w:rPr>
          <w:rFonts w:ascii="Times New Roman" w:hAnsi="Times New Roman" w:cs="Times New Roman"/>
          <w:color w:val="000000"/>
          <w:kern w:val="0"/>
          <w:sz w:val="24"/>
          <w:szCs w:val="24"/>
          <w14:ligatures w14:val="none"/>
        </w:rPr>
        <w:t xml:space="preserve">, 36(2), pp.73–77.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://doi.org/10.1177/001698629203600204.</w:t>
      </w:r>
    </w:p>
    <w:p w14:paraId="432772BE"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 xml:space="preserve">Lou, Y., </w:t>
      </w:r>
      <w:proofErr w:type="spellStart"/>
      <w:r w:rsidRPr="00DE2EF8">
        <w:rPr>
          <w:rFonts w:ascii="Times New Roman" w:hAnsi="Times New Roman" w:cs="Times New Roman"/>
          <w:color w:val="000000"/>
          <w:kern w:val="0"/>
          <w:sz w:val="24"/>
          <w:szCs w:val="24"/>
          <w14:ligatures w14:val="none"/>
        </w:rPr>
        <w:t>Abrami</w:t>
      </w:r>
      <w:proofErr w:type="spellEnd"/>
      <w:r w:rsidRPr="00DE2EF8">
        <w:rPr>
          <w:rFonts w:ascii="Times New Roman" w:hAnsi="Times New Roman" w:cs="Times New Roman"/>
          <w:color w:val="000000"/>
          <w:kern w:val="0"/>
          <w:sz w:val="24"/>
          <w:szCs w:val="24"/>
          <w14:ligatures w14:val="none"/>
        </w:rPr>
        <w:t xml:space="preserve">, P.C., Spence, J.C., </w:t>
      </w:r>
      <w:proofErr w:type="spellStart"/>
      <w:r w:rsidRPr="00DE2EF8">
        <w:rPr>
          <w:rFonts w:ascii="Times New Roman" w:hAnsi="Times New Roman" w:cs="Times New Roman"/>
          <w:color w:val="000000"/>
          <w:kern w:val="0"/>
          <w:sz w:val="24"/>
          <w:szCs w:val="24"/>
          <w14:ligatures w14:val="none"/>
        </w:rPr>
        <w:t>Poulsen</w:t>
      </w:r>
      <w:proofErr w:type="spellEnd"/>
      <w:r w:rsidRPr="00DE2EF8">
        <w:rPr>
          <w:rFonts w:ascii="Times New Roman" w:hAnsi="Times New Roman" w:cs="Times New Roman"/>
          <w:color w:val="000000"/>
          <w:kern w:val="0"/>
          <w:sz w:val="24"/>
          <w:szCs w:val="24"/>
          <w14:ligatures w14:val="none"/>
        </w:rPr>
        <w:t>, C., Chambers, B. and d’Apollonia, S. (1996). Within-Class Grouping: A Meta-Analysis. </w:t>
      </w:r>
      <w:r w:rsidRPr="00DE2EF8">
        <w:rPr>
          <w:rFonts w:ascii="Times New Roman" w:hAnsi="Times New Roman" w:cs="Times New Roman"/>
          <w:i/>
          <w:iCs/>
          <w:color w:val="000000"/>
          <w:kern w:val="0"/>
          <w:sz w:val="24"/>
          <w:szCs w:val="24"/>
          <w14:ligatures w14:val="none"/>
        </w:rPr>
        <w:t>Review of Educational Research</w:t>
      </w:r>
      <w:r w:rsidRPr="00DE2EF8">
        <w:rPr>
          <w:rFonts w:ascii="Times New Roman" w:hAnsi="Times New Roman" w:cs="Times New Roman"/>
          <w:color w:val="000000"/>
          <w:kern w:val="0"/>
          <w:sz w:val="24"/>
          <w:szCs w:val="24"/>
          <w14:ligatures w14:val="none"/>
        </w:rPr>
        <w:t xml:space="preserve">, 66(4), pp.423–458.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://doi.org/10.3102/00346543066004423.</w:t>
      </w:r>
    </w:p>
    <w:p w14:paraId="5B69C840"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Marsh, H.W. (1987). Students’ evaluations of University teaching: Research findings, methodological issues, and directions for future research. </w:t>
      </w:r>
      <w:r w:rsidRPr="00DE2EF8">
        <w:rPr>
          <w:rFonts w:ascii="Times New Roman" w:hAnsi="Times New Roman" w:cs="Times New Roman"/>
          <w:i/>
          <w:iCs/>
          <w:color w:val="000000"/>
          <w:kern w:val="0"/>
          <w:sz w:val="24"/>
          <w:szCs w:val="24"/>
          <w14:ligatures w14:val="none"/>
        </w:rPr>
        <w:t>International Journal of Educational Research</w:t>
      </w:r>
      <w:r w:rsidRPr="00DE2EF8">
        <w:rPr>
          <w:rFonts w:ascii="Times New Roman" w:hAnsi="Times New Roman" w:cs="Times New Roman"/>
          <w:color w:val="000000"/>
          <w:kern w:val="0"/>
          <w:sz w:val="24"/>
          <w:szCs w:val="24"/>
          <w14:ligatures w14:val="none"/>
        </w:rPr>
        <w:t xml:space="preserve">, 11(3), pp.253–388.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://doi.org/10.1016/0883-0355(87)90001-2.</w:t>
      </w:r>
    </w:p>
    <w:p w14:paraId="0434284E"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lastRenderedPageBreak/>
        <w:t>Mickelson, R.A. (1990). The Attitude-Achievement Paradox Among Black Adolescents. </w:t>
      </w:r>
      <w:r w:rsidRPr="00DE2EF8">
        <w:rPr>
          <w:rFonts w:ascii="Times New Roman" w:hAnsi="Times New Roman" w:cs="Times New Roman"/>
          <w:i/>
          <w:iCs/>
          <w:color w:val="000000"/>
          <w:kern w:val="0"/>
          <w:sz w:val="24"/>
          <w:szCs w:val="24"/>
          <w14:ligatures w14:val="none"/>
        </w:rPr>
        <w:t>Sociology of Education</w:t>
      </w:r>
      <w:r w:rsidRPr="00DE2EF8">
        <w:rPr>
          <w:rFonts w:ascii="Times New Roman" w:hAnsi="Times New Roman" w:cs="Times New Roman"/>
          <w:color w:val="000000"/>
          <w:kern w:val="0"/>
          <w:sz w:val="24"/>
          <w:szCs w:val="24"/>
          <w14:ligatures w14:val="none"/>
        </w:rPr>
        <w:t xml:space="preserve">, 63(1), p.44.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://doi.org/10.2307/2112896.</w:t>
      </w:r>
    </w:p>
    <w:p w14:paraId="5FFADEC6"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Oakes, J. (2005). </w:t>
      </w:r>
      <w:r w:rsidRPr="00DE2EF8">
        <w:rPr>
          <w:rFonts w:ascii="Times New Roman" w:hAnsi="Times New Roman" w:cs="Times New Roman"/>
          <w:i/>
          <w:iCs/>
          <w:color w:val="000000"/>
          <w:kern w:val="0"/>
          <w:sz w:val="24"/>
          <w:szCs w:val="24"/>
          <w14:ligatures w14:val="none"/>
        </w:rPr>
        <w:t>Keeping Track</w:t>
      </w:r>
      <w:r w:rsidRPr="00DE2EF8">
        <w:rPr>
          <w:rFonts w:ascii="Times New Roman" w:hAnsi="Times New Roman" w:cs="Times New Roman"/>
          <w:color w:val="000000"/>
          <w:kern w:val="0"/>
          <w:sz w:val="24"/>
          <w:szCs w:val="24"/>
          <w14:ligatures w14:val="none"/>
        </w:rPr>
        <w:t>. Yale University Press.</w:t>
      </w:r>
    </w:p>
    <w:p w14:paraId="364132BD"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 xml:space="preserve">Piaget, J., </w:t>
      </w:r>
      <w:proofErr w:type="spellStart"/>
      <w:r w:rsidRPr="00DE2EF8">
        <w:rPr>
          <w:rFonts w:ascii="Times New Roman" w:hAnsi="Times New Roman" w:cs="Times New Roman"/>
          <w:color w:val="000000"/>
          <w:kern w:val="0"/>
          <w:sz w:val="24"/>
          <w:szCs w:val="24"/>
          <w14:ligatures w14:val="none"/>
        </w:rPr>
        <w:t>Elkind</w:t>
      </w:r>
      <w:proofErr w:type="spellEnd"/>
      <w:r w:rsidRPr="00DE2EF8">
        <w:rPr>
          <w:rFonts w:ascii="Times New Roman" w:hAnsi="Times New Roman" w:cs="Times New Roman"/>
          <w:color w:val="000000"/>
          <w:kern w:val="0"/>
          <w:sz w:val="24"/>
          <w:szCs w:val="24"/>
          <w14:ligatures w14:val="none"/>
        </w:rPr>
        <w:t xml:space="preserve">, D. and </w:t>
      </w:r>
      <w:proofErr w:type="spellStart"/>
      <w:r w:rsidRPr="00DE2EF8">
        <w:rPr>
          <w:rFonts w:ascii="Times New Roman" w:hAnsi="Times New Roman" w:cs="Times New Roman"/>
          <w:color w:val="000000"/>
          <w:kern w:val="0"/>
          <w:sz w:val="24"/>
          <w:szCs w:val="24"/>
          <w14:ligatures w14:val="none"/>
        </w:rPr>
        <w:t>Flavell</w:t>
      </w:r>
      <w:proofErr w:type="spellEnd"/>
      <w:r w:rsidRPr="00DE2EF8">
        <w:rPr>
          <w:rFonts w:ascii="Times New Roman" w:hAnsi="Times New Roman" w:cs="Times New Roman"/>
          <w:color w:val="000000"/>
          <w:kern w:val="0"/>
          <w:sz w:val="24"/>
          <w:szCs w:val="24"/>
          <w14:ligatures w14:val="none"/>
        </w:rPr>
        <w:t>, J.H. (1969). </w:t>
      </w:r>
      <w:r w:rsidRPr="00DE2EF8">
        <w:rPr>
          <w:rFonts w:ascii="Times New Roman" w:hAnsi="Times New Roman" w:cs="Times New Roman"/>
          <w:i/>
          <w:iCs/>
          <w:color w:val="000000"/>
          <w:kern w:val="0"/>
          <w:sz w:val="24"/>
          <w:szCs w:val="24"/>
          <w14:ligatures w14:val="none"/>
        </w:rPr>
        <w:t xml:space="preserve">Studies in cognitive development : essays in </w:t>
      </w:r>
      <w:proofErr w:type="spellStart"/>
      <w:r w:rsidRPr="00DE2EF8">
        <w:rPr>
          <w:rFonts w:ascii="Times New Roman" w:hAnsi="Times New Roman" w:cs="Times New Roman"/>
          <w:i/>
          <w:iCs/>
          <w:color w:val="000000"/>
          <w:kern w:val="0"/>
          <w:sz w:val="24"/>
          <w:szCs w:val="24"/>
          <w14:ligatures w14:val="none"/>
        </w:rPr>
        <w:t>honor</w:t>
      </w:r>
      <w:proofErr w:type="spellEnd"/>
      <w:r w:rsidRPr="00DE2EF8">
        <w:rPr>
          <w:rFonts w:ascii="Times New Roman" w:hAnsi="Times New Roman" w:cs="Times New Roman"/>
          <w:i/>
          <w:iCs/>
          <w:color w:val="000000"/>
          <w:kern w:val="0"/>
          <w:sz w:val="24"/>
          <w:szCs w:val="24"/>
          <w14:ligatures w14:val="none"/>
        </w:rPr>
        <w:t xml:space="preserve"> of Jean Piaget</w:t>
      </w:r>
      <w:r w:rsidRPr="00DE2EF8">
        <w:rPr>
          <w:rFonts w:ascii="Times New Roman" w:hAnsi="Times New Roman" w:cs="Times New Roman"/>
          <w:color w:val="000000"/>
          <w:kern w:val="0"/>
          <w:sz w:val="24"/>
          <w:szCs w:val="24"/>
          <w14:ligatures w14:val="none"/>
        </w:rPr>
        <w:t>. New York: Oxford University Press, , Printing.</w:t>
      </w:r>
    </w:p>
    <w:p w14:paraId="7E444A35"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Shulman</w:t>
      </w:r>
      <w:proofErr w:type="spellEnd"/>
      <w:r w:rsidRPr="00DE2EF8">
        <w:rPr>
          <w:rFonts w:ascii="Times New Roman" w:hAnsi="Times New Roman" w:cs="Times New Roman"/>
          <w:color w:val="000000"/>
          <w:kern w:val="0"/>
          <w:sz w:val="24"/>
          <w:szCs w:val="24"/>
          <w14:ligatures w14:val="none"/>
        </w:rPr>
        <w:t>, L.S. (2005). Signature pedagogies in the professions. </w:t>
      </w:r>
      <w:r w:rsidRPr="00DE2EF8">
        <w:rPr>
          <w:rFonts w:ascii="Times New Roman" w:hAnsi="Times New Roman" w:cs="Times New Roman"/>
          <w:i/>
          <w:iCs/>
          <w:color w:val="000000"/>
          <w:kern w:val="0"/>
          <w:sz w:val="24"/>
          <w:szCs w:val="24"/>
          <w14:ligatures w14:val="none"/>
        </w:rPr>
        <w:t>Daedalus</w:t>
      </w:r>
      <w:r w:rsidRPr="00DE2EF8">
        <w:rPr>
          <w:rFonts w:ascii="Times New Roman" w:hAnsi="Times New Roman" w:cs="Times New Roman"/>
          <w:color w:val="000000"/>
          <w:kern w:val="0"/>
          <w:sz w:val="24"/>
          <w:szCs w:val="24"/>
          <w14:ligatures w14:val="none"/>
        </w:rPr>
        <w:t xml:space="preserve">, 134(3), pp.52–59.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://doi.org/10.1162/0011526054622015.</w:t>
      </w:r>
    </w:p>
    <w:p w14:paraId="1CDFD362"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Slavin</w:t>
      </w:r>
      <w:proofErr w:type="spellEnd"/>
      <w:r w:rsidRPr="00DE2EF8">
        <w:rPr>
          <w:rFonts w:ascii="Times New Roman" w:hAnsi="Times New Roman" w:cs="Times New Roman"/>
          <w:color w:val="000000"/>
          <w:kern w:val="0"/>
          <w:sz w:val="24"/>
          <w:szCs w:val="24"/>
          <w14:ligatures w14:val="none"/>
        </w:rPr>
        <w:t>, R.E. (1987). Ability Grouping and Student Achievement in Elementary Schools: A Best-Evidence Synthesis. </w:t>
      </w:r>
      <w:r w:rsidRPr="00DE2EF8">
        <w:rPr>
          <w:rFonts w:ascii="Times New Roman" w:hAnsi="Times New Roman" w:cs="Times New Roman"/>
          <w:i/>
          <w:iCs/>
          <w:color w:val="000000"/>
          <w:kern w:val="0"/>
          <w:sz w:val="24"/>
          <w:szCs w:val="24"/>
          <w14:ligatures w14:val="none"/>
        </w:rPr>
        <w:t>Review of Educational Research</w:t>
      </w:r>
      <w:r w:rsidRPr="00DE2EF8">
        <w:rPr>
          <w:rFonts w:ascii="Times New Roman" w:hAnsi="Times New Roman" w:cs="Times New Roman"/>
          <w:color w:val="000000"/>
          <w:kern w:val="0"/>
          <w:sz w:val="24"/>
          <w:szCs w:val="24"/>
          <w14:ligatures w14:val="none"/>
        </w:rPr>
        <w:t xml:space="preserve">, 57(3), pp.293–336.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://doi.org/10.3102/00346543057003293.</w:t>
      </w:r>
    </w:p>
    <w:p w14:paraId="51BD214E"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Slavin</w:t>
      </w:r>
      <w:proofErr w:type="spellEnd"/>
      <w:r w:rsidRPr="00DE2EF8">
        <w:rPr>
          <w:rFonts w:ascii="Times New Roman" w:hAnsi="Times New Roman" w:cs="Times New Roman"/>
          <w:color w:val="000000"/>
          <w:kern w:val="0"/>
          <w:sz w:val="24"/>
          <w:szCs w:val="24"/>
          <w14:ligatures w14:val="none"/>
        </w:rPr>
        <w:t>, R.E. (1990). Achievement Effects of Ability Grouping in Secondary Schools: A Best-Evidence Synthesis. </w:t>
      </w:r>
      <w:r w:rsidRPr="00DE2EF8">
        <w:rPr>
          <w:rFonts w:ascii="Times New Roman" w:hAnsi="Times New Roman" w:cs="Times New Roman"/>
          <w:i/>
          <w:iCs/>
          <w:color w:val="000000"/>
          <w:kern w:val="0"/>
          <w:sz w:val="24"/>
          <w:szCs w:val="24"/>
          <w14:ligatures w14:val="none"/>
        </w:rPr>
        <w:t>Review of Educational Research</w:t>
      </w:r>
      <w:r w:rsidRPr="00DE2EF8">
        <w:rPr>
          <w:rFonts w:ascii="Times New Roman" w:hAnsi="Times New Roman" w:cs="Times New Roman"/>
          <w:color w:val="000000"/>
          <w:kern w:val="0"/>
          <w:sz w:val="24"/>
          <w:szCs w:val="24"/>
          <w14:ligatures w14:val="none"/>
        </w:rPr>
        <w:t xml:space="preserve">, 60(3), pp.471–499.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://doi.org/10.3102/00346543060003471.</w:t>
      </w:r>
    </w:p>
    <w:p w14:paraId="5FB38AD8"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Slavin</w:t>
      </w:r>
      <w:proofErr w:type="spellEnd"/>
      <w:r w:rsidRPr="00DE2EF8">
        <w:rPr>
          <w:rFonts w:ascii="Times New Roman" w:hAnsi="Times New Roman" w:cs="Times New Roman"/>
          <w:color w:val="000000"/>
          <w:kern w:val="0"/>
          <w:sz w:val="24"/>
          <w:szCs w:val="24"/>
          <w14:ligatures w14:val="none"/>
        </w:rPr>
        <w:t xml:space="preserve">, R.E. (2014). Cooperative Learning and Academic Achievement: Why Does </w:t>
      </w:r>
      <w:proofErr w:type="spellStart"/>
      <w:r w:rsidRPr="00DE2EF8">
        <w:rPr>
          <w:rFonts w:ascii="Times New Roman" w:hAnsi="Times New Roman" w:cs="Times New Roman"/>
          <w:color w:val="000000"/>
          <w:kern w:val="0"/>
          <w:sz w:val="24"/>
          <w:szCs w:val="24"/>
          <w14:ligatures w14:val="none"/>
        </w:rPr>
        <w:t>Groupwork</w:t>
      </w:r>
      <w:proofErr w:type="spellEnd"/>
      <w:r w:rsidRPr="00DE2EF8">
        <w:rPr>
          <w:rFonts w:ascii="Times New Roman" w:hAnsi="Times New Roman" w:cs="Times New Roman"/>
          <w:color w:val="000000"/>
          <w:kern w:val="0"/>
          <w:sz w:val="24"/>
          <w:szCs w:val="24"/>
          <w14:ligatures w14:val="none"/>
        </w:rPr>
        <w:t xml:space="preserve"> Work? </w:t>
      </w:r>
      <w:proofErr w:type="spellStart"/>
      <w:r w:rsidRPr="00DE2EF8">
        <w:rPr>
          <w:rFonts w:ascii="Times New Roman" w:hAnsi="Times New Roman" w:cs="Times New Roman"/>
          <w:i/>
          <w:iCs/>
          <w:color w:val="000000"/>
          <w:kern w:val="0"/>
          <w:sz w:val="24"/>
          <w:szCs w:val="24"/>
          <w14:ligatures w14:val="none"/>
        </w:rPr>
        <w:t>Anales</w:t>
      </w:r>
      <w:proofErr w:type="spellEnd"/>
      <w:r w:rsidRPr="00DE2EF8">
        <w:rPr>
          <w:rFonts w:ascii="Times New Roman" w:hAnsi="Times New Roman" w:cs="Times New Roman"/>
          <w:i/>
          <w:iCs/>
          <w:color w:val="000000"/>
          <w:kern w:val="0"/>
          <w:sz w:val="24"/>
          <w:szCs w:val="24"/>
          <w14:ligatures w14:val="none"/>
        </w:rPr>
        <w:t xml:space="preserve"> de </w:t>
      </w:r>
      <w:proofErr w:type="spellStart"/>
      <w:r w:rsidRPr="00DE2EF8">
        <w:rPr>
          <w:rFonts w:ascii="Times New Roman" w:hAnsi="Times New Roman" w:cs="Times New Roman"/>
          <w:i/>
          <w:iCs/>
          <w:color w:val="000000"/>
          <w:kern w:val="0"/>
          <w:sz w:val="24"/>
          <w:szCs w:val="24"/>
          <w14:ligatures w14:val="none"/>
        </w:rPr>
        <w:t>Psicología</w:t>
      </w:r>
      <w:proofErr w:type="spellEnd"/>
      <w:r w:rsidRPr="00DE2EF8">
        <w:rPr>
          <w:rFonts w:ascii="Times New Roman" w:hAnsi="Times New Roman" w:cs="Times New Roman"/>
          <w:color w:val="000000"/>
          <w:kern w:val="0"/>
          <w:sz w:val="24"/>
          <w:szCs w:val="24"/>
          <w14:ligatures w14:val="none"/>
        </w:rPr>
        <w:t xml:space="preserve">, 30(3), pp.785–791.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://doi.org/10.6018/analesps.30.3.201201.</w:t>
      </w:r>
    </w:p>
    <w:p w14:paraId="05E274B0"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Sørensen</w:t>
      </w:r>
      <w:proofErr w:type="spellEnd"/>
      <w:r w:rsidRPr="00DE2EF8">
        <w:rPr>
          <w:rFonts w:ascii="Times New Roman" w:hAnsi="Times New Roman" w:cs="Times New Roman"/>
          <w:color w:val="000000"/>
          <w:kern w:val="0"/>
          <w:sz w:val="24"/>
          <w:szCs w:val="24"/>
          <w14:ligatures w14:val="none"/>
        </w:rPr>
        <w:t xml:space="preserve">, A.B. and </w:t>
      </w:r>
      <w:proofErr w:type="spellStart"/>
      <w:r w:rsidRPr="00DE2EF8">
        <w:rPr>
          <w:rFonts w:ascii="Times New Roman" w:hAnsi="Times New Roman" w:cs="Times New Roman"/>
          <w:color w:val="000000"/>
          <w:kern w:val="0"/>
          <w:sz w:val="24"/>
          <w:szCs w:val="24"/>
          <w14:ligatures w14:val="none"/>
        </w:rPr>
        <w:t>Hallinan</w:t>
      </w:r>
      <w:proofErr w:type="spellEnd"/>
      <w:r w:rsidRPr="00DE2EF8">
        <w:rPr>
          <w:rFonts w:ascii="Times New Roman" w:hAnsi="Times New Roman" w:cs="Times New Roman"/>
          <w:color w:val="000000"/>
          <w:kern w:val="0"/>
          <w:sz w:val="24"/>
          <w:szCs w:val="24"/>
          <w14:ligatures w14:val="none"/>
        </w:rPr>
        <w:t>, M.T. (1986). Effects of Ability Grouping on Growth in Academic Achievement. </w:t>
      </w:r>
      <w:r w:rsidRPr="00DE2EF8">
        <w:rPr>
          <w:rFonts w:ascii="Times New Roman" w:hAnsi="Times New Roman" w:cs="Times New Roman"/>
          <w:i/>
          <w:iCs/>
          <w:color w:val="000000"/>
          <w:kern w:val="0"/>
          <w:sz w:val="24"/>
          <w:szCs w:val="24"/>
          <w14:ligatures w14:val="none"/>
        </w:rPr>
        <w:t>American Educational Research Journal</w:t>
      </w:r>
      <w:r w:rsidRPr="00DE2EF8">
        <w:rPr>
          <w:rFonts w:ascii="Times New Roman" w:hAnsi="Times New Roman" w:cs="Times New Roman"/>
          <w:color w:val="000000"/>
          <w:kern w:val="0"/>
          <w:sz w:val="24"/>
          <w:szCs w:val="24"/>
          <w14:ligatures w14:val="none"/>
        </w:rPr>
        <w:t xml:space="preserve">, 23(4), pp.519–542.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://doi.org/10.3102/00028312023004519.</w:t>
      </w:r>
    </w:p>
    <w:p w14:paraId="5BA32CD9"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Tomlinson, C.A. (2001). </w:t>
      </w:r>
      <w:r w:rsidRPr="00DE2EF8">
        <w:rPr>
          <w:rFonts w:ascii="Times New Roman" w:hAnsi="Times New Roman" w:cs="Times New Roman"/>
          <w:i/>
          <w:iCs/>
          <w:color w:val="000000"/>
          <w:kern w:val="0"/>
          <w:sz w:val="24"/>
          <w:szCs w:val="24"/>
          <w14:ligatures w14:val="none"/>
        </w:rPr>
        <w:t>How to Differentiate Instruction in Mixed-ability Classrooms</w:t>
      </w:r>
      <w:r w:rsidRPr="00DE2EF8">
        <w:rPr>
          <w:rFonts w:ascii="Times New Roman" w:hAnsi="Times New Roman" w:cs="Times New Roman"/>
          <w:color w:val="000000"/>
          <w:kern w:val="0"/>
          <w:sz w:val="24"/>
          <w:szCs w:val="24"/>
          <w14:ligatures w14:val="none"/>
        </w:rPr>
        <w:t>. 2nd ed. Upper Saddle River, N.J.: Pearson/Merrill Prentice Hall.</w:t>
      </w:r>
    </w:p>
    <w:p w14:paraId="1DFC616B"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Tomlinson, C.A. and Allan, S.D. (2000). </w:t>
      </w:r>
      <w:r w:rsidRPr="00DE2EF8">
        <w:rPr>
          <w:rFonts w:ascii="Times New Roman" w:hAnsi="Times New Roman" w:cs="Times New Roman"/>
          <w:i/>
          <w:iCs/>
          <w:color w:val="000000"/>
          <w:kern w:val="0"/>
          <w:sz w:val="24"/>
          <w:szCs w:val="24"/>
          <w14:ligatures w14:val="none"/>
        </w:rPr>
        <w:t>Leadership for differentiating schools &amp; classrooms</w:t>
      </w:r>
      <w:r w:rsidRPr="00DE2EF8">
        <w:rPr>
          <w:rFonts w:ascii="Times New Roman" w:hAnsi="Times New Roman" w:cs="Times New Roman"/>
          <w:color w:val="000000"/>
          <w:kern w:val="0"/>
          <w:sz w:val="24"/>
          <w:szCs w:val="24"/>
          <w14:ligatures w14:val="none"/>
        </w:rPr>
        <w:t>. Alexandria, Va.: Association For Supervision And Curriculum Development.</w:t>
      </w:r>
    </w:p>
    <w:p w14:paraId="7631FE84"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Tripp, D. (1993). </w:t>
      </w:r>
      <w:r w:rsidRPr="00DE2EF8">
        <w:rPr>
          <w:rFonts w:ascii="Times New Roman" w:hAnsi="Times New Roman" w:cs="Times New Roman"/>
          <w:i/>
          <w:iCs/>
          <w:color w:val="000000"/>
          <w:kern w:val="0"/>
          <w:sz w:val="24"/>
          <w:szCs w:val="24"/>
          <w14:ligatures w14:val="none"/>
        </w:rPr>
        <w:t>Critical Incidents in teaching: Developing Professional Judgement</w:t>
      </w:r>
      <w:r w:rsidRPr="00DE2EF8">
        <w:rPr>
          <w:rFonts w:ascii="Times New Roman" w:hAnsi="Times New Roman" w:cs="Times New Roman"/>
          <w:color w:val="000000"/>
          <w:kern w:val="0"/>
          <w:sz w:val="24"/>
          <w:szCs w:val="24"/>
          <w14:ligatures w14:val="none"/>
        </w:rPr>
        <w:t xml:space="preserve">. London: </w:t>
      </w:r>
      <w:proofErr w:type="spellStart"/>
      <w:r w:rsidRPr="00DE2EF8">
        <w:rPr>
          <w:rFonts w:ascii="Times New Roman" w:hAnsi="Times New Roman" w:cs="Times New Roman"/>
          <w:color w:val="000000"/>
          <w:kern w:val="0"/>
          <w:sz w:val="24"/>
          <w:szCs w:val="24"/>
          <w14:ligatures w14:val="none"/>
        </w:rPr>
        <w:t>Routledge</w:t>
      </w:r>
      <w:proofErr w:type="spellEnd"/>
      <w:r w:rsidRPr="00DE2EF8">
        <w:rPr>
          <w:rFonts w:ascii="Times New Roman" w:hAnsi="Times New Roman" w:cs="Times New Roman"/>
          <w:color w:val="000000"/>
          <w:kern w:val="0"/>
          <w:sz w:val="24"/>
          <w:szCs w:val="24"/>
          <w14:ligatures w14:val="none"/>
        </w:rPr>
        <w:t>, pp.24–25.</w:t>
      </w:r>
    </w:p>
    <w:p w14:paraId="76FDF414"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r w:rsidRPr="00DE2EF8">
        <w:rPr>
          <w:rFonts w:ascii="Times New Roman" w:hAnsi="Times New Roman" w:cs="Times New Roman"/>
          <w:color w:val="000000"/>
          <w:kern w:val="0"/>
          <w:sz w:val="24"/>
          <w:szCs w:val="24"/>
          <w14:ligatures w14:val="none"/>
        </w:rPr>
        <w:t xml:space="preserve">Wentzel, K.R., </w:t>
      </w:r>
      <w:proofErr w:type="spellStart"/>
      <w:r w:rsidRPr="00DE2EF8">
        <w:rPr>
          <w:rFonts w:ascii="Times New Roman" w:hAnsi="Times New Roman" w:cs="Times New Roman"/>
          <w:color w:val="000000"/>
          <w:kern w:val="0"/>
          <w:sz w:val="24"/>
          <w:szCs w:val="24"/>
          <w14:ligatures w14:val="none"/>
        </w:rPr>
        <w:t>Jablansky</w:t>
      </w:r>
      <w:proofErr w:type="spellEnd"/>
      <w:r w:rsidRPr="00DE2EF8">
        <w:rPr>
          <w:rFonts w:ascii="Times New Roman" w:hAnsi="Times New Roman" w:cs="Times New Roman"/>
          <w:color w:val="000000"/>
          <w:kern w:val="0"/>
          <w:sz w:val="24"/>
          <w:szCs w:val="24"/>
          <w14:ligatures w14:val="none"/>
        </w:rPr>
        <w:t xml:space="preserve">, S. and </w:t>
      </w:r>
      <w:proofErr w:type="spellStart"/>
      <w:r w:rsidRPr="00DE2EF8">
        <w:rPr>
          <w:rFonts w:ascii="Times New Roman" w:hAnsi="Times New Roman" w:cs="Times New Roman"/>
          <w:color w:val="000000"/>
          <w:kern w:val="0"/>
          <w:sz w:val="24"/>
          <w:szCs w:val="24"/>
          <w14:ligatures w14:val="none"/>
        </w:rPr>
        <w:t>Scalise</w:t>
      </w:r>
      <w:proofErr w:type="spellEnd"/>
      <w:r w:rsidRPr="00DE2EF8">
        <w:rPr>
          <w:rFonts w:ascii="Times New Roman" w:hAnsi="Times New Roman" w:cs="Times New Roman"/>
          <w:color w:val="000000"/>
          <w:kern w:val="0"/>
          <w:sz w:val="24"/>
          <w:szCs w:val="24"/>
          <w14:ligatures w14:val="none"/>
        </w:rPr>
        <w:t>, N.R. (2020). Peer social acceptance and academic achievement: A meta-analytic study. </w:t>
      </w:r>
      <w:r w:rsidRPr="00DE2EF8">
        <w:rPr>
          <w:rFonts w:ascii="Times New Roman" w:hAnsi="Times New Roman" w:cs="Times New Roman"/>
          <w:i/>
          <w:iCs/>
          <w:color w:val="000000"/>
          <w:kern w:val="0"/>
          <w:sz w:val="24"/>
          <w:szCs w:val="24"/>
          <w14:ligatures w14:val="none"/>
        </w:rPr>
        <w:t>Journal of Educational Psychology</w:t>
      </w:r>
      <w:r w:rsidRPr="00DE2EF8">
        <w:rPr>
          <w:rFonts w:ascii="Times New Roman" w:hAnsi="Times New Roman" w:cs="Times New Roman"/>
          <w:color w:val="000000"/>
          <w:kern w:val="0"/>
          <w:sz w:val="24"/>
          <w:szCs w:val="24"/>
          <w14:ligatures w14:val="none"/>
        </w:rPr>
        <w:t xml:space="preserve">, 113(1).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://doi.org/10.1037/edu0000468.</w:t>
      </w:r>
    </w:p>
    <w:p w14:paraId="0789934A" w14:textId="77777777" w:rsidR="00DE2EF8" w:rsidRPr="00DE2EF8" w:rsidRDefault="00DE2EF8" w:rsidP="00DE2EF8">
      <w:pPr>
        <w:spacing w:after="240" w:line="360" w:lineRule="atLeast"/>
        <w:divId w:val="29035177"/>
        <w:rPr>
          <w:rFonts w:ascii="Times New Roman" w:hAnsi="Times New Roman" w:cs="Times New Roman"/>
          <w:color w:val="000000"/>
          <w:kern w:val="0"/>
          <w:sz w:val="24"/>
          <w:szCs w:val="24"/>
          <w14:ligatures w14:val="none"/>
        </w:rPr>
      </w:pPr>
      <w:proofErr w:type="spellStart"/>
      <w:r w:rsidRPr="00DE2EF8">
        <w:rPr>
          <w:rFonts w:ascii="Times New Roman" w:hAnsi="Times New Roman" w:cs="Times New Roman"/>
          <w:color w:val="000000"/>
          <w:kern w:val="0"/>
          <w:sz w:val="24"/>
          <w:szCs w:val="24"/>
          <w14:ligatures w14:val="none"/>
        </w:rPr>
        <w:t>Wiliam</w:t>
      </w:r>
      <w:proofErr w:type="spellEnd"/>
      <w:r w:rsidRPr="00DE2EF8">
        <w:rPr>
          <w:rFonts w:ascii="Times New Roman" w:hAnsi="Times New Roman" w:cs="Times New Roman"/>
          <w:color w:val="000000"/>
          <w:kern w:val="0"/>
          <w:sz w:val="24"/>
          <w:szCs w:val="24"/>
          <w14:ligatures w14:val="none"/>
        </w:rPr>
        <w:t>, D. (2006). Formative assessment: getting the focus right. </w:t>
      </w:r>
      <w:r w:rsidRPr="00DE2EF8">
        <w:rPr>
          <w:rFonts w:ascii="Times New Roman" w:hAnsi="Times New Roman" w:cs="Times New Roman"/>
          <w:i/>
          <w:iCs/>
          <w:color w:val="000000"/>
          <w:kern w:val="0"/>
          <w:sz w:val="24"/>
          <w:szCs w:val="24"/>
          <w14:ligatures w14:val="none"/>
        </w:rPr>
        <w:t>Educational Assessment</w:t>
      </w:r>
      <w:r w:rsidRPr="00DE2EF8">
        <w:rPr>
          <w:rFonts w:ascii="Times New Roman" w:hAnsi="Times New Roman" w:cs="Times New Roman"/>
          <w:color w:val="000000"/>
          <w:kern w:val="0"/>
          <w:sz w:val="24"/>
          <w:szCs w:val="24"/>
          <w14:ligatures w14:val="none"/>
        </w:rPr>
        <w:t xml:space="preserve">, [online] 11(3-4), pp.283–289. </w:t>
      </w:r>
      <w:proofErr w:type="spellStart"/>
      <w:r w:rsidRPr="00DE2EF8">
        <w:rPr>
          <w:rFonts w:ascii="Times New Roman" w:hAnsi="Times New Roman" w:cs="Times New Roman"/>
          <w:color w:val="000000"/>
          <w:kern w:val="0"/>
          <w:sz w:val="24"/>
          <w:szCs w:val="24"/>
          <w14:ligatures w14:val="none"/>
        </w:rPr>
        <w:t>doi:https</w:t>
      </w:r>
      <w:proofErr w:type="spellEnd"/>
      <w:r w:rsidRPr="00DE2EF8">
        <w:rPr>
          <w:rFonts w:ascii="Times New Roman" w:hAnsi="Times New Roman" w:cs="Times New Roman"/>
          <w:color w:val="000000"/>
          <w:kern w:val="0"/>
          <w:sz w:val="24"/>
          <w:szCs w:val="24"/>
          <w14:ligatures w14:val="none"/>
        </w:rPr>
        <w:t>://doi.org/10.1080/10627197.2006.9652993.</w:t>
      </w:r>
    </w:p>
    <w:p w14:paraId="27405F46" w14:textId="77777777" w:rsidR="004A176E" w:rsidRPr="00DE2EF8" w:rsidRDefault="004A176E" w:rsidP="006929B4">
      <w:pPr>
        <w:spacing w:line="480" w:lineRule="auto"/>
        <w:ind w:firstLine="720"/>
        <w:rPr>
          <w:rFonts w:cstheme="minorHAnsi"/>
          <w:sz w:val="24"/>
          <w:szCs w:val="24"/>
        </w:rPr>
      </w:pPr>
    </w:p>
    <w:sectPr w:rsidR="004A176E" w:rsidRPr="00DE2EF8">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E96BD" w14:textId="77777777" w:rsidR="007A7012" w:rsidRDefault="007A7012" w:rsidP="004A78B4">
      <w:r>
        <w:separator/>
      </w:r>
    </w:p>
  </w:endnote>
  <w:endnote w:type="continuationSeparator" w:id="0">
    <w:p w14:paraId="14683B56" w14:textId="77777777" w:rsidR="007A7012" w:rsidRDefault="007A7012" w:rsidP="004A78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0413464"/>
      <w:docPartObj>
        <w:docPartGallery w:val="Page Numbers (Bottom of Page)"/>
        <w:docPartUnique/>
      </w:docPartObj>
    </w:sdtPr>
    <w:sdtContent>
      <w:p w14:paraId="64CB42A2" w14:textId="6E7ACA07" w:rsidR="00D72278" w:rsidRDefault="00D72278" w:rsidP="00994C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D21654" w14:textId="77777777" w:rsidR="00D72278" w:rsidRDefault="00D72278" w:rsidP="00D722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97720"/>
      <w:docPartObj>
        <w:docPartGallery w:val="Page Numbers (Bottom of Page)"/>
        <w:docPartUnique/>
      </w:docPartObj>
    </w:sdtPr>
    <w:sdtContent>
      <w:p w14:paraId="163F1C6C" w14:textId="51C6C0FA" w:rsidR="00D72278" w:rsidRDefault="00D72278" w:rsidP="00994C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BCB22C" w14:textId="77777777" w:rsidR="00D72278" w:rsidRDefault="00D72278" w:rsidP="00D722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EC9A9" w14:textId="77777777" w:rsidR="007A7012" w:rsidRDefault="007A7012" w:rsidP="004A78B4">
      <w:r>
        <w:separator/>
      </w:r>
    </w:p>
  </w:footnote>
  <w:footnote w:type="continuationSeparator" w:id="0">
    <w:p w14:paraId="0EECCDE8" w14:textId="77777777" w:rsidR="007A7012" w:rsidRDefault="007A7012" w:rsidP="004A78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08A37" w14:textId="55807D19" w:rsidR="004A78B4" w:rsidRDefault="00414E43">
    <w:pPr>
      <w:pStyle w:val="Header"/>
    </w:pPr>
    <w:r>
      <w:t xml:space="preserve">ECAD6007 </w:t>
    </w:r>
    <w:r w:rsidR="00BE07F2">
      <w:tab/>
      <w:t xml:space="preserve">                                                                                                                  Student number; 2001066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91D3F"/>
    <w:multiLevelType w:val="hybridMultilevel"/>
    <w:tmpl w:val="8C1A2DC0"/>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32E6E34"/>
    <w:multiLevelType w:val="hybridMultilevel"/>
    <w:tmpl w:val="FFFFFFFF"/>
    <w:lvl w:ilvl="0" w:tplc="17406906">
      <w:start w:val="1"/>
      <w:numFmt w:val="bullet"/>
      <w:lvlText w:val="•"/>
      <w:lvlJc w:val="left"/>
      <w:pPr>
        <w:tabs>
          <w:tab w:val="num" w:pos="720"/>
        </w:tabs>
        <w:ind w:left="720" w:hanging="360"/>
      </w:pPr>
      <w:rPr>
        <w:rFonts w:ascii="Arial" w:hAnsi="Arial" w:hint="default"/>
      </w:rPr>
    </w:lvl>
    <w:lvl w:ilvl="1" w:tplc="9C10BD64" w:tentative="1">
      <w:start w:val="1"/>
      <w:numFmt w:val="bullet"/>
      <w:lvlText w:val="•"/>
      <w:lvlJc w:val="left"/>
      <w:pPr>
        <w:tabs>
          <w:tab w:val="num" w:pos="1440"/>
        </w:tabs>
        <w:ind w:left="1440" w:hanging="360"/>
      </w:pPr>
      <w:rPr>
        <w:rFonts w:ascii="Arial" w:hAnsi="Arial" w:hint="default"/>
      </w:rPr>
    </w:lvl>
    <w:lvl w:ilvl="2" w:tplc="3D962EFE" w:tentative="1">
      <w:start w:val="1"/>
      <w:numFmt w:val="bullet"/>
      <w:lvlText w:val="•"/>
      <w:lvlJc w:val="left"/>
      <w:pPr>
        <w:tabs>
          <w:tab w:val="num" w:pos="2160"/>
        </w:tabs>
        <w:ind w:left="2160" w:hanging="360"/>
      </w:pPr>
      <w:rPr>
        <w:rFonts w:ascii="Arial" w:hAnsi="Arial" w:hint="default"/>
      </w:rPr>
    </w:lvl>
    <w:lvl w:ilvl="3" w:tplc="1BF4AC92" w:tentative="1">
      <w:start w:val="1"/>
      <w:numFmt w:val="bullet"/>
      <w:lvlText w:val="•"/>
      <w:lvlJc w:val="left"/>
      <w:pPr>
        <w:tabs>
          <w:tab w:val="num" w:pos="2880"/>
        </w:tabs>
        <w:ind w:left="2880" w:hanging="360"/>
      </w:pPr>
      <w:rPr>
        <w:rFonts w:ascii="Arial" w:hAnsi="Arial" w:hint="default"/>
      </w:rPr>
    </w:lvl>
    <w:lvl w:ilvl="4" w:tplc="064E475C" w:tentative="1">
      <w:start w:val="1"/>
      <w:numFmt w:val="bullet"/>
      <w:lvlText w:val="•"/>
      <w:lvlJc w:val="left"/>
      <w:pPr>
        <w:tabs>
          <w:tab w:val="num" w:pos="3600"/>
        </w:tabs>
        <w:ind w:left="3600" w:hanging="360"/>
      </w:pPr>
      <w:rPr>
        <w:rFonts w:ascii="Arial" w:hAnsi="Arial" w:hint="default"/>
      </w:rPr>
    </w:lvl>
    <w:lvl w:ilvl="5" w:tplc="263AC94E" w:tentative="1">
      <w:start w:val="1"/>
      <w:numFmt w:val="bullet"/>
      <w:lvlText w:val="•"/>
      <w:lvlJc w:val="left"/>
      <w:pPr>
        <w:tabs>
          <w:tab w:val="num" w:pos="4320"/>
        </w:tabs>
        <w:ind w:left="4320" w:hanging="360"/>
      </w:pPr>
      <w:rPr>
        <w:rFonts w:ascii="Arial" w:hAnsi="Arial" w:hint="default"/>
      </w:rPr>
    </w:lvl>
    <w:lvl w:ilvl="6" w:tplc="2FDA0BFE" w:tentative="1">
      <w:start w:val="1"/>
      <w:numFmt w:val="bullet"/>
      <w:lvlText w:val="•"/>
      <w:lvlJc w:val="left"/>
      <w:pPr>
        <w:tabs>
          <w:tab w:val="num" w:pos="5040"/>
        </w:tabs>
        <w:ind w:left="5040" w:hanging="360"/>
      </w:pPr>
      <w:rPr>
        <w:rFonts w:ascii="Arial" w:hAnsi="Arial" w:hint="default"/>
      </w:rPr>
    </w:lvl>
    <w:lvl w:ilvl="7" w:tplc="81E24BF2" w:tentative="1">
      <w:start w:val="1"/>
      <w:numFmt w:val="bullet"/>
      <w:lvlText w:val="•"/>
      <w:lvlJc w:val="left"/>
      <w:pPr>
        <w:tabs>
          <w:tab w:val="num" w:pos="5760"/>
        </w:tabs>
        <w:ind w:left="5760" w:hanging="360"/>
      </w:pPr>
      <w:rPr>
        <w:rFonts w:ascii="Arial" w:hAnsi="Arial" w:hint="default"/>
      </w:rPr>
    </w:lvl>
    <w:lvl w:ilvl="8" w:tplc="F19C9914" w:tentative="1">
      <w:start w:val="1"/>
      <w:numFmt w:val="bullet"/>
      <w:lvlText w:val="•"/>
      <w:lvlJc w:val="left"/>
      <w:pPr>
        <w:tabs>
          <w:tab w:val="num" w:pos="6480"/>
        </w:tabs>
        <w:ind w:left="6480" w:hanging="360"/>
      </w:pPr>
      <w:rPr>
        <w:rFonts w:ascii="Arial" w:hAnsi="Arial" w:hint="default"/>
      </w:rPr>
    </w:lvl>
  </w:abstractNum>
  <w:num w:numId="1" w16cid:durableId="2092652419">
    <w:abstractNumId w:val="1"/>
  </w:num>
  <w:num w:numId="2" w16cid:durableId="1037120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8B4"/>
    <w:rsid w:val="000075DB"/>
    <w:rsid w:val="000158C7"/>
    <w:rsid w:val="00015F3E"/>
    <w:rsid w:val="00016692"/>
    <w:rsid w:val="00021449"/>
    <w:rsid w:val="00025524"/>
    <w:rsid w:val="000278B7"/>
    <w:rsid w:val="000303F7"/>
    <w:rsid w:val="00030802"/>
    <w:rsid w:val="0003418F"/>
    <w:rsid w:val="00034B3A"/>
    <w:rsid w:val="00043034"/>
    <w:rsid w:val="000433B3"/>
    <w:rsid w:val="000445B8"/>
    <w:rsid w:val="000529EF"/>
    <w:rsid w:val="00052CD2"/>
    <w:rsid w:val="00054009"/>
    <w:rsid w:val="00056076"/>
    <w:rsid w:val="00056C06"/>
    <w:rsid w:val="00057825"/>
    <w:rsid w:val="00060CE1"/>
    <w:rsid w:val="000614BC"/>
    <w:rsid w:val="00071DD0"/>
    <w:rsid w:val="0007491D"/>
    <w:rsid w:val="00074C8B"/>
    <w:rsid w:val="00076B4D"/>
    <w:rsid w:val="0008312D"/>
    <w:rsid w:val="000946FA"/>
    <w:rsid w:val="000A0958"/>
    <w:rsid w:val="000A14A4"/>
    <w:rsid w:val="000A374E"/>
    <w:rsid w:val="000B40C0"/>
    <w:rsid w:val="000C1DE2"/>
    <w:rsid w:val="000D2332"/>
    <w:rsid w:val="000D29A6"/>
    <w:rsid w:val="000D3D7C"/>
    <w:rsid w:val="000D4FE3"/>
    <w:rsid w:val="000D540C"/>
    <w:rsid w:val="000D5CFB"/>
    <w:rsid w:val="000E58C3"/>
    <w:rsid w:val="000E7EB9"/>
    <w:rsid w:val="00102548"/>
    <w:rsid w:val="00102E2D"/>
    <w:rsid w:val="0010393B"/>
    <w:rsid w:val="00103B72"/>
    <w:rsid w:val="001049B0"/>
    <w:rsid w:val="001135C7"/>
    <w:rsid w:val="00113D1F"/>
    <w:rsid w:val="00115AE2"/>
    <w:rsid w:val="00117BBE"/>
    <w:rsid w:val="00117D1E"/>
    <w:rsid w:val="001215BD"/>
    <w:rsid w:val="00121603"/>
    <w:rsid w:val="001263C2"/>
    <w:rsid w:val="00141746"/>
    <w:rsid w:val="001438E2"/>
    <w:rsid w:val="00145B2A"/>
    <w:rsid w:val="001473C3"/>
    <w:rsid w:val="00147612"/>
    <w:rsid w:val="001533C4"/>
    <w:rsid w:val="00154EFD"/>
    <w:rsid w:val="001554D5"/>
    <w:rsid w:val="00157598"/>
    <w:rsid w:val="00164EDF"/>
    <w:rsid w:val="0017772C"/>
    <w:rsid w:val="00177A78"/>
    <w:rsid w:val="00177BE2"/>
    <w:rsid w:val="00180702"/>
    <w:rsid w:val="0018418C"/>
    <w:rsid w:val="00195FBA"/>
    <w:rsid w:val="001A16EA"/>
    <w:rsid w:val="001A40F5"/>
    <w:rsid w:val="001A55A6"/>
    <w:rsid w:val="001B202F"/>
    <w:rsid w:val="001B20EF"/>
    <w:rsid w:val="001B4A20"/>
    <w:rsid w:val="001B5378"/>
    <w:rsid w:val="001C1E62"/>
    <w:rsid w:val="001C22B3"/>
    <w:rsid w:val="001C43A0"/>
    <w:rsid w:val="001D35CE"/>
    <w:rsid w:val="001D3D38"/>
    <w:rsid w:val="001D7B14"/>
    <w:rsid w:val="001E0D5E"/>
    <w:rsid w:val="001E1D8A"/>
    <w:rsid w:val="001E26DB"/>
    <w:rsid w:val="001E4654"/>
    <w:rsid w:val="001E60D1"/>
    <w:rsid w:val="001F10D1"/>
    <w:rsid w:val="001F2FB6"/>
    <w:rsid w:val="001F5DDB"/>
    <w:rsid w:val="001F6B01"/>
    <w:rsid w:val="001F7C64"/>
    <w:rsid w:val="00202FCC"/>
    <w:rsid w:val="00207064"/>
    <w:rsid w:val="00210A81"/>
    <w:rsid w:val="0021284B"/>
    <w:rsid w:val="002176D6"/>
    <w:rsid w:val="00217922"/>
    <w:rsid w:val="00217E8D"/>
    <w:rsid w:val="0022263E"/>
    <w:rsid w:val="002240C5"/>
    <w:rsid w:val="002330E8"/>
    <w:rsid w:val="00234648"/>
    <w:rsid w:val="00235847"/>
    <w:rsid w:val="002367D7"/>
    <w:rsid w:val="002428C6"/>
    <w:rsid w:val="0025677C"/>
    <w:rsid w:val="002606D0"/>
    <w:rsid w:val="0026070F"/>
    <w:rsid w:val="00261A80"/>
    <w:rsid w:val="002642F2"/>
    <w:rsid w:val="00264A7B"/>
    <w:rsid w:val="00264AC4"/>
    <w:rsid w:val="00271D85"/>
    <w:rsid w:val="00273A9D"/>
    <w:rsid w:val="00274A87"/>
    <w:rsid w:val="002814AE"/>
    <w:rsid w:val="00284109"/>
    <w:rsid w:val="0028435E"/>
    <w:rsid w:val="00285577"/>
    <w:rsid w:val="00287FE6"/>
    <w:rsid w:val="002939C6"/>
    <w:rsid w:val="002945B2"/>
    <w:rsid w:val="002949EE"/>
    <w:rsid w:val="00296D94"/>
    <w:rsid w:val="00296FE6"/>
    <w:rsid w:val="002A51D8"/>
    <w:rsid w:val="002A523F"/>
    <w:rsid w:val="002A6A6B"/>
    <w:rsid w:val="002B1669"/>
    <w:rsid w:val="002B171B"/>
    <w:rsid w:val="002B2ED4"/>
    <w:rsid w:val="002B327E"/>
    <w:rsid w:val="002B4E4B"/>
    <w:rsid w:val="002C594F"/>
    <w:rsid w:val="002C7BD5"/>
    <w:rsid w:val="002D3950"/>
    <w:rsid w:val="002D670C"/>
    <w:rsid w:val="002E3180"/>
    <w:rsid w:val="002E4953"/>
    <w:rsid w:val="002E7BF0"/>
    <w:rsid w:val="002F1520"/>
    <w:rsid w:val="002F36A1"/>
    <w:rsid w:val="002F697B"/>
    <w:rsid w:val="002F6AC0"/>
    <w:rsid w:val="003003E9"/>
    <w:rsid w:val="00300D3F"/>
    <w:rsid w:val="00301462"/>
    <w:rsid w:val="0030315D"/>
    <w:rsid w:val="003042DF"/>
    <w:rsid w:val="00305B72"/>
    <w:rsid w:val="00311874"/>
    <w:rsid w:val="00314902"/>
    <w:rsid w:val="003176BC"/>
    <w:rsid w:val="00317B9D"/>
    <w:rsid w:val="00322391"/>
    <w:rsid w:val="00323672"/>
    <w:rsid w:val="00323863"/>
    <w:rsid w:val="0033055A"/>
    <w:rsid w:val="00333023"/>
    <w:rsid w:val="00334713"/>
    <w:rsid w:val="00336982"/>
    <w:rsid w:val="00350225"/>
    <w:rsid w:val="003520A1"/>
    <w:rsid w:val="00356549"/>
    <w:rsid w:val="00357F00"/>
    <w:rsid w:val="00360197"/>
    <w:rsid w:val="00361E44"/>
    <w:rsid w:val="003629E1"/>
    <w:rsid w:val="003644C4"/>
    <w:rsid w:val="00373F63"/>
    <w:rsid w:val="00381A14"/>
    <w:rsid w:val="00382C6F"/>
    <w:rsid w:val="00382D44"/>
    <w:rsid w:val="00383468"/>
    <w:rsid w:val="003860D3"/>
    <w:rsid w:val="00387772"/>
    <w:rsid w:val="00390FD6"/>
    <w:rsid w:val="003937F0"/>
    <w:rsid w:val="00395A51"/>
    <w:rsid w:val="003963EC"/>
    <w:rsid w:val="00397D76"/>
    <w:rsid w:val="003A13C2"/>
    <w:rsid w:val="003A6725"/>
    <w:rsid w:val="003B03FC"/>
    <w:rsid w:val="003C2079"/>
    <w:rsid w:val="003C24AD"/>
    <w:rsid w:val="003C3D33"/>
    <w:rsid w:val="003C6F1A"/>
    <w:rsid w:val="003D0709"/>
    <w:rsid w:val="003D1442"/>
    <w:rsid w:val="003D303F"/>
    <w:rsid w:val="003D7F76"/>
    <w:rsid w:val="003E09BB"/>
    <w:rsid w:val="003E22F3"/>
    <w:rsid w:val="003E30DC"/>
    <w:rsid w:val="003E673F"/>
    <w:rsid w:val="003F407C"/>
    <w:rsid w:val="00400A67"/>
    <w:rsid w:val="0040387C"/>
    <w:rsid w:val="00404B0E"/>
    <w:rsid w:val="004050CF"/>
    <w:rsid w:val="0041086C"/>
    <w:rsid w:val="00413646"/>
    <w:rsid w:val="00414E43"/>
    <w:rsid w:val="004157F3"/>
    <w:rsid w:val="00416796"/>
    <w:rsid w:val="004178C0"/>
    <w:rsid w:val="004211F9"/>
    <w:rsid w:val="00421647"/>
    <w:rsid w:val="00421728"/>
    <w:rsid w:val="00423AF4"/>
    <w:rsid w:val="00430233"/>
    <w:rsid w:val="004312AF"/>
    <w:rsid w:val="004328F5"/>
    <w:rsid w:val="00432FDC"/>
    <w:rsid w:val="00434D91"/>
    <w:rsid w:val="00440B30"/>
    <w:rsid w:val="00443DBF"/>
    <w:rsid w:val="00445F3F"/>
    <w:rsid w:val="00447585"/>
    <w:rsid w:val="0044794F"/>
    <w:rsid w:val="00450727"/>
    <w:rsid w:val="00450A84"/>
    <w:rsid w:val="004530C9"/>
    <w:rsid w:val="004560D3"/>
    <w:rsid w:val="00457EEB"/>
    <w:rsid w:val="0046049C"/>
    <w:rsid w:val="00464A25"/>
    <w:rsid w:val="00466193"/>
    <w:rsid w:val="004677BB"/>
    <w:rsid w:val="00474B4B"/>
    <w:rsid w:val="0047511B"/>
    <w:rsid w:val="00481DD9"/>
    <w:rsid w:val="00484B26"/>
    <w:rsid w:val="0049053B"/>
    <w:rsid w:val="0049058A"/>
    <w:rsid w:val="004932D0"/>
    <w:rsid w:val="004941B3"/>
    <w:rsid w:val="00495740"/>
    <w:rsid w:val="00497CD2"/>
    <w:rsid w:val="004A02A0"/>
    <w:rsid w:val="004A1240"/>
    <w:rsid w:val="004A1483"/>
    <w:rsid w:val="004A176E"/>
    <w:rsid w:val="004A29EB"/>
    <w:rsid w:val="004A38D9"/>
    <w:rsid w:val="004A4B97"/>
    <w:rsid w:val="004A743C"/>
    <w:rsid w:val="004A78B4"/>
    <w:rsid w:val="004B10F9"/>
    <w:rsid w:val="004B479C"/>
    <w:rsid w:val="004D0776"/>
    <w:rsid w:val="004D17E8"/>
    <w:rsid w:val="004D53EC"/>
    <w:rsid w:val="004D620C"/>
    <w:rsid w:val="004E522B"/>
    <w:rsid w:val="004F195B"/>
    <w:rsid w:val="004F3CDE"/>
    <w:rsid w:val="004F40AD"/>
    <w:rsid w:val="004F4784"/>
    <w:rsid w:val="004F53C6"/>
    <w:rsid w:val="004F6C31"/>
    <w:rsid w:val="004F76A6"/>
    <w:rsid w:val="0051214F"/>
    <w:rsid w:val="00512989"/>
    <w:rsid w:val="00517DA7"/>
    <w:rsid w:val="005223FD"/>
    <w:rsid w:val="00523C54"/>
    <w:rsid w:val="00524068"/>
    <w:rsid w:val="005260F2"/>
    <w:rsid w:val="00527F46"/>
    <w:rsid w:val="00527FFD"/>
    <w:rsid w:val="00532BD7"/>
    <w:rsid w:val="0053518B"/>
    <w:rsid w:val="0054183D"/>
    <w:rsid w:val="00541AFC"/>
    <w:rsid w:val="005441A4"/>
    <w:rsid w:val="0054624D"/>
    <w:rsid w:val="00551ED0"/>
    <w:rsid w:val="00552BB8"/>
    <w:rsid w:val="00553D9A"/>
    <w:rsid w:val="00554FC4"/>
    <w:rsid w:val="00564AFE"/>
    <w:rsid w:val="00566390"/>
    <w:rsid w:val="00574262"/>
    <w:rsid w:val="00580E86"/>
    <w:rsid w:val="00582CCE"/>
    <w:rsid w:val="00584AF9"/>
    <w:rsid w:val="0058642E"/>
    <w:rsid w:val="00591AEF"/>
    <w:rsid w:val="00597EF2"/>
    <w:rsid w:val="005A18E2"/>
    <w:rsid w:val="005A3EED"/>
    <w:rsid w:val="005A5589"/>
    <w:rsid w:val="005A633F"/>
    <w:rsid w:val="005A67CE"/>
    <w:rsid w:val="005A6C43"/>
    <w:rsid w:val="005A720F"/>
    <w:rsid w:val="005B20AE"/>
    <w:rsid w:val="005B2326"/>
    <w:rsid w:val="005B5B92"/>
    <w:rsid w:val="005C4A60"/>
    <w:rsid w:val="005C7429"/>
    <w:rsid w:val="005D0FFB"/>
    <w:rsid w:val="005D2662"/>
    <w:rsid w:val="005E30E5"/>
    <w:rsid w:val="005E56E1"/>
    <w:rsid w:val="005E7BD8"/>
    <w:rsid w:val="005F07D8"/>
    <w:rsid w:val="005F1103"/>
    <w:rsid w:val="005F45F4"/>
    <w:rsid w:val="005F71DF"/>
    <w:rsid w:val="00600F8D"/>
    <w:rsid w:val="0060112C"/>
    <w:rsid w:val="00606493"/>
    <w:rsid w:val="00607310"/>
    <w:rsid w:val="00607D54"/>
    <w:rsid w:val="0061358B"/>
    <w:rsid w:val="00615FCC"/>
    <w:rsid w:val="00616C4D"/>
    <w:rsid w:val="0061782D"/>
    <w:rsid w:val="00622D31"/>
    <w:rsid w:val="0062412C"/>
    <w:rsid w:val="006276FC"/>
    <w:rsid w:val="006322A9"/>
    <w:rsid w:val="00632FC2"/>
    <w:rsid w:val="006348BF"/>
    <w:rsid w:val="00635008"/>
    <w:rsid w:val="00636A98"/>
    <w:rsid w:val="00637DB8"/>
    <w:rsid w:val="0064000B"/>
    <w:rsid w:val="0064042F"/>
    <w:rsid w:val="0064055C"/>
    <w:rsid w:val="006460DC"/>
    <w:rsid w:val="00647C4D"/>
    <w:rsid w:val="00651467"/>
    <w:rsid w:val="006530DC"/>
    <w:rsid w:val="0065393F"/>
    <w:rsid w:val="00654E0B"/>
    <w:rsid w:val="00657F34"/>
    <w:rsid w:val="006637AB"/>
    <w:rsid w:val="006679B2"/>
    <w:rsid w:val="00672548"/>
    <w:rsid w:val="00685795"/>
    <w:rsid w:val="00691D53"/>
    <w:rsid w:val="006929B4"/>
    <w:rsid w:val="00692E84"/>
    <w:rsid w:val="006937C2"/>
    <w:rsid w:val="006A1812"/>
    <w:rsid w:val="006A217E"/>
    <w:rsid w:val="006A21B6"/>
    <w:rsid w:val="006A21CD"/>
    <w:rsid w:val="006A4B3F"/>
    <w:rsid w:val="006A4DC8"/>
    <w:rsid w:val="006A52F0"/>
    <w:rsid w:val="006B06F3"/>
    <w:rsid w:val="006B1231"/>
    <w:rsid w:val="006B3D49"/>
    <w:rsid w:val="006B413C"/>
    <w:rsid w:val="006C5ECB"/>
    <w:rsid w:val="006C78EF"/>
    <w:rsid w:val="006D0A94"/>
    <w:rsid w:val="006D0B9F"/>
    <w:rsid w:val="006D28FA"/>
    <w:rsid w:val="006D4EBC"/>
    <w:rsid w:val="006D6071"/>
    <w:rsid w:val="006D68D1"/>
    <w:rsid w:val="006E0583"/>
    <w:rsid w:val="006E1C0E"/>
    <w:rsid w:val="006F0A65"/>
    <w:rsid w:val="007033F5"/>
    <w:rsid w:val="00703765"/>
    <w:rsid w:val="00704966"/>
    <w:rsid w:val="00710AD3"/>
    <w:rsid w:val="00716FEB"/>
    <w:rsid w:val="00723FEF"/>
    <w:rsid w:val="007311A7"/>
    <w:rsid w:val="00731F86"/>
    <w:rsid w:val="00735A02"/>
    <w:rsid w:val="00735E65"/>
    <w:rsid w:val="00736CDE"/>
    <w:rsid w:val="00737003"/>
    <w:rsid w:val="0074206E"/>
    <w:rsid w:val="007425C6"/>
    <w:rsid w:val="007447A3"/>
    <w:rsid w:val="007468D1"/>
    <w:rsid w:val="007517BA"/>
    <w:rsid w:val="00756B5E"/>
    <w:rsid w:val="00760139"/>
    <w:rsid w:val="00760EFE"/>
    <w:rsid w:val="007612DD"/>
    <w:rsid w:val="00765AA0"/>
    <w:rsid w:val="0077403B"/>
    <w:rsid w:val="007740D7"/>
    <w:rsid w:val="007764A4"/>
    <w:rsid w:val="00776CB0"/>
    <w:rsid w:val="00780A70"/>
    <w:rsid w:val="00782B6D"/>
    <w:rsid w:val="00782F4C"/>
    <w:rsid w:val="00784D74"/>
    <w:rsid w:val="00786E67"/>
    <w:rsid w:val="00787B99"/>
    <w:rsid w:val="00790033"/>
    <w:rsid w:val="00794491"/>
    <w:rsid w:val="00794F37"/>
    <w:rsid w:val="00797926"/>
    <w:rsid w:val="00797B06"/>
    <w:rsid w:val="007A0862"/>
    <w:rsid w:val="007A0BDE"/>
    <w:rsid w:val="007A2348"/>
    <w:rsid w:val="007A3023"/>
    <w:rsid w:val="007A3D81"/>
    <w:rsid w:val="007A6270"/>
    <w:rsid w:val="007A6FD3"/>
    <w:rsid w:val="007A7012"/>
    <w:rsid w:val="007B4768"/>
    <w:rsid w:val="007B7F70"/>
    <w:rsid w:val="007C2133"/>
    <w:rsid w:val="007C57DA"/>
    <w:rsid w:val="007D1AA0"/>
    <w:rsid w:val="007D6683"/>
    <w:rsid w:val="007E16BA"/>
    <w:rsid w:val="007E23DF"/>
    <w:rsid w:val="007E2A65"/>
    <w:rsid w:val="007E5DEC"/>
    <w:rsid w:val="007E6E03"/>
    <w:rsid w:val="007F1078"/>
    <w:rsid w:val="007F3452"/>
    <w:rsid w:val="007F45BB"/>
    <w:rsid w:val="007F667F"/>
    <w:rsid w:val="008031C1"/>
    <w:rsid w:val="00803EAC"/>
    <w:rsid w:val="00804BCA"/>
    <w:rsid w:val="0080642A"/>
    <w:rsid w:val="008079EB"/>
    <w:rsid w:val="00807F80"/>
    <w:rsid w:val="00810D63"/>
    <w:rsid w:val="00816305"/>
    <w:rsid w:val="00816CAF"/>
    <w:rsid w:val="00824448"/>
    <w:rsid w:val="00827026"/>
    <w:rsid w:val="00827B29"/>
    <w:rsid w:val="0083538F"/>
    <w:rsid w:val="00835E70"/>
    <w:rsid w:val="008409E1"/>
    <w:rsid w:val="00842941"/>
    <w:rsid w:val="00843E6D"/>
    <w:rsid w:val="008466FB"/>
    <w:rsid w:val="00847041"/>
    <w:rsid w:val="008530C1"/>
    <w:rsid w:val="008573E8"/>
    <w:rsid w:val="0086619C"/>
    <w:rsid w:val="00867992"/>
    <w:rsid w:val="00880962"/>
    <w:rsid w:val="008818B4"/>
    <w:rsid w:val="008839B0"/>
    <w:rsid w:val="00886169"/>
    <w:rsid w:val="008872FE"/>
    <w:rsid w:val="00890EBE"/>
    <w:rsid w:val="00893945"/>
    <w:rsid w:val="008A4F4F"/>
    <w:rsid w:val="008B3A1E"/>
    <w:rsid w:val="008C0220"/>
    <w:rsid w:val="008C10C7"/>
    <w:rsid w:val="008D394A"/>
    <w:rsid w:val="008D4C29"/>
    <w:rsid w:val="008D585B"/>
    <w:rsid w:val="008E3594"/>
    <w:rsid w:val="00900046"/>
    <w:rsid w:val="00911543"/>
    <w:rsid w:val="00915C5A"/>
    <w:rsid w:val="00916E45"/>
    <w:rsid w:val="009171BF"/>
    <w:rsid w:val="00920C3A"/>
    <w:rsid w:val="00933A1E"/>
    <w:rsid w:val="00934A61"/>
    <w:rsid w:val="009401A8"/>
    <w:rsid w:val="0094067E"/>
    <w:rsid w:val="0094097E"/>
    <w:rsid w:val="00940EC9"/>
    <w:rsid w:val="009415EB"/>
    <w:rsid w:val="00941DBC"/>
    <w:rsid w:val="00943435"/>
    <w:rsid w:val="00952F1D"/>
    <w:rsid w:val="009530F9"/>
    <w:rsid w:val="00954055"/>
    <w:rsid w:val="00954771"/>
    <w:rsid w:val="009558B1"/>
    <w:rsid w:val="0095592D"/>
    <w:rsid w:val="009575E3"/>
    <w:rsid w:val="009628C6"/>
    <w:rsid w:val="00962A32"/>
    <w:rsid w:val="00963B68"/>
    <w:rsid w:val="00971864"/>
    <w:rsid w:val="0097665B"/>
    <w:rsid w:val="00977B96"/>
    <w:rsid w:val="0098016C"/>
    <w:rsid w:val="009803C3"/>
    <w:rsid w:val="00981489"/>
    <w:rsid w:val="00982463"/>
    <w:rsid w:val="00985BD3"/>
    <w:rsid w:val="009861C3"/>
    <w:rsid w:val="009878F6"/>
    <w:rsid w:val="00992786"/>
    <w:rsid w:val="00992DDE"/>
    <w:rsid w:val="00995EC5"/>
    <w:rsid w:val="009A2873"/>
    <w:rsid w:val="009A2C49"/>
    <w:rsid w:val="009B06E1"/>
    <w:rsid w:val="009B06FD"/>
    <w:rsid w:val="009B5678"/>
    <w:rsid w:val="009B6164"/>
    <w:rsid w:val="009C289E"/>
    <w:rsid w:val="009C2C52"/>
    <w:rsid w:val="009C53B3"/>
    <w:rsid w:val="009C78E3"/>
    <w:rsid w:val="009E3242"/>
    <w:rsid w:val="009E38A5"/>
    <w:rsid w:val="009E440A"/>
    <w:rsid w:val="009F086C"/>
    <w:rsid w:val="009F3C0B"/>
    <w:rsid w:val="009F467E"/>
    <w:rsid w:val="009F5A1D"/>
    <w:rsid w:val="009F6AFC"/>
    <w:rsid w:val="00A00944"/>
    <w:rsid w:val="00A11DAF"/>
    <w:rsid w:val="00A14615"/>
    <w:rsid w:val="00A16818"/>
    <w:rsid w:val="00A24B6B"/>
    <w:rsid w:val="00A30465"/>
    <w:rsid w:val="00A3175E"/>
    <w:rsid w:val="00A334DB"/>
    <w:rsid w:val="00A353A3"/>
    <w:rsid w:val="00A3729E"/>
    <w:rsid w:val="00A40F77"/>
    <w:rsid w:val="00A419B8"/>
    <w:rsid w:val="00A41D28"/>
    <w:rsid w:val="00A45003"/>
    <w:rsid w:val="00A60AB1"/>
    <w:rsid w:val="00A656C7"/>
    <w:rsid w:val="00A6674D"/>
    <w:rsid w:val="00A66D61"/>
    <w:rsid w:val="00A67423"/>
    <w:rsid w:val="00A708A9"/>
    <w:rsid w:val="00A71763"/>
    <w:rsid w:val="00A74197"/>
    <w:rsid w:val="00A75F97"/>
    <w:rsid w:val="00A76998"/>
    <w:rsid w:val="00A836FF"/>
    <w:rsid w:val="00A83CA5"/>
    <w:rsid w:val="00A86535"/>
    <w:rsid w:val="00A90421"/>
    <w:rsid w:val="00A92B60"/>
    <w:rsid w:val="00A954B9"/>
    <w:rsid w:val="00AA0762"/>
    <w:rsid w:val="00AA21BF"/>
    <w:rsid w:val="00AA5089"/>
    <w:rsid w:val="00AB126F"/>
    <w:rsid w:val="00AB14E6"/>
    <w:rsid w:val="00AB3365"/>
    <w:rsid w:val="00AB368D"/>
    <w:rsid w:val="00AB6EF3"/>
    <w:rsid w:val="00AC1771"/>
    <w:rsid w:val="00AC2BC7"/>
    <w:rsid w:val="00AC5671"/>
    <w:rsid w:val="00AC6ABE"/>
    <w:rsid w:val="00AD15E4"/>
    <w:rsid w:val="00AD15F0"/>
    <w:rsid w:val="00AD3991"/>
    <w:rsid w:val="00AD3B55"/>
    <w:rsid w:val="00AD6AB7"/>
    <w:rsid w:val="00AE2352"/>
    <w:rsid w:val="00AF0A19"/>
    <w:rsid w:val="00AF42E7"/>
    <w:rsid w:val="00AF4D05"/>
    <w:rsid w:val="00AF5B38"/>
    <w:rsid w:val="00B009C2"/>
    <w:rsid w:val="00B031F8"/>
    <w:rsid w:val="00B055DB"/>
    <w:rsid w:val="00B0652C"/>
    <w:rsid w:val="00B06E3C"/>
    <w:rsid w:val="00B10BF6"/>
    <w:rsid w:val="00B15618"/>
    <w:rsid w:val="00B15C72"/>
    <w:rsid w:val="00B20E70"/>
    <w:rsid w:val="00B22EAB"/>
    <w:rsid w:val="00B26758"/>
    <w:rsid w:val="00B27BA5"/>
    <w:rsid w:val="00B32FED"/>
    <w:rsid w:val="00B335F7"/>
    <w:rsid w:val="00B338B1"/>
    <w:rsid w:val="00B45DAF"/>
    <w:rsid w:val="00B514AD"/>
    <w:rsid w:val="00B528F8"/>
    <w:rsid w:val="00B5334F"/>
    <w:rsid w:val="00B54617"/>
    <w:rsid w:val="00B65AA2"/>
    <w:rsid w:val="00B67C8A"/>
    <w:rsid w:val="00B711B0"/>
    <w:rsid w:val="00B735FF"/>
    <w:rsid w:val="00B7708C"/>
    <w:rsid w:val="00B864CD"/>
    <w:rsid w:val="00B86A53"/>
    <w:rsid w:val="00B86B1D"/>
    <w:rsid w:val="00B9098F"/>
    <w:rsid w:val="00B90EC7"/>
    <w:rsid w:val="00B939E9"/>
    <w:rsid w:val="00B944E9"/>
    <w:rsid w:val="00B94F0F"/>
    <w:rsid w:val="00B977C5"/>
    <w:rsid w:val="00BA1F9A"/>
    <w:rsid w:val="00BA2D57"/>
    <w:rsid w:val="00BA338C"/>
    <w:rsid w:val="00BA3A04"/>
    <w:rsid w:val="00BA4F20"/>
    <w:rsid w:val="00BA5CAE"/>
    <w:rsid w:val="00BA7F48"/>
    <w:rsid w:val="00BB1974"/>
    <w:rsid w:val="00BB2ABA"/>
    <w:rsid w:val="00BC03D0"/>
    <w:rsid w:val="00BC68C7"/>
    <w:rsid w:val="00BC6B1C"/>
    <w:rsid w:val="00BD009B"/>
    <w:rsid w:val="00BE07F2"/>
    <w:rsid w:val="00BE63E8"/>
    <w:rsid w:val="00BF0C00"/>
    <w:rsid w:val="00C02A14"/>
    <w:rsid w:val="00C037A3"/>
    <w:rsid w:val="00C03E61"/>
    <w:rsid w:val="00C04D83"/>
    <w:rsid w:val="00C06368"/>
    <w:rsid w:val="00C0694D"/>
    <w:rsid w:val="00C12BDD"/>
    <w:rsid w:val="00C22541"/>
    <w:rsid w:val="00C248D1"/>
    <w:rsid w:val="00C27E17"/>
    <w:rsid w:val="00C32C6D"/>
    <w:rsid w:val="00C3302D"/>
    <w:rsid w:val="00C35F0A"/>
    <w:rsid w:val="00C361D9"/>
    <w:rsid w:val="00C36701"/>
    <w:rsid w:val="00C36B2E"/>
    <w:rsid w:val="00C42FBD"/>
    <w:rsid w:val="00C504C8"/>
    <w:rsid w:val="00C511B8"/>
    <w:rsid w:val="00C54767"/>
    <w:rsid w:val="00C5576D"/>
    <w:rsid w:val="00C644B5"/>
    <w:rsid w:val="00C65A2C"/>
    <w:rsid w:val="00C66E10"/>
    <w:rsid w:val="00C67C44"/>
    <w:rsid w:val="00C7217C"/>
    <w:rsid w:val="00C7227E"/>
    <w:rsid w:val="00C77A45"/>
    <w:rsid w:val="00C823B6"/>
    <w:rsid w:val="00C82AAE"/>
    <w:rsid w:val="00C870E4"/>
    <w:rsid w:val="00C903AA"/>
    <w:rsid w:val="00C97DE9"/>
    <w:rsid w:val="00CA68F5"/>
    <w:rsid w:val="00CB15B2"/>
    <w:rsid w:val="00CB33F4"/>
    <w:rsid w:val="00CB7E4C"/>
    <w:rsid w:val="00CC2ED1"/>
    <w:rsid w:val="00CC4E55"/>
    <w:rsid w:val="00CD0299"/>
    <w:rsid w:val="00CD066E"/>
    <w:rsid w:val="00CD1497"/>
    <w:rsid w:val="00CD1571"/>
    <w:rsid w:val="00CD36DC"/>
    <w:rsid w:val="00CD7767"/>
    <w:rsid w:val="00CE0247"/>
    <w:rsid w:val="00CF1D3B"/>
    <w:rsid w:val="00CF5EF6"/>
    <w:rsid w:val="00CF7DE8"/>
    <w:rsid w:val="00D040C6"/>
    <w:rsid w:val="00D125AA"/>
    <w:rsid w:val="00D14031"/>
    <w:rsid w:val="00D143B9"/>
    <w:rsid w:val="00D20C2B"/>
    <w:rsid w:val="00D223A9"/>
    <w:rsid w:val="00D23113"/>
    <w:rsid w:val="00D243D3"/>
    <w:rsid w:val="00D2637C"/>
    <w:rsid w:val="00D26AC7"/>
    <w:rsid w:val="00D27362"/>
    <w:rsid w:val="00D310D5"/>
    <w:rsid w:val="00D3498E"/>
    <w:rsid w:val="00D405E9"/>
    <w:rsid w:val="00D422EB"/>
    <w:rsid w:val="00D5246F"/>
    <w:rsid w:val="00D5314B"/>
    <w:rsid w:val="00D630CA"/>
    <w:rsid w:val="00D636BA"/>
    <w:rsid w:val="00D64B4A"/>
    <w:rsid w:val="00D64C96"/>
    <w:rsid w:val="00D6593D"/>
    <w:rsid w:val="00D6715E"/>
    <w:rsid w:val="00D72278"/>
    <w:rsid w:val="00D77A37"/>
    <w:rsid w:val="00D77B1B"/>
    <w:rsid w:val="00D80425"/>
    <w:rsid w:val="00D843EA"/>
    <w:rsid w:val="00D8492C"/>
    <w:rsid w:val="00D86BD5"/>
    <w:rsid w:val="00D93BD1"/>
    <w:rsid w:val="00D9662F"/>
    <w:rsid w:val="00D974FF"/>
    <w:rsid w:val="00DA1CB0"/>
    <w:rsid w:val="00DA5DF2"/>
    <w:rsid w:val="00DA6B44"/>
    <w:rsid w:val="00DA7CED"/>
    <w:rsid w:val="00DB037E"/>
    <w:rsid w:val="00DC4830"/>
    <w:rsid w:val="00DC6FF1"/>
    <w:rsid w:val="00DC7B7B"/>
    <w:rsid w:val="00DD3BD1"/>
    <w:rsid w:val="00DD6979"/>
    <w:rsid w:val="00DE03B2"/>
    <w:rsid w:val="00DE27FD"/>
    <w:rsid w:val="00DE2EF8"/>
    <w:rsid w:val="00DE46AC"/>
    <w:rsid w:val="00DE5A8F"/>
    <w:rsid w:val="00DF1D76"/>
    <w:rsid w:val="00DF1DCF"/>
    <w:rsid w:val="00DF2B0F"/>
    <w:rsid w:val="00DF3738"/>
    <w:rsid w:val="00DF5550"/>
    <w:rsid w:val="00DF58C3"/>
    <w:rsid w:val="00DF6CDB"/>
    <w:rsid w:val="00E0309E"/>
    <w:rsid w:val="00E05627"/>
    <w:rsid w:val="00E20F99"/>
    <w:rsid w:val="00E21D1E"/>
    <w:rsid w:val="00E23860"/>
    <w:rsid w:val="00E24331"/>
    <w:rsid w:val="00E259BE"/>
    <w:rsid w:val="00E26624"/>
    <w:rsid w:val="00E27450"/>
    <w:rsid w:val="00E31B4D"/>
    <w:rsid w:val="00E31D76"/>
    <w:rsid w:val="00E31E58"/>
    <w:rsid w:val="00E32C82"/>
    <w:rsid w:val="00E3431D"/>
    <w:rsid w:val="00E46638"/>
    <w:rsid w:val="00E47C79"/>
    <w:rsid w:val="00E50606"/>
    <w:rsid w:val="00E5090D"/>
    <w:rsid w:val="00E51325"/>
    <w:rsid w:val="00E53405"/>
    <w:rsid w:val="00E53EED"/>
    <w:rsid w:val="00E55C36"/>
    <w:rsid w:val="00E61F5D"/>
    <w:rsid w:val="00E621C9"/>
    <w:rsid w:val="00E645FD"/>
    <w:rsid w:val="00E671B9"/>
    <w:rsid w:val="00E737BF"/>
    <w:rsid w:val="00E738F0"/>
    <w:rsid w:val="00E80B38"/>
    <w:rsid w:val="00E82341"/>
    <w:rsid w:val="00E832B2"/>
    <w:rsid w:val="00E94239"/>
    <w:rsid w:val="00EA3D26"/>
    <w:rsid w:val="00EA4282"/>
    <w:rsid w:val="00EA4979"/>
    <w:rsid w:val="00EA52FD"/>
    <w:rsid w:val="00EB054C"/>
    <w:rsid w:val="00EB34C1"/>
    <w:rsid w:val="00EB48DC"/>
    <w:rsid w:val="00EC0B54"/>
    <w:rsid w:val="00EC4B19"/>
    <w:rsid w:val="00EC4C99"/>
    <w:rsid w:val="00EC76B9"/>
    <w:rsid w:val="00EC7841"/>
    <w:rsid w:val="00EC788B"/>
    <w:rsid w:val="00ED3FE9"/>
    <w:rsid w:val="00ED7A94"/>
    <w:rsid w:val="00ED7E44"/>
    <w:rsid w:val="00EE56D3"/>
    <w:rsid w:val="00EE5864"/>
    <w:rsid w:val="00EF157F"/>
    <w:rsid w:val="00EF3A92"/>
    <w:rsid w:val="00EF61C1"/>
    <w:rsid w:val="00EF68C2"/>
    <w:rsid w:val="00F014C3"/>
    <w:rsid w:val="00F0742E"/>
    <w:rsid w:val="00F07466"/>
    <w:rsid w:val="00F137B7"/>
    <w:rsid w:val="00F20D78"/>
    <w:rsid w:val="00F227B2"/>
    <w:rsid w:val="00F233D7"/>
    <w:rsid w:val="00F272BB"/>
    <w:rsid w:val="00F27848"/>
    <w:rsid w:val="00F27A4F"/>
    <w:rsid w:val="00F37698"/>
    <w:rsid w:val="00F420E9"/>
    <w:rsid w:val="00F450A9"/>
    <w:rsid w:val="00F509F7"/>
    <w:rsid w:val="00F50E25"/>
    <w:rsid w:val="00F63B48"/>
    <w:rsid w:val="00F6586D"/>
    <w:rsid w:val="00F72838"/>
    <w:rsid w:val="00F74403"/>
    <w:rsid w:val="00F749DE"/>
    <w:rsid w:val="00F75AAC"/>
    <w:rsid w:val="00F76CB1"/>
    <w:rsid w:val="00F774F0"/>
    <w:rsid w:val="00F77FBA"/>
    <w:rsid w:val="00F81378"/>
    <w:rsid w:val="00F8184A"/>
    <w:rsid w:val="00F86B5D"/>
    <w:rsid w:val="00F94733"/>
    <w:rsid w:val="00F95A58"/>
    <w:rsid w:val="00FA4279"/>
    <w:rsid w:val="00FA4894"/>
    <w:rsid w:val="00FA608E"/>
    <w:rsid w:val="00FB50E2"/>
    <w:rsid w:val="00FB5A12"/>
    <w:rsid w:val="00FB6314"/>
    <w:rsid w:val="00FC1949"/>
    <w:rsid w:val="00FC2CE1"/>
    <w:rsid w:val="00FC3A3F"/>
    <w:rsid w:val="00FC3D80"/>
    <w:rsid w:val="00FC4BCC"/>
    <w:rsid w:val="00FC5324"/>
    <w:rsid w:val="00FC5326"/>
    <w:rsid w:val="00FC6DC4"/>
    <w:rsid w:val="00FD5F8A"/>
    <w:rsid w:val="00FD609A"/>
    <w:rsid w:val="00FD72A0"/>
    <w:rsid w:val="00FE1F60"/>
    <w:rsid w:val="00FE33E2"/>
    <w:rsid w:val="00FE474A"/>
    <w:rsid w:val="00FE4F66"/>
    <w:rsid w:val="00FF0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F316F4"/>
  <w15:chartTrackingRefBased/>
  <w15:docId w15:val="{B9CFFA80-07A4-5341-B0AE-9F67691A7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0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8B4"/>
    <w:pPr>
      <w:tabs>
        <w:tab w:val="center" w:pos="4513"/>
        <w:tab w:val="right" w:pos="9026"/>
      </w:tabs>
    </w:pPr>
  </w:style>
  <w:style w:type="character" w:customStyle="1" w:styleId="HeaderChar">
    <w:name w:val="Header Char"/>
    <w:basedOn w:val="DefaultParagraphFont"/>
    <w:link w:val="Header"/>
    <w:uiPriority w:val="99"/>
    <w:rsid w:val="004A78B4"/>
  </w:style>
  <w:style w:type="paragraph" w:styleId="Footer">
    <w:name w:val="footer"/>
    <w:basedOn w:val="Normal"/>
    <w:link w:val="FooterChar"/>
    <w:uiPriority w:val="99"/>
    <w:unhideWhenUsed/>
    <w:rsid w:val="004A78B4"/>
    <w:pPr>
      <w:tabs>
        <w:tab w:val="center" w:pos="4513"/>
        <w:tab w:val="right" w:pos="9026"/>
      </w:tabs>
    </w:pPr>
  </w:style>
  <w:style w:type="character" w:customStyle="1" w:styleId="FooterChar">
    <w:name w:val="Footer Char"/>
    <w:basedOn w:val="DefaultParagraphFont"/>
    <w:link w:val="Footer"/>
    <w:uiPriority w:val="99"/>
    <w:rsid w:val="004A78B4"/>
  </w:style>
  <w:style w:type="character" w:styleId="PageNumber">
    <w:name w:val="page number"/>
    <w:basedOn w:val="DefaultParagraphFont"/>
    <w:uiPriority w:val="99"/>
    <w:semiHidden/>
    <w:unhideWhenUsed/>
    <w:rsid w:val="00D72278"/>
  </w:style>
  <w:style w:type="paragraph" w:styleId="FootnoteText">
    <w:name w:val="footnote text"/>
    <w:basedOn w:val="Normal"/>
    <w:link w:val="FootnoteTextChar"/>
    <w:uiPriority w:val="99"/>
    <w:semiHidden/>
    <w:unhideWhenUsed/>
    <w:rsid w:val="00356549"/>
    <w:rPr>
      <w:sz w:val="20"/>
      <w:szCs w:val="20"/>
    </w:rPr>
  </w:style>
  <w:style w:type="character" w:customStyle="1" w:styleId="FootnoteTextChar">
    <w:name w:val="Footnote Text Char"/>
    <w:basedOn w:val="DefaultParagraphFont"/>
    <w:link w:val="FootnoteText"/>
    <w:uiPriority w:val="99"/>
    <w:semiHidden/>
    <w:rsid w:val="00356549"/>
    <w:rPr>
      <w:sz w:val="20"/>
      <w:szCs w:val="20"/>
    </w:rPr>
  </w:style>
  <w:style w:type="character" w:styleId="FootnoteReference">
    <w:name w:val="footnote reference"/>
    <w:basedOn w:val="DefaultParagraphFont"/>
    <w:uiPriority w:val="99"/>
    <w:semiHidden/>
    <w:unhideWhenUsed/>
    <w:rsid w:val="00356549"/>
    <w:rPr>
      <w:vertAlign w:val="superscript"/>
    </w:rPr>
  </w:style>
  <w:style w:type="paragraph" w:styleId="NormalWeb">
    <w:name w:val="Normal (Web)"/>
    <w:basedOn w:val="Normal"/>
    <w:uiPriority w:val="99"/>
    <w:semiHidden/>
    <w:unhideWhenUsed/>
    <w:rsid w:val="004F6C31"/>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4F6C31"/>
  </w:style>
  <w:style w:type="paragraph" w:styleId="ListParagraph">
    <w:name w:val="List Paragraph"/>
    <w:basedOn w:val="Normal"/>
    <w:uiPriority w:val="34"/>
    <w:qFormat/>
    <w:rsid w:val="002A51D8"/>
    <w:pPr>
      <w:ind w:left="720"/>
      <w:contextualSpacing/>
    </w:pPr>
    <w:rPr>
      <w:rFonts w:ascii="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3520A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72465">
      <w:bodyDiv w:val="1"/>
      <w:marLeft w:val="0"/>
      <w:marRight w:val="0"/>
      <w:marTop w:val="0"/>
      <w:marBottom w:val="0"/>
      <w:divBdr>
        <w:top w:val="none" w:sz="0" w:space="0" w:color="auto"/>
        <w:left w:val="none" w:sz="0" w:space="0" w:color="auto"/>
        <w:bottom w:val="none" w:sz="0" w:space="0" w:color="auto"/>
        <w:right w:val="none" w:sz="0" w:space="0" w:color="auto"/>
      </w:divBdr>
      <w:divsChild>
        <w:div w:id="487131807">
          <w:marLeft w:val="-720"/>
          <w:marRight w:val="0"/>
          <w:marTop w:val="0"/>
          <w:marBottom w:val="0"/>
          <w:divBdr>
            <w:top w:val="none" w:sz="0" w:space="0" w:color="auto"/>
            <w:left w:val="none" w:sz="0" w:space="0" w:color="auto"/>
            <w:bottom w:val="none" w:sz="0" w:space="0" w:color="auto"/>
            <w:right w:val="none" w:sz="0" w:space="0" w:color="auto"/>
          </w:divBdr>
        </w:div>
      </w:divsChild>
    </w:div>
    <w:div w:id="87849930">
      <w:bodyDiv w:val="1"/>
      <w:marLeft w:val="0"/>
      <w:marRight w:val="0"/>
      <w:marTop w:val="0"/>
      <w:marBottom w:val="0"/>
      <w:divBdr>
        <w:top w:val="none" w:sz="0" w:space="0" w:color="auto"/>
        <w:left w:val="none" w:sz="0" w:space="0" w:color="auto"/>
        <w:bottom w:val="none" w:sz="0" w:space="0" w:color="auto"/>
        <w:right w:val="none" w:sz="0" w:space="0" w:color="auto"/>
      </w:divBdr>
      <w:divsChild>
        <w:div w:id="1742289731">
          <w:marLeft w:val="-720"/>
          <w:marRight w:val="0"/>
          <w:marTop w:val="0"/>
          <w:marBottom w:val="0"/>
          <w:divBdr>
            <w:top w:val="none" w:sz="0" w:space="0" w:color="auto"/>
            <w:left w:val="none" w:sz="0" w:space="0" w:color="auto"/>
            <w:bottom w:val="none" w:sz="0" w:space="0" w:color="auto"/>
            <w:right w:val="none" w:sz="0" w:space="0" w:color="auto"/>
          </w:divBdr>
          <w:divsChild>
            <w:div w:id="718359299">
              <w:marLeft w:val="0"/>
              <w:marRight w:val="0"/>
              <w:marTop w:val="0"/>
              <w:marBottom w:val="0"/>
              <w:divBdr>
                <w:top w:val="none" w:sz="0" w:space="0" w:color="auto"/>
                <w:left w:val="none" w:sz="0" w:space="0" w:color="auto"/>
                <w:bottom w:val="none" w:sz="0" w:space="0" w:color="auto"/>
                <w:right w:val="none" w:sz="0" w:space="0" w:color="auto"/>
              </w:divBdr>
              <w:divsChild>
                <w:div w:id="139384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632">
      <w:bodyDiv w:val="1"/>
      <w:marLeft w:val="0"/>
      <w:marRight w:val="0"/>
      <w:marTop w:val="0"/>
      <w:marBottom w:val="0"/>
      <w:divBdr>
        <w:top w:val="none" w:sz="0" w:space="0" w:color="auto"/>
        <w:left w:val="none" w:sz="0" w:space="0" w:color="auto"/>
        <w:bottom w:val="none" w:sz="0" w:space="0" w:color="auto"/>
        <w:right w:val="none" w:sz="0" w:space="0" w:color="auto"/>
      </w:divBdr>
      <w:divsChild>
        <w:div w:id="787432009">
          <w:marLeft w:val="-720"/>
          <w:marRight w:val="0"/>
          <w:marTop w:val="0"/>
          <w:marBottom w:val="0"/>
          <w:divBdr>
            <w:top w:val="none" w:sz="0" w:space="0" w:color="auto"/>
            <w:left w:val="none" w:sz="0" w:space="0" w:color="auto"/>
            <w:bottom w:val="none" w:sz="0" w:space="0" w:color="auto"/>
            <w:right w:val="none" w:sz="0" w:space="0" w:color="auto"/>
          </w:divBdr>
        </w:div>
      </w:divsChild>
    </w:div>
    <w:div w:id="262420098">
      <w:bodyDiv w:val="1"/>
      <w:marLeft w:val="0"/>
      <w:marRight w:val="0"/>
      <w:marTop w:val="0"/>
      <w:marBottom w:val="0"/>
      <w:divBdr>
        <w:top w:val="none" w:sz="0" w:space="0" w:color="auto"/>
        <w:left w:val="none" w:sz="0" w:space="0" w:color="auto"/>
        <w:bottom w:val="none" w:sz="0" w:space="0" w:color="auto"/>
        <w:right w:val="none" w:sz="0" w:space="0" w:color="auto"/>
      </w:divBdr>
      <w:divsChild>
        <w:div w:id="29035177">
          <w:marLeft w:val="0"/>
          <w:marRight w:val="0"/>
          <w:marTop w:val="0"/>
          <w:marBottom w:val="0"/>
          <w:divBdr>
            <w:top w:val="none" w:sz="0" w:space="0" w:color="auto"/>
            <w:left w:val="none" w:sz="0" w:space="0" w:color="auto"/>
            <w:bottom w:val="none" w:sz="0" w:space="0" w:color="auto"/>
            <w:right w:val="none" w:sz="0" w:space="0" w:color="auto"/>
          </w:divBdr>
        </w:div>
      </w:divsChild>
    </w:div>
    <w:div w:id="333070259">
      <w:bodyDiv w:val="1"/>
      <w:marLeft w:val="0"/>
      <w:marRight w:val="0"/>
      <w:marTop w:val="0"/>
      <w:marBottom w:val="0"/>
      <w:divBdr>
        <w:top w:val="none" w:sz="0" w:space="0" w:color="auto"/>
        <w:left w:val="none" w:sz="0" w:space="0" w:color="auto"/>
        <w:bottom w:val="none" w:sz="0" w:space="0" w:color="auto"/>
        <w:right w:val="none" w:sz="0" w:space="0" w:color="auto"/>
      </w:divBdr>
      <w:divsChild>
        <w:div w:id="1802264293">
          <w:marLeft w:val="-720"/>
          <w:marRight w:val="0"/>
          <w:marTop w:val="0"/>
          <w:marBottom w:val="0"/>
          <w:divBdr>
            <w:top w:val="none" w:sz="0" w:space="0" w:color="auto"/>
            <w:left w:val="none" w:sz="0" w:space="0" w:color="auto"/>
            <w:bottom w:val="none" w:sz="0" w:space="0" w:color="auto"/>
            <w:right w:val="none" w:sz="0" w:space="0" w:color="auto"/>
          </w:divBdr>
        </w:div>
      </w:divsChild>
    </w:div>
    <w:div w:id="488443480">
      <w:bodyDiv w:val="1"/>
      <w:marLeft w:val="0"/>
      <w:marRight w:val="0"/>
      <w:marTop w:val="0"/>
      <w:marBottom w:val="0"/>
      <w:divBdr>
        <w:top w:val="none" w:sz="0" w:space="0" w:color="auto"/>
        <w:left w:val="none" w:sz="0" w:space="0" w:color="auto"/>
        <w:bottom w:val="none" w:sz="0" w:space="0" w:color="auto"/>
        <w:right w:val="none" w:sz="0" w:space="0" w:color="auto"/>
      </w:divBdr>
    </w:div>
    <w:div w:id="530920671">
      <w:bodyDiv w:val="1"/>
      <w:marLeft w:val="0"/>
      <w:marRight w:val="0"/>
      <w:marTop w:val="0"/>
      <w:marBottom w:val="0"/>
      <w:divBdr>
        <w:top w:val="none" w:sz="0" w:space="0" w:color="auto"/>
        <w:left w:val="none" w:sz="0" w:space="0" w:color="auto"/>
        <w:bottom w:val="none" w:sz="0" w:space="0" w:color="auto"/>
        <w:right w:val="none" w:sz="0" w:space="0" w:color="auto"/>
      </w:divBdr>
      <w:divsChild>
        <w:div w:id="2023044597">
          <w:marLeft w:val="0"/>
          <w:marRight w:val="0"/>
          <w:marTop w:val="0"/>
          <w:marBottom w:val="0"/>
          <w:divBdr>
            <w:top w:val="none" w:sz="0" w:space="0" w:color="auto"/>
            <w:left w:val="none" w:sz="0" w:space="0" w:color="auto"/>
            <w:bottom w:val="none" w:sz="0" w:space="0" w:color="auto"/>
            <w:right w:val="none" w:sz="0" w:space="0" w:color="auto"/>
          </w:divBdr>
        </w:div>
      </w:divsChild>
    </w:div>
    <w:div w:id="548031956">
      <w:bodyDiv w:val="1"/>
      <w:marLeft w:val="0"/>
      <w:marRight w:val="0"/>
      <w:marTop w:val="0"/>
      <w:marBottom w:val="0"/>
      <w:divBdr>
        <w:top w:val="none" w:sz="0" w:space="0" w:color="auto"/>
        <w:left w:val="none" w:sz="0" w:space="0" w:color="auto"/>
        <w:bottom w:val="none" w:sz="0" w:space="0" w:color="auto"/>
        <w:right w:val="none" w:sz="0" w:space="0" w:color="auto"/>
      </w:divBdr>
      <w:divsChild>
        <w:div w:id="1120997858">
          <w:marLeft w:val="-720"/>
          <w:marRight w:val="0"/>
          <w:marTop w:val="0"/>
          <w:marBottom w:val="0"/>
          <w:divBdr>
            <w:top w:val="none" w:sz="0" w:space="0" w:color="auto"/>
            <w:left w:val="none" w:sz="0" w:space="0" w:color="auto"/>
            <w:bottom w:val="none" w:sz="0" w:space="0" w:color="auto"/>
            <w:right w:val="none" w:sz="0" w:space="0" w:color="auto"/>
          </w:divBdr>
        </w:div>
      </w:divsChild>
    </w:div>
    <w:div w:id="707297249">
      <w:bodyDiv w:val="1"/>
      <w:marLeft w:val="0"/>
      <w:marRight w:val="0"/>
      <w:marTop w:val="0"/>
      <w:marBottom w:val="0"/>
      <w:divBdr>
        <w:top w:val="none" w:sz="0" w:space="0" w:color="auto"/>
        <w:left w:val="none" w:sz="0" w:space="0" w:color="auto"/>
        <w:bottom w:val="none" w:sz="0" w:space="0" w:color="auto"/>
        <w:right w:val="none" w:sz="0" w:space="0" w:color="auto"/>
      </w:divBdr>
      <w:divsChild>
        <w:div w:id="905072350">
          <w:marLeft w:val="360"/>
          <w:marRight w:val="0"/>
          <w:marTop w:val="200"/>
          <w:marBottom w:val="0"/>
          <w:divBdr>
            <w:top w:val="none" w:sz="0" w:space="0" w:color="auto"/>
            <w:left w:val="none" w:sz="0" w:space="0" w:color="auto"/>
            <w:bottom w:val="none" w:sz="0" w:space="0" w:color="auto"/>
            <w:right w:val="none" w:sz="0" w:space="0" w:color="auto"/>
          </w:divBdr>
        </w:div>
      </w:divsChild>
    </w:div>
    <w:div w:id="810558795">
      <w:bodyDiv w:val="1"/>
      <w:marLeft w:val="0"/>
      <w:marRight w:val="0"/>
      <w:marTop w:val="0"/>
      <w:marBottom w:val="0"/>
      <w:divBdr>
        <w:top w:val="none" w:sz="0" w:space="0" w:color="auto"/>
        <w:left w:val="none" w:sz="0" w:space="0" w:color="auto"/>
        <w:bottom w:val="none" w:sz="0" w:space="0" w:color="auto"/>
        <w:right w:val="none" w:sz="0" w:space="0" w:color="auto"/>
      </w:divBdr>
      <w:divsChild>
        <w:div w:id="1224557497">
          <w:marLeft w:val="0"/>
          <w:marRight w:val="0"/>
          <w:marTop w:val="0"/>
          <w:marBottom w:val="0"/>
          <w:divBdr>
            <w:top w:val="none" w:sz="0" w:space="0" w:color="auto"/>
            <w:left w:val="none" w:sz="0" w:space="0" w:color="auto"/>
            <w:bottom w:val="none" w:sz="0" w:space="0" w:color="auto"/>
            <w:right w:val="none" w:sz="0" w:space="0" w:color="auto"/>
          </w:divBdr>
        </w:div>
      </w:divsChild>
    </w:div>
    <w:div w:id="933901356">
      <w:bodyDiv w:val="1"/>
      <w:marLeft w:val="0"/>
      <w:marRight w:val="0"/>
      <w:marTop w:val="0"/>
      <w:marBottom w:val="0"/>
      <w:divBdr>
        <w:top w:val="none" w:sz="0" w:space="0" w:color="auto"/>
        <w:left w:val="none" w:sz="0" w:space="0" w:color="auto"/>
        <w:bottom w:val="none" w:sz="0" w:space="0" w:color="auto"/>
        <w:right w:val="none" w:sz="0" w:space="0" w:color="auto"/>
      </w:divBdr>
      <w:divsChild>
        <w:div w:id="1868367507">
          <w:marLeft w:val="0"/>
          <w:marRight w:val="0"/>
          <w:marTop w:val="0"/>
          <w:marBottom w:val="0"/>
          <w:divBdr>
            <w:top w:val="none" w:sz="0" w:space="0" w:color="auto"/>
            <w:left w:val="none" w:sz="0" w:space="0" w:color="auto"/>
            <w:bottom w:val="none" w:sz="0" w:space="0" w:color="auto"/>
            <w:right w:val="none" w:sz="0" w:space="0" w:color="auto"/>
          </w:divBdr>
        </w:div>
      </w:divsChild>
    </w:div>
    <w:div w:id="1364555050">
      <w:bodyDiv w:val="1"/>
      <w:marLeft w:val="0"/>
      <w:marRight w:val="0"/>
      <w:marTop w:val="0"/>
      <w:marBottom w:val="0"/>
      <w:divBdr>
        <w:top w:val="none" w:sz="0" w:space="0" w:color="auto"/>
        <w:left w:val="none" w:sz="0" w:space="0" w:color="auto"/>
        <w:bottom w:val="none" w:sz="0" w:space="0" w:color="auto"/>
        <w:right w:val="none" w:sz="0" w:space="0" w:color="auto"/>
      </w:divBdr>
      <w:divsChild>
        <w:div w:id="1475678795">
          <w:marLeft w:val="0"/>
          <w:marRight w:val="0"/>
          <w:marTop w:val="0"/>
          <w:marBottom w:val="0"/>
          <w:divBdr>
            <w:top w:val="none" w:sz="0" w:space="0" w:color="auto"/>
            <w:left w:val="none" w:sz="0" w:space="0" w:color="auto"/>
            <w:bottom w:val="none" w:sz="0" w:space="0" w:color="auto"/>
            <w:right w:val="none" w:sz="0" w:space="0" w:color="auto"/>
          </w:divBdr>
        </w:div>
      </w:divsChild>
    </w:div>
    <w:div w:id="1667439725">
      <w:bodyDiv w:val="1"/>
      <w:marLeft w:val="0"/>
      <w:marRight w:val="0"/>
      <w:marTop w:val="0"/>
      <w:marBottom w:val="0"/>
      <w:divBdr>
        <w:top w:val="none" w:sz="0" w:space="0" w:color="auto"/>
        <w:left w:val="none" w:sz="0" w:space="0" w:color="auto"/>
        <w:bottom w:val="none" w:sz="0" w:space="0" w:color="auto"/>
        <w:right w:val="none" w:sz="0" w:space="0" w:color="auto"/>
      </w:divBdr>
      <w:divsChild>
        <w:div w:id="1683512069">
          <w:marLeft w:val="-720"/>
          <w:marRight w:val="0"/>
          <w:marTop w:val="0"/>
          <w:marBottom w:val="0"/>
          <w:divBdr>
            <w:top w:val="none" w:sz="0" w:space="0" w:color="auto"/>
            <w:left w:val="none" w:sz="0" w:space="0" w:color="auto"/>
            <w:bottom w:val="none" w:sz="0" w:space="0" w:color="auto"/>
            <w:right w:val="none" w:sz="0" w:space="0" w:color="auto"/>
          </w:divBdr>
        </w:div>
      </w:divsChild>
    </w:div>
    <w:div w:id="1717048656">
      <w:bodyDiv w:val="1"/>
      <w:marLeft w:val="0"/>
      <w:marRight w:val="0"/>
      <w:marTop w:val="0"/>
      <w:marBottom w:val="0"/>
      <w:divBdr>
        <w:top w:val="none" w:sz="0" w:space="0" w:color="auto"/>
        <w:left w:val="none" w:sz="0" w:space="0" w:color="auto"/>
        <w:bottom w:val="none" w:sz="0" w:space="0" w:color="auto"/>
        <w:right w:val="none" w:sz="0" w:space="0" w:color="auto"/>
      </w:divBdr>
      <w:divsChild>
        <w:div w:id="261694699">
          <w:marLeft w:val="-720"/>
          <w:marRight w:val="0"/>
          <w:marTop w:val="0"/>
          <w:marBottom w:val="0"/>
          <w:divBdr>
            <w:top w:val="none" w:sz="0" w:space="0" w:color="auto"/>
            <w:left w:val="none" w:sz="0" w:space="0" w:color="auto"/>
            <w:bottom w:val="none" w:sz="0" w:space="0" w:color="auto"/>
            <w:right w:val="none" w:sz="0" w:space="0" w:color="auto"/>
          </w:divBdr>
        </w:div>
      </w:divsChild>
    </w:div>
    <w:div w:id="1826702831">
      <w:bodyDiv w:val="1"/>
      <w:marLeft w:val="0"/>
      <w:marRight w:val="0"/>
      <w:marTop w:val="0"/>
      <w:marBottom w:val="0"/>
      <w:divBdr>
        <w:top w:val="none" w:sz="0" w:space="0" w:color="auto"/>
        <w:left w:val="none" w:sz="0" w:space="0" w:color="auto"/>
        <w:bottom w:val="none" w:sz="0" w:space="0" w:color="auto"/>
        <w:right w:val="none" w:sz="0" w:space="0" w:color="auto"/>
      </w:divBdr>
      <w:divsChild>
        <w:div w:id="1662661131">
          <w:marLeft w:val="0"/>
          <w:marRight w:val="0"/>
          <w:marTop w:val="0"/>
          <w:marBottom w:val="0"/>
          <w:divBdr>
            <w:top w:val="none" w:sz="0" w:space="0" w:color="auto"/>
            <w:left w:val="none" w:sz="0" w:space="0" w:color="auto"/>
            <w:bottom w:val="none" w:sz="0" w:space="0" w:color="auto"/>
            <w:right w:val="none" w:sz="0" w:space="0" w:color="auto"/>
          </w:divBdr>
        </w:div>
      </w:divsChild>
    </w:div>
    <w:div w:id="1981306870">
      <w:bodyDiv w:val="1"/>
      <w:marLeft w:val="0"/>
      <w:marRight w:val="0"/>
      <w:marTop w:val="0"/>
      <w:marBottom w:val="0"/>
      <w:divBdr>
        <w:top w:val="none" w:sz="0" w:space="0" w:color="auto"/>
        <w:left w:val="none" w:sz="0" w:space="0" w:color="auto"/>
        <w:bottom w:val="none" w:sz="0" w:space="0" w:color="auto"/>
        <w:right w:val="none" w:sz="0" w:space="0" w:color="auto"/>
      </w:divBdr>
      <w:divsChild>
        <w:div w:id="72326017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1644</TotalTime>
  <Pages>19</Pages>
  <Words>4837</Words>
  <Characters>27575</Characters>
  <Application>Microsoft Office Word</Application>
  <DocSecurity>0</DocSecurity>
  <Lines>229</Lines>
  <Paragraphs>64</Paragraphs>
  <ScaleCrop>false</ScaleCrop>
  <Company/>
  <LinksUpToDate>false</LinksUpToDate>
  <CharactersWithSpaces>32348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Ivory Morton (2001066)</dc:creator>
  <cp:keywords/>
  <dc:description/>
  <cp:lastModifiedBy>Ivory Morton (2001066)</cp:lastModifiedBy>
  <cp:revision>820</cp:revision>
  <dcterms:created xsi:type="dcterms:W3CDTF">2023-09-23T09:18:00Z</dcterms:created>
  <dcterms:modified xsi:type="dcterms:W3CDTF">2024-03-19T21:02:00Z</dcterms:modified>
</cp:coreProperties>
</file>