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D91CF" w14:textId="77777777" w:rsidR="0024395C" w:rsidRDefault="0024395C" w:rsidP="0024395C">
      <w:pPr>
        <w:rPr>
          <w:rFonts w:ascii="Times New Roman" w:hAnsi="Times New Roman" w:cs="Times New Roman (Body CS)"/>
        </w:rPr>
      </w:pPr>
      <w:r>
        <w:rPr>
          <w:rFonts w:ascii="Times New Roman" w:hAnsi="Times New Roman" w:cs="Times New Roman (Body CS)"/>
        </w:rPr>
        <w:t>‘A Critical Comparison of Two Academic Research Papers’</w:t>
      </w:r>
    </w:p>
    <w:p w14:paraId="01BF7989" w14:textId="77777777" w:rsidR="0024395C" w:rsidRDefault="0024395C" w:rsidP="0024395C">
      <w:pPr>
        <w:rPr>
          <w:rFonts w:ascii="Times New Roman" w:hAnsi="Times New Roman" w:cs="Times New Roman (Body CS)"/>
        </w:rPr>
      </w:pPr>
    </w:p>
    <w:p w14:paraId="29A62D40" w14:textId="77777777" w:rsidR="0024395C" w:rsidRDefault="0024395C" w:rsidP="0024395C">
      <w:pPr>
        <w:rPr>
          <w:rFonts w:ascii="Times New Roman" w:hAnsi="Times New Roman" w:cs="Times New Roman (Body CS)"/>
        </w:rPr>
      </w:pPr>
      <w:r>
        <w:rPr>
          <w:rFonts w:ascii="Times New Roman" w:hAnsi="Times New Roman" w:cs="Times New Roman (Body CS)"/>
        </w:rPr>
        <w:t>Word Count: 991</w:t>
      </w:r>
    </w:p>
    <w:p w14:paraId="6722B7BB" w14:textId="77777777" w:rsidR="0024395C" w:rsidRDefault="0024395C" w:rsidP="0024395C">
      <w:pPr>
        <w:rPr>
          <w:rFonts w:ascii="Times New Roman" w:hAnsi="Times New Roman" w:cs="Times New Roman (Body CS)"/>
        </w:rPr>
      </w:pPr>
    </w:p>
    <w:p w14:paraId="39EF7CB7"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This essay will contrast and compare the two methodologies, the position of the researcher as an insider or outsider, and the literature review used in the following academic research papers: Brink, T. L., ‘Inconsistency of Belief Among Roman Catholic Girls: Concerning Religion, Astrology, Reincarnation’, </w:t>
      </w:r>
      <w:r>
        <w:rPr>
          <w:rFonts w:ascii="Times New Roman" w:hAnsi="Times New Roman" w:cs="Times New Roman (Body CS)"/>
          <w:i/>
        </w:rPr>
        <w:t xml:space="preserve">Review of Religious Research, </w:t>
      </w:r>
      <w:r>
        <w:rPr>
          <w:rFonts w:ascii="Times New Roman" w:hAnsi="Times New Roman" w:cs="Times New Roman (Body CS)"/>
        </w:rPr>
        <w:t xml:space="preserve">Vol. 20, No. 1, (Autumn, 1978), pp. 82-85 and Blain, J., ‘Speaking </w:t>
      </w:r>
      <w:proofErr w:type="spellStart"/>
      <w:r>
        <w:rPr>
          <w:rFonts w:ascii="Times New Roman" w:hAnsi="Times New Roman" w:cs="Times New Roman (Body CS)"/>
        </w:rPr>
        <w:t>Shamanistically</w:t>
      </w:r>
      <w:proofErr w:type="spellEnd"/>
      <w:r>
        <w:rPr>
          <w:rFonts w:ascii="Times New Roman" w:hAnsi="Times New Roman" w:cs="Times New Roman (Body CS)"/>
        </w:rPr>
        <w:t xml:space="preserve">: SEIDR, Academia and Rationality’, </w:t>
      </w:r>
      <w:r>
        <w:rPr>
          <w:rFonts w:ascii="Times New Roman" w:hAnsi="Times New Roman" w:cs="Times New Roman (Body CS)"/>
          <w:i/>
        </w:rPr>
        <w:t xml:space="preserve">DISKUS, </w:t>
      </w:r>
      <w:r>
        <w:rPr>
          <w:rFonts w:ascii="Times New Roman" w:hAnsi="Times New Roman" w:cs="Times New Roman (Body CS)"/>
        </w:rPr>
        <w:t xml:space="preserve">Vol. 6, (2000), pp. 1-9.     </w:t>
      </w:r>
    </w:p>
    <w:p w14:paraId="33905505" w14:textId="77777777" w:rsidR="0024395C" w:rsidRDefault="0024395C" w:rsidP="0024395C">
      <w:pPr>
        <w:rPr>
          <w:rFonts w:ascii="Times New Roman" w:hAnsi="Times New Roman" w:cs="Times New Roman (Body CS)"/>
        </w:rPr>
      </w:pPr>
    </w:p>
    <w:p w14:paraId="431A60CE" w14:textId="77777777" w:rsidR="0024395C" w:rsidRDefault="0024395C" w:rsidP="0024395C">
      <w:pPr>
        <w:rPr>
          <w:rFonts w:ascii="Times New Roman" w:hAnsi="Times New Roman" w:cs="Times New Roman (Body CS)"/>
        </w:rPr>
      </w:pPr>
      <w:r>
        <w:rPr>
          <w:rFonts w:ascii="Times New Roman" w:hAnsi="Times New Roman" w:cs="Times New Roman (Body CS)"/>
        </w:rPr>
        <w:t>The two authors, Blain and Brink strongly differ in their methodology, which results in many differences between each paper. In his research, Brink distributed questionnaires to 227 juniors and seniors at a catholic school during a compulsory religion class. Most of the questions were related to Catholicism versus only one question regarding astrological belief, and these questions were all asked in a binary yes/no format in order to measure inconsistency of beliefs within the participants. The methodology applied in Brink’s paper is of quantitative nature</w:t>
      </w:r>
      <w:r w:rsidRPr="002541EE">
        <w:rPr>
          <w:rFonts w:ascii="Times New Roman" w:hAnsi="Times New Roman" w:cs="Times New Roman (Body CS)"/>
        </w:rPr>
        <w:t xml:space="preserve"> </w:t>
      </w:r>
      <w:r>
        <w:rPr>
          <w:rFonts w:ascii="Times New Roman" w:hAnsi="Times New Roman" w:cs="Times New Roman (Body CS)"/>
        </w:rPr>
        <w:t>and author Alan Bryman argues that this method derives partly from positivism and partly from the natural sciences.</w:t>
      </w:r>
      <w:r>
        <w:rPr>
          <w:rStyle w:val="FootnoteReference"/>
          <w:rFonts w:ascii="Times New Roman" w:hAnsi="Times New Roman" w:cs="Times New Roman (Body CS)"/>
        </w:rPr>
        <w:footnoteReference w:id="1"/>
      </w:r>
      <w:r>
        <w:rPr>
          <w:rFonts w:ascii="Times New Roman" w:hAnsi="Times New Roman" w:cs="Times New Roman (Body CS)"/>
        </w:rPr>
        <w:t xml:space="preserve"> According to </w:t>
      </w:r>
      <w:proofErr w:type="spellStart"/>
      <w:r>
        <w:rPr>
          <w:rFonts w:ascii="Times New Roman" w:hAnsi="Times New Roman" w:cs="Times New Roman (Body CS)"/>
        </w:rPr>
        <w:t>Hennik</w:t>
      </w:r>
      <w:proofErr w:type="spellEnd"/>
      <w:r>
        <w:rPr>
          <w:rFonts w:ascii="Times New Roman" w:hAnsi="Times New Roman" w:cs="Times New Roman (Body CS)"/>
        </w:rPr>
        <w:t xml:space="preserve">, </w:t>
      </w:r>
      <w:proofErr w:type="spellStart"/>
      <w:r>
        <w:rPr>
          <w:rFonts w:ascii="Times New Roman" w:hAnsi="Times New Roman" w:cs="Times New Roman (Body CS)"/>
        </w:rPr>
        <w:t>Hutter</w:t>
      </w:r>
      <w:proofErr w:type="spellEnd"/>
      <w:r>
        <w:rPr>
          <w:rFonts w:ascii="Times New Roman" w:hAnsi="Times New Roman" w:cs="Times New Roman (Body CS)"/>
        </w:rPr>
        <w:t xml:space="preserve"> and Bailey, a research based on a positivist paradigm first introduces a hypothesis that will be empirically tested during the research, being attached to the premise that reality is measurable and objective, a view which is in line with Brink’s method.</w:t>
      </w:r>
      <w:r>
        <w:rPr>
          <w:rStyle w:val="FootnoteReference"/>
          <w:rFonts w:ascii="Times New Roman" w:hAnsi="Times New Roman" w:cs="Times New Roman (Body CS)"/>
        </w:rPr>
        <w:footnoteReference w:id="2"/>
      </w:r>
      <w:r>
        <w:rPr>
          <w:rFonts w:ascii="Times New Roman" w:hAnsi="Times New Roman" w:cs="Times New Roman (Body CS)"/>
        </w:rPr>
        <w:t xml:space="preserve"> Brink’s choice of methodology was poor for the remit of his project, which was about the exploration of beliefs within his target group, and qualitative research methods would have been more appropriate according to </w:t>
      </w:r>
      <w:proofErr w:type="spellStart"/>
      <w:r>
        <w:rPr>
          <w:rFonts w:ascii="Times New Roman" w:hAnsi="Times New Roman" w:cs="Times New Roman (Body CS)"/>
        </w:rPr>
        <w:t>Hennink</w:t>
      </w:r>
      <w:proofErr w:type="spellEnd"/>
      <w:r>
        <w:rPr>
          <w:rFonts w:ascii="Times New Roman" w:hAnsi="Times New Roman" w:cs="Times New Roman (Body CS)"/>
        </w:rPr>
        <w:t xml:space="preserve">, </w:t>
      </w:r>
      <w:proofErr w:type="spellStart"/>
      <w:r>
        <w:rPr>
          <w:rFonts w:ascii="Times New Roman" w:hAnsi="Times New Roman" w:cs="Times New Roman (Body CS)"/>
        </w:rPr>
        <w:t>Hutter</w:t>
      </w:r>
      <w:proofErr w:type="spellEnd"/>
      <w:r>
        <w:rPr>
          <w:rFonts w:ascii="Times New Roman" w:hAnsi="Times New Roman" w:cs="Times New Roman (Body CS)"/>
        </w:rPr>
        <w:t xml:space="preserve"> and Bailey.</w:t>
      </w:r>
      <w:r>
        <w:rPr>
          <w:rStyle w:val="FootnoteReference"/>
          <w:rFonts w:ascii="Times New Roman" w:hAnsi="Times New Roman" w:cs="Times New Roman (Body CS)"/>
        </w:rPr>
        <w:footnoteReference w:id="3"/>
      </w:r>
      <w:r>
        <w:rPr>
          <w:rFonts w:ascii="Times New Roman" w:hAnsi="Times New Roman" w:cs="Times New Roman (Body CS)"/>
        </w:rPr>
        <w:t xml:space="preserve"> Another problematic with Brink’s methodology is regarding the reliability of his results as the gatekeeper was probably the religion teacher and that potentially could have had a detrimental influence on the outcome. </w:t>
      </w:r>
    </w:p>
    <w:p w14:paraId="66009D52" w14:textId="77777777" w:rsidR="0024395C" w:rsidRDefault="0024395C" w:rsidP="0024395C">
      <w:pPr>
        <w:rPr>
          <w:rFonts w:ascii="Times New Roman" w:hAnsi="Times New Roman" w:cs="Times New Roman (Body CS)"/>
        </w:rPr>
      </w:pPr>
    </w:p>
    <w:p w14:paraId="40A02E80"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Blain on another hand, was researching </w:t>
      </w:r>
      <w:proofErr w:type="spellStart"/>
      <w:r>
        <w:rPr>
          <w:rFonts w:ascii="Times New Roman" w:hAnsi="Times New Roman" w:cs="Times New Roman (Body CS)"/>
        </w:rPr>
        <w:t>Seidr</w:t>
      </w:r>
      <w:proofErr w:type="spellEnd"/>
      <w:r>
        <w:rPr>
          <w:rFonts w:ascii="Times New Roman" w:hAnsi="Times New Roman" w:cs="Times New Roman (Body CS)"/>
        </w:rPr>
        <w:t xml:space="preserve"> shamanism and immersed herself in the community, participating of its practices and conducting her research from near. In the Abstract section Blain states that her paper is ‘rooted in experiential research’ and the author chose a mix of qualitative methods like participant observation and in-depth interviews where the focus was in allowing people to speak about their experiences with their own words, including Blain’s own experience of shamanic </w:t>
      </w:r>
      <w:proofErr w:type="spellStart"/>
      <w:r>
        <w:rPr>
          <w:rFonts w:ascii="Times New Roman" w:hAnsi="Times New Roman" w:cs="Times New Roman (Body CS)"/>
        </w:rPr>
        <w:t>Seidr</w:t>
      </w:r>
      <w:proofErr w:type="spellEnd"/>
      <w:r>
        <w:rPr>
          <w:rFonts w:ascii="Times New Roman" w:hAnsi="Times New Roman" w:cs="Times New Roman (Body CS)"/>
        </w:rPr>
        <w:t>.</w:t>
      </w:r>
      <w:r>
        <w:rPr>
          <w:rStyle w:val="FootnoteReference"/>
          <w:rFonts w:ascii="Times New Roman" w:hAnsi="Times New Roman" w:cs="Times New Roman (Body CS)"/>
        </w:rPr>
        <w:footnoteReference w:id="4"/>
      </w:r>
      <w:r>
        <w:rPr>
          <w:rFonts w:ascii="Times New Roman" w:hAnsi="Times New Roman" w:cs="Times New Roman (Body CS)"/>
        </w:rPr>
        <w:t xml:space="preserve"> Blain’s paper is strong in self-reflective material and this is another point of divergence between hers and Brink’s work, which lacks self-reflection entirely. Jenny Blain also brings up important questions related to interpretation and discourses in the academic world and she states an interest in debating ‘current moves towards intuitive/experiential anthropology’.</w:t>
      </w:r>
      <w:r>
        <w:rPr>
          <w:rStyle w:val="FootnoteReference"/>
          <w:rFonts w:ascii="Times New Roman" w:hAnsi="Times New Roman" w:cs="Times New Roman (Body CS)"/>
        </w:rPr>
        <w:footnoteReference w:id="5"/>
      </w:r>
      <w:r>
        <w:rPr>
          <w:rFonts w:ascii="Times New Roman" w:hAnsi="Times New Roman" w:cs="Times New Roman (Body CS)"/>
        </w:rPr>
        <w:t xml:space="preserve"> Her choice of methodology was appropriate for the remit of her project, and at the same time, somewhat daring for the time when it was published, bringing an important debate and critique on ethnography within academia.</w:t>
      </w:r>
      <w:r>
        <w:rPr>
          <w:rStyle w:val="FootnoteReference"/>
          <w:rFonts w:ascii="Times New Roman" w:hAnsi="Times New Roman" w:cs="Times New Roman (Body CS)"/>
        </w:rPr>
        <w:footnoteReference w:id="6"/>
      </w:r>
      <w:r>
        <w:rPr>
          <w:rFonts w:ascii="Times New Roman" w:hAnsi="Times New Roman" w:cs="Times New Roman (Body CS)"/>
        </w:rPr>
        <w:t xml:space="preserve"> </w:t>
      </w:r>
    </w:p>
    <w:p w14:paraId="5C24CAED" w14:textId="77777777" w:rsidR="0024395C" w:rsidRDefault="0024395C" w:rsidP="0024395C">
      <w:pPr>
        <w:rPr>
          <w:rFonts w:ascii="Times New Roman" w:hAnsi="Times New Roman" w:cs="Times New Roman (Body CS)"/>
        </w:rPr>
      </w:pPr>
    </w:p>
    <w:p w14:paraId="0A89CB8E"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Brink’s position in his research is that of the outsider, he does not belong to the group he chose to study, and I wonder how much time, if any, he dedicated to building trust between him and the girls he gave the questionnaires to. Blain, on another hand, moves swiftly </w:t>
      </w:r>
      <w:r>
        <w:rPr>
          <w:rFonts w:ascii="Times New Roman" w:hAnsi="Times New Roman" w:cs="Times New Roman (Body CS)"/>
        </w:rPr>
        <w:lastRenderedPageBreak/>
        <w:t>between the insider and the outsider’s position in her research, and she compares this movement with that of the shaman travelling between different worlds.</w:t>
      </w:r>
      <w:r>
        <w:rPr>
          <w:rStyle w:val="FootnoteReference"/>
          <w:rFonts w:ascii="Times New Roman" w:hAnsi="Times New Roman" w:cs="Times New Roman (Body CS)"/>
        </w:rPr>
        <w:footnoteReference w:id="7"/>
      </w:r>
      <w:r>
        <w:rPr>
          <w:rFonts w:ascii="Times New Roman" w:hAnsi="Times New Roman" w:cs="Times New Roman (Body CS)"/>
        </w:rPr>
        <w:t xml:space="preserve"> In Blain’s words  “My choice is to enter the world of </w:t>
      </w:r>
      <w:proofErr w:type="spellStart"/>
      <w:r>
        <w:rPr>
          <w:rFonts w:ascii="Times New Roman" w:hAnsi="Times New Roman" w:cs="Times New Roman (Body CS)"/>
        </w:rPr>
        <w:t>seidworker</w:t>
      </w:r>
      <w:proofErr w:type="spellEnd"/>
      <w:r>
        <w:rPr>
          <w:rFonts w:ascii="Times New Roman" w:hAnsi="Times New Roman" w:cs="Times New Roman (Body CS)"/>
        </w:rPr>
        <w:t xml:space="preserve">, as a native-speaker: but simply ‘going native’, total cultural immersion, in itself is not enough.”, she then continues saying that it is important knowing the context, the relationship of </w:t>
      </w:r>
      <w:proofErr w:type="spellStart"/>
      <w:r>
        <w:rPr>
          <w:rFonts w:ascii="Times New Roman" w:hAnsi="Times New Roman" w:cs="Times New Roman (Body CS)"/>
        </w:rPr>
        <w:t>seidr</w:t>
      </w:r>
      <w:proofErr w:type="spellEnd"/>
      <w:r>
        <w:rPr>
          <w:rFonts w:ascii="Times New Roman" w:hAnsi="Times New Roman" w:cs="Times New Roman (Body CS)"/>
        </w:rPr>
        <w:t xml:space="preserve"> with the outside world, not forgetting her own relationship to it and to the world as well.</w:t>
      </w:r>
      <w:r>
        <w:rPr>
          <w:rStyle w:val="FootnoteReference"/>
          <w:rFonts w:ascii="Times New Roman" w:hAnsi="Times New Roman" w:cs="Times New Roman (Body CS)"/>
        </w:rPr>
        <w:footnoteReference w:id="8"/>
      </w:r>
      <w:r>
        <w:rPr>
          <w:rFonts w:ascii="Times New Roman" w:hAnsi="Times New Roman" w:cs="Times New Roman (Body CS)"/>
        </w:rPr>
        <w:t xml:space="preserve"> </w:t>
      </w:r>
    </w:p>
    <w:p w14:paraId="6352B7D0" w14:textId="77777777" w:rsidR="0024395C" w:rsidRDefault="0024395C" w:rsidP="0024395C">
      <w:pPr>
        <w:rPr>
          <w:rFonts w:ascii="Times New Roman" w:hAnsi="Times New Roman" w:cs="Times New Roman (Body CS)"/>
        </w:rPr>
      </w:pPr>
    </w:p>
    <w:p w14:paraId="77628D5C"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Blain and Brink also strongly differ in relation to literature review in their essay. Brink does not engage with any literature review connected with astrology, one of the major themes in his research, and in the Hypothesis section he makes a claim without evidence on the subject by saying that ‘astrology’s fatalism is based upon blind impersonal forces and is substantially different from whatever fatalism </w:t>
      </w:r>
      <w:proofErr w:type="spellStart"/>
      <w:r>
        <w:rPr>
          <w:rFonts w:ascii="Times New Roman" w:hAnsi="Times New Roman" w:cs="Times New Roman (Body CS)"/>
        </w:rPr>
        <w:t>reincarnationists</w:t>
      </w:r>
      <w:proofErr w:type="spellEnd"/>
      <w:r>
        <w:rPr>
          <w:rFonts w:ascii="Times New Roman" w:hAnsi="Times New Roman" w:cs="Times New Roman (Body CS)"/>
        </w:rPr>
        <w:t xml:space="preserve"> attributes to the workings of karma.’</w:t>
      </w:r>
      <w:r>
        <w:rPr>
          <w:rStyle w:val="FootnoteReference"/>
          <w:rFonts w:ascii="Times New Roman" w:hAnsi="Times New Roman" w:cs="Times New Roman (Body CS)"/>
        </w:rPr>
        <w:footnoteReference w:id="9"/>
      </w:r>
      <w:r>
        <w:rPr>
          <w:rFonts w:ascii="Times New Roman" w:hAnsi="Times New Roman" w:cs="Times New Roman (Body CS)"/>
        </w:rPr>
        <w:t xml:space="preserve">     </w:t>
      </w:r>
    </w:p>
    <w:p w14:paraId="1AD60AB8"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Blain engages with a vast amount of literature review not only connected with the theme she was researching about, </w:t>
      </w:r>
      <w:proofErr w:type="spellStart"/>
      <w:r>
        <w:rPr>
          <w:rFonts w:ascii="Times New Roman" w:hAnsi="Times New Roman" w:cs="Times New Roman (Body CS)"/>
        </w:rPr>
        <w:t>Seidr</w:t>
      </w:r>
      <w:proofErr w:type="spellEnd"/>
      <w:r>
        <w:rPr>
          <w:rFonts w:ascii="Times New Roman" w:hAnsi="Times New Roman" w:cs="Times New Roman (Body CS)"/>
        </w:rPr>
        <w:t xml:space="preserve"> and shamanism, but also with previous research done on the subject, and much literature concerning methodology in academic research and its theory.</w:t>
      </w:r>
    </w:p>
    <w:p w14:paraId="2065F7E8" w14:textId="77777777" w:rsidR="0024395C" w:rsidRDefault="0024395C" w:rsidP="0024395C">
      <w:pPr>
        <w:rPr>
          <w:rFonts w:ascii="Times New Roman" w:hAnsi="Times New Roman" w:cs="Times New Roman (Body CS)"/>
        </w:rPr>
      </w:pPr>
    </w:p>
    <w:p w14:paraId="02E44891"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This essay compared and contrasted two research papers regarding their methodology, the position of the researcher and their literature review. Strong differences between the two have been pointed out throughout this paper. Brink’s methodology, following a qualitative research method, attempted to measure inconsistency of beliefs within his target group using yes/no questionnaires, while Blain chose a methodology involving more qualitative methods, participant observation and in-depth interviews, to conduct her research on </w:t>
      </w:r>
      <w:proofErr w:type="spellStart"/>
      <w:r>
        <w:rPr>
          <w:rFonts w:ascii="Times New Roman" w:hAnsi="Times New Roman" w:cs="Times New Roman (Body CS)"/>
        </w:rPr>
        <w:t>Seidr</w:t>
      </w:r>
      <w:proofErr w:type="spellEnd"/>
      <w:r>
        <w:rPr>
          <w:rFonts w:ascii="Times New Roman" w:hAnsi="Times New Roman" w:cs="Times New Roman (Body CS)"/>
        </w:rPr>
        <w:t xml:space="preserve"> shamanism. We have explored how this different choice of methodology have brought some problematic questions on Brink’s results, and also a lack of self-reflection in his paper, while Blain allowed herself plenty of space for self-reflective material and brought up an important debate and critique of ethnography within academia. </w:t>
      </w:r>
    </w:p>
    <w:p w14:paraId="0AC08885" w14:textId="77777777" w:rsidR="0024395C" w:rsidRDefault="0024395C" w:rsidP="0024395C">
      <w:pPr>
        <w:rPr>
          <w:rFonts w:ascii="Times New Roman" w:hAnsi="Times New Roman" w:cs="Times New Roman (Body CS)"/>
        </w:rPr>
      </w:pPr>
      <w:r>
        <w:rPr>
          <w:rFonts w:ascii="Times New Roman" w:hAnsi="Times New Roman" w:cs="Times New Roman (Body CS)"/>
        </w:rPr>
        <w:t>The position of the researcher also differs strongly, with Brink being an outsider and Blain moving between the insider/outsider position throughout her research.</w:t>
      </w:r>
    </w:p>
    <w:p w14:paraId="1741FF62"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Differences were also found in comparing the use of literature review in each paper, with Brink lacking reference on Astrology, an important aspect of his research’s major theme, and Blain bringing plenty of literature not only on </w:t>
      </w:r>
      <w:proofErr w:type="spellStart"/>
      <w:r>
        <w:rPr>
          <w:rFonts w:ascii="Times New Roman" w:hAnsi="Times New Roman" w:cs="Times New Roman (Body CS)"/>
        </w:rPr>
        <w:t>Seidr</w:t>
      </w:r>
      <w:proofErr w:type="spellEnd"/>
      <w:r>
        <w:rPr>
          <w:rFonts w:ascii="Times New Roman" w:hAnsi="Times New Roman" w:cs="Times New Roman (Body CS)"/>
        </w:rPr>
        <w:t xml:space="preserve"> and shamanism, her main research’s theme, but also on methodology and academic research.  </w:t>
      </w:r>
    </w:p>
    <w:p w14:paraId="59EF0B63" w14:textId="77777777" w:rsidR="0024395C" w:rsidRDefault="0024395C" w:rsidP="0024395C">
      <w:pPr>
        <w:rPr>
          <w:rFonts w:ascii="Times New Roman" w:hAnsi="Times New Roman" w:cs="Times New Roman (Body CS)"/>
        </w:rPr>
      </w:pPr>
    </w:p>
    <w:p w14:paraId="4294B9C8" w14:textId="77777777" w:rsidR="0024395C" w:rsidRDefault="0024395C" w:rsidP="0024395C">
      <w:pPr>
        <w:rPr>
          <w:rFonts w:ascii="Times New Roman" w:hAnsi="Times New Roman" w:cs="Times New Roman (Body CS)"/>
        </w:rPr>
      </w:pPr>
    </w:p>
    <w:p w14:paraId="5EA80386" w14:textId="77777777" w:rsidR="0024395C" w:rsidRDefault="0024395C" w:rsidP="0024395C">
      <w:pPr>
        <w:rPr>
          <w:rFonts w:ascii="Times New Roman" w:hAnsi="Times New Roman" w:cs="Times New Roman (Body CS)"/>
        </w:rPr>
      </w:pPr>
    </w:p>
    <w:p w14:paraId="6E9C0BA9" w14:textId="77777777" w:rsidR="0024395C" w:rsidRDefault="0024395C" w:rsidP="0024395C">
      <w:pPr>
        <w:rPr>
          <w:rFonts w:ascii="Times New Roman" w:hAnsi="Times New Roman" w:cs="Times New Roman (Body CS)"/>
        </w:rPr>
      </w:pPr>
    </w:p>
    <w:p w14:paraId="73784661" w14:textId="77777777" w:rsidR="0024395C" w:rsidRDefault="0024395C" w:rsidP="0024395C">
      <w:pPr>
        <w:rPr>
          <w:rFonts w:ascii="Times New Roman" w:hAnsi="Times New Roman" w:cs="Times New Roman (Body CS)"/>
        </w:rPr>
      </w:pPr>
    </w:p>
    <w:p w14:paraId="6830FE55" w14:textId="77777777" w:rsidR="0024395C" w:rsidRDefault="0024395C" w:rsidP="0024395C">
      <w:pPr>
        <w:rPr>
          <w:rFonts w:ascii="Times New Roman" w:hAnsi="Times New Roman" w:cs="Times New Roman (Body CS)"/>
        </w:rPr>
      </w:pPr>
    </w:p>
    <w:p w14:paraId="3A99EFE6" w14:textId="77777777" w:rsidR="0024395C" w:rsidRDefault="0024395C" w:rsidP="0024395C">
      <w:pPr>
        <w:rPr>
          <w:rFonts w:ascii="Times New Roman" w:hAnsi="Times New Roman" w:cs="Times New Roman (Body CS)"/>
        </w:rPr>
      </w:pPr>
    </w:p>
    <w:p w14:paraId="3E952F69" w14:textId="77777777" w:rsidR="0024395C" w:rsidRDefault="0024395C" w:rsidP="0024395C">
      <w:pPr>
        <w:rPr>
          <w:rFonts w:ascii="Times New Roman" w:hAnsi="Times New Roman" w:cs="Times New Roman (Body CS)"/>
        </w:rPr>
      </w:pPr>
    </w:p>
    <w:p w14:paraId="7C489559" w14:textId="77777777" w:rsidR="0024395C" w:rsidRDefault="0024395C" w:rsidP="0024395C">
      <w:pPr>
        <w:rPr>
          <w:rFonts w:ascii="Times New Roman" w:hAnsi="Times New Roman" w:cs="Times New Roman (Body CS)"/>
        </w:rPr>
      </w:pPr>
    </w:p>
    <w:p w14:paraId="07967F1B" w14:textId="77777777" w:rsidR="0024395C" w:rsidRDefault="0024395C" w:rsidP="0024395C">
      <w:pPr>
        <w:rPr>
          <w:rFonts w:ascii="Times New Roman" w:hAnsi="Times New Roman" w:cs="Times New Roman (Body CS)"/>
        </w:rPr>
      </w:pPr>
    </w:p>
    <w:p w14:paraId="3396E761" w14:textId="77777777" w:rsidR="0024395C" w:rsidRDefault="0024395C" w:rsidP="0024395C">
      <w:pPr>
        <w:rPr>
          <w:rFonts w:ascii="Times New Roman" w:hAnsi="Times New Roman" w:cs="Times New Roman (Body CS)"/>
        </w:rPr>
      </w:pPr>
    </w:p>
    <w:p w14:paraId="3F375366" w14:textId="77777777" w:rsidR="0024395C" w:rsidRDefault="0024395C" w:rsidP="0024395C">
      <w:pPr>
        <w:rPr>
          <w:rFonts w:ascii="Times New Roman" w:hAnsi="Times New Roman" w:cs="Times New Roman (Body CS)"/>
        </w:rPr>
      </w:pPr>
    </w:p>
    <w:p w14:paraId="48873DC1" w14:textId="77777777" w:rsidR="0024395C" w:rsidRDefault="0024395C" w:rsidP="0024395C">
      <w:pPr>
        <w:rPr>
          <w:rFonts w:ascii="Times New Roman" w:hAnsi="Times New Roman" w:cs="Times New Roman (Body CS)"/>
          <w:sz w:val="32"/>
        </w:rPr>
      </w:pPr>
    </w:p>
    <w:p w14:paraId="0758FCD1" w14:textId="77777777" w:rsidR="0024395C" w:rsidRDefault="0024395C" w:rsidP="0024395C">
      <w:pPr>
        <w:rPr>
          <w:rFonts w:ascii="Times New Roman" w:hAnsi="Times New Roman" w:cs="Times New Roman (Body CS)"/>
          <w:sz w:val="32"/>
        </w:rPr>
      </w:pPr>
    </w:p>
    <w:p w14:paraId="7BE7A062" w14:textId="77777777" w:rsidR="0024395C" w:rsidRDefault="0024395C" w:rsidP="0024395C">
      <w:pPr>
        <w:rPr>
          <w:rFonts w:ascii="Times New Roman" w:hAnsi="Times New Roman" w:cs="Times New Roman (Body CS)"/>
          <w:sz w:val="32"/>
        </w:rPr>
      </w:pPr>
      <w:r>
        <w:rPr>
          <w:rFonts w:ascii="Times New Roman" w:hAnsi="Times New Roman" w:cs="Times New Roman (Body CS)"/>
          <w:sz w:val="32"/>
        </w:rPr>
        <w:lastRenderedPageBreak/>
        <w:t>Bibliography:</w:t>
      </w:r>
    </w:p>
    <w:p w14:paraId="0000D43B" w14:textId="77777777" w:rsidR="0024395C" w:rsidRDefault="0024395C" w:rsidP="0024395C">
      <w:pPr>
        <w:rPr>
          <w:rFonts w:ascii="Times New Roman" w:hAnsi="Times New Roman" w:cs="Times New Roman (Body CS)"/>
          <w:sz w:val="32"/>
        </w:rPr>
      </w:pPr>
    </w:p>
    <w:p w14:paraId="3ADA7C07" w14:textId="77777777" w:rsidR="0024395C" w:rsidRDefault="0024395C" w:rsidP="0024395C">
      <w:pPr>
        <w:rPr>
          <w:rFonts w:ascii="Times New Roman" w:hAnsi="Times New Roman" w:cs="Times New Roman (Body CS)"/>
          <w:sz w:val="28"/>
        </w:rPr>
      </w:pPr>
    </w:p>
    <w:p w14:paraId="6AD4F2E8" w14:textId="77777777" w:rsidR="0024395C" w:rsidRDefault="0024395C" w:rsidP="0024395C">
      <w:pPr>
        <w:rPr>
          <w:rFonts w:ascii="Times New Roman" w:hAnsi="Times New Roman" w:cs="Times New Roman (Body CS)"/>
          <w:sz w:val="28"/>
        </w:rPr>
      </w:pPr>
      <w:r>
        <w:rPr>
          <w:rFonts w:ascii="Times New Roman" w:hAnsi="Times New Roman" w:cs="Times New Roman (Body CS)"/>
          <w:sz w:val="28"/>
        </w:rPr>
        <w:t>Primary Sources:</w:t>
      </w:r>
    </w:p>
    <w:p w14:paraId="06779829" w14:textId="77777777" w:rsidR="0024395C" w:rsidRDefault="0024395C" w:rsidP="0024395C">
      <w:pPr>
        <w:rPr>
          <w:rFonts w:ascii="Times New Roman" w:hAnsi="Times New Roman" w:cs="Times New Roman (Body CS)"/>
          <w:sz w:val="28"/>
        </w:rPr>
      </w:pPr>
    </w:p>
    <w:p w14:paraId="35150355"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Blain, Jenny, ‘Speaking </w:t>
      </w:r>
      <w:proofErr w:type="spellStart"/>
      <w:r>
        <w:rPr>
          <w:rFonts w:ascii="Times New Roman" w:hAnsi="Times New Roman" w:cs="Times New Roman (Body CS)"/>
        </w:rPr>
        <w:t>Shamanistically</w:t>
      </w:r>
      <w:proofErr w:type="spellEnd"/>
      <w:r>
        <w:rPr>
          <w:rFonts w:ascii="Times New Roman" w:hAnsi="Times New Roman" w:cs="Times New Roman (Body CS)"/>
        </w:rPr>
        <w:t xml:space="preserve">: SEIDR, Academia and Rationality’, </w:t>
      </w:r>
      <w:r>
        <w:rPr>
          <w:rFonts w:ascii="Times New Roman" w:hAnsi="Times New Roman" w:cs="Times New Roman (Body CS)"/>
          <w:i/>
        </w:rPr>
        <w:t xml:space="preserve">DISKUS, </w:t>
      </w:r>
      <w:r>
        <w:rPr>
          <w:rFonts w:ascii="Times New Roman" w:hAnsi="Times New Roman" w:cs="Times New Roman (Body CS)"/>
        </w:rPr>
        <w:t>Vol. 6, (2000), pp. 1-9.</w:t>
      </w:r>
    </w:p>
    <w:p w14:paraId="022DB4B1" w14:textId="77777777" w:rsidR="0024395C" w:rsidRDefault="0024395C" w:rsidP="0024395C">
      <w:pPr>
        <w:rPr>
          <w:rFonts w:ascii="Times New Roman" w:hAnsi="Times New Roman" w:cs="Times New Roman (Body CS)"/>
        </w:rPr>
      </w:pPr>
    </w:p>
    <w:p w14:paraId="2E79917D"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Brink, T. L., ‘Inconsistency of Belief Among Roman Catholic Girls: Concerning Religion, Astrology, Reincarnation’, </w:t>
      </w:r>
      <w:r>
        <w:rPr>
          <w:rFonts w:ascii="Times New Roman" w:hAnsi="Times New Roman" w:cs="Times New Roman (Body CS)"/>
          <w:i/>
        </w:rPr>
        <w:t xml:space="preserve">Review of Religious Research, </w:t>
      </w:r>
      <w:r>
        <w:rPr>
          <w:rFonts w:ascii="Times New Roman" w:hAnsi="Times New Roman" w:cs="Times New Roman (Body CS)"/>
        </w:rPr>
        <w:t>Vol. 20, No. 1, (Autumn, 1978), pp. 82-85.</w:t>
      </w:r>
    </w:p>
    <w:p w14:paraId="08CF422E" w14:textId="77777777" w:rsidR="0024395C" w:rsidRDefault="0024395C" w:rsidP="0024395C">
      <w:pPr>
        <w:rPr>
          <w:rFonts w:ascii="Times New Roman" w:hAnsi="Times New Roman" w:cs="Times New Roman (Body CS)"/>
        </w:rPr>
      </w:pPr>
    </w:p>
    <w:p w14:paraId="122A9A0F" w14:textId="77777777" w:rsidR="0024395C" w:rsidRDefault="0024395C" w:rsidP="0024395C">
      <w:pPr>
        <w:rPr>
          <w:rFonts w:ascii="Times New Roman" w:hAnsi="Times New Roman" w:cs="Times New Roman (Body CS)"/>
        </w:rPr>
      </w:pPr>
    </w:p>
    <w:p w14:paraId="0764DF89" w14:textId="77777777" w:rsidR="0024395C" w:rsidRDefault="0024395C" w:rsidP="0024395C">
      <w:pPr>
        <w:rPr>
          <w:rFonts w:ascii="Times New Roman" w:hAnsi="Times New Roman" w:cs="Times New Roman (Body CS)"/>
          <w:sz w:val="28"/>
        </w:rPr>
      </w:pPr>
      <w:r>
        <w:rPr>
          <w:rFonts w:ascii="Times New Roman" w:hAnsi="Times New Roman" w:cs="Times New Roman (Body CS)"/>
          <w:sz w:val="28"/>
        </w:rPr>
        <w:t>Secondary Sources:</w:t>
      </w:r>
    </w:p>
    <w:p w14:paraId="43E03315" w14:textId="77777777" w:rsidR="0024395C" w:rsidRDefault="0024395C" w:rsidP="0024395C">
      <w:pPr>
        <w:rPr>
          <w:rFonts w:ascii="Times New Roman" w:hAnsi="Times New Roman" w:cs="Times New Roman (Body CS)"/>
          <w:sz w:val="28"/>
        </w:rPr>
      </w:pPr>
    </w:p>
    <w:p w14:paraId="0B147BD5" w14:textId="77777777" w:rsidR="0024395C" w:rsidRDefault="0024395C" w:rsidP="0024395C">
      <w:pPr>
        <w:rPr>
          <w:rFonts w:ascii="Times New Roman" w:hAnsi="Times New Roman" w:cs="Times New Roman (Body CS)"/>
        </w:rPr>
      </w:pPr>
      <w:r>
        <w:rPr>
          <w:rFonts w:ascii="Times New Roman" w:hAnsi="Times New Roman" w:cs="Times New Roman (Body CS)"/>
        </w:rPr>
        <w:t xml:space="preserve">Bryman, Alan, </w:t>
      </w:r>
      <w:r>
        <w:rPr>
          <w:rFonts w:ascii="Times New Roman" w:hAnsi="Times New Roman" w:cs="Times New Roman (Body CS)"/>
          <w:i/>
        </w:rPr>
        <w:t xml:space="preserve">Quantity and Quality in Social Research </w:t>
      </w:r>
      <w:r>
        <w:rPr>
          <w:rFonts w:ascii="Times New Roman" w:hAnsi="Times New Roman" w:cs="Times New Roman (Body CS)"/>
        </w:rPr>
        <w:t>(London: Routledge, 1993).</w:t>
      </w:r>
    </w:p>
    <w:p w14:paraId="2BDF4DA2" w14:textId="77777777" w:rsidR="0024395C" w:rsidRDefault="0024395C" w:rsidP="0024395C">
      <w:pPr>
        <w:rPr>
          <w:rFonts w:ascii="Times New Roman" w:hAnsi="Times New Roman" w:cs="Times New Roman (Body CS)"/>
        </w:rPr>
      </w:pPr>
    </w:p>
    <w:p w14:paraId="30B1FC9F" w14:textId="77777777" w:rsidR="0024395C" w:rsidRDefault="0024395C" w:rsidP="0024395C">
      <w:pPr>
        <w:rPr>
          <w:rFonts w:ascii="Times New Roman" w:hAnsi="Times New Roman" w:cs="Times New Roman (Body CS)"/>
        </w:rPr>
      </w:pPr>
      <w:proofErr w:type="spellStart"/>
      <w:r w:rsidRPr="00465A88">
        <w:rPr>
          <w:rFonts w:ascii="Times New Roman" w:hAnsi="Times New Roman"/>
        </w:rPr>
        <w:t>Hennink</w:t>
      </w:r>
      <w:proofErr w:type="spellEnd"/>
      <w:r w:rsidRPr="00465A88">
        <w:rPr>
          <w:rFonts w:ascii="Times New Roman" w:hAnsi="Times New Roman"/>
        </w:rPr>
        <w:t>,</w:t>
      </w:r>
      <w:r>
        <w:rPr>
          <w:rFonts w:ascii="Times New Roman" w:hAnsi="Times New Roman"/>
        </w:rPr>
        <w:t xml:space="preserve"> Monique,</w:t>
      </w:r>
      <w:r w:rsidRPr="00465A88">
        <w:rPr>
          <w:rFonts w:ascii="Times New Roman" w:hAnsi="Times New Roman"/>
        </w:rPr>
        <w:t xml:space="preserve"> Inge </w:t>
      </w:r>
      <w:proofErr w:type="spellStart"/>
      <w:r w:rsidRPr="00465A88">
        <w:rPr>
          <w:rFonts w:ascii="Times New Roman" w:hAnsi="Times New Roman"/>
        </w:rPr>
        <w:t>Hutter</w:t>
      </w:r>
      <w:proofErr w:type="spellEnd"/>
      <w:r w:rsidRPr="00465A88">
        <w:rPr>
          <w:rFonts w:ascii="Times New Roman" w:hAnsi="Times New Roman"/>
        </w:rPr>
        <w:t xml:space="preserve">, Ajay Bailey, </w:t>
      </w:r>
      <w:r w:rsidRPr="00465A88">
        <w:rPr>
          <w:rFonts w:ascii="Times New Roman" w:hAnsi="Times New Roman" w:cs="Times New Roman (Body CS)" w:hint="cs"/>
          <w:i/>
        </w:rPr>
        <w:t>Q</w:t>
      </w:r>
      <w:r w:rsidRPr="00465A88">
        <w:rPr>
          <w:rFonts w:ascii="Times New Roman" w:hAnsi="Times New Roman" w:cs="Times New Roman (Body CS)"/>
          <w:i/>
        </w:rPr>
        <w:t xml:space="preserve">ualitative Research Methods </w:t>
      </w:r>
      <w:r w:rsidRPr="00465A88">
        <w:rPr>
          <w:rFonts w:ascii="Times New Roman" w:hAnsi="Times New Roman" w:cs="Times New Roman (Body CS)"/>
        </w:rPr>
        <w:t>(</w:t>
      </w:r>
      <w:r>
        <w:rPr>
          <w:rFonts w:ascii="Times New Roman" w:hAnsi="Times New Roman" w:cs="Times New Roman (Body CS)"/>
        </w:rPr>
        <w:t>London: SAGE, 2015).</w:t>
      </w:r>
    </w:p>
    <w:p w14:paraId="37351F27" w14:textId="77777777" w:rsidR="0024395C" w:rsidRPr="000512AE" w:rsidRDefault="0024395C" w:rsidP="0024395C">
      <w:pPr>
        <w:rPr>
          <w:rFonts w:ascii="Times New Roman" w:hAnsi="Times New Roman" w:cs="Times New Roman (Body CS)"/>
        </w:rPr>
      </w:pPr>
      <w:r>
        <w:rPr>
          <w:rFonts w:ascii="Times New Roman" w:hAnsi="Times New Roman" w:cs="Times New Roman (Body CS)"/>
        </w:rPr>
        <w:t xml:space="preserve"> </w:t>
      </w:r>
    </w:p>
    <w:p w14:paraId="0BF8E846" w14:textId="77777777" w:rsidR="0024395C" w:rsidRPr="00F3168F" w:rsidRDefault="0024395C" w:rsidP="0024395C">
      <w:pPr>
        <w:rPr>
          <w:rFonts w:ascii="Times New Roman" w:hAnsi="Times New Roman" w:cs="Times New Roman (Body CS)"/>
        </w:rPr>
      </w:pPr>
    </w:p>
    <w:p w14:paraId="4B5DC631" w14:textId="77777777" w:rsidR="00C2483C" w:rsidRDefault="00D9721A">
      <w:bookmarkStart w:id="0" w:name="_GoBack"/>
      <w:bookmarkEnd w:id="0"/>
    </w:p>
    <w:sectPr w:rsidR="00C2483C" w:rsidSect="008C2BAB">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7EEE1E" w14:textId="77777777" w:rsidR="00D9721A" w:rsidRDefault="00D9721A" w:rsidP="0024395C">
      <w:r>
        <w:separator/>
      </w:r>
    </w:p>
  </w:endnote>
  <w:endnote w:type="continuationSeparator" w:id="0">
    <w:p w14:paraId="00668B7E" w14:textId="77777777" w:rsidR="00D9721A" w:rsidRDefault="00D9721A" w:rsidP="00243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3501216"/>
      <w:docPartObj>
        <w:docPartGallery w:val="Page Numbers (Bottom of Page)"/>
        <w:docPartUnique/>
      </w:docPartObj>
    </w:sdtPr>
    <w:sdtEndPr>
      <w:rPr>
        <w:rStyle w:val="PageNumber"/>
      </w:rPr>
    </w:sdtEndPr>
    <w:sdtContent>
      <w:p w14:paraId="2FB8571F" w14:textId="77777777" w:rsidR="00444ACA" w:rsidRDefault="00D9721A" w:rsidP="00E75DEE">
        <w:pPr>
          <w:pStyle w:val="Footer"/>
          <w:framePr w:wrap="none" w:vAnchor="text" w:hAnchor="margin" w:xAlign="right"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end"/>
        </w:r>
      </w:p>
    </w:sdtContent>
  </w:sdt>
  <w:p w14:paraId="4DF31109" w14:textId="77777777" w:rsidR="00444ACA" w:rsidRDefault="00D9721A" w:rsidP="00444A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01278116"/>
      <w:docPartObj>
        <w:docPartGallery w:val="Page Numbers (Bottom of Page)"/>
        <w:docPartUnique/>
      </w:docPartObj>
    </w:sdtPr>
    <w:sdtEndPr>
      <w:rPr>
        <w:rStyle w:val="PageNumber"/>
      </w:rPr>
    </w:sdtEndPr>
    <w:sdtContent>
      <w:p w14:paraId="60173084" w14:textId="77777777" w:rsidR="00444ACA" w:rsidRDefault="00D9721A" w:rsidP="00E75DEE">
        <w:pPr>
          <w:pStyle w:val="Footer"/>
          <w:framePr w:wrap="none" w:vAnchor="text" w:hAnchor="margin" w:xAlign="right"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separate"/>
        </w:r>
        <w:r>
          <w:rPr>
            <w:rStyle w:val="PageNumber"/>
            <w:noProof/>
          </w:rPr>
          <w:t>1</w:t>
        </w:r>
        <w:r>
          <w:rPr>
            <w:rStyle w:val="PageNumber"/>
          </w:rPr>
          <w:fldChar w:fldCharType="end"/>
        </w:r>
      </w:p>
    </w:sdtContent>
  </w:sdt>
  <w:p w14:paraId="74AD2592" w14:textId="77777777" w:rsidR="00444ACA" w:rsidRDefault="00D9721A" w:rsidP="00444A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A1C858" w14:textId="77777777" w:rsidR="00D9721A" w:rsidRDefault="00D9721A" w:rsidP="0024395C">
      <w:r>
        <w:separator/>
      </w:r>
    </w:p>
  </w:footnote>
  <w:footnote w:type="continuationSeparator" w:id="0">
    <w:p w14:paraId="13A37493" w14:textId="77777777" w:rsidR="00D9721A" w:rsidRDefault="00D9721A" w:rsidP="0024395C">
      <w:r>
        <w:continuationSeparator/>
      </w:r>
    </w:p>
  </w:footnote>
  <w:footnote w:id="1">
    <w:p w14:paraId="66F37562" w14:textId="77777777" w:rsidR="0024395C" w:rsidRPr="00543583" w:rsidRDefault="0024395C" w:rsidP="0024395C">
      <w:pPr>
        <w:pStyle w:val="FootnoteText"/>
        <w:rPr>
          <w:rFonts w:ascii="Times New Roman" w:hAnsi="Times New Roman" w:cs="Times New Roman (Body CS)"/>
        </w:rPr>
      </w:pPr>
      <w:r>
        <w:rPr>
          <w:rStyle w:val="FootnoteReference"/>
        </w:rPr>
        <w:footnoteRef/>
      </w:r>
      <w:r>
        <w:t xml:space="preserve"> </w:t>
      </w:r>
      <w:r>
        <w:rPr>
          <w:rFonts w:ascii="Times New Roman" w:hAnsi="Times New Roman" w:cs="Times New Roman (Body CS)"/>
        </w:rPr>
        <w:t xml:space="preserve">Alan Bryman, </w:t>
      </w:r>
      <w:r>
        <w:rPr>
          <w:rFonts w:ascii="Times New Roman" w:hAnsi="Times New Roman" w:cs="Times New Roman (Body CS)"/>
          <w:i/>
        </w:rPr>
        <w:t xml:space="preserve">Quantity and Quality in Social Research </w:t>
      </w:r>
      <w:r>
        <w:rPr>
          <w:rFonts w:ascii="Times New Roman" w:hAnsi="Times New Roman" w:cs="Times New Roman (Body CS)"/>
        </w:rPr>
        <w:t>(London: Routledge, 1993), p. 41.</w:t>
      </w:r>
    </w:p>
  </w:footnote>
  <w:footnote w:id="2">
    <w:p w14:paraId="24EB1409" w14:textId="77777777" w:rsidR="0024395C" w:rsidRPr="00465A88" w:rsidRDefault="0024395C" w:rsidP="0024395C">
      <w:pPr>
        <w:pStyle w:val="FootnoteText"/>
        <w:rPr>
          <w:rFonts w:ascii="Times New Roman" w:hAnsi="Times New Roman" w:cs="Times New Roman (Body CS)"/>
        </w:rPr>
      </w:pPr>
      <w:r>
        <w:rPr>
          <w:rStyle w:val="FootnoteReference"/>
        </w:rPr>
        <w:footnoteRef/>
      </w:r>
      <w:r>
        <w:t xml:space="preserve"> </w:t>
      </w:r>
      <w:r w:rsidRPr="00465A88">
        <w:rPr>
          <w:rFonts w:ascii="Times New Roman" w:hAnsi="Times New Roman"/>
        </w:rPr>
        <w:t xml:space="preserve">Monique </w:t>
      </w:r>
      <w:proofErr w:type="spellStart"/>
      <w:r w:rsidRPr="00465A88">
        <w:rPr>
          <w:rFonts w:ascii="Times New Roman" w:hAnsi="Times New Roman"/>
        </w:rPr>
        <w:t>Hennink</w:t>
      </w:r>
      <w:proofErr w:type="spellEnd"/>
      <w:r w:rsidRPr="00465A88">
        <w:rPr>
          <w:rFonts w:ascii="Times New Roman" w:hAnsi="Times New Roman"/>
        </w:rPr>
        <w:t xml:space="preserve">, Inge </w:t>
      </w:r>
      <w:proofErr w:type="spellStart"/>
      <w:r w:rsidRPr="00465A88">
        <w:rPr>
          <w:rFonts w:ascii="Times New Roman" w:hAnsi="Times New Roman"/>
        </w:rPr>
        <w:t>Hutter</w:t>
      </w:r>
      <w:proofErr w:type="spellEnd"/>
      <w:r w:rsidRPr="00465A88">
        <w:rPr>
          <w:rFonts w:ascii="Times New Roman" w:hAnsi="Times New Roman"/>
        </w:rPr>
        <w:t xml:space="preserve">, Ajay Bailey, </w:t>
      </w:r>
      <w:r w:rsidRPr="00465A88">
        <w:rPr>
          <w:rFonts w:ascii="Times New Roman" w:hAnsi="Times New Roman" w:cs="Times New Roman (Body CS)" w:hint="cs"/>
          <w:i/>
        </w:rPr>
        <w:t>Q</w:t>
      </w:r>
      <w:r w:rsidRPr="00465A88">
        <w:rPr>
          <w:rFonts w:ascii="Times New Roman" w:hAnsi="Times New Roman" w:cs="Times New Roman (Body CS)"/>
          <w:i/>
        </w:rPr>
        <w:t xml:space="preserve">ualitative Research Methods </w:t>
      </w:r>
      <w:r w:rsidRPr="00465A88">
        <w:rPr>
          <w:rFonts w:ascii="Times New Roman" w:hAnsi="Times New Roman" w:cs="Times New Roman (Body CS)"/>
        </w:rPr>
        <w:t>(</w:t>
      </w:r>
      <w:r>
        <w:rPr>
          <w:rFonts w:ascii="Times New Roman" w:hAnsi="Times New Roman" w:cs="Times New Roman (Body CS)"/>
        </w:rPr>
        <w:t>London: SAGE, 2015), p. 14.</w:t>
      </w:r>
    </w:p>
  </w:footnote>
  <w:footnote w:id="3">
    <w:p w14:paraId="696C522B" w14:textId="77777777" w:rsidR="0024395C" w:rsidRDefault="0024395C" w:rsidP="0024395C">
      <w:pPr>
        <w:pStyle w:val="FootnoteText"/>
      </w:pPr>
      <w:r>
        <w:rPr>
          <w:rStyle w:val="FootnoteReference"/>
        </w:rPr>
        <w:footnoteRef/>
      </w:r>
      <w:r>
        <w:t xml:space="preserve"> </w:t>
      </w:r>
      <w:r w:rsidRPr="00465A88">
        <w:rPr>
          <w:rFonts w:ascii="Times New Roman" w:hAnsi="Times New Roman"/>
        </w:rPr>
        <w:t xml:space="preserve">Monique </w:t>
      </w:r>
      <w:proofErr w:type="spellStart"/>
      <w:r w:rsidRPr="00465A88">
        <w:rPr>
          <w:rFonts w:ascii="Times New Roman" w:hAnsi="Times New Roman"/>
        </w:rPr>
        <w:t>Hennink</w:t>
      </w:r>
      <w:proofErr w:type="spellEnd"/>
      <w:r w:rsidRPr="00465A88">
        <w:rPr>
          <w:rFonts w:ascii="Times New Roman" w:hAnsi="Times New Roman"/>
        </w:rPr>
        <w:t xml:space="preserve">, Inge </w:t>
      </w:r>
      <w:proofErr w:type="spellStart"/>
      <w:r w:rsidRPr="00465A88">
        <w:rPr>
          <w:rFonts w:ascii="Times New Roman" w:hAnsi="Times New Roman"/>
        </w:rPr>
        <w:t>Hutter</w:t>
      </w:r>
      <w:proofErr w:type="spellEnd"/>
      <w:r w:rsidRPr="00465A88">
        <w:rPr>
          <w:rFonts w:ascii="Times New Roman" w:hAnsi="Times New Roman"/>
        </w:rPr>
        <w:t xml:space="preserve">, Ajay Bailey, </w:t>
      </w:r>
      <w:r w:rsidRPr="00465A88">
        <w:rPr>
          <w:rFonts w:ascii="Times New Roman" w:hAnsi="Times New Roman" w:cs="Times New Roman (Body CS)" w:hint="cs"/>
          <w:i/>
        </w:rPr>
        <w:t>Q</w:t>
      </w:r>
      <w:r w:rsidRPr="00465A88">
        <w:rPr>
          <w:rFonts w:ascii="Times New Roman" w:hAnsi="Times New Roman" w:cs="Times New Roman (Body CS)"/>
          <w:i/>
        </w:rPr>
        <w:t xml:space="preserve">ualitative Research Methods </w:t>
      </w:r>
      <w:r w:rsidRPr="00465A88">
        <w:rPr>
          <w:rFonts w:ascii="Times New Roman" w:hAnsi="Times New Roman" w:cs="Times New Roman (Body CS)"/>
        </w:rPr>
        <w:t>(</w:t>
      </w:r>
      <w:r>
        <w:rPr>
          <w:rFonts w:ascii="Times New Roman" w:hAnsi="Times New Roman" w:cs="Times New Roman (Body CS)"/>
        </w:rPr>
        <w:t>London: SAGE, 2015), p. 10.</w:t>
      </w:r>
    </w:p>
  </w:footnote>
  <w:footnote w:id="4">
    <w:p w14:paraId="7B991E99" w14:textId="77777777" w:rsidR="0024395C" w:rsidRDefault="0024395C" w:rsidP="0024395C">
      <w:pPr>
        <w:pStyle w:val="FootnoteText"/>
      </w:pPr>
      <w:r>
        <w:rPr>
          <w:rStyle w:val="FootnoteReference"/>
        </w:rPr>
        <w:footnoteRef/>
      </w:r>
      <w:r>
        <w:t xml:space="preserve"> </w:t>
      </w:r>
      <w:r>
        <w:rPr>
          <w:rFonts w:ascii="Times New Roman" w:hAnsi="Times New Roman" w:cs="Times New Roman (Body CS)"/>
        </w:rPr>
        <w:t>Jenny Blain,</w:t>
      </w:r>
      <w:r w:rsidRPr="00B12682">
        <w:rPr>
          <w:rFonts w:ascii="Times New Roman" w:hAnsi="Times New Roman" w:cs="Times New Roman (Body CS)"/>
        </w:rPr>
        <w:t xml:space="preserve"> </w:t>
      </w:r>
      <w:r>
        <w:rPr>
          <w:rFonts w:ascii="Times New Roman" w:hAnsi="Times New Roman" w:cs="Times New Roman (Body CS)"/>
        </w:rPr>
        <w:t xml:space="preserve">‘Speaking </w:t>
      </w:r>
      <w:proofErr w:type="spellStart"/>
      <w:r>
        <w:rPr>
          <w:rFonts w:ascii="Times New Roman" w:hAnsi="Times New Roman" w:cs="Times New Roman (Body CS)"/>
        </w:rPr>
        <w:t>Shamanistically</w:t>
      </w:r>
      <w:proofErr w:type="spellEnd"/>
      <w:r>
        <w:rPr>
          <w:rFonts w:ascii="Times New Roman" w:hAnsi="Times New Roman" w:cs="Times New Roman (Body CS)"/>
        </w:rPr>
        <w:t xml:space="preserve">: SEIDR, Academia and Rationality’, </w:t>
      </w:r>
      <w:r>
        <w:rPr>
          <w:rFonts w:ascii="Times New Roman" w:hAnsi="Times New Roman" w:cs="Times New Roman (Body CS)"/>
          <w:i/>
        </w:rPr>
        <w:t xml:space="preserve">DISKUS, </w:t>
      </w:r>
      <w:r>
        <w:rPr>
          <w:rFonts w:ascii="Times New Roman" w:hAnsi="Times New Roman" w:cs="Times New Roman (Body CS)"/>
        </w:rPr>
        <w:t>Vol. 6, (2000), p. 1.</w:t>
      </w:r>
    </w:p>
  </w:footnote>
  <w:footnote w:id="5">
    <w:p w14:paraId="3C37D1C3" w14:textId="77777777" w:rsidR="0024395C" w:rsidRPr="00950AAB" w:rsidRDefault="0024395C" w:rsidP="0024395C">
      <w:pPr>
        <w:pStyle w:val="FootnoteText"/>
        <w:rPr>
          <w:rFonts w:ascii="Times New Roman" w:hAnsi="Times New Roman" w:cs="Times New Roman (Body CS)"/>
        </w:rPr>
      </w:pPr>
      <w:r>
        <w:rPr>
          <w:rStyle w:val="FootnoteReference"/>
        </w:rPr>
        <w:footnoteRef/>
      </w:r>
      <w:r>
        <w:t xml:space="preserve"> </w:t>
      </w:r>
      <w:r>
        <w:rPr>
          <w:rFonts w:ascii="Times New Roman" w:hAnsi="Times New Roman" w:cs="Times New Roman (Body CS)"/>
        </w:rPr>
        <w:t>Blain, ‘</w:t>
      </w:r>
      <w:proofErr w:type="spellStart"/>
      <w:r>
        <w:rPr>
          <w:rFonts w:ascii="Times New Roman" w:hAnsi="Times New Roman" w:cs="Times New Roman (Body CS)"/>
          <w:i/>
        </w:rPr>
        <w:t>Shamanistically</w:t>
      </w:r>
      <w:proofErr w:type="spellEnd"/>
      <w:r>
        <w:rPr>
          <w:rFonts w:ascii="Times New Roman" w:hAnsi="Times New Roman" w:cs="Times New Roman (Body CS)"/>
          <w:i/>
        </w:rPr>
        <w:t xml:space="preserve">’, </w:t>
      </w:r>
      <w:r>
        <w:rPr>
          <w:rFonts w:ascii="Times New Roman" w:hAnsi="Times New Roman" w:cs="Times New Roman (Body CS)"/>
        </w:rPr>
        <w:t>p. 1.</w:t>
      </w:r>
    </w:p>
  </w:footnote>
  <w:footnote w:id="6">
    <w:p w14:paraId="4476FB2F" w14:textId="77777777" w:rsidR="0024395C" w:rsidRDefault="0024395C" w:rsidP="0024395C">
      <w:pPr>
        <w:pStyle w:val="FootnoteText"/>
      </w:pPr>
      <w:r>
        <w:rPr>
          <w:rStyle w:val="FootnoteReference"/>
        </w:rPr>
        <w:footnoteRef/>
      </w:r>
      <w:r>
        <w:t xml:space="preserve"> </w:t>
      </w:r>
      <w:r>
        <w:rPr>
          <w:rFonts w:ascii="Times New Roman" w:hAnsi="Times New Roman" w:cs="Times New Roman (Body CS)"/>
        </w:rPr>
        <w:t>Blain, ‘</w:t>
      </w:r>
      <w:proofErr w:type="spellStart"/>
      <w:r>
        <w:rPr>
          <w:rFonts w:ascii="Times New Roman" w:hAnsi="Times New Roman" w:cs="Times New Roman (Body CS)"/>
          <w:i/>
        </w:rPr>
        <w:t>Shamanistically</w:t>
      </w:r>
      <w:proofErr w:type="spellEnd"/>
      <w:r>
        <w:rPr>
          <w:rFonts w:ascii="Times New Roman" w:hAnsi="Times New Roman" w:cs="Times New Roman (Body CS)"/>
          <w:i/>
        </w:rPr>
        <w:t xml:space="preserve">’, </w:t>
      </w:r>
      <w:r>
        <w:rPr>
          <w:rFonts w:ascii="Times New Roman" w:hAnsi="Times New Roman" w:cs="Times New Roman (Body CS)"/>
        </w:rPr>
        <w:t xml:space="preserve">pp. 7-8. </w:t>
      </w:r>
    </w:p>
  </w:footnote>
  <w:footnote w:id="7">
    <w:p w14:paraId="238F0FA5" w14:textId="77777777" w:rsidR="0024395C" w:rsidRPr="00B12682" w:rsidRDefault="0024395C" w:rsidP="0024395C">
      <w:pPr>
        <w:pStyle w:val="FootnoteText"/>
        <w:rPr>
          <w:rFonts w:ascii="Times New Roman" w:hAnsi="Times New Roman" w:cs="Times New Roman (Body CS)"/>
        </w:rPr>
      </w:pPr>
      <w:r>
        <w:rPr>
          <w:rStyle w:val="FootnoteReference"/>
        </w:rPr>
        <w:footnoteRef/>
      </w:r>
      <w:r>
        <w:t xml:space="preserve"> </w:t>
      </w:r>
      <w:r>
        <w:rPr>
          <w:rFonts w:ascii="Times New Roman" w:hAnsi="Times New Roman" w:cs="Times New Roman (Body CS)"/>
        </w:rPr>
        <w:t>Blain,</w:t>
      </w:r>
      <w:r w:rsidRPr="00B12682">
        <w:rPr>
          <w:rFonts w:ascii="Times New Roman" w:hAnsi="Times New Roman" w:cs="Times New Roman (Body CS)"/>
        </w:rPr>
        <w:t xml:space="preserve"> </w:t>
      </w:r>
      <w:r>
        <w:rPr>
          <w:rFonts w:ascii="Times New Roman" w:hAnsi="Times New Roman" w:cs="Times New Roman (Body CS)"/>
        </w:rPr>
        <w:t>‘</w:t>
      </w:r>
      <w:proofErr w:type="spellStart"/>
      <w:r>
        <w:rPr>
          <w:rFonts w:ascii="Times New Roman" w:hAnsi="Times New Roman" w:cs="Times New Roman (Body CS)"/>
        </w:rPr>
        <w:t>Shamanistically</w:t>
      </w:r>
      <w:proofErr w:type="spellEnd"/>
      <w:r>
        <w:rPr>
          <w:rFonts w:ascii="Times New Roman" w:hAnsi="Times New Roman" w:cs="Times New Roman (Body CS)"/>
        </w:rPr>
        <w:t xml:space="preserve">’, p. 8. </w:t>
      </w:r>
    </w:p>
  </w:footnote>
  <w:footnote w:id="8">
    <w:p w14:paraId="4257F10D" w14:textId="77777777" w:rsidR="0024395C" w:rsidRDefault="0024395C" w:rsidP="0024395C">
      <w:pPr>
        <w:pStyle w:val="FootnoteText"/>
      </w:pPr>
      <w:r>
        <w:rPr>
          <w:rStyle w:val="FootnoteReference"/>
        </w:rPr>
        <w:footnoteRef/>
      </w:r>
      <w:r>
        <w:t xml:space="preserve"> </w:t>
      </w:r>
      <w:r>
        <w:rPr>
          <w:rFonts w:ascii="Times New Roman" w:hAnsi="Times New Roman" w:cs="Times New Roman (Body CS)"/>
        </w:rPr>
        <w:t>Blain,</w:t>
      </w:r>
      <w:r w:rsidRPr="00B12682">
        <w:rPr>
          <w:rFonts w:ascii="Times New Roman" w:hAnsi="Times New Roman" w:cs="Times New Roman (Body CS)"/>
        </w:rPr>
        <w:t xml:space="preserve"> </w:t>
      </w:r>
      <w:r>
        <w:rPr>
          <w:rFonts w:ascii="Times New Roman" w:hAnsi="Times New Roman" w:cs="Times New Roman (Body CS)"/>
        </w:rPr>
        <w:t>‘</w:t>
      </w:r>
      <w:proofErr w:type="spellStart"/>
      <w:r>
        <w:rPr>
          <w:rFonts w:ascii="Times New Roman" w:hAnsi="Times New Roman" w:cs="Times New Roman (Body CS)"/>
        </w:rPr>
        <w:t>Shamanistically</w:t>
      </w:r>
      <w:proofErr w:type="spellEnd"/>
      <w:r>
        <w:rPr>
          <w:rFonts w:ascii="Times New Roman" w:hAnsi="Times New Roman" w:cs="Times New Roman (Body CS)"/>
        </w:rPr>
        <w:t>’, p. 8</w:t>
      </w:r>
    </w:p>
  </w:footnote>
  <w:footnote w:id="9">
    <w:p w14:paraId="42C75DD5" w14:textId="77777777" w:rsidR="0024395C" w:rsidRPr="000512AE" w:rsidRDefault="0024395C" w:rsidP="0024395C">
      <w:pPr>
        <w:pStyle w:val="FootnoteText"/>
        <w:rPr>
          <w:rFonts w:ascii="Times New Roman" w:hAnsi="Times New Roman" w:cs="Times New Roman (Body CS)"/>
        </w:rPr>
      </w:pPr>
      <w:r>
        <w:rPr>
          <w:rStyle w:val="FootnoteReference"/>
        </w:rPr>
        <w:footnoteRef/>
      </w:r>
      <w:r>
        <w:t xml:space="preserve"> </w:t>
      </w:r>
      <w:r>
        <w:rPr>
          <w:rFonts w:ascii="Times New Roman" w:hAnsi="Times New Roman" w:cs="Times New Roman (Body CS)"/>
        </w:rPr>
        <w:t xml:space="preserve">T. L. Brink, ‘Inconsistency of Belief Among Roman Catholic Girls: Concerning Religion, Astrology, Reincarnation’, </w:t>
      </w:r>
      <w:r>
        <w:rPr>
          <w:rFonts w:ascii="Times New Roman" w:hAnsi="Times New Roman" w:cs="Times New Roman (Body CS)"/>
          <w:i/>
        </w:rPr>
        <w:t xml:space="preserve">Review of Religious Research, </w:t>
      </w:r>
      <w:r>
        <w:rPr>
          <w:rFonts w:ascii="Times New Roman" w:hAnsi="Times New Roman" w:cs="Times New Roman (Body CS)"/>
        </w:rPr>
        <w:t>Vol. 20, No. 1, (Autumn, 1978), p. 82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7939C" w14:textId="77777777" w:rsidR="00444ACA" w:rsidRDefault="00D9721A">
    <w:pPr>
      <w:pStyle w:val="Header"/>
    </w:pPr>
    <w:r>
      <w:t>Fernanda Paiva</w:t>
    </w:r>
    <w:r>
      <w:ptab w:relativeTo="margin" w:alignment="center" w:leader="none"/>
    </w:r>
    <w:r>
      <w:t>1808194</w:t>
    </w:r>
    <w:r>
      <w:ptab w:relativeTo="margin" w:alignment="right" w:leader="none"/>
    </w:r>
    <w:r>
      <w:t>H</w:t>
    </w:r>
    <w:r>
      <w:t>PCA 7002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95C"/>
    <w:rsid w:val="0024395C"/>
    <w:rsid w:val="008C2BAB"/>
    <w:rsid w:val="00972535"/>
    <w:rsid w:val="00D97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68C43"/>
  <w15:chartTrackingRefBased/>
  <w15:docId w15:val="{55B42F84-FCAE-974A-A859-FF1A22D9A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39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4395C"/>
    <w:rPr>
      <w:sz w:val="20"/>
      <w:szCs w:val="20"/>
    </w:rPr>
  </w:style>
  <w:style w:type="character" w:customStyle="1" w:styleId="FootnoteTextChar">
    <w:name w:val="Footnote Text Char"/>
    <w:basedOn w:val="DefaultParagraphFont"/>
    <w:link w:val="FootnoteText"/>
    <w:uiPriority w:val="99"/>
    <w:semiHidden/>
    <w:rsid w:val="0024395C"/>
    <w:rPr>
      <w:sz w:val="20"/>
      <w:szCs w:val="20"/>
    </w:rPr>
  </w:style>
  <w:style w:type="character" w:styleId="FootnoteReference">
    <w:name w:val="footnote reference"/>
    <w:basedOn w:val="DefaultParagraphFont"/>
    <w:uiPriority w:val="99"/>
    <w:semiHidden/>
    <w:unhideWhenUsed/>
    <w:rsid w:val="0024395C"/>
    <w:rPr>
      <w:vertAlign w:val="superscript"/>
    </w:rPr>
  </w:style>
  <w:style w:type="paragraph" w:styleId="Footer">
    <w:name w:val="footer"/>
    <w:basedOn w:val="Normal"/>
    <w:link w:val="FooterChar"/>
    <w:uiPriority w:val="99"/>
    <w:unhideWhenUsed/>
    <w:rsid w:val="0024395C"/>
    <w:pPr>
      <w:tabs>
        <w:tab w:val="center" w:pos="4680"/>
        <w:tab w:val="right" w:pos="9360"/>
      </w:tabs>
    </w:pPr>
  </w:style>
  <w:style w:type="character" w:customStyle="1" w:styleId="FooterChar">
    <w:name w:val="Footer Char"/>
    <w:basedOn w:val="DefaultParagraphFont"/>
    <w:link w:val="Footer"/>
    <w:uiPriority w:val="99"/>
    <w:rsid w:val="0024395C"/>
  </w:style>
  <w:style w:type="character" w:styleId="PageNumber">
    <w:name w:val="page number"/>
    <w:basedOn w:val="DefaultParagraphFont"/>
    <w:uiPriority w:val="99"/>
    <w:semiHidden/>
    <w:unhideWhenUsed/>
    <w:rsid w:val="0024395C"/>
  </w:style>
  <w:style w:type="paragraph" w:styleId="Header">
    <w:name w:val="header"/>
    <w:basedOn w:val="Normal"/>
    <w:link w:val="HeaderChar"/>
    <w:uiPriority w:val="99"/>
    <w:unhideWhenUsed/>
    <w:rsid w:val="0024395C"/>
    <w:pPr>
      <w:tabs>
        <w:tab w:val="center" w:pos="4680"/>
        <w:tab w:val="right" w:pos="9360"/>
      </w:tabs>
    </w:pPr>
  </w:style>
  <w:style w:type="character" w:customStyle="1" w:styleId="HeaderChar">
    <w:name w:val="Header Char"/>
    <w:basedOn w:val="DefaultParagraphFont"/>
    <w:link w:val="Header"/>
    <w:uiPriority w:val="99"/>
    <w:rsid w:val="002439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974</Words>
  <Characters>5552</Characters>
  <Application>Microsoft Office Word</Application>
  <DocSecurity>0</DocSecurity>
  <Lines>46</Lines>
  <Paragraphs>13</Paragraphs>
  <ScaleCrop>false</ScaleCrop>
  <Company/>
  <LinksUpToDate>false</LinksUpToDate>
  <CharactersWithSpaces>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Fernanda Paiva (1808194)</dc:creator>
  <cp:keywords/>
  <dc:description/>
  <cp:lastModifiedBy>Fernanda Paiva (1808194)</cp:lastModifiedBy>
  <cp:revision>1</cp:revision>
  <dcterms:created xsi:type="dcterms:W3CDTF">2019-03-13T10:31:00Z</dcterms:created>
  <dcterms:modified xsi:type="dcterms:W3CDTF">2019-03-13T10:32:00Z</dcterms:modified>
</cp:coreProperties>
</file>