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40AAD">
      <w:pPr>
        <w:rPr>
          <w:b/>
          <w:bCs/>
          <w:color w:val="7030A0"/>
          <w:sz w:val="28"/>
          <w:szCs w:val="24"/>
        </w:rPr>
      </w:pPr>
    </w:p>
    <w:p w14:paraId="2FC0E343">
      <w:pPr>
        <w:keepNext w:val="0"/>
        <w:keepLines w:val="0"/>
        <w:widowControl/>
        <w:suppressLineNumbers w:val="0"/>
        <w:jc w:val="left"/>
      </w:pPr>
      <w:r>
        <w:rPr>
          <w:rFonts w:ascii="SimSun" w:hAnsi="SimSun" w:eastAsia="SimSun" w:cs="SimSun"/>
          <w:kern w:val="0"/>
          <w:sz w:val="24"/>
          <w:szCs w:val="24"/>
          <w:lang w:val="en-US" w:eastAsia="zh-CN" w:bidi="ar"/>
          <w14:ligatures w14:val="standardContextual"/>
        </w:rPr>
        <w:drawing>
          <wp:inline distT="0" distB="0" distL="114300" distR="114300">
            <wp:extent cx="1529715" cy="1019810"/>
            <wp:effectExtent l="0" t="0" r="19685" b="2159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1529715" cy="1019810"/>
                    </a:xfrm>
                    <a:prstGeom prst="rect">
                      <a:avLst/>
                    </a:prstGeom>
                    <a:noFill/>
                    <a:ln w="9525">
                      <a:noFill/>
                    </a:ln>
                  </pic:spPr>
                </pic:pic>
              </a:graphicData>
            </a:graphic>
          </wp:inline>
        </w:drawing>
      </w:r>
    </w:p>
    <w:p w14:paraId="09BB33D5">
      <w:pPr>
        <w:jc w:val="center"/>
        <w:rPr>
          <w:rFonts w:hint="default" w:ascii="Arial Regular" w:hAnsi="Arial Regular" w:cs="Arial Regular" w:eastAsiaTheme="minorEastAsia"/>
          <w:b/>
          <w:bCs/>
          <w:sz w:val="44"/>
          <w:szCs w:val="44"/>
          <w:lang w:val="en-US"/>
        </w:rPr>
      </w:pPr>
      <w:r>
        <w:rPr>
          <w:rFonts w:hint="default" w:ascii="Arial Regular" w:hAnsi="Arial Regular" w:cs="Arial Regular" w:eastAsiaTheme="minorEastAsia"/>
          <w:b/>
          <w:bCs/>
          <w:sz w:val="44"/>
          <w:szCs w:val="44"/>
          <w:lang w:val="en-US"/>
        </w:rPr>
        <w:t>University of Wales Trinity Saint David</w:t>
      </w:r>
    </w:p>
    <w:p w14:paraId="4103530D">
      <w:pPr>
        <w:pBdr>
          <w:bottom w:val="single" w:color="auto" w:sz="6" w:space="1"/>
        </w:pBdr>
        <w:rPr>
          <w:rFonts w:hint="default" w:ascii="Arial Regular" w:hAnsi="Arial Regular" w:cs="Arial Regular" w:eastAsiaTheme="minorEastAsia"/>
          <w:b/>
          <w:bCs/>
          <w:color w:val="7030A0"/>
          <w:sz w:val="28"/>
          <w:szCs w:val="24"/>
        </w:rPr>
      </w:pPr>
      <w:bookmarkStart w:id="24" w:name="_GoBack"/>
      <w:bookmarkEnd w:id="24"/>
    </w:p>
    <w:p w14:paraId="7DD8D57C">
      <w:pPr>
        <w:pBdr>
          <w:bottom w:val="single" w:color="auto" w:sz="6" w:space="1"/>
        </w:pBdr>
        <w:rPr>
          <w:rFonts w:hint="default" w:ascii="Arial Regular" w:hAnsi="Arial Regular" w:cs="Arial Regular" w:eastAsiaTheme="minorEastAsia"/>
          <w:b/>
          <w:bCs/>
          <w:color w:val="7030A0"/>
          <w:sz w:val="28"/>
          <w:szCs w:val="24"/>
        </w:rPr>
      </w:pPr>
    </w:p>
    <w:p w14:paraId="5C9BFDD8">
      <w:pPr>
        <w:pBdr>
          <w:bottom w:val="single" w:color="auto" w:sz="6" w:space="1"/>
        </w:pBdr>
        <w:rPr>
          <w:rFonts w:hint="default" w:ascii="Arial Regular" w:hAnsi="Arial Regular" w:cs="Arial Regular" w:eastAsiaTheme="minorEastAsia"/>
          <w:b/>
          <w:bCs/>
          <w:color w:val="7030A0"/>
          <w:sz w:val="28"/>
          <w:szCs w:val="24"/>
        </w:rPr>
      </w:pPr>
    </w:p>
    <w:p w14:paraId="11063FE0">
      <w:pPr>
        <w:pBdr>
          <w:bottom w:val="single" w:color="auto" w:sz="6" w:space="1"/>
        </w:pBdr>
        <w:rPr>
          <w:rFonts w:hint="default" w:ascii="Arial Regular" w:hAnsi="Arial Regular" w:cs="Arial Regular" w:eastAsiaTheme="minorEastAsia"/>
          <w:b/>
          <w:bCs/>
          <w:color w:val="7030A0"/>
          <w:sz w:val="28"/>
          <w:szCs w:val="24"/>
        </w:rPr>
      </w:pPr>
    </w:p>
    <w:p w14:paraId="79A3BA76">
      <w:pPr>
        <w:pBdr>
          <w:bottom w:val="single" w:color="auto" w:sz="6" w:space="1"/>
        </w:pBdr>
        <w:rPr>
          <w:rFonts w:hint="default" w:ascii="Arial Regular" w:hAnsi="Arial Regular" w:cs="Arial Regular" w:eastAsiaTheme="minorEastAsia"/>
          <w:b/>
          <w:bCs/>
          <w:color w:val="000000" w:themeColor="text1"/>
          <w:sz w:val="28"/>
          <w:szCs w:val="24"/>
          <w:u w:val="none"/>
          <w14:textFill>
            <w14:solidFill>
              <w14:schemeClr w14:val="tx1"/>
            </w14:solidFill>
          </w14:textFill>
        </w:rPr>
      </w:pPr>
      <w:r>
        <w:rPr>
          <w:rFonts w:hint="default" w:ascii="Arial Regular" w:hAnsi="Arial Regular" w:cs="Arial Regular" w:eastAsiaTheme="minorEastAsia"/>
          <w:b/>
          <w:bCs/>
          <w:color w:val="000000" w:themeColor="text1"/>
          <w:sz w:val="28"/>
          <w:szCs w:val="24"/>
          <w:u w:val="none"/>
          <w14:textFill>
            <w14:solidFill>
              <w14:schemeClr w14:val="tx1"/>
            </w14:solidFill>
          </w14:textFill>
        </w:rPr>
        <w:t>Dissertation Proposal: The Role of Quantitative Risk Management in Strengthening Anti-Money Laundering (AML) Compliance within International Trade Operations</w:t>
      </w:r>
    </w:p>
    <w:p w14:paraId="1A98838A">
      <w:pPr>
        <w:rPr>
          <w:rFonts w:hint="default" w:ascii="Arial Regular" w:hAnsi="Arial Regular" w:cs="Arial Regular" w:eastAsiaTheme="minorEastAsia"/>
          <w:b/>
          <w:bCs/>
          <w:u w:val="none"/>
        </w:rPr>
      </w:pPr>
    </w:p>
    <w:p w14:paraId="2A9E1E28">
      <w:pPr>
        <w:rPr>
          <w:rFonts w:hint="default" w:ascii="Arial Regular" w:hAnsi="Arial Regular" w:cs="Arial Regular" w:eastAsiaTheme="minorEastAsia"/>
          <w:b/>
          <w:bCs/>
        </w:rPr>
      </w:pPr>
    </w:p>
    <w:p w14:paraId="7F36EAB3">
      <w:pPr>
        <w:rPr>
          <w:rFonts w:hint="default" w:ascii="Arial Regular" w:hAnsi="Arial Regular" w:cs="Arial Regular" w:eastAsiaTheme="minorEastAsia"/>
          <w:b/>
          <w:bCs/>
          <w:lang w:val="en-US"/>
        </w:rPr>
      </w:pPr>
      <w:r>
        <w:rPr>
          <w:rFonts w:hint="default" w:ascii="Arial Regular" w:hAnsi="Arial Regular" w:cs="Arial Regular" w:eastAsiaTheme="minorEastAsia"/>
          <w:b/>
          <w:bCs/>
        </w:rPr>
        <w:t xml:space="preserve">Student Name: </w:t>
      </w:r>
      <w:r>
        <w:rPr>
          <w:rFonts w:hint="default" w:ascii="Arial Regular" w:hAnsi="Arial Regular" w:cs="Arial Regular" w:eastAsiaTheme="minorEastAsia"/>
          <w:b/>
          <w:bCs/>
          <w:lang w:val="en-US"/>
        </w:rPr>
        <w:t xml:space="preserve"> Shahidul Islam Santo </w:t>
      </w:r>
    </w:p>
    <w:p w14:paraId="78D6D620">
      <w:pPr>
        <w:rPr>
          <w:rFonts w:hint="default" w:ascii="Arial Regular" w:hAnsi="Arial Regular" w:cs="Arial Regular" w:eastAsiaTheme="minorEastAsia"/>
          <w:b/>
          <w:bCs/>
          <w:lang w:val="en-US"/>
        </w:rPr>
      </w:pPr>
      <w:r>
        <w:rPr>
          <w:rFonts w:hint="default" w:ascii="Arial Regular" w:hAnsi="Arial Regular" w:cs="Arial Regular" w:eastAsiaTheme="minorEastAsia"/>
          <w:b/>
          <w:bCs/>
        </w:rPr>
        <w:t xml:space="preserve">Student ID: </w:t>
      </w:r>
      <w:r>
        <w:rPr>
          <w:rFonts w:hint="default" w:ascii="Arial Regular" w:hAnsi="Arial Regular" w:cs="Arial Regular" w:eastAsiaTheme="minorEastAsia"/>
          <w:b/>
          <w:bCs/>
          <w:lang w:val="en-US"/>
        </w:rPr>
        <w:t>2428335</w:t>
      </w:r>
    </w:p>
    <w:p w14:paraId="1FC7A932">
      <w:pPr>
        <w:rPr>
          <w:rFonts w:hint="default" w:ascii="Arial Regular" w:hAnsi="Arial Regular" w:cs="Arial Regular" w:eastAsiaTheme="minorEastAsia"/>
          <w:b/>
          <w:bCs/>
          <w:lang w:val="en-US"/>
        </w:rPr>
      </w:pPr>
    </w:p>
    <w:p w14:paraId="571363F6">
      <w:pPr>
        <w:rPr>
          <w:rFonts w:hint="default" w:ascii="Arial Regular" w:hAnsi="Arial Regular" w:cs="Arial Regular" w:eastAsiaTheme="minorEastAsia"/>
          <w:sz w:val="22"/>
          <w:szCs w:val="22"/>
          <w:lang w:val="en-US"/>
        </w:rPr>
      </w:pPr>
      <w:r>
        <w:rPr>
          <w:rFonts w:hint="default" w:ascii="Arial Regular" w:hAnsi="Arial Regular" w:cs="Arial Regular" w:eastAsiaTheme="minorEastAsia"/>
          <w:b/>
          <w:bCs/>
          <w:lang w:val="en-US"/>
        </w:rPr>
        <w:t xml:space="preserve">Supervisor Name : </w:t>
      </w:r>
      <w:r>
        <w:rPr>
          <w:rFonts w:hint="default" w:ascii="Arial Regular" w:hAnsi="Arial Regular" w:cs="Arial Regular" w:eastAsiaTheme="minorEastAsia"/>
          <w:sz w:val="22"/>
          <w:szCs w:val="22"/>
          <w:lang w:val="en-US"/>
        </w:rPr>
        <w:t>Dr Andry Rakotovololona</w:t>
      </w:r>
    </w:p>
    <w:p w14:paraId="3359C752">
      <w:pPr>
        <w:rPr>
          <w:rFonts w:hint="default" w:ascii="Arial Regular" w:hAnsi="Arial Regular" w:cs="Arial Regular" w:eastAsiaTheme="minorEastAsia"/>
          <w:b/>
          <w:bCs/>
          <w:lang w:val="en-US"/>
        </w:rPr>
      </w:pPr>
    </w:p>
    <w:p w14:paraId="38C528CE">
      <w:pPr>
        <w:rPr>
          <w:rFonts w:hint="default" w:ascii="Arial Regular" w:hAnsi="Arial Regular" w:cs="Arial Regular" w:eastAsiaTheme="minorEastAsia"/>
          <w:b/>
          <w:bCs/>
          <w:lang w:val="en-US"/>
        </w:rPr>
      </w:pPr>
    </w:p>
    <w:p w14:paraId="31EE9EBF">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 xml:space="preserve">Date: 07 Nov 2025 </w:t>
      </w:r>
    </w:p>
    <w:p w14:paraId="31DE2AA7">
      <w:pPr>
        <w:spacing w:before="0" w:after="160" w:line="259" w:lineRule="auto"/>
        <w:jc w:val="left"/>
        <w:rPr>
          <w:rFonts w:hint="default" w:ascii="Arial Regular" w:hAnsi="Arial Regular" w:cs="Arial Regular" w:eastAsiaTheme="minorEastAsia"/>
          <w:b/>
          <w:bCs/>
        </w:rPr>
      </w:pPr>
      <w:r>
        <w:rPr>
          <w:rFonts w:hint="default" w:ascii="Arial Regular" w:hAnsi="Arial Regular" w:cs="Arial Regular" w:eastAsiaTheme="minorEastAsia"/>
          <w:b/>
          <w:bCs/>
        </w:rPr>
        <w:br w:type="page"/>
      </w:r>
    </w:p>
    <w:sdt>
      <w:sdtPr>
        <w:rPr>
          <w:rFonts w:hint="default" w:ascii="Arial Regular" w:hAnsi="Arial Regular" w:cs="Arial Regular" w:eastAsiaTheme="minorEastAsia"/>
          <w:color w:val="auto"/>
          <w:kern w:val="2"/>
          <w:sz w:val="24"/>
          <w:szCs w:val="22"/>
          <w:lang w:val="en-GB" w:eastAsia="en-GB"/>
          <w14:ligatures w14:val="standardContextual"/>
        </w:rPr>
        <w:id w:val="1275757172"/>
        <w:docPartObj>
          <w:docPartGallery w:val="Table of Contents"/>
          <w:docPartUnique/>
        </w:docPartObj>
      </w:sdtPr>
      <w:sdtEndPr>
        <w:rPr>
          <w:rFonts w:hint="default" w:ascii="Arial Regular" w:hAnsi="Arial Regular" w:cs="Arial Regular" w:eastAsiaTheme="minorEastAsia"/>
          <w:b/>
          <w:bCs/>
          <w:color w:val="auto"/>
          <w:kern w:val="2"/>
          <w:sz w:val="24"/>
          <w:szCs w:val="22"/>
          <w:lang w:val="en-GB" w:eastAsia="en-GB"/>
          <w14:ligatures w14:val="standardContextual"/>
        </w:rPr>
      </w:sdtEndPr>
      <w:sdtContent>
        <w:p w14:paraId="3F14221F">
          <w:pPr>
            <w:pStyle w:val="44"/>
            <w:jc w:val="center"/>
            <w:rPr>
              <w:rFonts w:hint="default" w:ascii="Arial Regular" w:hAnsi="Arial Regular" w:cs="Arial Regular" w:eastAsiaTheme="minorEastAsia"/>
              <w:b/>
              <w:bCs/>
            </w:rPr>
          </w:pPr>
          <w:r>
            <w:rPr>
              <w:rFonts w:hint="default" w:ascii="Arial Regular" w:hAnsi="Arial Regular" w:cs="Arial Regular" w:eastAsiaTheme="minorEastAsia"/>
              <w:b/>
              <w:bCs/>
            </w:rPr>
            <w:t>Table of Contents</w:t>
          </w:r>
        </w:p>
        <w:p w14:paraId="5E61A311">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TOC \o "1-3" \h \z \u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"_Toc213369843"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1. Introduction</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_Toc213369843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3</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62B9B8F6">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"_Toc213369844"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1.1 Background of the Research</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_Toc213369844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3</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09F9AF5B">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"_Toc213369845"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1.2 Research Aim and Objectives</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_Toc213369845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3</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4AC8DE72">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"_Toc213369846"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1.3 Research Questions</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_Toc213369846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4</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170A9196">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"_Toc213369847"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2. Literature Review</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_Toc213369847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5</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0B7FD6A0">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"_Toc213369848"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2.1 Money Laundering, Banking Performance and Economic Stability</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_Toc213369848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5</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42597544">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"_Toc213369849"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2.2 Regulatory Developments and Trade-Based Money Laundering</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_Toc213369849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5</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7CF493EE">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"_Toc213369850"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2.3 Fintech, Emerging Technologies and Quantitative Risk Management</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_Toc213369850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6</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4DDC16AF">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"_Toc213369851"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2.4 Effectiveness, Costs and Unintended Consequences of AML Measures</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_Toc213369851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6</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0F5F0FEB">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"_Toc213369852"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2.5 Identified Gaps and Rationale for the Study</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_Toc213369852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7</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4CF263C4">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"_Toc213369853"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 Methodology</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_Toc213369853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8</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09EA354A">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"_Toc213369854"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3.1 Research Philosophy</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_Toc213369854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8</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790B1E9D">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"_Toc213369855"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3.2 Research Approach</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_Toc213369855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8</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3AA258DC">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"_Toc213369856"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3.3 Methodological Choice</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_Toc213369856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8</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0137B216">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"_Toc213369857"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3.4 Research Strategy</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_Toc213369857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8</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50B7B861">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"_Toc213369858"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3.5 Time Horizon</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_Toc213369858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9</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33293888">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"_Toc213369859"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3.6 Data Collection, Analysis and Quality</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_Toc213369859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9</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4F6A8FCC">
          <w:pPr>
            <w:pStyle w:val="21"/>
            <w:tabs>
              <w:tab w:val="right" w:leader="dot" w:pos="9016"/>
            </w:tabs>
            <w:rPr>
              <w:rFonts w:hint="default" w:ascii="Arial Regular" w:hAnsi="Arial Regular" w:cs="Arial Regular" w:eastAsiaTheme="minorEastAsia"/>
              <w:szCs w:val="24"/>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"_Toc213369860"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3.7 Ethical Consideration</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_Toc213369860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9</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461B6F82">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"_Toc213369861"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4. Expected Findings</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_Toc213369861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10</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2591A55F">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"_Toc213369862"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5. Limitations</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_Toc213369862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11</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5F81EA80">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"_Toc213369863"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6. Timeframe</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_Toc213369863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12</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160E2B29">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"_Toc213369864"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7. Conclusion</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_Toc213369864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13</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389A84A2">
          <w:pPr>
            <w:pStyle w:val="20"/>
            <w:rPr>
              <w:rFonts w:hint="default" w:ascii="Arial Regular" w:hAnsi="Arial Regular" w:cs="Arial Regular" w:eastAsiaTheme="minorEastAsia"/>
              <w:b w:val="0"/>
              <w:bCs w:val="0"/>
              <w:color w:val="auto"/>
              <w:szCs w:val="24"/>
              <w:lang w:val="en-GB"/>
            </w:rPr>
          </w:pP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\l "_Toc213369865"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8. References</w:t>
          </w:r>
          <w:r>
            <w:rPr>
              <w:rFonts w:hint="default" w:ascii="Arial Regular" w:hAnsi="Arial Regular" w:cs="Arial Regular" w:eastAsiaTheme="minorEastAsia"/>
            </w:rPr>
            <w:tab/>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PAGEREF _Toc213369865 \h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14</w:t>
          </w:r>
          <w:r>
            <w:rPr>
              <w:rFonts w:hint="default" w:ascii="Arial Regular" w:hAnsi="Arial Regular" w:cs="Arial Regular" w:eastAsiaTheme="minorEastAsia"/>
            </w:rPr>
            <w:fldChar w:fldCharType="end"/>
          </w:r>
          <w:r>
            <w:rPr>
              <w:rFonts w:hint="default" w:ascii="Arial Regular" w:hAnsi="Arial Regular" w:cs="Arial Regular" w:eastAsiaTheme="minorEastAsia"/>
            </w:rPr>
            <w:fldChar w:fldCharType="end"/>
          </w:r>
        </w:p>
        <w:p w14:paraId="026DCDCA">
          <w:pPr>
            <w:rPr>
              <w:rFonts w:hint="default" w:ascii="Arial Regular" w:hAnsi="Arial Regular" w:cs="Arial Regular" w:eastAsiaTheme="minorEastAsia"/>
            </w:rPr>
          </w:pPr>
          <w:r>
            <w:rPr>
              <w:rFonts w:hint="default" w:ascii="Arial Regular" w:hAnsi="Arial Regular" w:cs="Arial Regular" w:eastAsiaTheme="minorEastAsia"/>
              <w:b/>
              <w:bCs/>
            </w:rPr>
            <w:fldChar w:fldCharType="end"/>
          </w:r>
        </w:p>
      </w:sdtContent>
    </w:sdt>
    <w:p w14:paraId="141E975B">
      <w:pPr>
        <w:spacing w:before="0" w:after="160" w:line="259" w:lineRule="auto"/>
        <w:jc w:val="left"/>
        <w:rPr>
          <w:rFonts w:hint="default" w:ascii="Arial Regular" w:hAnsi="Arial Regular" w:cs="Arial Regular" w:eastAsiaTheme="minorEastAsia"/>
          <w:b/>
          <w:bCs/>
        </w:rPr>
      </w:pPr>
      <w:r>
        <w:rPr>
          <w:rFonts w:hint="default" w:ascii="Arial Regular" w:hAnsi="Arial Regular" w:cs="Arial Regular" w:eastAsiaTheme="minorEastAsia"/>
          <w:b/>
          <w:bCs/>
        </w:rPr>
        <w:br w:type="page"/>
      </w:r>
    </w:p>
    <w:p w14:paraId="103FE376">
      <w:pPr>
        <w:pStyle w:val="2"/>
        <w:rPr>
          <w:rFonts w:hint="default" w:ascii="Arial Regular" w:hAnsi="Arial Regular" w:cs="Arial Regular" w:eastAsiaTheme="minorEastAsia"/>
          <w:lang w:val="en-US"/>
        </w:rPr>
      </w:pPr>
      <w:bookmarkStart w:id="0" w:name="_Toc213369843"/>
      <w:r>
        <w:rPr>
          <w:rFonts w:hint="default" w:ascii="Arial Regular" w:hAnsi="Arial Regular" w:cs="Arial Regular" w:eastAsiaTheme="minorEastAsia"/>
          <w:lang w:val="en-US"/>
        </w:rPr>
        <w:t>1. Introduction</w:t>
      </w:r>
      <w:bookmarkEnd w:id="0"/>
    </w:p>
    <w:p w14:paraId="12821B85">
      <w:pPr>
        <w:pStyle w:val="3"/>
        <w:rPr>
          <w:rFonts w:hint="default" w:ascii="Arial Regular" w:hAnsi="Arial Regular" w:cs="Arial Regular" w:eastAsiaTheme="minorEastAsia"/>
        </w:rPr>
      </w:pPr>
      <w:bookmarkStart w:id="1" w:name="_Toc213369844"/>
      <w:r>
        <w:rPr>
          <w:rFonts w:hint="default" w:ascii="Arial Regular" w:hAnsi="Arial Regular" w:cs="Arial Regular" w:eastAsiaTheme="minorEastAsia"/>
        </w:rPr>
        <w:t>1.1 Background of the Research</w:t>
      </w:r>
      <w:bookmarkEnd w:id="1"/>
    </w:p>
    <w:p w14:paraId="28B5C755">
      <w:pPr>
        <w:rPr>
          <w:rFonts w:hint="default" w:ascii="Arial Regular" w:hAnsi="Arial Regular" w:cs="Arial Regular" w:eastAsiaTheme="minorEastAsia"/>
        </w:rPr>
      </w:pPr>
      <w:r>
        <w:rPr>
          <w:rFonts w:hint="default" w:ascii="Arial Regular" w:hAnsi="Arial Regular" w:cs="Arial Regular" w:eastAsiaTheme="minorEastAsia"/>
        </w:rPr>
        <w:t xml:space="preserve">The economy of worlds is a trillion-dollar industry known as International Trade which has enabled the flow of goods and services valued at over 28 trillion every year up to the year 2024 (UNCTAD, 2025). Nevertheless, this colossal infrastructure is also being used as a source of crime, and trade-based money laundering is one of the most common. This is the act of placing, combining, or processing the illegally-acquired funds to the trading system, and is performed through making transactions in either over or under-invoicing, counterfeit or ghost shipments, or misrepresentation and misdescription of the goods (Khan, 2021). These threats have been increasing with the changes in the geopolitical factors, which include wars and their consequent supply chain blockages, and the rising popularity of the digital trade marketplace. It is estimated that Trade-Based Money Laundering (TBML) accounts to a significant portion perhaps the largest portion of money laundering in the world, some even estimating that it represents up to 80% of all money laundering (Okolo et al., 2024). As with that, current Anti-Money Laundering (AML) compliance regimes, which are generally based on threshold-based frameworks and human reviews, are not designed to conduct comprehensive and multi-layered trade data analysis at the scale, and some estimates indicate that false positives of such systems include up to 90% of all alerts. </w:t>
      </w:r>
    </w:p>
    <w:p w14:paraId="60ACD893">
      <w:pPr>
        <w:rPr>
          <w:rFonts w:hint="default" w:ascii="Arial Regular" w:hAnsi="Arial Regular" w:cs="Arial Regular" w:eastAsiaTheme="minorEastAsia"/>
        </w:rPr>
      </w:pPr>
      <w:r>
        <w:rPr>
          <w:rFonts w:hint="default" w:ascii="Arial Regular" w:hAnsi="Arial Regular" w:cs="Arial Regular" w:eastAsiaTheme="minorEastAsia"/>
        </w:rPr>
        <w:t xml:space="preserve">The purpose of this proposal is to address a significant gap in the current literature and practice the underestimation of the application of quantitative risk management methods to enhance the AML compliance, particularly when it comes to international trade (Khan, 2021). Since Quantitative Risk Management (QRM) can integrate an extensive range of sophisticated analysis solutions, such as probabilistic modelling, statistical regression, quantitative risk assessment models, and network analysis, regulatory authorities and licensed trade finance parties that are accountable to them can use this model to obtain contextual, data-driven insights to enhance the rate of detection of abnormal trade patterns and volumes. </w:t>
      </w:r>
    </w:p>
    <w:p w14:paraId="24611EFE">
      <w:pPr>
        <w:pStyle w:val="3"/>
        <w:rPr>
          <w:rFonts w:hint="default" w:ascii="Arial Regular" w:hAnsi="Arial Regular" w:cs="Arial Regular" w:eastAsiaTheme="minorEastAsia"/>
        </w:rPr>
      </w:pPr>
      <w:bookmarkStart w:id="2" w:name="_Toc213369845"/>
      <w:r>
        <w:rPr>
          <w:rFonts w:hint="default" w:ascii="Arial Regular" w:hAnsi="Arial Regular" w:cs="Arial Regular" w:eastAsiaTheme="minorEastAsia"/>
        </w:rPr>
        <w:t>1.2 Research Aim and Objectives</w:t>
      </w:r>
      <w:bookmarkEnd w:id="2"/>
    </w:p>
    <w:p w14:paraId="2ED5BEC6">
      <w:pPr>
        <w:rPr>
          <w:rFonts w:hint="default" w:ascii="Arial Regular" w:hAnsi="Arial Regular" w:cs="Arial Regular" w:eastAsiaTheme="minorEastAsia"/>
          <w:b/>
        </w:rPr>
      </w:pPr>
      <w:r>
        <w:rPr>
          <w:rFonts w:hint="default" w:ascii="Arial Regular" w:hAnsi="Arial Regular" w:cs="Arial Regular" w:eastAsiaTheme="minorEastAsia"/>
          <w:b/>
        </w:rPr>
        <w:t xml:space="preserve">Research Aim </w:t>
      </w:r>
    </w:p>
    <w:p w14:paraId="75704240">
      <w:pPr>
        <w:rPr>
          <w:rFonts w:hint="default" w:ascii="Arial Regular" w:hAnsi="Arial Regular" w:cs="Arial Regular" w:eastAsiaTheme="minorEastAsia"/>
          <w:bCs/>
        </w:rPr>
      </w:pPr>
      <w:r>
        <w:rPr>
          <w:rFonts w:hint="default" w:ascii="Arial Regular" w:hAnsi="Arial Regular" w:cs="Arial Regular" w:eastAsiaTheme="minorEastAsia"/>
          <w:bCs/>
        </w:rPr>
        <w:t>To critically analyse how the quantitative risk management tools could be applied to increase AML compliance to TBML in international trade, basing on secondary qualitative synthesis of current literature and practice.</w:t>
      </w:r>
    </w:p>
    <w:p w14:paraId="4C1EE27A">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Research Objectives</w:t>
      </w:r>
    </w:p>
    <w:p w14:paraId="16B8F518">
      <w:pPr>
        <w:pStyle w:val="35"/>
        <w:numPr>
          <w:ilvl w:val="0"/>
          <w:numId w:val="1"/>
        </w:numPr>
        <w:rPr>
          <w:rFonts w:hint="default" w:ascii="Arial Regular" w:hAnsi="Arial Regular" w:cs="Arial Regular" w:eastAsiaTheme="minorEastAsia"/>
          <w:lang w:val="en-US"/>
        </w:rPr>
      </w:pPr>
      <w:r>
        <w:rPr>
          <w:rFonts w:hint="default" w:ascii="Arial Regular" w:hAnsi="Arial Regular" w:cs="Arial Regular" w:eastAsiaTheme="minorEastAsia"/>
        </w:rPr>
        <w:t>To identify and critically analyse the leading types of QRM tools that are applied or proposed for TBML detection within trade finance, as reported in existing literature and practice documents.</w:t>
      </w:r>
    </w:p>
    <w:p w14:paraId="3ED20105">
      <w:pPr>
        <w:pStyle w:val="35"/>
        <w:numPr>
          <w:ilvl w:val="0"/>
          <w:numId w:val="1"/>
        </w:numPr>
        <w:rPr>
          <w:rFonts w:hint="default" w:ascii="Arial Regular" w:hAnsi="Arial Regular" w:cs="Arial Regular" w:eastAsiaTheme="minorEastAsia"/>
          <w:lang w:val="en-US"/>
        </w:rPr>
      </w:pPr>
      <w:r>
        <w:rPr>
          <w:rFonts w:hint="default" w:ascii="Arial Regular" w:hAnsi="Arial Regular" w:cs="Arial Regular" w:eastAsiaTheme="minorEastAsia"/>
        </w:rPr>
        <w:t>To analyse the key obstacles and regulatory impediments to the implementation of QRM to AML in the cross-border trade as addressed by secondary sources.</w:t>
      </w:r>
    </w:p>
    <w:p w14:paraId="7A3ACCF4">
      <w:pPr>
        <w:pStyle w:val="35"/>
        <w:numPr>
          <w:ilvl w:val="0"/>
          <w:numId w:val="1"/>
        </w:numPr>
        <w:rPr>
          <w:rFonts w:hint="default" w:ascii="Arial Regular" w:hAnsi="Arial Regular" w:cs="Arial Regular" w:eastAsiaTheme="minorEastAsia"/>
          <w:lang w:val="en-US"/>
        </w:rPr>
      </w:pPr>
      <w:r>
        <w:rPr>
          <w:rFonts w:hint="default" w:ascii="Arial Regular" w:hAnsi="Arial Regular" w:cs="Arial Regular" w:eastAsiaTheme="minorEastAsia"/>
        </w:rPr>
        <w:t>To formulate the evidence-based recommendations on how QRM tools may be incorporated in the AML framework in the financial institutions, out of the synthesis of current research, policy guidance, and case study examples.</w:t>
      </w:r>
    </w:p>
    <w:p w14:paraId="33F224AC">
      <w:pPr>
        <w:pStyle w:val="3"/>
        <w:rPr>
          <w:rFonts w:hint="default" w:ascii="Arial Regular" w:hAnsi="Arial Regular" w:cs="Arial Regular" w:eastAsiaTheme="minorEastAsia"/>
        </w:rPr>
      </w:pPr>
      <w:bookmarkStart w:id="3" w:name="_Toc213369846"/>
      <w:r>
        <w:rPr>
          <w:rFonts w:hint="default" w:ascii="Arial Regular" w:hAnsi="Arial Regular" w:cs="Arial Regular" w:eastAsiaTheme="minorEastAsia"/>
        </w:rPr>
        <w:t>1.3 Research Questions</w:t>
      </w:r>
      <w:bookmarkEnd w:id="3"/>
    </w:p>
    <w:p w14:paraId="63D1AEAC">
      <w:pPr>
        <w:pStyle w:val="35"/>
        <w:numPr>
          <w:ilvl w:val="0"/>
          <w:numId w:val="2"/>
        </w:numPr>
        <w:rPr>
          <w:rFonts w:hint="default" w:ascii="Arial Regular" w:hAnsi="Arial Regular" w:cs="Arial Regular" w:eastAsiaTheme="minorEastAsia"/>
        </w:rPr>
      </w:pPr>
      <w:r>
        <w:rPr>
          <w:rFonts w:hint="default" w:ascii="Arial Regular" w:hAnsi="Arial Regular" w:cs="Arial Regular" w:eastAsiaTheme="minorEastAsia"/>
        </w:rPr>
        <w:t>What are the leading types of QRM tools that are applied or proposed for TBML detection within trade finance, as reported in existing literature and practice documents, and how can they be critically analysed?</w:t>
      </w:r>
    </w:p>
    <w:p w14:paraId="210FEA13">
      <w:pPr>
        <w:pStyle w:val="35"/>
        <w:numPr>
          <w:ilvl w:val="0"/>
          <w:numId w:val="2"/>
        </w:numPr>
        <w:rPr>
          <w:rFonts w:hint="default" w:ascii="Arial Regular" w:hAnsi="Arial Regular" w:cs="Arial Regular" w:eastAsiaTheme="minorEastAsia"/>
        </w:rPr>
      </w:pPr>
      <w:r>
        <w:rPr>
          <w:rFonts w:hint="default" w:ascii="Arial Regular" w:hAnsi="Arial Regular" w:cs="Arial Regular" w:eastAsiaTheme="minorEastAsia"/>
        </w:rPr>
        <w:t>Which are the key barriers and regulatory barriers to the implementation of QRM to AML in cross-border trade as reported in the secondary sources?</w:t>
      </w:r>
    </w:p>
    <w:p w14:paraId="573CC57A">
      <w:pPr>
        <w:pStyle w:val="35"/>
        <w:numPr>
          <w:ilvl w:val="0"/>
          <w:numId w:val="2"/>
        </w:numPr>
        <w:rPr>
          <w:rFonts w:hint="default" w:ascii="Arial Regular" w:hAnsi="Arial Regular" w:cs="Arial Regular" w:eastAsiaTheme="minorEastAsia"/>
        </w:rPr>
      </w:pPr>
      <w:r>
        <w:rPr>
          <w:rFonts w:hint="default" w:ascii="Arial Regular" w:hAnsi="Arial Regular" w:cs="Arial Regular" w:eastAsiaTheme="minorEastAsia"/>
        </w:rPr>
        <w:t>How can evidence-based recommendations be developed on integrating QRM tools into AML frameworks within financial institutions?</w:t>
      </w:r>
    </w:p>
    <w:p w14:paraId="544A813E">
      <w:pPr>
        <w:rPr>
          <w:rFonts w:hint="default" w:ascii="Arial Regular" w:hAnsi="Arial Regular" w:cs="Arial Regular" w:eastAsiaTheme="minorEastAsia"/>
        </w:rPr>
      </w:pPr>
    </w:p>
    <w:p w14:paraId="4B8E8B1A">
      <w:pPr>
        <w:spacing w:before="0" w:after="160" w:line="259" w:lineRule="auto"/>
        <w:jc w:val="left"/>
        <w:rPr>
          <w:rFonts w:hint="default" w:ascii="Arial Regular" w:hAnsi="Arial Regular" w:cs="Arial Regular" w:eastAsiaTheme="minorEastAsia"/>
          <w:b/>
          <w:color w:val="002060"/>
          <w:sz w:val="32"/>
          <w:szCs w:val="32"/>
          <w:lang w:val="en-US"/>
        </w:rPr>
      </w:pPr>
      <w:r>
        <w:rPr>
          <w:rFonts w:hint="default" w:ascii="Arial Regular" w:hAnsi="Arial Regular" w:cs="Arial Regular" w:eastAsiaTheme="minorEastAsia"/>
          <w:lang w:val="en-US"/>
        </w:rPr>
        <w:br w:type="page"/>
      </w:r>
    </w:p>
    <w:p w14:paraId="566B5545">
      <w:pPr>
        <w:pStyle w:val="2"/>
        <w:rPr>
          <w:rFonts w:hint="default" w:ascii="Arial Regular" w:hAnsi="Arial Regular" w:cs="Arial Regular" w:eastAsiaTheme="minorEastAsia"/>
          <w:lang w:val="en-US"/>
        </w:rPr>
      </w:pPr>
      <w:bookmarkStart w:id="4" w:name="_Toc213369847"/>
      <w:r>
        <w:rPr>
          <w:rFonts w:hint="default" w:ascii="Arial Regular" w:hAnsi="Arial Regular" w:cs="Arial Regular" w:eastAsiaTheme="minorEastAsia"/>
          <w:lang w:val="en-US"/>
        </w:rPr>
        <w:t>2. Literature Review</w:t>
      </w:r>
      <w:bookmarkEnd w:id="4"/>
    </w:p>
    <w:p w14:paraId="55F6755C">
      <w:pPr>
        <w:pStyle w:val="3"/>
        <w:rPr>
          <w:rFonts w:hint="default" w:ascii="Arial Regular" w:hAnsi="Arial Regular" w:cs="Arial Regular" w:eastAsiaTheme="minorEastAsia"/>
        </w:rPr>
      </w:pPr>
      <w:bookmarkStart w:id="5" w:name="_Toc213369848"/>
      <w:r>
        <w:rPr>
          <w:rFonts w:hint="default" w:ascii="Arial Regular" w:hAnsi="Arial Regular" w:cs="Arial Regular" w:eastAsiaTheme="minorEastAsia"/>
        </w:rPr>
        <w:t>2.1 Money Laundering, Banking Performance and Economic Stability</w:t>
      </w:r>
      <w:bookmarkEnd w:id="5"/>
    </w:p>
    <w:p w14:paraId="3DE4D812">
      <w:pPr>
        <w:rPr>
          <w:rFonts w:hint="default" w:ascii="Arial Regular" w:hAnsi="Arial Regular" w:cs="Arial Regular" w:eastAsiaTheme="minorEastAsia"/>
        </w:rPr>
      </w:pPr>
      <w:r>
        <w:rPr>
          <w:rFonts w:hint="default" w:ascii="Arial Regular" w:hAnsi="Arial Regular" w:cs="Arial Regular" w:eastAsiaTheme="minorEastAsia"/>
        </w:rPr>
        <w:t xml:space="preserve">The broader AML literature highlights the fact that not only is money laundering a matter of law and reputation but it is also a literal threat to the performance and financial stability of banks. By employing an example of Iraqi banks, Fatah et al. (2025) demonstrate that exposure to money-laundering processes and poor AML regulations are correlated with falls in profitability and asset quality, which explains why banks are facing pressure to reinforce risk management systems. On the macro level, Dote-Pardo and Severino-Gonzalez (2025) survey economic and financial crimes within emerging economies and focus on the distortion of capital allocation through laundering activities, the loss of confidence in financial systems, and the increased the susceptibility of open economies that are based on trade. Likewise, 2024 National Money Laundering Risk Assessment of the US emphasizes that illegal financial flows continue to be a systemic channel of risk, especially with respect to transactions across boundaries and sophisticated business organizations (US Department of the Treasury, 2024). </w:t>
      </w:r>
    </w:p>
    <w:p w14:paraId="2A201EBD">
      <w:pPr>
        <w:pStyle w:val="3"/>
        <w:rPr>
          <w:rFonts w:hint="default" w:ascii="Arial Regular" w:hAnsi="Arial Regular" w:cs="Arial Regular" w:eastAsiaTheme="minorEastAsia"/>
        </w:rPr>
      </w:pPr>
      <w:bookmarkStart w:id="6" w:name="_Toc213369849"/>
      <w:r>
        <w:rPr>
          <w:rFonts w:hint="default" w:ascii="Arial Regular" w:hAnsi="Arial Regular" w:cs="Arial Regular" w:eastAsiaTheme="minorEastAsia"/>
        </w:rPr>
        <w:t>2.2 Regulatory Developments and Trade-Based Money Laundering</w:t>
      </w:r>
      <w:bookmarkEnd w:id="6"/>
    </w:p>
    <w:p w14:paraId="084260AE">
      <w:pPr>
        <w:rPr>
          <w:rFonts w:hint="default" w:ascii="Arial Regular" w:hAnsi="Arial Regular" w:cs="Arial Regular" w:eastAsiaTheme="minorEastAsia"/>
        </w:rPr>
      </w:pPr>
      <w:r>
        <w:rPr>
          <w:rFonts w:hint="default" w:ascii="Arial Regular" w:hAnsi="Arial Regular" w:cs="Arial Regular" w:eastAsiaTheme="minorEastAsia"/>
        </w:rPr>
        <w:t>In this wider AML framework, one of the regulatory priorities has been identified as trade-based money laundering (TBML) (Naheem, 2017). The TBML typologies paper by the FATF lists schemes that include over- and under-invoicing, phantom shipments and misclassification of goods, and emphasises that the schemes use valid trade finance tools and loopholes in information exchange between countries (FATF, 2025). In parallel, the FATFs 2025 best-practices documentation demands a risk-based response to TBML, where banks and competent authorities are encouraged to go beyond fixed checklists and develop more dynamic and data-driven risk-measures of trade corridors, counterparties and transactions (FATF, 2025).</w:t>
      </w:r>
    </w:p>
    <w:p w14:paraId="7583A4BC">
      <w:pPr>
        <w:rPr>
          <w:rFonts w:hint="default" w:ascii="Arial Regular" w:hAnsi="Arial Regular" w:cs="Arial Regular" w:eastAsiaTheme="minorEastAsia"/>
        </w:rPr>
      </w:pPr>
      <w:r>
        <w:rPr>
          <w:rFonts w:hint="default" w:ascii="Arial Regular" w:hAnsi="Arial Regular" w:cs="Arial Regular" w:eastAsiaTheme="minorEastAsia"/>
        </w:rPr>
        <w:t>The feeling of operational and regulatory pressure of trade finance is supported by industry sources. According to Finscan (2025), more intensive global sanctions, augmented AML anticipations and augmented evaluation of the correspondent banking relationship, have instilled that payment screening and accountable trade AML controls have become central to the business model viability of trade finance business models. Similar observations are made by Flagright (2025), according to which recent regulatory changes increase the pressure on continuous monitoring, model validation and explainability of AML systems. Such developments generate the need and regulatory space of more formalised quantitative risk management (QRM) of the risk of TBML in trade operations.</w:t>
      </w:r>
    </w:p>
    <w:p w14:paraId="2F60CFE0">
      <w:pPr>
        <w:pStyle w:val="3"/>
        <w:rPr>
          <w:rFonts w:hint="default" w:ascii="Arial Regular" w:hAnsi="Arial Regular" w:cs="Arial Regular" w:eastAsiaTheme="minorEastAsia"/>
        </w:rPr>
      </w:pPr>
      <w:bookmarkStart w:id="7" w:name="_Toc213369850"/>
      <w:r>
        <w:rPr>
          <w:rFonts w:hint="default" w:ascii="Arial Regular" w:hAnsi="Arial Regular" w:cs="Arial Regular" w:eastAsiaTheme="minorEastAsia"/>
        </w:rPr>
        <w:t>2.3 Fintech, Emerging Technologies and Quantitative Risk Management</w:t>
      </w:r>
      <w:bookmarkEnd w:id="7"/>
    </w:p>
    <w:p w14:paraId="2B6E6846">
      <w:pPr>
        <w:rPr>
          <w:rFonts w:hint="default" w:ascii="Arial Regular" w:hAnsi="Arial Regular" w:cs="Arial Regular" w:eastAsiaTheme="minorEastAsia"/>
        </w:rPr>
      </w:pPr>
      <w:r>
        <w:rPr>
          <w:rFonts w:hint="default" w:ascii="Arial Regular" w:hAnsi="Arial Regular" w:cs="Arial Regular" w:eastAsiaTheme="minorEastAsia"/>
        </w:rPr>
        <w:t>The existing literature and practice point to the relevance of fintech and new technologies that promote the transformation of AML and facilitate the use of QRM-like solutions. Mazumder (2025) explains the use of data-driven fintech solutions to detect suspicious patterns by leveraging machine learning, advanced analytics and data integration, in real-time to detect suspicious patterns which are arguable to be highly efficient in risk scoring and risk monitoring when integrated within the strong governance frameworks. Within a more general sustainable finance framework, Nefla and Jellouli (2025) consider such new technologies (distributed ledgers, artificial intelligence, etc.) two-sided: they allow measuring and tracing risks in a more sophisticated way, but create new complexity, model risk, and governance issues.</w:t>
      </w:r>
    </w:p>
    <w:p w14:paraId="45A3081E">
      <w:pPr>
        <w:rPr>
          <w:rFonts w:hint="default" w:ascii="Arial Regular" w:hAnsi="Arial Regular" w:cs="Arial Regular" w:eastAsiaTheme="minorEastAsia"/>
        </w:rPr>
      </w:pPr>
      <w:r>
        <w:rPr>
          <w:rFonts w:hint="default" w:ascii="Arial Regular" w:hAnsi="Arial Regular" w:cs="Arial Regular" w:eastAsiaTheme="minorEastAsia"/>
        </w:rPr>
        <w:t xml:space="preserve">Analysis of industry brings about convergence. Silenteight (2025) talks of a transition to data-centric AML, in which transaction-monitoring systems will be based more and more on sophisticated models, network analytics and continuous learning so as to minimize false positives and keep abreast with the changes in financial crime typologies. More data-rich financial infrastructures are also indicated by the tokenisation literature: Sikiru et al. (2024) say that capital markets and advisory services can be transformed by tokenising illiquid assets on the basis of smart contracts and programmable transactions. </w:t>
      </w:r>
    </w:p>
    <w:p w14:paraId="25FCDBD7">
      <w:pPr>
        <w:pStyle w:val="3"/>
        <w:rPr>
          <w:rFonts w:hint="default" w:ascii="Arial Regular" w:hAnsi="Arial Regular" w:cs="Arial Regular" w:eastAsiaTheme="minorEastAsia"/>
        </w:rPr>
      </w:pPr>
      <w:bookmarkStart w:id="8" w:name="_Toc213369851"/>
      <w:r>
        <w:rPr>
          <w:rFonts w:hint="default" w:ascii="Arial Regular" w:hAnsi="Arial Regular" w:cs="Arial Regular" w:eastAsiaTheme="minorEastAsia"/>
        </w:rPr>
        <w:t>2.4 Effectiveness, Costs and Unintended Consequences of AML Measures</w:t>
      </w:r>
      <w:bookmarkEnd w:id="8"/>
    </w:p>
    <w:p w14:paraId="079052CB">
      <w:pPr>
        <w:rPr>
          <w:rFonts w:hint="default" w:ascii="Arial Regular" w:hAnsi="Arial Regular" w:cs="Arial Regular" w:eastAsiaTheme="minorEastAsia"/>
        </w:rPr>
      </w:pPr>
      <w:r>
        <w:rPr>
          <w:rFonts w:hint="default" w:ascii="Arial Regular" w:hAnsi="Arial Regular" w:cs="Arial Regular" w:eastAsiaTheme="minorEastAsia"/>
        </w:rPr>
        <w:t xml:space="preserve">A parallel literature debate asks the question of the effectiveness and proportion of extant AML regimes. The critical review of the AML regulations presented by Aidoo and AML (2025) is based on the fact that, even though there is a great amount of rule-making, there is no evidence of any measurable decrease in money laundering, and the costs involved in compliance by financial institutions are ever-increasing. Thakur et al. (2025) discuss the AML policies in the remittance industry and demonstrate that strict regulations, when implemented without a well-defined focus on calibration, may raise the cost of remittance and unwillingly damage low-income communities. </w:t>
      </w:r>
    </w:p>
    <w:p w14:paraId="46C4F403">
      <w:pPr>
        <w:rPr>
          <w:rFonts w:hint="default" w:ascii="Arial Regular" w:hAnsi="Arial Regular" w:cs="Arial Regular" w:eastAsiaTheme="minorEastAsia"/>
        </w:rPr>
      </w:pPr>
      <w:r>
        <w:rPr>
          <w:rFonts w:hint="default" w:ascii="Arial Regular" w:hAnsi="Arial Regular" w:cs="Arial Regular" w:eastAsiaTheme="minorEastAsia"/>
        </w:rPr>
        <w:t>Such arguments are especially applicable to QRM: quantitative instruments can lead to better detection performance but when they are wrongly constructed or managed, they can cause bias to be implanted, creating opaque decision making and adding compliance overheads to the system without proportional improvement. It is reflected in the US National Money Laundering Risk Assessment, where evidence-based, risk-sensitive methods are necessary to differentiate among and above-high-risk activities, as well as low-risk but high-volume business (US Department of the Treasury, 2024).</w:t>
      </w:r>
    </w:p>
    <w:p w14:paraId="42DD8CDF">
      <w:pPr>
        <w:pStyle w:val="3"/>
        <w:rPr>
          <w:rFonts w:hint="default" w:ascii="Arial Regular" w:hAnsi="Arial Regular" w:cs="Arial Regular" w:eastAsiaTheme="minorEastAsia"/>
        </w:rPr>
      </w:pPr>
      <w:bookmarkStart w:id="9" w:name="_Toc213369852"/>
      <w:r>
        <w:rPr>
          <w:rFonts w:hint="default" w:ascii="Arial Regular" w:hAnsi="Arial Regular" w:cs="Arial Regular" w:eastAsiaTheme="minorEastAsia"/>
        </w:rPr>
        <w:t>2.5 Identified Gaps and Rationale for the Study</w:t>
      </w:r>
      <w:bookmarkEnd w:id="9"/>
    </w:p>
    <w:p w14:paraId="6A527317">
      <w:pPr>
        <w:rPr>
          <w:rFonts w:hint="default" w:ascii="Arial Regular" w:hAnsi="Arial Regular" w:cs="Arial Regular" w:eastAsiaTheme="minorEastAsia"/>
        </w:rPr>
      </w:pPr>
      <w:r>
        <w:rPr>
          <w:rFonts w:hint="default" w:ascii="Arial Regular" w:hAnsi="Arial Regular" w:cs="Arial Regular" w:eastAsiaTheme="minorEastAsia"/>
        </w:rPr>
        <w:t xml:space="preserve">Overall, existing literature and industry reports suggest that money laundering is a severe negative influence on the performance of banks and financial stability (Fatah et al., 2025; Dote-Pardo and Severino-Gonzalez, 2025). Besides, TBML is an emerging issue in the international trade and is directly addressed through an evolving FATF direction (FATF, 2025). Finally, AML is becoming more quantitatively tackled through fintech and emerging technologies, which create governance and sustainability issues (Mazumder, 2025). </w:t>
      </w:r>
    </w:p>
    <w:p w14:paraId="61EB5ABF">
      <w:pPr>
        <w:rPr>
          <w:rFonts w:hint="default" w:ascii="Arial Regular" w:hAnsi="Arial Regular" w:cs="Arial Regular" w:eastAsiaTheme="minorEastAsia"/>
        </w:rPr>
      </w:pPr>
      <w:r>
        <w:rPr>
          <w:rFonts w:hint="default" w:ascii="Arial Regular" w:hAnsi="Arial Regular" w:cs="Arial Regular" w:eastAsiaTheme="minorEastAsia"/>
        </w:rPr>
        <w:t>Nevertheless, a large part of this performs AML on an aggregate level, without much attention to the application of QRM tools in practice, appraisal and management of TBML trade finance operations. Treatment of the economic and financial crime in the emerging market rarely goes down to design of trade-specific QRM models (Dote-Pardo and Severino-Gonzalez, 2025), policy and industry sources describe how they should develop better data and monitoring without synthesising the evidence on the available solutions to trade in terms of QRM.</w:t>
      </w:r>
    </w:p>
    <w:p w14:paraId="1186CF8E">
      <w:pPr>
        <w:spacing w:before="0" w:after="160" w:line="259" w:lineRule="auto"/>
        <w:jc w:val="left"/>
        <w:rPr>
          <w:rFonts w:hint="default" w:ascii="Arial Regular" w:hAnsi="Arial Regular" w:cs="Arial Regular" w:eastAsiaTheme="minorEastAsia"/>
          <w:b/>
          <w:color w:val="002060"/>
          <w:sz w:val="32"/>
          <w:szCs w:val="32"/>
          <w:lang w:val="en-US"/>
        </w:rPr>
      </w:pPr>
      <w:r>
        <w:rPr>
          <w:rFonts w:hint="default" w:ascii="Arial Regular" w:hAnsi="Arial Regular" w:cs="Arial Regular" w:eastAsiaTheme="minorEastAsia"/>
          <w:lang w:val="en-US"/>
        </w:rPr>
        <w:br w:type="page"/>
      </w:r>
    </w:p>
    <w:p w14:paraId="5BB5FD8E">
      <w:pPr>
        <w:pStyle w:val="2"/>
        <w:rPr>
          <w:rFonts w:hint="default" w:ascii="Arial Regular" w:hAnsi="Arial Regular" w:cs="Arial Regular" w:eastAsiaTheme="minorEastAsia"/>
          <w:lang w:val="en-US"/>
        </w:rPr>
      </w:pPr>
      <w:bookmarkStart w:id="10" w:name="_Toc213369853"/>
      <w:r>
        <w:rPr>
          <w:rFonts w:hint="default" w:ascii="Arial Regular" w:hAnsi="Arial Regular" w:cs="Arial Regular" w:eastAsiaTheme="minorEastAsia"/>
          <w:lang w:val="en-US"/>
        </w:rPr>
        <w:t>3. Methodology</w:t>
      </w:r>
      <w:bookmarkEnd w:id="10"/>
    </w:p>
    <w:p w14:paraId="43FFB3B6">
      <w:pPr>
        <w:pStyle w:val="3"/>
        <w:rPr>
          <w:rFonts w:hint="default" w:ascii="Arial Regular" w:hAnsi="Arial Regular" w:cs="Arial Regular" w:eastAsiaTheme="minorEastAsia"/>
        </w:rPr>
      </w:pPr>
      <w:bookmarkStart w:id="11" w:name="_Toc213369854"/>
      <w:r>
        <w:rPr>
          <w:rFonts w:hint="default" w:ascii="Arial Regular" w:hAnsi="Arial Regular" w:cs="Arial Regular" w:eastAsiaTheme="minorEastAsia"/>
        </w:rPr>
        <w:t>3.1 Research Philosophy</w:t>
      </w:r>
      <w:bookmarkEnd w:id="11"/>
    </w:p>
    <w:p w14:paraId="030CD9A2">
      <w:pPr>
        <w:rPr>
          <w:rFonts w:hint="default" w:ascii="Arial Regular" w:hAnsi="Arial Regular" w:cs="Arial Regular" w:eastAsiaTheme="minorEastAsia"/>
        </w:rPr>
      </w:pPr>
      <w:r>
        <w:rPr>
          <w:rFonts w:hint="default" w:ascii="Arial Regular" w:hAnsi="Arial Regular" w:cs="Arial Regular" w:eastAsiaTheme="minorEastAsia"/>
        </w:rPr>
        <w:t xml:space="preserve">The study is based on pragmatism on the surface </w:t>
      </w:r>
      <w:bookmarkStart w:id="12" w:name="_Hlk211431580"/>
      <w:r>
        <w:rPr>
          <w:rFonts w:hint="default" w:ascii="Arial Regular" w:hAnsi="Arial Regular" w:cs="Arial Regular" w:eastAsiaTheme="minorEastAsia"/>
          <w:szCs w:val="24"/>
        </w:rPr>
        <w:t>(Saunders et al., 2023)</w:t>
      </w:r>
      <w:bookmarkEnd w:id="12"/>
      <w:r>
        <w:rPr>
          <w:rFonts w:hint="default" w:ascii="Arial Regular" w:hAnsi="Arial Regular" w:cs="Arial Regular" w:eastAsiaTheme="minorEastAsia"/>
        </w:rPr>
        <w:t>. Pragmatism is suitable in the sense that less focus is drawn to the abstract arguments of reality in the dissertation and more on producing practically useful knowledge to the regulators, banks and trade finance practitioners on how to apply QRM in AML in TBML. Pragmatism will enable the study to access a wide range of evidence (academic, policy and industry documents) and also to evaluate them based on how useful they are in informing better AML practice.</w:t>
      </w:r>
    </w:p>
    <w:p w14:paraId="26ED03CC">
      <w:pPr>
        <w:pStyle w:val="3"/>
        <w:rPr>
          <w:rFonts w:hint="default" w:ascii="Arial Regular" w:hAnsi="Arial Regular" w:cs="Arial Regular" w:eastAsiaTheme="minorEastAsia"/>
        </w:rPr>
      </w:pPr>
      <w:bookmarkStart w:id="13" w:name="_Toc213369855"/>
      <w:r>
        <w:rPr>
          <w:rFonts w:hint="default" w:ascii="Arial Regular" w:hAnsi="Arial Regular" w:cs="Arial Regular" w:eastAsiaTheme="minorEastAsia"/>
        </w:rPr>
        <w:t>3.2 Research Approach</w:t>
      </w:r>
      <w:bookmarkEnd w:id="13"/>
    </w:p>
    <w:p w14:paraId="1DF3C007">
      <w:pPr>
        <w:rPr>
          <w:rFonts w:hint="default" w:ascii="Arial Regular" w:hAnsi="Arial Regular" w:cs="Arial Regular" w:eastAsiaTheme="minorEastAsia"/>
        </w:rPr>
      </w:pPr>
      <w:r>
        <w:rPr>
          <w:rFonts w:hint="default" w:ascii="Arial Regular" w:hAnsi="Arial Regular" w:cs="Arial Regular" w:eastAsiaTheme="minorEastAsia"/>
        </w:rPr>
        <w:t>Since the topic under consideration is rather under-researched in the context of QRM applied to TBML in trade finance, the research is based primarily on inductive, yet abductive aspects. Induction is also manifested in the fact that the data in the analysis is left to induce themes, as opposed to testing a strict and predetermined objectives (</w:t>
      </w:r>
      <w:r>
        <w:rPr>
          <w:rFonts w:hint="default" w:ascii="Arial Regular" w:hAnsi="Arial Regular" w:cs="Arial Regular" w:eastAsiaTheme="minorEastAsia"/>
          <w:color w:val="000000" w:themeColor="text1"/>
          <w:szCs w:val="24"/>
          <w14:textFill>
            <w14:solidFill>
              <w14:schemeClr w14:val="tx1"/>
            </w14:solidFill>
          </w14:textFill>
        </w:rPr>
        <w:t>Walliman, 2021)</w:t>
      </w:r>
      <w:r>
        <w:rPr>
          <w:rFonts w:hint="default" w:ascii="Arial Regular" w:hAnsi="Arial Regular" w:cs="Arial Regular" w:eastAsiaTheme="minorEastAsia"/>
        </w:rPr>
        <w:t>. Simultaneously, the current theoretical and regulatory frameworks on the AML and risk-based strategies inform the initial encoding and are developed based on the evidence (abduction).</w:t>
      </w:r>
    </w:p>
    <w:p w14:paraId="302823FE">
      <w:pPr>
        <w:pStyle w:val="3"/>
        <w:rPr>
          <w:rFonts w:hint="default" w:ascii="Arial Regular" w:hAnsi="Arial Regular" w:cs="Arial Regular" w:eastAsiaTheme="minorEastAsia"/>
        </w:rPr>
      </w:pPr>
      <w:bookmarkStart w:id="14" w:name="_Toc213369856"/>
      <w:r>
        <w:rPr>
          <w:rFonts w:hint="default" w:ascii="Arial Regular" w:hAnsi="Arial Regular" w:cs="Arial Regular" w:eastAsiaTheme="minorEastAsia"/>
        </w:rPr>
        <w:t>3.3 Methodological Choice</w:t>
      </w:r>
      <w:bookmarkEnd w:id="14"/>
    </w:p>
    <w:p w14:paraId="4AC74C40">
      <w:pPr>
        <w:rPr>
          <w:rFonts w:hint="default" w:ascii="Arial Regular" w:hAnsi="Arial Regular" w:cs="Arial Regular" w:eastAsiaTheme="minorEastAsia"/>
        </w:rPr>
      </w:pPr>
      <w:r>
        <w:rPr>
          <w:rFonts w:hint="default" w:ascii="Arial Regular" w:hAnsi="Arial Regular" w:cs="Arial Regular" w:eastAsiaTheme="minorEastAsia"/>
        </w:rPr>
        <w:t>According to the decision to do the secondary qualitative research alone, the methodological decision is a mono method qualitative research design (</w:t>
      </w:r>
      <w:r>
        <w:rPr>
          <w:rFonts w:hint="default" w:ascii="Arial Regular" w:hAnsi="Arial Regular" w:cs="Arial Regular" w:eastAsiaTheme="minorEastAsia"/>
          <w:szCs w:val="24"/>
        </w:rPr>
        <w:t>Tate &amp; Happ, 2018)</w:t>
      </w:r>
      <w:r>
        <w:rPr>
          <w:rFonts w:hint="default" w:ascii="Arial Regular" w:hAnsi="Arial Regular" w:cs="Arial Regular" w:eastAsiaTheme="minorEastAsia"/>
        </w:rPr>
        <w:t>. No primary data (e.g. interviews or survey) and no original quantitative modelling of transaction data will be done. Rather, the dissertation is based on the qualitative interpretation and analysis of available secondary sources.</w:t>
      </w:r>
    </w:p>
    <w:p w14:paraId="153FD9E8">
      <w:pPr>
        <w:pStyle w:val="3"/>
        <w:rPr>
          <w:rFonts w:hint="default" w:ascii="Arial Regular" w:hAnsi="Arial Regular" w:cs="Arial Regular" w:eastAsiaTheme="minorEastAsia"/>
        </w:rPr>
      </w:pPr>
      <w:bookmarkStart w:id="15" w:name="_Toc213369857"/>
      <w:r>
        <w:rPr>
          <w:rFonts w:hint="default" w:ascii="Arial Regular" w:hAnsi="Arial Regular" w:cs="Arial Regular" w:eastAsiaTheme="minorEastAsia"/>
        </w:rPr>
        <w:t>3.4 Research Strategy</w:t>
      </w:r>
      <w:bookmarkEnd w:id="15"/>
    </w:p>
    <w:p w14:paraId="4D9B8BC1">
      <w:pPr>
        <w:rPr>
          <w:rFonts w:hint="default" w:ascii="Arial Regular" w:hAnsi="Arial Regular" w:cs="Arial Regular" w:eastAsiaTheme="minorEastAsia"/>
        </w:rPr>
      </w:pPr>
      <w:r>
        <w:rPr>
          <w:rFonts w:hint="default" w:ascii="Arial Regular" w:hAnsi="Arial Regular" w:cs="Arial Regular" w:eastAsiaTheme="minorEastAsia"/>
        </w:rPr>
        <w:t xml:space="preserve">The very essence of research is a qualitative systematic literature review followed by documentary analysis </w:t>
      </w:r>
      <w:r>
        <w:rPr>
          <w:rFonts w:hint="default" w:ascii="Arial Regular" w:hAnsi="Arial Regular" w:cs="Arial Regular" w:eastAsiaTheme="minorEastAsia"/>
          <w:szCs w:val="24"/>
        </w:rPr>
        <w:t>(Saunders et al., 2023)</w:t>
      </w:r>
      <w:r>
        <w:rPr>
          <w:rFonts w:hint="default" w:ascii="Arial Regular" w:hAnsi="Arial Regular" w:cs="Arial Regular" w:eastAsiaTheme="minorEastAsia"/>
        </w:rPr>
        <w:t>. The research will recognize, pick and analyse: AML, TBML and QRM peer-reviewed journal articles and conference papers; Policy and direction books (e.g. FATF, national regulators, international organisations); Industry reports, RegTech white papers and case-based discussions of QRM tools in trade finance.</w:t>
      </w:r>
    </w:p>
    <w:p w14:paraId="634D5BE1">
      <w:pPr>
        <w:rPr>
          <w:rFonts w:hint="default" w:ascii="Arial Regular" w:hAnsi="Arial Regular" w:cs="Arial Regular" w:eastAsiaTheme="minorEastAsia"/>
        </w:rPr>
      </w:pPr>
      <w:r>
        <w:rPr>
          <w:rFonts w:hint="default" w:ascii="Arial Regular" w:hAnsi="Arial Regular" w:cs="Arial Regular" w:eastAsiaTheme="minorEastAsia"/>
        </w:rPr>
        <w:t>Databases Google Scholar and Scopus will also be used to search, as well as specific searches of official websites and other authoritative sources in the industry. The inclusion criteria will include documents that: (a) cover AML or TBML in international trade or trade finance; and (b) comment on quantitative or model-based risk management tools.</w:t>
      </w:r>
    </w:p>
    <w:p w14:paraId="60A18DED">
      <w:pPr>
        <w:pStyle w:val="3"/>
        <w:rPr>
          <w:rFonts w:hint="default" w:ascii="Arial Regular" w:hAnsi="Arial Regular" w:cs="Arial Regular" w:eastAsiaTheme="minorEastAsia"/>
        </w:rPr>
      </w:pPr>
      <w:bookmarkStart w:id="16" w:name="_Toc213369858"/>
      <w:r>
        <w:rPr>
          <w:rFonts w:hint="default" w:ascii="Arial Regular" w:hAnsi="Arial Regular" w:cs="Arial Regular" w:eastAsiaTheme="minorEastAsia"/>
        </w:rPr>
        <w:t>3.5 Time Horizon</w:t>
      </w:r>
      <w:bookmarkEnd w:id="16"/>
    </w:p>
    <w:p w14:paraId="1E50DBAB">
      <w:pPr>
        <w:rPr>
          <w:rFonts w:hint="default" w:ascii="Arial Regular" w:hAnsi="Arial Regular" w:cs="Arial Regular" w:eastAsiaTheme="minorEastAsia"/>
        </w:rPr>
      </w:pPr>
      <w:r>
        <w:rPr>
          <w:rFonts w:hint="default" w:ascii="Arial Regular" w:hAnsi="Arial Regular" w:cs="Arial Regular" w:eastAsiaTheme="minorEastAsia"/>
        </w:rPr>
        <w:t>The research is a cross-sectional time horizon that gives an overview of the current conceptualisation and practice of QRM in AML in relation to international trade relying on the available sources as of the time of writing (</w:t>
      </w:r>
      <w:r>
        <w:rPr>
          <w:rFonts w:hint="default" w:ascii="Arial Regular" w:hAnsi="Arial Regular" w:cs="Arial Regular" w:eastAsiaTheme="minorEastAsia"/>
          <w:color w:val="000000" w:themeColor="text1"/>
          <w:szCs w:val="24"/>
          <w14:textFill>
            <w14:solidFill>
              <w14:schemeClr w14:val="tx1"/>
            </w14:solidFill>
          </w14:textFill>
        </w:rPr>
        <w:t>Haven and Van Grootel, 2019)</w:t>
      </w:r>
      <w:r>
        <w:rPr>
          <w:rFonts w:hint="default" w:ascii="Arial Regular" w:hAnsi="Arial Regular" w:cs="Arial Regular" w:eastAsiaTheme="minorEastAsia"/>
        </w:rPr>
        <w:t>. Even though there are longitudinal findings mentioned in some of the documents, the dissertation itself does not follow change over time on primary data.</w:t>
      </w:r>
    </w:p>
    <w:p w14:paraId="04191D7B">
      <w:pPr>
        <w:pStyle w:val="3"/>
        <w:rPr>
          <w:rFonts w:hint="default" w:ascii="Arial Regular" w:hAnsi="Arial Regular" w:cs="Arial Regular" w:eastAsiaTheme="minorEastAsia"/>
        </w:rPr>
      </w:pPr>
      <w:bookmarkStart w:id="17" w:name="_Toc213369859"/>
      <w:r>
        <w:rPr>
          <w:rFonts w:hint="default" w:ascii="Arial Regular" w:hAnsi="Arial Regular" w:cs="Arial Regular" w:eastAsiaTheme="minorEastAsia"/>
        </w:rPr>
        <w:t>3.6 Data Collection, Analysis and Quality</w:t>
      </w:r>
      <w:bookmarkEnd w:id="17"/>
    </w:p>
    <w:p w14:paraId="212210CD">
      <w:pPr>
        <w:rPr>
          <w:rFonts w:hint="default" w:ascii="Arial Regular" w:hAnsi="Arial Regular" w:cs="Arial Regular" w:eastAsiaTheme="minorEastAsia"/>
        </w:rPr>
      </w:pPr>
      <w:r>
        <w:rPr>
          <w:rFonts w:hint="default" w:ascii="Arial Regular" w:hAnsi="Arial Regular" w:cs="Arial Regular" w:eastAsiaTheme="minorEastAsia"/>
        </w:rPr>
        <w:t>Selected documents will be either imported to a qualitative analysis or be systematised and sent to manual coding (</w:t>
      </w:r>
      <w:r>
        <w:rPr>
          <w:rFonts w:hint="default" w:ascii="Arial Regular" w:hAnsi="Arial Regular" w:cs="Arial Regular" w:eastAsiaTheme="minorEastAsia"/>
          <w:color w:val="000000" w:themeColor="text1"/>
          <w:szCs w:val="24"/>
          <w14:textFill>
            <w14:solidFill>
              <w14:schemeClr w14:val="tx1"/>
            </w14:solidFill>
          </w14:textFill>
        </w:rPr>
        <w:t>Bryman &amp; Bell, 2015)</w:t>
      </w:r>
      <w:r>
        <w:rPr>
          <w:rFonts w:hint="default" w:ascii="Arial Regular" w:hAnsi="Arial Regular" w:cs="Arial Regular" w:eastAsiaTheme="minorEastAsia"/>
        </w:rPr>
        <w:t>. Each objective will be discussed in the form of a thematic analysis (</w:t>
      </w:r>
      <w:r>
        <w:rPr>
          <w:rFonts w:hint="default" w:ascii="Arial Regular" w:hAnsi="Arial Regular" w:cs="Arial Regular" w:eastAsiaTheme="minorEastAsia"/>
          <w:color w:val="000000" w:themeColor="text1"/>
          <w:szCs w:val="24"/>
          <w14:textFill>
            <w14:solidFill>
              <w14:schemeClr w14:val="tx1"/>
            </w14:solidFill>
          </w14:textFill>
        </w:rPr>
        <w:t>Braun &amp; Clarke, 2006)</w:t>
      </w:r>
      <w:r>
        <w:rPr>
          <w:rFonts w:hint="default" w:ascii="Arial Regular" w:hAnsi="Arial Regular" w:cs="Arial Regular" w:eastAsiaTheme="minorEastAsia"/>
        </w:rPr>
        <w:t>. In Objective 1, types and functions of QRM tools utilized or suggested in relation to TBML detection will be written down with the help of codes. And Objective 2 will have codes that are centred on barriers and regulatory restrictions (e.g. data silos, privacy, interpretability, skills). Under Objective 3, the themes will be synthesised into evidence-based recommendations on how to incorporate QRM into the AML frameworks.</w:t>
      </w:r>
    </w:p>
    <w:p w14:paraId="3493E075">
      <w:pPr>
        <w:rPr>
          <w:rFonts w:hint="default" w:ascii="Arial Regular" w:hAnsi="Arial Regular" w:cs="Arial Regular" w:eastAsiaTheme="minorEastAsia"/>
        </w:rPr>
      </w:pPr>
      <w:r>
        <w:rPr>
          <w:rFonts w:hint="default" w:ascii="Arial Regular" w:hAnsi="Arial Regular" w:cs="Arial Regular" w:eastAsiaTheme="minorEastAsia"/>
        </w:rPr>
        <w:t>To increase credibility, search and selection procedures will be transparently recorded, triangulation of academic, policy and industry sources will be done, and reflexive note-taking will be used to minimize interpretive bias (</w:t>
      </w:r>
      <w:r>
        <w:rPr>
          <w:rFonts w:hint="default" w:ascii="Arial Regular" w:hAnsi="Arial Regular" w:cs="Arial Regular" w:eastAsiaTheme="minorEastAsia"/>
          <w:szCs w:val="24"/>
        </w:rPr>
        <w:t>Akcam et al., 2019)</w:t>
      </w:r>
      <w:r>
        <w:rPr>
          <w:rFonts w:hint="default" w:ascii="Arial Regular" w:hAnsi="Arial Regular" w:cs="Arial Regular" w:eastAsiaTheme="minorEastAsia"/>
        </w:rPr>
        <w:t>. Since no primary sources are involved because only publicly available secondary information will be employed.</w:t>
      </w:r>
    </w:p>
    <w:p w14:paraId="1FCD4EFF">
      <w:pPr>
        <w:pStyle w:val="3"/>
        <w:rPr>
          <w:rFonts w:hint="default" w:ascii="Arial Regular" w:hAnsi="Arial Regular" w:cs="Arial Regular" w:eastAsiaTheme="minorEastAsia"/>
        </w:rPr>
      </w:pPr>
      <w:bookmarkStart w:id="18" w:name="_Toc213369860"/>
      <w:r>
        <w:rPr>
          <w:rFonts w:hint="default" w:ascii="Arial Regular" w:hAnsi="Arial Regular" w:cs="Arial Regular" w:eastAsiaTheme="minorEastAsia"/>
        </w:rPr>
        <w:t>3.7 Ethical Consideration</w:t>
      </w:r>
      <w:bookmarkEnd w:id="18"/>
    </w:p>
    <w:p w14:paraId="34A749CE">
      <w:pPr>
        <w:rPr>
          <w:rFonts w:hint="default" w:ascii="Arial Regular" w:hAnsi="Arial Regular" w:cs="Arial Regular" w:eastAsiaTheme="minorEastAsia"/>
        </w:rPr>
      </w:pPr>
      <w:r>
        <w:rPr>
          <w:rFonts w:hint="default" w:ascii="Arial Regular" w:hAnsi="Arial Regular" w:cs="Arial Regular" w:eastAsiaTheme="minorEastAsia"/>
        </w:rPr>
        <w:t>Ethics will be put first with regards to the ethics policy of the university and the British Educational Research Association. The informed consent will be provided by digital forms highlighting voluntary participation, no disclosure of personal opinions, anonymity, and withdrawal. Information will be secured by putting it in reputable, encrypted servers, and no data concerning sensitive personal or proprietary information will be gathered (</w:t>
      </w:r>
      <w:r>
        <w:rPr>
          <w:rFonts w:hint="default" w:ascii="Arial Regular" w:hAnsi="Arial Regular" w:cs="Arial Regular" w:eastAsiaTheme="minorEastAsia"/>
          <w:color w:val="000000" w:themeColor="text1"/>
          <w:szCs w:val="24"/>
          <w14:textFill>
            <w14:solidFill>
              <w14:schemeClr w14:val="tx1"/>
            </w14:solidFill>
          </w14:textFill>
        </w:rPr>
        <w:t>Bryman &amp; Bell, 2015)</w:t>
      </w:r>
      <w:r>
        <w:rPr>
          <w:rFonts w:hint="default" w:ascii="Arial Regular" w:hAnsi="Arial Regular" w:cs="Arial Regular" w:eastAsiaTheme="minorEastAsia"/>
        </w:rPr>
        <w:t xml:space="preserve">. The bias will be addressed by negating excessive representation of the Western views and conducting diverse sampling such as maintaining reflexive journaling. </w:t>
      </w:r>
    </w:p>
    <w:p w14:paraId="05C30C9B">
      <w:pPr>
        <w:pStyle w:val="2"/>
        <w:rPr>
          <w:rFonts w:hint="default" w:ascii="Arial Regular" w:hAnsi="Arial Regular" w:cs="Arial Regular" w:eastAsiaTheme="minorEastAsia"/>
          <w:lang w:val="en-US"/>
        </w:rPr>
      </w:pPr>
      <w:bookmarkStart w:id="19" w:name="_Toc213369861"/>
      <w:r>
        <w:rPr>
          <w:rFonts w:hint="default" w:ascii="Arial Regular" w:hAnsi="Arial Regular" w:cs="Arial Regular" w:eastAsiaTheme="minorEastAsia"/>
          <w:lang w:val="en-US"/>
        </w:rPr>
        <w:t>4. Expected Findings</w:t>
      </w:r>
      <w:bookmarkEnd w:id="19"/>
    </w:p>
    <w:p w14:paraId="78255BCB">
      <w:pPr>
        <w:rPr>
          <w:rFonts w:hint="default" w:ascii="Arial Regular" w:hAnsi="Arial Regular" w:cs="Arial Regular" w:eastAsiaTheme="minorEastAsia"/>
        </w:rPr>
      </w:pPr>
      <w:r>
        <w:rPr>
          <w:rFonts w:hint="default" w:ascii="Arial Regular" w:hAnsi="Arial Regular" w:cs="Arial Regular" w:eastAsiaTheme="minorEastAsia"/>
        </w:rPr>
        <w:t>Based on the existing literature, policy reports and industry reports, it is anticipated that the current dissertation will demonstrate that quantitative risk management (QRM) tools including risk-scoring models, anomaly-detection algorithms and network analysis tools are coming to be discussed as the potentially effective mechanisms to detect trade-based money laundering (TBML) in international trade finance (Aidoo and AML, 2025). Synthesis will also probably emphasise such benefits as more focused alerts, improved ranking of high-risk transactions, and possible reduction in false positives than with simple rule-based AML systems.</w:t>
      </w:r>
    </w:p>
    <w:p w14:paraId="7EBD5429">
      <w:pPr>
        <w:rPr>
          <w:rFonts w:hint="default" w:ascii="Arial Regular" w:hAnsi="Arial Regular" w:cs="Arial Regular" w:eastAsiaTheme="minorEastAsia"/>
        </w:rPr>
      </w:pPr>
      <w:r>
        <w:rPr>
          <w:rFonts w:hint="default" w:ascii="Arial Regular" w:hAnsi="Arial Regular" w:cs="Arial Regular" w:eastAsiaTheme="minorEastAsia"/>
        </w:rPr>
        <w:t>Simultaneously, the review will demonstrate that there are barriers to QRM adoption that are expected to be significant: fragmented and low-quality data, legal and privacy issues that are cross-border, low model explainability, and the gaps that exist in compliance teams. Based on this, the research is expected to come up with evidence-based recommendations that underline progressive implementation, effective data management, human-machine cooperation and compatibility with the FATFs risk-based methodology (Fatah et al., 2025). On the whole, the anticipated results ought to present a realistic, critical perspective on the potential of QRMs to reinforce the AML frameworks in the global trading as opposed to an entirely technological solutionist account.</w:t>
      </w:r>
    </w:p>
    <w:p w14:paraId="6E116E9C">
      <w:pPr>
        <w:rPr>
          <w:rFonts w:hint="default" w:ascii="Arial Regular" w:hAnsi="Arial Regular" w:cs="Arial Regular" w:eastAsiaTheme="minorEastAsia"/>
          <w:lang w:val="en-US"/>
        </w:rPr>
      </w:pPr>
    </w:p>
    <w:p w14:paraId="6F38A329">
      <w:pPr>
        <w:spacing w:before="0" w:after="160" w:line="259" w:lineRule="auto"/>
        <w:jc w:val="left"/>
        <w:rPr>
          <w:rFonts w:hint="default" w:ascii="Arial Regular" w:hAnsi="Arial Regular" w:cs="Arial Regular" w:eastAsiaTheme="minorEastAsia"/>
          <w:b/>
          <w:color w:val="002060"/>
          <w:sz w:val="32"/>
          <w:szCs w:val="32"/>
          <w:lang w:val="en-US"/>
        </w:rPr>
      </w:pPr>
      <w:r>
        <w:rPr>
          <w:rFonts w:hint="default" w:ascii="Arial Regular" w:hAnsi="Arial Regular" w:cs="Arial Regular" w:eastAsiaTheme="minorEastAsia"/>
          <w:lang w:val="en-US"/>
        </w:rPr>
        <w:br w:type="page"/>
      </w:r>
    </w:p>
    <w:p w14:paraId="4052B16A">
      <w:pPr>
        <w:pStyle w:val="2"/>
        <w:rPr>
          <w:rFonts w:hint="default" w:ascii="Arial Regular" w:hAnsi="Arial Regular" w:cs="Arial Regular" w:eastAsiaTheme="minorEastAsia"/>
          <w:lang w:val="en-US"/>
        </w:rPr>
      </w:pPr>
      <w:bookmarkStart w:id="20" w:name="_Toc213369862"/>
      <w:r>
        <w:rPr>
          <w:rFonts w:hint="default" w:ascii="Arial Regular" w:hAnsi="Arial Regular" w:cs="Arial Regular" w:eastAsiaTheme="minorEastAsia"/>
          <w:lang w:val="en-US"/>
        </w:rPr>
        <w:t>5. Limitations</w:t>
      </w:r>
      <w:bookmarkEnd w:id="20"/>
    </w:p>
    <w:p w14:paraId="5B5CF704">
      <w:pPr>
        <w:rPr>
          <w:rFonts w:hint="default" w:ascii="Arial Regular" w:hAnsi="Arial Regular" w:cs="Arial Regular" w:eastAsiaTheme="minorEastAsia"/>
        </w:rPr>
      </w:pPr>
      <w:r>
        <w:rPr>
          <w:rFonts w:hint="default" w:ascii="Arial Regular" w:hAnsi="Arial Regular" w:cs="Arial Regular" w:eastAsiaTheme="minorEastAsia"/>
        </w:rPr>
        <w:t>This research has a number of limitations that are characteristic of secondary qualitative research. First, it relies purely on the published and grey literature that might not contain proprietary analysis or internal bank/regulator analysis on QRM tools (Khan, 2021). This presents a possibility of publication bias whereby successes might be published more frequently than failures or the vice versa. Second, industry and RegTech white papers are promotional in nature and their performance claims are not necessarily verified independently, thus the dissertation will take such sources with caution.</w:t>
      </w:r>
    </w:p>
    <w:p w14:paraId="187D3437">
      <w:pPr>
        <w:rPr>
          <w:rFonts w:hint="default" w:ascii="Arial Regular" w:hAnsi="Arial Regular" w:cs="Arial Regular" w:eastAsiaTheme="minorEastAsia"/>
        </w:rPr>
      </w:pPr>
      <w:r>
        <w:rPr>
          <w:rFonts w:hint="default" w:ascii="Arial Regular" w:hAnsi="Arial Regular" w:cs="Arial Regular" w:eastAsiaTheme="minorEastAsia"/>
        </w:rPr>
        <w:t xml:space="preserve">Third, the analysis will primarily focus on those documents that are written in English and might not represent well those jurisdictions where TBML threats are elevated and publications are not readily available (Okolo et al., 2024). Lastly, since AML regulations and technologies change at a very fast rate, some of the documents supplied are likely to be somewhat irrelevant by the time they are submitted. </w:t>
      </w:r>
    </w:p>
    <w:p w14:paraId="120E2B38">
      <w:pPr>
        <w:rPr>
          <w:rFonts w:hint="default" w:ascii="Arial Regular" w:hAnsi="Arial Regular" w:cs="Arial Regular" w:eastAsiaTheme="minorEastAsia"/>
        </w:rPr>
      </w:pPr>
    </w:p>
    <w:p w14:paraId="0DBF48A5">
      <w:pPr>
        <w:spacing w:before="0" w:after="160" w:line="259" w:lineRule="auto"/>
        <w:jc w:val="left"/>
        <w:rPr>
          <w:rFonts w:hint="default" w:ascii="Arial Regular" w:hAnsi="Arial Regular" w:cs="Arial Regular" w:eastAsiaTheme="minorEastAsia"/>
          <w:b/>
          <w:color w:val="002060"/>
          <w:sz w:val="32"/>
          <w:szCs w:val="32"/>
          <w:lang w:val="en-US"/>
        </w:rPr>
      </w:pPr>
      <w:r>
        <w:rPr>
          <w:rFonts w:hint="default" w:ascii="Arial Regular" w:hAnsi="Arial Regular" w:cs="Arial Regular" w:eastAsiaTheme="minorEastAsia"/>
          <w:lang w:val="en-US"/>
        </w:rPr>
        <w:br w:type="page"/>
      </w:r>
    </w:p>
    <w:p w14:paraId="5212C9A6">
      <w:pPr>
        <w:pStyle w:val="2"/>
        <w:rPr>
          <w:rFonts w:hint="default" w:ascii="Arial Regular" w:hAnsi="Arial Regular" w:cs="Arial Regular" w:eastAsiaTheme="minorEastAsia"/>
          <w:lang w:val="en-US"/>
        </w:rPr>
      </w:pPr>
      <w:bookmarkStart w:id="21" w:name="_Toc213369863"/>
      <w:r>
        <w:rPr>
          <w:rFonts w:hint="default" w:ascii="Arial Regular" w:hAnsi="Arial Regular" w:cs="Arial Regular" w:eastAsiaTheme="minorEastAsia"/>
          <w:lang w:val="en-US"/>
        </w:rPr>
        <w:t>6. Timeframe</w:t>
      </w:r>
      <w:bookmarkEnd w:id="21"/>
    </w:p>
    <w:p w14:paraId="32DC4725">
      <w:pPr>
        <w:rPr>
          <w:rFonts w:hint="default" w:ascii="Arial Regular" w:hAnsi="Arial Regular" w:cs="Arial Regular" w:eastAsiaTheme="minorEastAsia"/>
        </w:rPr>
      </w:pPr>
      <w:r>
        <w:rPr>
          <w:rFonts w:hint="default" w:ascii="Arial Regular" w:hAnsi="Arial Regular" w:cs="Arial Regular" w:eastAsiaTheme="minorEastAsia"/>
        </w:rPr>
        <w:t>The dissertation will be completed in 28 weeks since its approval with buffers to allow unexpected delays. The schedule will look like a timeline table as shown below.</w:t>
      </w:r>
    </w:p>
    <w:p w14:paraId="54DA25F7">
      <w:pPr>
        <w:pStyle w:val="13"/>
        <w:rPr>
          <w:rFonts w:hint="default" w:ascii="Arial Regular" w:hAnsi="Arial Regular" w:cs="Arial Regular" w:eastAsiaTheme="minorEastAsia"/>
        </w:rPr>
      </w:pPr>
      <w:r>
        <w:rPr>
          <w:rFonts w:hint="default" w:ascii="Arial Regular" w:hAnsi="Arial Regular" w:cs="Arial Regular" w:eastAsiaTheme="minorEastAsia"/>
        </w:rPr>
        <w:t xml:space="preserve">Table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SEQ Table \* ARABIC </w:instrText>
      </w:r>
      <w:r>
        <w:rPr>
          <w:rFonts w:hint="default" w:ascii="Arial Regular" w:hAnsi="Arial Regular" w:cs="Arial Regular" w:eastAsiaTheme="minorEastAsia"/>
        </w:rPr>
        <w:fldChar w:fldCharType="separate"/>
      </w:r>
      <w:r>
        <w:rPr>
          <w:rFonts w:hint="default" w:ascii="Arial Regular" w:hAnsi="Arial Regular" w:cs="Arial Regular" w:eastAsiaTheme="minorEastAsia"/>
        </w:rPr>
        <w:t>1</w:t>
      </w:r>
      <w:r>
        <w:rPr>
          <w:rFonts w:hint="default" w:ascii="Arial Regular" w:hAnsi="Arial Regular" w:cs="Arial Regular" w:eastAsiaTheme="minorEastAsia"/>
        </w:rPr>
        <w:fldChar w:fldCharType="end"/>
      </w:r>
      <w:r>
        <w:rPr>
          <w:rFonts w:hint="default" w:ascii="Arial Regular" w:hAnsi="Arial Regular" w:cs="Arial Regular" w:eastAsiaTheme="minorEastAsia"/>
        </w:rPr>
        <w:t>: Gantt Chart</w:t>
      </w:r>
    </w:p>
    <w:tbl>
      <w:tblPr>
        <w:tblStyle w:val="40"/>
        <w:tblW w:w="9016" w:type="dxa"/>
        <w:tblInd w:w="0" w:type="dxa"/>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Layout w:type="autofit"/>
        <w:tblCellMar>
          <w:top w:w="0" w:type="dxa"/>
          <w:left w:w="108" w:type="dxa"/>
          <w:bottom w:w="0" w:type="dxa"/>
          <w:right w:w="108" w:type="dxa"/>
        </w:tblCellMar>
      </w:tblPr>
      <w:tblGrid>
        <w:gridCol w:w="2705"/>
        <w:gridCol w:w="3742"/>
        <w:gridCol w:w="1203"/>
        <w:gridCol w:w="1366"/>
      </w:tblGrid>
      <w:tr w14:paraId="68387118">
        <w:trPr>
          <w:trHeight w:val="252" w:hRule="atLeast"/>
        </w:trPr>
        <w:tc>
          <w:tcPr>
            <w:tcW w:w="0" w:type="auto"/>
            <w:tcBorders>
              <w:top w:val="single" w:color="5B9BD5" w:themeColor="accent5" w:sz="4" w:space="0"/>
              <w:left w:val="single" w:color="5B9BD5" w:themeColor="accent5" w:sz="4" w:space="0"/>
              <w:bottom w:val="single" w:color="5B9BD5" w:themeColor="accent5" w:sz="4" w:space="0"/>
              <w:right w:val="nil"/>
              <w:insideH w:val="single" w:sz="4" w:space="0"/>
              <w:insideV w:val="nil"/>
            </w:tcBorders>
            <w:shd w:val="clear" w:color="auto" w:fill="5B9BD5" w:themeFill="accent5"/>
          </w:tcPr>
          <w:p w14:paraId="04406081">
            <w:pPr>
              <w:rPr>
                <w:rFonts w:hint="default" w:ascii="Arial Regular" w:hAnsi="Arial Regular" w:cs="Arial Regular" w:eastAsiaTheme="minorEastAsia"/>
                <w:b/>
                <w:bCs/>
                <w:color w:val="FFFFFF" w:themeColor="background1"/>
                <w:lang w:val="en-US"/>
                <w14:textFill>
                  <w14:solidFill>
                    <w14:schemeClr w14:val="bg1"/>
                  </w14:solidFill>
                </w14:textFill>
              </w:rPr>
            </w:pPr>
            <w:r>
              <w:rPr>
                <w:rFonts w:hint="default" w:ascii="Arial Regular" w:hAnsi="Arial Regular" w:cs="Arial Regular" w:eastAsiaTheme="minorEastAsia"/>
                <w:b/>
                <w:bCs/>
                <w:color w:val="FFFFFF" w:themeColor="background1"/>
                <w:lang w:val="en-US"/>
                <w14:textFill>
                  <w14:solidFill>
                    <w14:schemeClr w14:val="bg1"/>
                  </w14:solidFill>
                </w14:textFill>
              </w:rPr>
              <w:t>Phase</w:t>
            </w:r>
          </w:p>
        </w:tc>
        <w:tc>
          <w:tcPr>
            <w:tcW w:w="3742" w:type="dxa"/>
            <w:tcBorders>
              <w:top w:val="single" w:color="5B9BD5" w:themeColor="accent5" w:sz="4" w:space="0"/>
              <w:bottom w:val="single" w:color="5B9BD5" w:themeColor="accent5" w:sz="4" w:space="0"/>
              <w:right w:val="nil"/>
              <w:insideH w:val="single" w:sz="4" w:space="0"/>
              <w:insideV w:val="nil"/>
            </w:tcBorders>
            <w:shd w:val="clear" w:color="auto" w:fill="5B9BD5" w:themeFill="accent5"/>
          </w:tcPr>
          <w:p w14:paraId="34C2D801">
            <w:pPr>
              <w:rPr>
                <w:rFonts w:hint="default" w:ascii="Arial Regular" w:hAnsi="Arial Regular" w:cs="Arial Regular" w:eastAsiaTheme="minorEastAsia"/>
                <w:b/>
                <w:bCs/>
                <w:color w:val="FFFFFF" w:themeColor="background1"/>
                <w:lang w:val="en-US"/>
                <w14:textFill>
                  <w14:solidFill>
                    <w14:schemeClr w14:val="bg1"/>
                  </w14:solidFill>
                </w14:textFill>
              </w:rPr>
            </w:pPr>
            <w:r>
              <w:rPr>
                <w:rFonts w:hint="default" w:ascii="Arial Regular" w:hAnsi="Arial Regular" w:cs="Arial Regular" w:eastAsiaTheme="minorEastAsia"/>
                <w:b/>
                <w:bCs/>
                <w:color w:val="FFFFFF" w:themeColor="background1"/>
                <w:lang w:val="en-US"/>
                <w14:textFill>
                  <w14:solidFill>
                    <w14:schemeClr w14:val="bg1"/>
                  </w14:solidFill>
                </w14:textFill>
              </w:rPr>
              <w:t>Key Tasks</w:t>
            </w:r>
          </w:p>
        </w:tc>
        <w:tc>
          <w:tcPr>
            <w:tcW w:w="1134" w:type="dxa"/>
            <w:tcBorders>
              <w:top w:val="single" w:color="5B9BD5" w:themeColor="accent5" w:sz="4" w:space="0"/>
              <w:bottom w:val="single" w:color="5B9BD5" w:themeColor="accent5" w:sz="4" w:space="0"/>
              <w:right w:val="nil"/>
              <w:insideH w:val="single" w:sz="4" w:space="0"/>
              <w:insideV w:val="nil"/>
            </w:tcBorders>
            <w:shd w:val="clear" w:color="auto" w:fill="5B9BD5" w:themeFill="accent5"/>
          </w:tcPr>
          <w:p w14:paraId="31E57F79">
            <w:pPr>
              <w:rPr>
                <w:rFonts w:hint="default" w:ascii="Arial Regular" w:hAnsi="Arial Regular" w:cs="Arial Regular" w:eastAsiaTheme="minorEastAsia"/>
                <w:b/>
                <w:bCs/>
                <w:color w:val="FFFFFF" w:themeColor="background1"/>
                <w:lang w:val="en-US"/>
                <w14:textFill>
                  <w14:solidFill>
                    <w14:schemeClr w14:val="bg1"/>
                  </w14:solidFill>
                </w14:textFill>
              </w:rPr>
            </w:pPr>
            <w:r>
              <w:rPr>
                <w:rFonts w:hint="default" w:ascii="Arial Regular" w:hAnsi="Arial Regular" w:cs="Arial Regular" w:eastAsiaTheme="minorEastAsia"/>
                <w:b/>
                <w:bCs/>
                <w:color w:val="FFFFFF" w:themeColor="background1"/>
                <w:lang w:val="en-US"/>
                <w14:textFill>
                  <w14:solidFill>
                    <w14:schemeClr w14:val="bg1"/>
                  </w14:solidFill>
                </w14:textFill>
              </w:rPr>
              <w:t>Duration</w:t>
            </w:r>
          </w:p>
        </w:tc>
        <w:tc>
          <w:tcPr>
            <w:tcW w:w="1366" w:type="dxa"/>
            <w:tcBorders>
              <w:top w:val="single" w:color="5B9BD5" w:themeColor="accent5" w:sz="4" w:space="0"/>
              <w:bottom w:val="single" w:color="5B9BD5" w:themeColor="accent5" w:sz="4" w:space="0"/>
              <w:right w:val="single" w:color="5B9BD5" w:themeColor="accent5" w:sz="4" w:space="0"/>
              <w:insideH w:val="single" w:sz="4" w:space="0"/>
              <w:insideV w:val="nil"/>
            </w:tcBorders>
            <w:shd w:val="clear" w:color="auto" w:fill="5B9BD5" w:themeFill="accent5"/>
          </w:tcPr>
          <w:p w14:paraId="4C580804">
            <w:pPr>
              <w:rPr>
                <w:rFonts w:hint="default" w:ascii="Arial Regular" w:hAnsi="Arial Regular" w:cs="Arial Regular" w:eastAsiaTheme="minorEastAsia"/>
                <w:b/>
                <w:bCs/>
                <w:color w:val="FFFFFF" w:themeColor="background1"/>
                <w:lang w:val="en-US"/>
                <w14:textFill>
                  <w14:solidFill>
                    <w14:schemeClr w14:val="bg1"/>
                  </w14:solidFill>
                </w14:textFill>
              </w:rPr>
            </w:pPr>
            <w:r>
              <w:rPr>
                <w:rFonts w:hint="default" w:ascii="Arial Regular" w:hAnsi="Arial Regular" w:cs="Arial Regular" w:eastAsiaTheme="minorEastAsia"/>
                <w:b/>
                <w:bCs/>
                <w:color w:val="FFFFFF" w:themeColor="background1"/>
                <w:lang w:val="en-US"/>
                <w14:textFill>
                  <w14:solidFill>
                    <w14:schemeClr w14:val="bg1"/>
                  </w14:solidFill>
                </w14:textFill>
              </w:rPr>
              <w:t>Timeline</w:t>
            </w:r>
          </w:p>
        </w:tc>
      </w:tr>
      <w:tr w14:paraId="20CB9B37">
        <w:trPr>
          <w:trHeight w:val="252" w:hRule="atLeast"/>
        </w:trPr>
        <w:tc>
          <w:tcPr>
            <w:tcW w:w="0" w:type="auto"/>
            <w:shd w:val="clear" w:color="auto" w:fill="DEEAF6" w:themeFill="accent5" w:themeFillTint="33"/>
          </w:tcPr>
          <w:p w14:paraId="58579848">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1. Preparation &amp; Literature Review</w:t>
            </w:r>
          </w:p>
        </w:tc>
        <w:tc>
          <w:tcPr>
            <w:tcW w:w="3742" w:type="dxa"/>
            <w:shd w:val="clear" w:color="auto" w:fill="DEEAF6" w:themeFill="accent5" w:themeFillTint="33"/>
          </w:tcPr>
          <w:p w14:paraId="3379F7F2">
            <w:pPr>
              <w:rPr>
                <w:rFonts w:hint="default" w:ascii="Arial Regular" w:hAnsi="Arial Regular" w:cs="Arial Regular" w:eastAsiaTheme="minorEastAsia"/>
                <w:lang w:val="en-US"/>
              </w:rPr>
            </w:pPr>
            <w:r>
              <w:rPr>
                <w:rFonts w:hint="default" w:ascii="Arial Regular" w:hAnsi="Arial Regular" w:cs="Arial Regular" w:eastAsiaTheme="minorEastAsia"/>
                <w:lang w:val="en-US"/>
              </w:rPr>
              <w:t>Refine questions; comprehensive source gathering; ethical submission</w:t>
            </w:r>
          </w:p>
        </w:tc>
        <w:tc>
          <w:tcPr>
            <w:tcW w:w="1134" w:type="dxa"/>
            <w:shd w:val="clear" w:color="auto" w:fill="DEEAF6" w:themeFill="accent5" w:themeFillTint="33"/>
          </w:tcPr>
          <w:p w14:paraId="6929C711">
            <w:pPr>
              <w:rPr>
                <w:rFonts w:hint="default" w:ascii="Arial Regular" w:hAnsi="Arial Regular" w:cs="Arial Regular" w:eastAsiaTheme="minorEastAsia"/>
                <w:lang w:val="en-US"/>
              </w:rPr>
            </w:pPr>
            <w:r>
              <w:rPr>
                <w:rFonts w:hint="default" w:ascii="Arial Regular" w:hAnsi="Arial Regular" w:cs="Arial Regular" w:eastAsiaTheme="minorEastAsia"/>
                <w:lang w:val="en-US"/>
              </w:rPr>
              <w:t>5 weeks</w:t>
            </w:r>
          </w:p>
        </w:tc>
        <w:tc>
          <w:tcPr>
            <w:tcW w:w="1366" w:type="dxa"/>
            <w:shd w:val="clear" w:color="auto" w:fill="DEEAF6" w:themeFill="accent5" w:themeFillTint="33"/>
          </w:tcPr>
          <w:p w14:paraId="02C6D44F">
            <w:pPr>
              <w:rPr>
                <w:rFonts w:hint="default" w:ascii="Arial Regular" w:hAnsi="Arial Regular" w:cs="Arial Regular" w:eastAsiaTheme="minorEastAsia"/>
                <w:lang w:val="en-US"/>
              </w:rPr>
            </w:pPr>
            <w:r>
              <w:rPr>
                <w:rFonts w:hint="default" w:ascii="Arial Regular" w:hAnsi="Arial Regular" w:cs="Arial Regular" w:eastAsiaTheme="minorEastAsia"/>
                <w:lang w:val="en-US"/>
              </w:rPr>
              <w:t>Weeks 1-5</w:t>
            </w:r>
          </w:p>
        </w:tc>
      </w:tr>
      <w:tr w14:paraId="6FD348A2">
        <w:trPr>
          <w:trHeight w:val="252" w:hRule="atLeast"/>
        </w:trPr>
        <w:tc>
          <w:tcPr>
            <w:tcW w:w="0" w:type="auto"/>
          </w:tcPr>
          <w:p w14:paraId="3E0E4F85">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2. Methodology Design &amp; Data Collection</w:t>
            </w:r>
          </w:p>
        </w:tc>
        <w:tc>
          <w:tcPr>
            <w:tcW w:w="3742" w:type="dxa"/>
          </w:tcPr>
          <w:p w14:paraId="460D772F">
            <w:pPr>
              <w:rPr>
                <w:rFonts w:hint="default" w:ascii="Arial Regular" w:hAnsi="Arial Regular" w:cs="Arial Regular" w:eastAsiaTheme="minorEastAsia"/>
                <w:lang w:val="en-US"/>
              </w:rPr>
            </w:pPr>
            <w:r>
              <w:rPr>
                <w:rFonts w:hint="default" w:ascii="Arial Regular" w:hAnsi="Arial Regular" w:cs="Arial Regular" w:eastAsiaTheme="minorEastAsia"/>
                <w:lang w:val="en-US"/>
              </w:rPr>
              <w:t>Develop tools/surveys; collect secondary data; conduct interviews</w:t>
            </w:r>
          </w:p>
        </w:tc>
        <w:tc>
          <w:tcPr>
            <w:tcW w:w="1134" w:type="dxa"/>
          </w:tcPr>
          <w:p w14:paraId="0DA22610">
            <w:pPr>
              <w:rPr>
                <w:rFonts w:hint="default" w:ascii="Arial Regular" w:hAnsi="Arial Regular" w:cs="Arial Regular" w:eastAsiaTheme="minorEastAsia"/>
                <w:lang w:val="en-US"/>
              </w:rPr>
            </w:pPr>
            <w:r>
              <w:rPr>
                <w:rFonts w:hint="default" w:ascii="Arial Regular" w:hAnsi="Arial Regular" w:cs="Arial Regular" w:eastAsiaTheme="minorEastAsia"/>
                <w:lang w:val="en-US"/>
              </w:rPr>
              <w:t>8 weeks</w:t>
            </w:r>
          </w:p>
        </w:tc>
        <w:tc>
          <w:tcPr>
            <w:tcW w:w="1366" w:type="dxa"/>
          </w:tcPr>
          <w:p w14:paraId="209ADB14">
            <w:pPr>
              <w:rPr>
                <w:rFonts w:hint="default" w:ascii="Arial Regular" w:hAnsi="Arial Regular" w:cs="Arial Regular" w:eastAsiaTheme="minorEastAsia"/>
                <w:lang w:val="en-US"/>
              </w:rPr>
            </w:pPr>
            <w:r>
              <w:rPr>
                <w:rFonts w:hint="default" w:ascii="Arial Regular" w:hAnsi="Arial Regular" w:cs="Arial Regular" w:eastAsiaTheme="minorEastAsia"/>
                <w:lang w:val="en-US"/>
              </w:rPr>
              <w:t>Weeks 6-13</w:t>
            </w:r>
          </w:p>
        </w:tc>
      </w:tr>
      <w:tr w14:paraId="00B9C572">
        <w:trPr>
          <w:trHeight w:val="252" w:hRule="atLeast"/>
        </w:trPr>
        <w:tc>
          <w:tcPr>
            <w:tcW w:w="0" w:type="auto"/>
            <w:shd w:val="clear" w:color="auto" w:fill="DEEAF6" w:themeFill="accent5" w:themeFillTint="33"/>
          </w:tcPr>
          <w:p w14:paraId="17965BCD">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3. Data Analysis</w:t>
            </w:r>
          </w:p>
        </w:tc>
        <w:tc>
          <w:tcPr>
            <w:tcW w:w="3742" w:type="dxa"/>
            <w:shd w:val="clear" w:color="auto" w:fill="DEEAF6" w:themeFill="accent5" w:themeFillTint="33"/>
          </w:tcPr>
          <w:p w14:paraId="7E4C7F24">
            <w:pPr>
              <w:rPr>
                <w:rFonts w:hint="default" w:ascii="Arial Regular" w:hAnsi="Arial Regular" w:cs="Arial Regular" w:eastAsiaTheme="minorEastAsia"/>
                <w:lang w:val="en-US"/>
              </w:rPr>
            </w:pPr>
            <w:r>
              <w:rPr>
                <w:rFonts w:hint="default" w:ascii="Arial Regular" w:hAnsi="Arial Regular" w:cs="Arial Regular" w:eastAsiaTheme="minorEastAsia"/>
                <w:lang w:val="en-US"/>
              </w:rPr>
              <w:t>Quantitative modeling; qualitative coding; triangulation</w:t>
            </w:r>
          </w:p>
        </w:tc>
        <w:tc>
          <w:tcPr>
            <w:tcW w:w="1134" w:type="dxa"/>
            <w:shd w:val="clear" w:color="auto" w:fill="DEEAF6" w:themeFill="accent5" w:themeFillTint="33"/>
          </w:tcPr>
          <w:p w14:paraId="57B686B5">
            <w:pPr>
              <w:rPr>
                <w:rFonts w:hint="default" w:ascii="Arial Regular" w:hAnsi="Arial Regular" w:cs="Arial Regular" w:eastAsiaTheme="minorEastAsia"/>
                <w:lang w:val="en-US"/>
              </w:rPr>
            </w:pPr>
            <w:r>
              <w:rPr>
                <w:rFonts w:hint="default" w:ascii="Arial Regular" w:hAnsi="Arial Regular" w:cs="Arial Regular" w:eastAsiaTheme="minorEastAsia"/>
                <w:lang w:val="en-US"/>
              </w:rPr>
              <w:t>7 weeks</w:t>
            </w:r>
          </w:p>
        </w:tc>
        <w:tc>
          <w:tcPr>
            <w:tcW w:w="1366" w:type="dxa"/>
            <w:shd w:val="clear" w:color="auto" w:fill="DEEAF6" w:themeFill="accent5" w:themeFillTint="33"/>
          </w:tcPr>
          <w:p w14:paraId="105AA6B2">
            <w:pPr>
              <w:rPr>
                <w:rFonts w:hint="default" w:ascii="Arial Regular" w:hAnsi="Arial Regular" w:cs="Arial Regular" w:eastAsiaTheme="minorEastAsia"/>
                <w:lang w:val="en-US"/>
              </w:rPr>
            </w:pPr>
            <w:r>
              <w:rPr>
                <w:rFonts w:hint="default" w:ascii="Arial Regular" w:hAnsi="Arial Regular" w:cs="Arial Regular" w:eastAsiaTheme="minorEastAsia"/>
                <w:lang w:val="en-US"/>
              </w:rPr>
              <w:t>Weeks 14-20</w:t>
            </w:r>
          </w:p>
        </w:tc>
      </w:tr>
      <w:tr w14:paraId="30339766">
        <w:trPr>
          <w:trHeight w:val="252" w:hRule="atLeast"/>
        </w:trPr>
        <w:tc>
          <w:tcPr>
            <w:tcW w:w="0" w:type="auto"/>
          </w:tcPr>
          <w:p w14:paraId="71D86487">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4. Writing &amp; Feedback</w:t>
            </w:r>
          </w:p>
        </w:tc>
        <w:tc>
          <w:tcPr>
            <w:tcW w:w="3742" w:type="dxa"/>
          </w:tcPr>
          <w:p w14:paraId="15957F24">
            <w:pPr>
              <w:rPr>
                <w:rFonts w:hint="default" w:ascii="Arial Regular" w:hAnsi="Arial Regular" w:cs="Arial Regular" w:eastAsiaTheme="minorEastAsia"/>
                <w:lang w:val="en-US"/>
              </w:rPr>
            </w:pPr>
            <w:r>
              <w:rPr>
                <w:rFonts w:hint="default" w:ascii="Arial Regular" w:hAnsi="Arial Regular" w:cs="Arial Regular" w:eastAsiaTheme="minorEastAsia"/>
                <w:lang w:val="en-US"/>
              </w:rPr>
              <w:t>Draft sections; supervisor revisions</w:t>
            </w:r>
          </w:p>
        </w:tc>
        <w:tc>
          <w:tcPr>
            <w:tcW w:w="1134" w:type="dxa"/>
          </w:tcPr>
          <w:p w14:paraId="233B3CE8">
            <w:pPr>
              <w:rPr>
                <w:rFonts w:hint="default" w:ascii="Arial Regular" w:hAnsi="Arial Regular" w:cs="Arial Regular" w:eastAsiaTheme="minorEastAsia"/>
                <w:lang w:val="en-US"/>
              </w:rPr>
            </w:pPr>
            <w:r>
              <w:rPr>
                <w:rFonts w:hint="default" w:ascii="Arial Regular" w:hAnsi="Arial Regular" w:cs="Arial Regular" w:eastAsiaTheme="minorEastAsia"/>
                <w:lang w:val="en-US"/>
              </w:rPr>
              <w:t>5 weeks</w:t>
            </w:r>
          </w:p>
        </w:tc>
        <w:tc>
          <w:tcPr>
            <w:tcW w:w="1366" w:type="dxa"/>
          </w:tcPr>
          <w:p w14:paraId="329C45EE">
            <w:pPr>
              <w:rPr>
                <w:rFonts w:hint="default" w:ascii="Arial Regular" w:hAnsi="Arial Regular" w:cs="Arial Regular" w:eastAsiaTheme="minorEastAsia"/>
                <w:lang w:val="en-US"/>
              </w:rPr>
            </w:pPr>
            <w:r>
              <w:rPr>
                <w:rFonts w:hint="default" w:ascii="Arial Regular" w:hAnsi="Arial Regular" w:cs="Arial Regular" w:eastAsiaTheme="minorEastAsia"/>
                <w:lang w:val="en-US"/>
              </w:rPr>
              <w:t>Weeks 21-25</w:t>
            </w:r>
          </w:p>
        </w:tc>
      </w:tr>
      <w:tr w14:paraId="51470AAB">
        <w:trPr>
          <w:trHeight w:val="252" w:hRule="atLeast"/>
        </w:trPr>
        <w:tc>
          <w:tcPr>
            <w:tcW w:w="0" w:type="auto"/>
            <w:shd w:val="clear" w:color="auto" w:fill="DEEAF6" w:themeFill="accent5" w:themeFillTint="33"/>
          </w:tcPr>
          <w:p w14:paraId="4643F906">
            <w:pPr>
              <w:rPr>
                <w:rFonts w:hint="default" w:ascii="Arial Regular" w:hAnsi="Arial Regular" w:cs="Arial Regular" w:eastAsiaTheme="minorEastAsia"/>
                <w:b/>
                <w:bCs/>
                <w:lang w:val="en-US"/>
              </w:rPr>
            </w:pPr>
            <w:r>
              <w:rPr>
                <w:rFonts w:hint="default" w:ascii="Arial Regular" w:hAnsi="Arial Regular" w:cs="Arial Regular" w:eastAsiaTheme="minorEastAsia"/>
                <w:b/>
                <w:bCs/>
                <w:lang w:val="en-US"/>
              </w:rPr>
              <w:t>5. Finalization</w:t>
            </w:r>
          </w:p>
        </w:tc>
        <w:tc>
          <w:tcPr>
            <w:tcW w:w="3742" w:type="dxa"/>
            <w:shd w:val="clear" w:color="auto" w:fill="DEEAF6" w:themeFill="accent5" w:themeFillTint="33"/>
          </w:tcPr>
          <w:p w14:paraId="38B53445">
            <w:pPr>
              <w:rPr>
                <w:rFonts w:hint="default" w:ascii="Arial Regular" w:hAnsi="Arial Regular" w:cs="Arial Regular" w:eastAsiaTheme="minorEastAsia"/>
                <w:lang w:val="en-US"/>
              </w:rPr>
            </w:pPr>
            <w:r>
              <w:rPr>
                <w:rFonts w:hint="default" w:ascii="Arial Regular" w:hAnsi="Arial Regular" w:cs="Arial Regular" w:eastAsiaTheme="minorEastAsia"/>
                <w:lang w:val="en-US"/>
              </w:rPr>
              <w:t>Proofreading; formatting; submission</w:t>
            </w:r>
          </w:p>
        </w:tc>
        <w:tc>
          <w:tcPr>
            <w:tcW w:w="1134" w:type="dxa"/>
            <w:shd w:val="clear" w:color="auto" w:fill="DEEAF6" w:themeFill="accent5" w:themeFillTint="33"/>
          </w:tcPr>
          <w:p w14:paraId="1AA313C9">
            <w:pPr>
              <w:rPr>
                <w:rFonts w:hint="default" w:ascii="Arial Regular" w:hAnsi="Arial Regular" w:cs="Arial Regular" w:eastAsiaTheme="minorEastAsia"/>
                <w:lang w:val="en-US"/>
              </w:rPr>
            </w:pPr>
            <w:r>
              <w:rPr>
                <w:rFonts w:hint="default" w:ascii="Arial Regular" w:hAnsi="Arial Regular" w:cs="Arial Regular" w:eastAsiaTheme="minorEastAsia"/>
                <w:lang w:val="en-US"/>
              </w:rPr>
              <w:t>3 weeks</w:t>
            </w:r>
          </w:p>
        </w:tc>
        <w:tc>
          <w:tcPr>
            <w:tcW w:w="1366" w:type="dxa"/>
            <w:shd w:val="clear" w:color="auto" w:fill="DEEAF6" w:themeFill="accent5" w:themeFillTint="33"/>
          </w:tcPr>
          <w:p w14:paraId="7D3ABBE4">
            <w:pPr>
              <w:rPr>
                <w:rFonts w:hint="default" w:ascii="Arial Regular" w:hAnsi="Arial Regular" w:cs="Arial Regular" w:eastAsiaTheme="minorEastAsia"/>
                <w:lang w:val="en-US"/>
              </w:rPr>
            </w:pPr>
            <w:r>
              <w:rPr>
                <w:rFonts w:hint="default" w:ascii="Arial Regular" w:hAnsi="Arial Regular" w:cs="Arial Regular" w:eastAsiaTheme="minorEastAsia"/>
                <w:lang w:val="en-US"/>
              </w:rPr>
              <w:t>Weeks 26-28</w:t>
            </w:r>
          </w:p>
        </w:tc>
      </w:tr>
    </w:tbl>
    <w:p w14:paraId="6A7AD94F">
      <w:pPr>
        <w:rPr>
          <w:rFonts w:hint="default" w:ascii="Arial Regular" w:hAnsi="Arial Regular" w:cs="Arial Regular" w:eastAsiaTheme="minorEastAsia"/>
          <w:lang w:val="en-US"/>
        </w:rPr>
      </w:pPr>
    </w:p>
    <w:p w14:paraId="7DF776D7">
      <w:pPr>
        <w:spacing w:before="0" w:after="160" w:line="259" w:lineRule="auto"/>
        <w:jc w:val="left"/>
        <w:rPr>
          <w:rFonts w:hint="default" w:ascii="Arial Regular" w:hAnsi="Arial Regular" w:cs="Arial Regular" w:eastAsiaTheme="minorEastAsia"/>
          <w:lang w:val="en-US"/>
        </w:rPr>
      </w:pPr>
      <w:r>
        <w:rPr>
          <w:rFonts w:hint="default" w:ascii="Arial Regular" w:hAnsi="Arial Regular" w:cs="Arial Regular" w:eastAsiaTheme="minorEastAsia"/>
          <w:lang w:val="en-US"/>
        </w:rPr>
        <w:br w:type="page"/>
      </w:r>
    </w:p>
    <w:p w14:paraId="53A5F0FD">
      <w:pPr>
        <w:pStyle w:val="2"/>
        <w:rPr>
          <w:rFonts w:hint="default" w:ascii="Arial Regular" w:hAnsi="Arial Regular" w:cs="Arial Regular" w:eastAsiaTheme="minorEastAsia"/>
          <w:lang w:val="en-US"/>
        </w:rPr>
      </w:pPr>
      <w:bookmarkStart w:id="22" w:name="_Toc213369864"/>
      <w:r>
        <w:rPr>
          <w:rFonts w:hint="default" w:ascii="Arial Regular" w:hAnsi="Arial Regular" w:cs="Arial Regular" w:eastAsiaTheme="minorEastAsia"/>
          <w:lang w:val="en-US"/>
        </w:rPr>
        <w:t>7. Conclusion</w:t>
      </w:r>
      <w:bookmarkEnd w:id="22"/>
    </w:p>
    <w:p w14:paraId="79ED5FCD">
      <w:pPr>
        <w:rPr>
          <w:rFonts w:hint="default" w:ascii="Arial Regular" w:hAnsi="Arial Regular" w:cs="Arial Regular" w:eastAsiaTheme="minorEastAsia"/>
        </w:rPr>
      </w:pPr>
      <w:r>
        <w:rPr>
          <w:rFonts w:hint="default" w:ascii="Arial Regular" w:hAnsi="Arial Regular" w:cs="Arial Regular" w:eastAsiaTheme="minorEastAsia"/>
        </w:rPr>
        <w:t>Finally, it must be observed that the given proposal summarizes the objective analysis of QRM as the facilitator of AML compliance in international trade, which provides missing data on the context of the relevant enhancement of TBML risks. The research provides ample insights into compliance change and barrier removal that has been rounded by the goals of the assessment and the mixed methodology. Having the intervention in the middle of regulatory changes in 2025, the research is very prospective and adequate to make an impact on policy and practice. Finally, the anticipated outcomes are likely to generate the risk-averse trade behaviours, which will bring together justification and orientation as a foundation of effective exploitation of financial security.</w:t>
      </w:r>
    </w:p>
    <w:p w14:paraId="1FB67362">
      <w:pPr>
        <w:spacing w:before="0" w:after="160" w:line="259" w:lineRule="auto"/>
        <w:jc w:val="left"/>
        <w:rPr>
          <w:rFonts w:hint="default" w:ascii="Arial Regular" w:hAnsi="Arial Regular" w:cs="Arial Regular" w:eastAsiaTheme="minorEastAsia"/>
          <w:b/>
          <w:color w:val="002060"/>
          <w:sz w:val="32"/>
          <w:szCs w:val="32"/>
          <w:lang w:val="en-US"/>
        </w:rPr>
      </w:pPr>
      <w:r>
        <w:rPr>
          <w:rFonts w:hint="default" w:ascii="Arial Regular" w:hAnsi="Arial Regular" w:cs="Arial Regular" w:eastAsiaTheme="minorEastAsia"/>
          <w:lang w:val="en-US"/>
        </w:rPr>
        <w:br w:type="page"/>
      </w:r>
    </w:p>
    <w:p w14:paraId="223C38C0">
      <w:pPr>
        <w:pStyle w:val="2"/>
        <w:rPr>
          <w:rFonts w:hint="default" w:ascii="Arial Regular" w:hAnsi="Arial Regular" w:cs="Arial Regular" w:eastAsiaTheme="minorEastAsia"/>
          <w:lang w:val="en-US"/>
        </w:rPr>
      </w:pPr>
      <w:bookmarkStart w:id="23" w:name="_Toc213369865"/>
      <w:r>
        <w:rPr>
          <w:rFonts w:hint="default" w:ascii="Arial Regular" w:hAnsi="Arial Regular" w:cs="Arial Regular" w:eastAsiaTheme="minorEastAsia"/>
          <w:lang w:val="en-US"/>
        </w:rPr>
        <w:t>8. References</w:t>
      </w:r>
      <w:bookmarkEnd w:id="23"/>
    </w:p>
    <w:p w14:paraId="2DE81C04">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Aidoo, S. and AML, I.D. (2025) ‘Evaluating the Effectiveness of AML Regulations: A Critical Review’.  </w:t>
      </w:r>
    </w:p>
    <w:p w14:paraId="3C878B70">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Akcam, B.K., Guney, S. and Cresswell, A.M. (2019) ‘Research design and major issues in developing dynamic theories by secondary analysis of qualitative data’, </w:t>
      </w:r>
      <w:r>
        <w:rPr>
          <w:rFonts w:hint="default" w:ascii="Arial Regular" w:hAnsi="Arial Regular" w:cs="Arial Regular" w:eastAsiaTheme="minorEastAsia"/>
          <w:i/>
          <w:iCs/>
        </w:rPr>
        <w:t>Systems</w:t>
      </w:r>
      <w:r>
        <w:rPr>
          <w:rFonts w:hint="default" w:ascii="Arial Regular" w:hAnsi="Arial Regular" w:cs="Arial Regular" w:eastAsiaTheme="minorEastAsia"/>
        </w:rPr>
        <w:t xml:space="preserve">, 7(3), p.40. </w:t>
      </w:r>
    </w:p>
    <w:p w14:paraId="36FD1431">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Braun, V., &amp; Clarke, V. (2006) Using thematic analysis in psychology. </w:t>
      </w:r>
      <w:r>
        <w:rPr>
          <w:rFonts w:hint="default" w:ascii="Arial Regular" w:hAnsi="Arial Regular" w:cs="Arial Regular" w:eastAsiaTheme="minorEastAsia"/>
          <w:i/>
          <w:iCs/>
        </w:rPr>
        <w:t>Qualitative Research in Psychology</w:t>
      </w:r>
      <w:r>
        <w:rPr>
          <w:rFonts w:hint="default" w:ascii="Arial Regular" w:hAnsi="Arial Regular" w:cs="Arial Regular" w:eastAsiaTheme="minorEastAsia"/>
        </w:rPr>
        <w:t xml:space="preserve">, 3(2), 77–101. </w:t>
      </w:r>
    </w:p>
    <w:p w14:paraId="25FC60BD">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Bryman, A., &amp; Bell, E. (2015) </w:t>
      </w:r>
      <w:r>
        <w:rPr>
          <w:rFonts w:hint="default" w:ascii="Arial Regular" w:hAnsi="Arial Regular" w:cs="Arial Regular" w:eastAsiaTheme="minorEastAsia"/>
          <w:i/>
          <w:iCs/>
        </w:rPr>
        <w:t>Business Research Methods</w:t>
      </w:r>
      <w:r>
        <w:rPr>
          <w:rFonts w:hint="default" w:ascii="Arial Regular" w:hAnsi="Arial Regular" w:cs="Arial Regular" w:eastAsiaTheme="minorEastAsia"/>
        </w:rPr>
        <w:t xml:space="preserve"> (4th ed.). Oxford University Press.​</w:t>
      </w:r>
    </w:p>
    <w:p w14:paraId="5E17EA55">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Dote-Pardo, J.S. and Severino-González, P. (2025) ‘Economic and financial crimes: evidence from the literature in emerging markets’, </w:t>
      </w:r>
      <w:r>
        <w:rPr>
          <w:rFonts w:hint="default" w:ascii="Arial Regular" w:hAnsi="Arial Regular" w:cs="Arial Regular" w:eastAsiaTheme="minorEastAsia"/>
          <w:i/>
          <w:iCs/>
        </w:rPr>
        <w:t>Journal of Money Laundering Control</w:t>
      </w:r>
      <w:r>
        <w:rPr>
          <w:rFonts w:hint="default" w:ascii="Arial Regular" w:hAnsi="Arial Regular" w:cs="Arial Regular" w:eastAsiaTheme="minorEastAsia"/>
        </w:rPr>
        <w:t xml:space="preserve">, 28(2), pp. 253–274.  </w:t>
      </w:r>
    </w:p>
    <w:p w14:paraId="56859725">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Fatah, N.A., AbdulRahman, K.A. and Ali, P.F. (2025) ‘The effects of money laundering on the performance of banks: An analytical study of a sample of Iraqi banks’, </w:t>
      </w:r>
      <w:r>
        <w:rPr>
          <w:rFonts w:hint="default" w:ascii="Arial Regular" w:hAnsi="Arial Regular" w:cs="Arial Regular" w:eastAsiaTheme="minorEastAsia"/>
          <w:i/>
          <w:iCs/>
        </w:rPr>
        <w:t>International Journal of Scientific Research and Technology</w:t>
      </w:r>
      <w:r>
        <w:rPr>
          <w:rFonts w:hint="default" w:ascii="Arial Regular" w:hAnsi="Arial Regular" w:cs="Arial Regular" w:eastAsiaTheme="minorEastAsia"/>
        </w:rPr>
        <w:t xml:space="preserve">.  </w:t>
      </w:r>
    </w:p>
    <w:p w14:paraId="5E043F3B">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Financial Action Task Force (2025) ‘Best practices on trade based money laundering’.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"https://www.fatf-gafi.org/en/publications/Fatfrecommendations/Bestpracticesontradebasedmoneylaundering.html"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https://www.fatf-gafi.org/en/publications/Fatfrecommendations/Bestpracticesontradebasedmoneylaundering.html</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63FA9DA3">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Financial Action Task Force (2025) ‘Trade-based money laundering typologies’.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"https://www.fatf-gafi.org/en/publications/Methodsandtrends/Trade-basedmoneylaunderingtypologies.html?utm_source=chatgpt.com"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https://www.fatf-gafi.org/en/publications/Methodsandtrends/Trade-basedmoneylaunderingtypologies.html</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207E62F0">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Finscan (2025) ‘Trade finance under pressure: why AML compliance and payment screening matter more than ever’.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"https://www.finscan.com/post/trade-finance-under-pressure-why-aml-compliance-and-payment-screening-matter-more-than-ever"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https://www.finscan.com/post/trade-finance-under-pressure-why-aml-compliance-and-payment-screening-matter-more-than-ever</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2BA65A2B">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Flagright (2025) ‘Regulatory changes in AML compliance’.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"https://www.flagright.com/post/regulatory-changes-in-aml-compliance"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https://www.flagright.com/post/regulatory-changes-in-aml-compliance</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27DDFA51">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Haven, T.L. and Van Grootel, D.L. (2019) ‘Preregistering qualitative research’, </w:t>
      </w:r>
      <w:r>
        <w:rPr>
          <w:rFonts w:hint="default" w:ascii="Arial Regular" w:hAnsi="Arial Regular" w:cs="Arial Regular" w:eastAsiaTheme="minorEastAsia"/>
          <w:i/>
          <w:iCs/>
        </w:rPr>
        <w:t>Accountability in Research</w:t>
      </w:r>
      <w:r>
        <w:rPr>
          <w:rFonts w:hint="default" w:ascii="Arial Regular" w:hAnsi="Arial Regular" w:cs="Arial Regular" w:eastAsiaTheme="minorEastAsia"/>
        </w:rPr>
        <w:t xml:space="preserve">, 26(3), pp.229–244. </w:t>
      </w:r>
    </w:p>
    <w:p w14:paraId="09D8AEF9">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Khan, M. (2021) ‘International anti-money laundering measures and professional’, </w:t>
      </w:r>
      <w:r>
        <w:rPr>
          <w:rFonts w:hint="default" w:ascii="Arial Regular" w:hAnsi="Arial Regular" w:cs="Arial Regular" w:eastAsiaTheme="minorEastAsia"/>
          <w:i/>
          <w:iCs/>
        </w:rPr>
        <w:t>International Journal of Business and Management Research</w:t>
      </w:r>
      <w:r>
        <w:rPr>
          <w:rFonts w:hint="default" w:ascii="Arial Regular" w:hAnsi="Arial Regular" w:cs="Arial Regular" w:eastAsiaTheme="minorEastAsia"/>
        </w:rPr>
        <w:t xml:space="preserve">, 9(3), pp. 307-319. </w:t>
      </w:r>
    </w:p>
    <w:p w14:paraId="58BD4D1D">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Mazumder, P.T. (2025) ‘Harnessing Fintech Innovations for Anti-Money Laundering: A Data-Driven Approach’. </w:t>
      </w:r>
    </w:p>
    <w:p w14:paraId="71443663">
      <w:pPr>
        <w:ind w:left="720" w:hanging="720"/>
        <w:rPr>
          <w:rFonts w:hint="default" w:ascii="Arial Regular" w:hAnsi="Arial Regular" w:cs="Arial Regular" w:eastAsiaTheme="minorEastAsia"/>
        </w:rPr>
      </w:pPr>
      <w:r>
        <w:rPr>
          <w:rFonts w:hint="default" w:ascii="Arial Regular" w:hAnsi="Arial Regular" w:cs="Arial Regular" w:eastAsiaTheme="minorEastAsia"/>
        </w:rPr>
        <w:t>Naheem, M. A. (2017) Trade based money laundering: exploring the implications for international banks.</w:t>
      </w:r>
    </w:p>
    <w:p w14:paraId="60E76089">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Nefla, D. and Jellouli, S. (2025) ‘Emerging technologies in finance: challenges for a sustainable finance’, </w:t>
      </w:r>
      <w:r>
        <w:rPr>
          <w:rFonts w:hint="default" w:ascii="Arial Regular" w:hAnsi="Arial Regular" w:cs="Arial Regular" w:eastAsiaTheme="minorEastAsia"/>
          <w:i/>
          <w:iCs/>
        </w:rPr>
        <w:t>Cogent Business &amp; Management</w:t>
      </w:r>
      <w:r>
        <w:rPr>
          <w:rFonts w:hint="default" w:ascii="Arial Regular" w:hAnsi="Arial Regular" w:cs="Arial Regular" w:eastAsiaTheme="minorEastAsia"/>
        </w:rPr>
        <w:t xml:space="preserve">, 12(1), 2495191. </w:t>
      </w:r>
    </w:p>
    <w:p w14:paraId="276F4941">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Okolo, F.C., Etukudoh, E.A., Ogunwole, O. and Omotunde, G. (2024) ‘Strategic Framework for Strengthening AML Compliance Across Cross-Border Transport, Shipping, and Logistics Channels’, </w:t>
      </w:r>
      <w:r>
        <w:rPr>
          <w:rFonts w:hint="default" w:ascii="Arial Regular" w:hAnsi="Arial Regular" w:cs="Arial Regular" w:eastAsiaTheme="minorEastAsia"/>
          <w:i/>
          <w:iCs/>
        </w:rPr>
        <w:t>Engineering and Technology Journal</w:t>
      </w:r>
      <w:r>
        <w:rPr>
          <w:rFonts w:hint="default" w:ascii="Arial Regular" w:hAnsi="Arial Regular" w:cs="Arial Regular" w:eastAsiaTheme="minorEastAsia"/>
        </w:rPr>
        <w:t xml:space="preserve">, 4(6), pp. 1751-1760. </w:t>
      </w:r>
    </w:p>
    <w:p w14:paraId="735A0226">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Saunders, M. N. K., Lewis, P., &amp; Thornhill, A. (2023) </w:t>
      </w:r>
      <w:r>
        <w:rPr>
          <w:rFonts w:hint="default" w:ascii="Arial Regular" w:hAnsi="Arial Regular" w:cs="Arial Regular" w:eastAsiaTheme="minorEastAsia"/>
          <w:i/>
          <w:iCs/>
        </w:rPr>
        <w:t>Research methods for business students</w:t>
      </w:r>
      <w:r>
        <w:rPr>
          <w:rFonts w:hint="default" w:ascii="Arial Regular" w:hAnsi="Arial Regular" w:cs="Arial Regular" w:eastAsiaTheme="minorEastAsia"/>
        </w:rPr>
        <w:t xml:space="preserve"> (9th ed.). Harlow: Pearson Education</w:t>
      </w:r>
    </w:p>
    <w:p w14:paraId="5F116D34">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Sikiru, A.O., Chima, O.K., Otunba, M., Gaffar, O. and Adenuga, A.A. (2024) ‘The Tokenization of Illiquid Assets: Architecting the Next Generation of Investment Banking Advisory and Capital Markets’, </w:t>
      </w:r>
      <w:r>
        <w:rPr>
          <w:rFonts w:hint="default" w:ascii="Arial Regular" w:hAnsi="Arial Regular" w:cs="Arial Regular" w:eastAsiaTheme="minorEastAsia"/>
          <w:i/>
          <w:iCs/>
        </w:rPr>
        <w:t>International Journal of Scientific Research in Humanities and Social Sciences</w:t>
      </w:r>
      <w:r>
        <w:rPr>
          <w:rFonts w:hint="default" w:ascii="Arial Regular" w:hAnsi="Arial Regular" w:cs="Arial Regular" w:eastAsiaTheme="minorEastAsia"/>
        </w:rPr>
        <w:t xml:space="preserve">, 1(2), pp. 404–432. </w:t>
      </w:r>
    </w:p>
    <w:p w14:paraId="3A975868">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Silenteight (2025) ‘2025 trends in AML and financial crime compliance: a data-centric perspective and deep dive into transaction monitoring’.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"https://www.silenteight.com/blog/2025-trends-in-aml-and-financial-crime-compliance-a-data-centric-perspective-and-deep-dive-into-transaction-monitoring"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https://www.silenteight.com/blog/2025-trends-in-aml-and-financial-crime-compliance-a-data-centric-perspective-and-deep-dive-into-transaction-monitoring</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5B275290">
      <w:pPr>
        <w:ind w:left="720" w:hanging="720"/>
        <w:rPr>
          <w:rFonts w:hint="default" w:ascii="Arial Regular" w:hAnsi="Arial Regular" w:cs="Arial Regular" w:eastAsiaTheme="minorEastAsia"/>
        </w:rPr>
      </w:pPr>
      <w:r>
        <w:rPr>
          <w:rFonts w:hint="default" w:ascii="Arial Regular" w:hAnsi="Arial Regular" w:cs="Arial Regular" w:eastAsiaTheme="minorEastAsia"/>
        </w:rPr>
        <w:t>Tate, J. A., &amp; Happ, M. B. (2018) Qualitative secondary analysis: a case exemplar. </w:t>
      </w:r>
      <w:r>
        <w:rPr>
          <w:rFonts w:hint="default" w:ascii="Arial Regular" w:hAnsi="Arial Regular" w:cs="Arial Regular" w:eastAsiaTheme="minorEastAsia"/>
          <w:i/>
          <w:iCs/>
        </w:rPr>
        <w:t>Journal of Pediatric Health Care</w:t>
      </w:r>
      <w:r>
        <w:rPr>
          <w:rFonts w:hint="default" w:ascii="Arial Regular" w:hAnsi="Arial Regular" w:cs="Arial Regular" w:eastAsiaTheme="minorEastAsia"/>
        </w:rPr>
        <w:t>, </w:t>
      </w:r>
      <w:r>
        <w:rPr>
          <w:rFonts w:hint="default" w:ascii="Arial Regular" w:hAnsi="Arial Regular" w:cs="Arial Regular" w:eastAsiaTheme="minorEastAsia"/>
          <w:i/>
          <w:iCs/>
        </w:rPr>
        <w:t>32</w:t>
      </w:r>
      <w:r>
        <w:rPr>
          <w:rFonts w:hint="default" w:ascii="Arial Regular" w:hAnsi="Arial Regular" w:cs="Arial Regular" w:eastAsiaTheme="minorEastAsia"/>
        </w:rPr>
        <w:t>(3), 308-312.</w:t>
      </w:r>
    </w:p>
    <w:p w14:paraId="0E9754C7">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Thakur, S.Y., Yadav, P.D., Mankame, Y.S. and Manrai, R. (2025) ‘The impact of anti-money laundering measures on remittance costs: moderating role of frontier technology’, </w:t>
      </w:r>
      <w:r>
        <w:rPr>
          <w:rFonts w:hint="default" w:ascii="Arial Regular" w:hAnsi="Arial Regular" w:cs="Arial Regular" w:eastAsiaTheme="minorEastAsia"/>
          <w:i/>
          <w:iCs/>
        </w:rPr>
        <w:t>Humanities and Social Sciences Communications</w:t>
      </w:r>
      <w:r>
        <w:rPr>
          <w:rFonts w:hint="default" w:ascii="Arial Regular" w:hAnsi="Arial Regular" w:cs="Arial Regular" w:eastAsiaTheme="minorEastAsia"/>
        </w:rPr>
        <w:t xml:space="preserve">, 12(1), pp. 1–11.  </w:t>
      </w:r>
    </w:p>
    <w:p w14:paraId="5E9C1070">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United Nations Conference on Trade and Development (UNCTAD) (2025) ‘Global trade hits record 33 trillion in 2024 – driven by services and developing economies’.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"https://unctad.org/news/global-trade-hits-record-33-trillion-2024-driven-services-and-developing-economies"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https://unctad.org/news/global-trade-hits-record-33-trillion-2024-driven-services-and-developing-economies</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242F70BB">
      <w:pPr>
        <w:ind w:left="720" w:hanging="720"/>
        <w:rPr>
          <w:rFonts w:hint="default" w:ascii="Arial Regular" w:hAnsi="Arial Regular" w:cs="Arial Regular" w:eastAsiaTheme="minorEastAsia"/>
        </w:rPr>
      </w:pPr>
      <w:r>
        <w:rPr>
          <w:rFonts w:hint="default" w:ascii="Arial Regular" w:hAnsi="Arial Regular" w:cs="Arial Regular" w:eastAsiaTheme="minorEastAsia"/>
        </w:rPr>
        <w:t xml:space="preserve">US Department of the Treasury (2024) </w:t>
      </w:r>
      <w:r>
        <w:rPr>
          <w:rFonts w:hint="default" w:ascii="Arial Regular" w:hAnsi="Arial Regular" w:cs="Arial Regular" w:eastAsiaTheme="minorEastAsia"/>
          <w:i/>
          <w:iCs/>
        </w:rPr>
        <w:t>2024 National Money Laundering Risk Assessment</w:t>
      </w:r>
      <w:r>
        <w:rPr>
          <w:rFonts w:hint="default" w:ascii="Arial Regular" w:hAnsi="Arial Regular" w:cs="Arial Regular" w:eastAsiaTheme="minorEastAsia"/>
        </w:rPr>
        <w:t xml:space="preserve">. Available at: </w:t>
      </w:r>
      <w:r>
        <w:rPr>
          <w:rFonts w:hint="default" w:ascii="Arial Regular" w:hAnsi="Arial Regular" w:cs="Arial Regular" w:eastAsiaTheme="minorEastAsia"/>
        </w:rPr>
        <w:fldChar w:fldCharType="begin"/>
      </w:r>
      <w:r>
        <w:rPr>
          <w:rFonts w:hint="default" w:ascii="Arial Regular" w:hAnsi="Arial Regular" w:cs="Arial Regular" w:eastAsiaTheme="minorEastAsia"/>
        </w:rPr>
        <w:instrText xml:space="preserve"> HYPERLINK "https://home.treasury.gov/system/files/136/2024-National-Money-Laundering-Risk-Assessment.pdf?utm_source=chatgpt.com" \t "_new" </w:instrText>
      </w:r>
      <w:r>
        <w:rPr>
          <w:rFonts w:hint="default" w:ascii="Arial Regular" w:hAnsi="Arial Regular" w:cs="Arial Regular" w:eastAsiaTheme="minorEastAsia"/>
        </w:rPr>
        <w:fldChar w:fldCharType="separate"/>
      </w:r>
      <w:r>
        <w:rPr>
          <w:rStyle w:val="17"/>
          <w:rFonts w:hint="default" w:ascii="Arial Regular" w:hAnsi="Arial Regular" w:cs="Arial Regular" w:eastAsiaTheme="minorEastAsia"/>
        </w:rPr>
        <w:t>https://home.treasury.gov/system/files/136/2024-National-Money-Laundering-Risk-Assessment.pdf</w:t>
      </w:r>
      <w:r>
        <w:rPr>
          <w:rStyle w:val="17"/>
          <w:rFonts w:hint="default" w:ascii="Arial Regular" w:hAnsi="Arial Regular" w:cs="Arial Regular" w:eastAsiaTheme="minorEastAsia"/>
        </w:rPr>
        <w:fldChar w:fldCharType="end"/>
      </w:r>
      <w:r>
        <w:rPr>
          <w:rFonts w:hint="default" w:ascii="Arial Regular" w:hAnsi="Arial Regular" w:cs="Arial Regular" w:eastAsiaTheme="minorEastAsia"/>
        </w:rPr>
        <w:t xml:space="preserve"> (Accessed: 7 November 2025). </w:t>
      </w:r>
    </w:p>
    <w:p w14:paraId="15BD60E1">
      <w:pPr>
        <w:ind w:left="720" w:hanging="720"/>
        <w:rPr>
          <w:rFonts w:hint="default" w:ascii="Arial Regular" w:hAnsi="Arial Regular" w:cs="Arial Regular" w:eastAsiaTheme="minorEastAsia"/>
          <w:lang w:val="en-US"/>
        </w:rPr>
      </w:pPr>
      <w:r>
        <w:rPr>
          <w:rFonts w:hint="default" w:ascii="Arial Regular" w:hAnsi="Arial Regular" w:cs="Arial Regular" w:eastAsiaTheme="minorEastAsia"/>
        </w:rPr>
        <w:t xml:space="preserve">Walliman, N. (2021) </w:t>
      </w:r>
      <w:r>
        <w:rPr>
          <w:rFonts w:hint="default" w:ascii="Arial Regular" w:hAnsi="Arial Regular" w:cs="Arial Regular" w:eastAsiaTheme="minorEastAsia"/>
          <w:i/>
          <w:iCs/>
        </w:rPr>
        <w:t>Research methods: The basics</w:t>
      </w:r>
      <w:r>
        <w:rPr>
          <w:rFonts w:hint="default" w:ascii="Arial Regular" w:hAnsi="Arial Regular" w:cs="Arial Regular" w:eastAsiaTheme="minorEastAsia"/>
        </w:rPr>
        <w:t>. 2nd edn. London: Routledge.</w:t>
      </w:r>
    </w:p>
    <w:p w14:paraId="4827D605">
      <w:pPr>
        <w:rPr>
          <w:rFonts w:hint="default" w:ascii="Arial Regular" w:hAnsi="Arial Regular" w:cs="Arial Regular" w:eastAsiaTheme="minorEastAsia"/>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等线 Light">
    <w:altName w:val="宋体-简"/>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宋体-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SimSun">
    <w:altName w:val="宋体-简"/>
    <w:panose1 w:val="02010600030101010101"/>
    <w:charset w:val="86"/>
    <w:family w:val="roman"/>
    <w:pitch w:val="variable"/>
    <w:sig w:usb0="00000003" w:usb1="288F0000" w:usb2="00000016" w:usb3="00000000" w:csb0="00040001" w:csb1="00000000"/>
  </w:font>
  <w:font w:name="Baoli SC">
    <w:panose1 w:val="02010600040101010101"/>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Arial Regular">
    <w:panose1 w:val="020B06040202020902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C5D11"/>
    <w:multiLevelType w:val="multilevel"/>
    <w:tmpl w:val="13AC5D1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CD62880"/>
    <w:multiLevelType w:val="multilevel"/>
    <w:tmpl w:val="6CD6288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CCF"/>
    <w:rsid w:val="00033241"/>
    <w:rsid w:val="00074387"/>
    <w:rsid w:val="00077581"/>
    <w:rsid w:val="0008627C"/>
    <w:rsid w:val="000A719F"/>
    <w:rsid w:val="000C4919"/>
    <w:rsid w:val="0013418C"/>
    <w:rsid w:val="00143136"/>
    <w:rsid w:val="00183CEB"/>
    <w:rsid w:val="001925FD"/>
    <w:rsid w:val="001B1B90"/>
    <w:rsid w:val="001C76FE"/>
    <w:rsid w:val="001F074F"/>
    <w:rsid w:val="001F1D4A"/>
    <w:rsid w:val="001F65BA"/>
    <w:rsid w:val="00292032"/>
    <w:rsid w:val="002B766A"/>
    <w:rsid w:val="002C4B81"/>
    <w:rsid w:val="002E69B7"/>
    <w:rsid w:val="00301450"/>
    <w:rsid w:val="00356ABE"/>
    <w:rsid w:val="00367DC0"/>
    <w:rsid w:val="00392BBB"/>
    <w:rsid w:val="003B5FC1"/>
    <w:rsid w:val="003F4AEB"/>
    <w:rsid w:val="00402460"/>
    <w:rsid w:val="004208C9"/>
    <w:rsid w:val="004536F5"/>
    <w:rsid w:val="004772B4"/>
    <w:rsid w:val="004B537B"/>
    <w:rsid w:val="005C259B"/>
    <w:rsid w:val="005E3897"/>
    <w:rsid w:val="00613769"/>
    <w:rsid w:val="006155FA"/>
    <w:rsid w:val="006260C1"/>
    <w:rsid w:val="006747FC"/>
    <w:rsid w:val="00675234"/>
    <w:rsid w:val="006C387D"/>
    <w:rsid w:val="006D0CE7"/>
    <w:rsid w:val="006D3405"/>
    <w:rsid w:val="006D3EA6"/>
    <w:rsid w:val="006D53C6"/>
    <w:rsid w:val="006E3976"/>
    <w:rsid w:val="00733A2F"/>
    <w:rsid w:val="0075328B"/>
    <w:rsid w:val="00753FC8"/>
    <w:rsid w:val="00765272"/>
    <w:rsid w:val="00793B52"/>
    <w:rsid w:val="007C0D51"/>
    <w:rsid w:val="007E5B2D"/>
    <w:rsid w:val="007F6AB0"/>
    <w:rsid w:val="00827CA4"/>
    <w:rsid w:val="00833F7A"/>
    <w:rsid w:val="00862A8D"/>
    <w:rsid w:val="00911066"/>
    <w:rsid w:val="00932CCF"/>
    <w:rsid w:val="009522AB"/>
    <w:rsid w:val="0096156E"/>
    <w:rsid w:val="00975DCB"/>
    <w:rsid w:val="009B7C8A"/>
    <w:rsid w:val="00A14150"/>
    <w:rsid w:val="00A51BA2"/>
    <w:rsid w:val="00AB078C"/>
    <w:rsid w:val="00AE0992"/>
    <w:rsid w:val="00B10A58"/>
    <w:rsid w:val="00B21591"/>
    <w:rsid w:val="00B2444D"/>
    <w:rsid w:val="00B34DF8"/>
    <w:rsid w:val="00C45E24"/>
    <w:rsid w:val="00C67189"/>
    <w:rsid w:val="00CD1BF5"/>
    <w:rsid w:val="00CE3BDE"/>
    <w:rsid w:val="00D11F1A"/>
    <w:rsid w:val="00D44A22"/>
    <w:rsid w:val="00D82259"/>
    <w:rsid w:val="00DB6DC3"/>
    <w:rsid w:val="00E544C8"/>
    <w:rsid w:val="00E55BAA"/>
    <w:rsid w:val="00E63350"/>
    <w:rsid w:val="00EA4603"/>
    <w:rsid w:val="00EA6A44"/>
    <w:rsid w:val="00EC3098"/>
    <w:rsid w:val="00EE77CC"/>
    <w:rsid w:val="00F20938"/>
    <w:rsid w:val="00F32011"/>
    <w:rsid w:val="00F47292"/>
    <w:rsid w:val="00FE7754"/>
    <w:rsid w:val="2F4D8AB3"/>
    <w:rsid w:val="39ED1D01"/>
    <w:rsid w:val="3FEE51EB"/>
    <w:rsid w:val="4C7C2EC8"/>
    <w:rsid w:val="57FE3E22"/>
    <w:rsid w:val="5D5F1EF7"/>
    <w:rsid w:val="5FD3D2EB"/>
    <w:rsid w:val="5FDE54F6"/>
    <w:rsid w:val="61EFF368"/>
    <w:rsid w:val="6BBF3C36"/>
    <w:rsid w:val="6FB63F00"/>
    <w:rsid w:val="77BDC534"/>
    <w:rsid w:val="7F79B0BD"/>
    <w:rsid w:val="9775A605"/>
    <w:rsid w:val="AAFFAC4F"/>
    <w:rsid w:val="B692BAF3"/>
    <w:rsid w:val="BFDF0FAB"/>
    <w:rsid w:val="DF7EFD45"/>
    <w:rsid w:val="EFD72D6E"/>
    <w:rsid w:val="F6FF584B"/>
    <w:rsid w:val="FBF6ED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jc w:val="both"/>
    </w:pPr>
    <w:rPr>
      <w:rFonts w:ascii="Times New Roman" w:hAnsi="Times New Roman" w:eastAsia="Times New Roman" w:cs="Times New Roman"/>
      <w:kern w:val="2"/>
      <w:sz w:val="24"/>
      <w:szCs w:val="22"/>
      <w:lang w:val="en-GB" w:eastAsia="en-GB" w:bidi="ar-SA"/>
      <w14:ligatures w14:val="standardContextual"/>
    </w:rPr>
  </w:style>
  <w:style w:type="paragraph" w:styleId="2">
    <w:name w:val="heading 1"/>
    <w:basedOn w:val="1"/>
    <w:next w:val="1"/>
    <w:link w:val="22"/>
    <w:autoRedefine/>
    <w:qFormat/>
    <w:uiPriority w:val="9"/>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3">
    <w:name w:val="heading 2"/>
    <w:basedOn w:val="1"/>
    <w:next w:val="1"/>
    <w:link w:val="23"/>
    <w:autoRedefine/>
    <w:unhideWhenUsed/>
    <w:qFormat/>
    <w:uiPriority w:val="9"/>
    <w:pPr>
      <w:keepNext/>
      <w:keepLines/>
      <w:pBdr>
        <w:bottom w:val="single" w:color="auto" w:sz="6" w:space="1"/>
      </w:pBdr>
      <w:spacing w:before="160" w:after="200"/>
      <w:outlineLvl w:val="1"/>
    </w:pPr>
    <w:rPr>
      <w:rFonts w:eastAsiaTheme="majorEastAsia" w:cstheme="majorBidi"/>
      <w:b/>
      <w:color w:val="0070C0"/>
      <w:sz w:val="28"/>
      <w:szCs w:val="26"/>
      <w:lang w:val="en-US"/>
    </w:rPr>
  </w:style>
  <w:style w:type="paragraph" w:styleId="4">
    <w:name w:val="heading 3"/>
    <w:basedOn w:val="1"/>
    <w:next w:val="1"/>
    <w:link w:val="24"/>
    <w:autoRedefine/>
    <w:unhideWhenUsed/>
    <w:qFormat/>
    <w:uiPriority w:val="9"/>
    <w:pPr>
      <w:keepNext/>
      <w:keepLines/>
      <w:spacing w:before="160" w:after="200"/>
      <w:outlineLvl w:val="2"/>
    </w:pPr>
    <w:rPr>
      <w:rFonts w:eastAsiaTheme="majorEastAsia" w:cstheme="majorBidi"/>
      <w:b/>
      <w:color w:val="7030A0"/>
      <w:sz w:val="25"/>
      <w:szCs w:val="24"/>
      <w:lang w:val="en-US"/>
    </w:rPr>
  </w:style>
  <w:style w:type="paragraph" w:styleId="5">
    <w:name w:val="heading 4"/>
    <w:basedOn w:val="1"/>
    <w:next w:val="1"/>
    <w:link w:val="25"/>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before="0"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before="0"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autoRedefine/>
    <w:unhideWhenUsed/>
    <w:qFormat/>
    <w:uiPriority w:val="0"/>
    <w:pPr>
      <w:spacing w:after="360"/>
      <w:jc w:val="center"/>
    </w:pPr>
    <w:rPr>
      <w:rFonts w:cstheme="minorHAnsi"/>
      <w:b/>
      <w:i/>
      <w:iCs/>
      <w:sz w:val="20"/>
      <w:szCs w:val="24"/>
      <w:lang w:val="en-ZA"/>
    </w:rPr>
  </w:style>
  <w:style w:type="character" w:styleId="14">
    <w:name w:val="FollowedHyperlink"/>
    <w:basedOn w:val="11"/>
    <w:semiHidden/>
    <w:unhideWhenUsed/>
    <w:uiPriority w:val="99"/>
    <w:rPr>
      <w:color w:val="954F72" w:themeColor="followedHyperlink"/>
      <w:u w:val="single"/>
      <w14:textFill>
        <w14:solidFill>
          <w14:schemeClr w14:val="folHlink"/>
        </w14:solidFill>
      </w14:textFill>
    </w:rPr>
  </w:style>
  <w:style w:type="paragraph" w:styleId="15">
    <w:name w:val="footer"/>
    <w:basedOn w:val="1"/>
    <w:link w:val="42"/>
    <w:unhideWhenUsed/>
    <w:uiPriority w:val="99"/>
    <w:pPr>
      <w:tabs>
        <w:tab w:val="center" w:pos="4513"/>
        <w:tab w:val="right" w:pos="9026"/>
      </w:tabs>
      <w:spacing w:before="0" w:after="0" w:line="240" w:lineRule="auto"/>
    </w:pPr>
  </w:style>
  <w:style w:type="paragraph" w:styleId="16">
    <w:name w:val="header"/>
    <w:basedOn w:val="1"/>
    <w:link w:val="41"/>
    <w:unhideWhenUsed/>
    <w:uiPriority w:val="99"/>
    <w:pPr>
      <w:tabs>
        <w:tab w:val="center" w:pos="4513"/>
        <w:tab w:val="right" w:pos="9026"/>
      </w:tabs>
      <w:spacing w:before="0" w:after="0" w:line="240" w:lineRule="auto"/>
    </w:pPr>
  </w:style>
  <w:style w:type="character" w:styleId="17">
    <w:name w:val="Hyperlink"/>
    <w:basedOn w:val="11"/>
    <w:unhideWhenUsed/>
    <w:uiPriority w:val="99"/>
    <w:rPr>
      <w:color w:val="0563C1" w:themeColor="hyperlink"/>
      <w:u w:val="single"/>
      <w14:textFill>
        <w14:solidFill>
          <w14:schemeClr w14:val="hlink"/>
        </w14:solidFill>
      </w14:textFill>
    </w:rPr>
  </w:style>
  <w:style w:type="paragraph" w:styleId="18">
    <w:name w:val="Subtitle"/>
    <w:basedOn w:val="1"/>
    <w:next w:val="1"/>
    <w:link w:val="32"/>
    <w:qFormat/>
    <w:uiPriority w:val="11"/>
    <w:pPr>
      <w:spacing w:after="160"/>
    </w:pPr>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1"/>
    <w:qFormat/>
    <w:uiPriority w:val="10"/>
    <w:pPr>
      <w:spacing w:before="0"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tabs>
        <w:tab w:val="right" w:leader="dot" w:pos="9016"/>
      </w:tabs>
      <w:spacing w:after="100"/>
    </w:pPr>
    <w:rPr>
      <w:b/>
      <w:bCs/>
      <w:color w:val="7030A0"/>
      <w:lang w:val="en-US"/>
    </w:rPr>
  </w:style>
  <w:style w:type="paragraph" w:styleId="21">
    <w:name w:val="toc 2"/>
    <w:basedOn w:val="1"/>
    <w:next w:val="1"/>
    <w:autoRedefine/>
    <w:unhideWhenUsed/>
    <w:uiPriority w:val="39"/>
    <w:pPr>
      <w:spacing w:after="100"/>
      <w:ind w:left="240"/>
    </w:pPr>
  </w:style>
  <w:style w:type="character" w:customStyle="1" w:styleId="22">
    <w:name w:val="Heading 1 Char"/>
    <w:basedOn w:val="11"/>
    <w:link w:val="2"/>
    <w:uiPriority w:val="9"/>
    <w:rPr>
      <w:rFonts w:ascii="Times New Roman" w:hAnsi="Times New Roman" w:eastAsiaTheme="majorEastAsia" w:cstheme="majorBidi"/>
      <w:b/>
      <w:color w:val="002060"/>
      <w:sz w:val="32"/>
      <w:szCs w:val="32"/>
      <w:shd w:val="clear" w:color="auto" w:fill="BDD6EE" w:themeFill="accent5" w:themeFillTint="66"/>
      <w:lang w:eastAsia="en-GB"/>
      <w14:ligatures w14:val="standardContextual"/>
    </w:rPr>
  </w:style>
  <w:style w:type="character" w:customStyle="1" w:styleId="23">
    <w:name w:val="Heading 2 Char"/>
    <w:basedOn w:val="11"/>
    <w:link w:val="3"/>
    <w:uiPriority w:val="9"/>
    <w:rPr>
      <w:rFonts w:ascii="Times New Roman" w:hAnsi="Times New Roman" w:eastAsiaTheme="majorEastAsia" w:cstheme="majorBidi"/>
      <w:b/>
      <w:color w:val="0070C0"/>
      <w:sz w:val="28"/>
      <w:szCs w:val="26"/>
      <w:lang w:val="en-US" w:eastAsia="en-GB"/>
      <w14:ligatures w14:val="standardContextual"/>
    </w:rPr>
  </w:style>
  <w:style w:type="character" w:customStyle="1" w:styleId="24">
    <w:name w:val="Heading 3 Char"/>
    <w:basedOn w:val="11"/>
    <w:link w:val="4"/>
    <w:uiPriority w:val="9"/>
    <w:rPr>
      <w:rFonts w:ascii="Times New Roman" w:hAnsi="Times New Roman" w:eastAsiaTheme="majorEastAsia" w:cstheme="majorBidi"/>
      <w:b/>
      <w:color w:val="7030A0"/>
      <w:sz w:val="25"/>
      <w:szCs w:val="24"/>
      <w:lang w:val="en-US" w:eastAsia="en-GB"/>
      <w14:ligatures w14:val="standardContextual"/>
    </w:rPr>
  </w:style>
  <w:style w:type="character" w:customStyle="1" w:styleId="25">
    <w:name w:val="Heading 4 Char"/>
    <w:basedOn w:val="11"/>
    <w:link w:val="5"/>
    <w:semiHidden/>
    <w:uiPriority w:val="9"/>
    <w:rPr>
      <w:rFonts w:eastAsiaTheme="majorEastAsia" w:cstheme="majorBidi"/>
      <w:i/>
      <w:iCs/>
      <w:color w:val="2F5597" w:themeColor="accent1" w:themeShade="BF"/>
      <w:sz w:val="24"/>
      <w:lang w:eastAsia="en-GB"/>
    </w:rPr>
  </w:style>
  <w:style w:type="character" w:customStyle="1" w:styleId="26">
    <w:name w:val="Heading 5 Char"/>
    <w:basedOn w:val="11"/>
    <w:link w:val="6"/>
    <w:semiHidden/>
    <w:uiPriority w:val="9"/>
    <w:rPr>
      <w:rFonts w:eastAsiaTheme="majorEastAsia" w:cstheme="majorBidi"/>
      <w:color w:val="2F5597" w:themeColor="accent1" w:themeShade="BF"/>
      <w:sz w:val="24"/>
      <w:lang w:eastAsia="en-GB"/>
    </w:rPr>
  </w:style>
  <w:style w:type="character" w:customStyle="1" w:styleId="27">
    <w:name w:val="Heading 6 Char"/>
    <w:basedOn w:val="11"/>
    <w:link w:val="7"/>
    <w:semiHidden/>
    <w:uiPriority w:val="9"/>
    <w:rPr>
      <w:rFonts w:eastAsiaTheme="majorEastAsia" w:cstheme="majorBidi"/>
      <w:i/>
      <w:iCs/>
      <w:color w:val="595959" w:themeColor="text1" w:themeTint="A6"/>
      <w:sz w:val="24"/>
      <w:lang w:eastAsia="en-GB"/>
      <w14:textFill>
        <w14:solidFill>
          <w14:schemeClr w14:val="tx1">
            <w14:lumMod w14:val="65000"/>
            <w14:lumOff w14:val="35000"/>
          </w14:schemeClr>
        </w14:solidFill>
      </w14:textFill>
    </w:rPr>
  </w:style>
  <w:style w:type="character" w:customStyle="1" w:styleId="28">
    <w:name w:val="Heading 7 Char"/>
    <w:basedOn w:val="11"/>
    <w:link w:val="8"/>
    <w:semiHidden/>
    <w:uiPriority w:val="9"/>
    <w:rPr>
      <w:rFonts w:eastAsiaTheme="majorEastAsia" w:cstheme="majorBidi"/>
      <w:color w:val="595959" w:themeColor="text1" w:themeTint="A6"/>
      <w:sz w:val="24"/>
      <w:lang w:eastAsia="en-GB"/>
      <w14:textFill>
        <w14:solidFill>
          <w14:schemeClr w14:val="tx1">
            <w14:lumMod w14:val="65000"/>
            <w14:lumOff w14:val="35000"/>
          </w14:schemeClr>
        </w14:solidFill>
      </w14:textFill>
    </w:rPr>
  </w:style>
  <w:style w:type="character" w:customStyle="1" w:styleId="29">
    <w:name w:val="Heading 8 Char"/>
    <w:basedOn w:val="11"/>
    <w:link w:val="9"/>
    <w:semiHidden/>
    <w:uiPriority w:val="9"/>
    <w:rPr>
      <w:rFonts w:eastAsiaTheme="majorEastAsia" w:cstheme="majorBidi"/>
      <w:i/>
      <w:iCs/>
      <w:color w:val="262626" w:themeColor="text1" w:themeTint="D9"/>
      <w:sz w:val="24"/>
      <w:lang w:eastAsia="en-GB"/>
      <w14:textFill>
        <w14:solidFill>
          <w14:schemeClr w14:val="tx1">
            <w14:lumMod w14:val="85000"/>
            <w14:lumOff w14:val="15000"/>
          </w14:schemeClr>
        </w14:solidFill>
      </w14:textFill>
    </w:rPr>
  </w:style>
  <w:style w:type="character" w:customStyle="1" w:styleId="30">
    <w:name w:val="Heading 9 Char"/>
    <w:basedOn w:val="11"/>
    <w:link w:val="10"/>
    <w:semiHidden/>
    <w:uiPriority w:val="9"/>
    <w:rPr>
      <w:rFonts w:eastAsiaTheme="majorEastAsia" w:cstheme="majorBidi"/>
      <w:color w:val="262626" w:themeColor="text1" w:themeTint="D9"/>
      <w:sz w:val="24"/>
      <w:lang w:eastAsia="en-GB"/>
      <w14:textFill>
        <w14:solidFill>
          <w14:schemeClr w14:val="tx1">
            <w14:lumMod w14:val="85000"/>
            <w14:lumOff w14:val="15000"/>
          </w14:schemeClr>
        </w14:solidFill>
      </w14:textFill>
    </w:rPr>
  </w:style>
  <w:style w:type="character" w:customStyle="1" w:styleId="31">
    <w:name w:val="Title Char"/>
    <w:basedOn w:val="11"/>
    <w:link w:val="19"/>
    <w:uiPriority w:val="10"/>
    <w:rPr>
      <w:rFonts w:asciiTheme="majorHAnsi" w:hAnsiTheme="majorHAnsi" w:eastAsiaTheme="majorEastAsia" w:cstheme="majorBidi"/>
      <w:spacing w:val="-10"/>
      <w:kern w:val="28"/>
      <w:sz w:val="56"/>
      <w:szCs w:val="56"/>
      <w:lang w:eastAsia="en-GB"/>
    </w:rPr>
  </w:style>
  <w:style w:type="character" w:customStyle="1" w:styleId="32">
    <w:name w:val="Subtitle Char"/>
    <w:basedOn w:val="11"/>
    <w:link w:val="18"/>
    <w:uiPriority w:val="11"/>
    <w:rPr>
      <w:rFonts w:eastAsiaTheme="majorEastAsia" w:cstheme="majorBidi"/>
      <w:color w:val="595959" w:themeColor="text1" w:themeTint="A6"/>
      <w:spacing w:val="15"/>
      <w:sz w:val="28"/>
      <w:szCs w:val="28"/>
      <w:lang w:eastAsia="en-GB"/>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uiPriority w:val="29"/>
    <w:rPr>
      <w:rFonts w:ascii="Times New Roman" w:hAnsi="Times New Roman" w:cs="Times New Roman"/>
      <w:i/>
      <w:iCs/>
      <w:color w:val="404040" w:themeColor="text1" w:themeTint="BF"/>
      <w:sz w:val="24"/>
      <w:lang w:eastAsia="en-GB"/>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Intense Quote Char"/>
    <w:basedOn w:val="11"/>
    <w:link w:val="37"/>
    <w:uiPriority w:val="30"/>
    <w:rPr>
      <w:rFonts w:ascii="Times New Roman" w:hAnsi="Times New Roman" w:cs="Times New Roman"/>
      <w:i/>
      <w:iCs/>
      <w:color w:val="2F5597" w:themeColor="accent1" w:themeShade="BF"/>
      <w:sz w:val="24"/>
      <w:lang w:eastAsia="en-GB"/>
    </w:rPr>
  </w:style>
  <w:style w:type="character" w:customStyle="1" w:styleId="39">
    <w:name w:val="Intense Reference"/>
    <w:basedOn w:val="11"/>
    <w:qFormat/>
    <w:uiPriority w:val="32"/>
    <w:rPr>
      <w:b/>
      <w:bCs/>
      <w:smallCaps/>
      <w:color w:val="2F5597" w:themeColor="accent1" w:themeShade="BF"/>
      <w:spacing w:val="5"/>
    </w:rPr>
  </w:style>
  <w:style w:type="table" w:customStyle="1" w:styleId="40">
    <w:name w:val="Grid Table 4 Accent 5"/>
    <w:basedOn w:val="12"/>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character" w:customStyle="1" w:styleId="41">
    <w:name w:val="Header Char"/>
    <w:basedOn w:val="11"/>
    <w:link w:val="16"/>
    <w:uiPriority w:val="99"/>
    <w:rPr>
      <w:rFonts w:ascii="Times New Roman" w:hAnsi="Times New Roman" w:cs="Times New Roman"/>
      <w:sz w:val="24"/>
      <w:lang w:eastAsia="en-GB"/>
    </w:rPr>
  </w:style>
  <w:style w:type="character" w:customStyle="1" w:styleId="42">
    <w:name w:val="Footer Char"/>
    <w:basedOn w:val="11"/>
    <w:link w:val="15"/>
    <w:uiPriority w:val="99"/>
    <w:rPr>
      <w:rFonts w:ascii="Times New Roman" w:hAnsi="Times New Roman" w:cs="Times New Roman"/>
      <w:sz w:val="24"/>
      <w:lang w:eastAsia="en-GB"/>
    </w:rPr>
  </w:style>
  <w:style w:type="character" w:customStyle="1" w:styleId="43">
    <w:name w:val="Unresolved Mention"/>
    <w:basedOn w:val="11"/>
    <w:semiHidden/>
    <w:unhideWhenUsed/>
    <w:uiPriority w:val="99"/>
    <w:rPr>
      <w:color w:val="605E5C"/>
      <w:shd w:val="clear" w:color="auto" w:fill="E1DFDD"/>
    </w:rPr>
  </w:style>
  <w:style w:type="paragraph" w:customStyle="1" w:styleId="44">
    <w:name w:val="TOC Heading"/>
    <w:basedOn w:val="2"/>
    <w:next w:val="1"/>
    <w:unhideWhenUsed/>
    <w:qFormat/>
    <w:uiPriority w:val="39"/>
    <w:pPr>
      <w:shd w:val="clear" w:color="auto" w:fill="auto"/>
      <w:spacing w:before="240" w:after="0" w:line="259" w:lineRule="auto"/>
      <w:jc w:val="left"/>
      <w:outlineLvl w:val="9"/>
    </w:pPr>
    <w:rPr>
      <w:rFonts w:asciiTheme="majorHAnsi" w:hAnsiTheme="majorHAnsi"/>
      <w:b w:val="0"/>
      <w:color w:val="2F5597" w:themeColor="accent1" w:themeShade="BF"/>
      <w:kern w:val="0"/>
      <w:lang w:val="en-US" w:eastAsia="en-US"/>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3876</Words>
  <Characters>22755</Characters>
  <Lines>421</Lines>
  <Paragraphs>168</Paragraphs>
  <TotalTime>10</TotalTime>
  <ScaleCrop>false</ScaleCrop>
  <LinksUpToDate>false</LinksUpToDate>
  <CharactersWithSpaces>26463</CharactersWithSpaces>
  <Application>WPS Office_12.1.23143.23143_F1E327BC-269C-435d-A152-05C5408002CA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2025-09-27T11:25:00Z</dcterms:created>
  <dcterms:modified xsi:type="dcterms:W3CDTF">2025-11-06T14:31:08Z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1033-12.1.23143.23143</vt:lpwstr>
  </property>
  <property fmtid="{D5CDD505-2E9C-101B-9397-08002B2CF9AE}" pid="3" name="ICV">
    <vt:lpwstr>FDB310999CBB241FAC210D690555596E_43</vt:lpwstr>
  </property>
</Properties>
</file>