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898113" w14:textId="77777777" w:rsidR="00461C83" w:rsidRDefault="00461C83" w:rsidP="00461C83">
      <w:r>
        <w:t>2427571 Samina Akhtar</w:t>
      </w:r>
    </w:p>
    <w:p w14:paraId="7A297BBB" w14:textId="77777777" w:rsidR="00461C83" w:rsidRDefault="00461C83" w:rsidP="00461C83">
      <w:r>
        <w:t xml:space="preserve">Protecting and Supporting Families in Health and Care BMHP5021_BIRM       </w:t>
      </w:r>
    </w:p>
    <w:p w14:paraId="247CC03A" w14:textId="77777777" w:rsidR="00461C83" w:rsidRDefault="00461C83" w:rsidP="00461C83">
      <w:r>
        <w:t xml:space="preserve"> Group 3                                                                                                              </w:t>
      </w:r>
    </w:p>
    <w:p w14:paraId="60E73E52" w14:textId="77777777" w:rsidR="00461C83" w:rsidRDefault="00461C83" w:rsidP="00461C83">
      <w:r w:rsidRPr="00A24B6F">
        <w:t>Teacher- Precious Igbinigie</w:t>
      </w:r>
    </w:p>
    <w:p w14:paraId="224EB40C" w14:textId="77777777" w:rsidR="00461C83" w:rsidRDefault="00461C83" w:rsidP="00461C83">
      <w:r>
        <w:t>Case 1 Adult A Child A  2023 Birmingham</w:t>
      </w:r>
    </w:p>
    <w:p w14:paraId="405DE52F" w14:textId="77777777" w:rsidR="00461C83" w:rsidRPr="00A24B6F" w:rsidRDefault="00461C83" w:rsidP="00461C83">
      <w:pPr>
        <w:jc w:val="center"/>
      </w:pPr>
      <w:r>
        <w:t>Role: Social Worker</w:t>
      </w:r>
    </w:p>
    <w:p w14:paraId="6D2E1815" w14:textId="77777777" w:rsidR="00461C83" w:rsidRDefault="00461C83" w:rsidP="00461C83">
      <w:pPr>
        <w:ind w:left="720" w:hanging="360"/>
        <w:jc w:val="center"/>
        <w:rPr>
          <w:b/>
          <w:bCs/>
          <w:sz w:val="32"/>
          <w:szCs w:val="32"/>
          <w:u w:val="single"/>
        </w:rPr>
      </w:pPr>
      <w:r w:rsidRPr="004E6F71">
        <w:rPr>
          <w:b/>
          <w:bCs/>
          <w:sz w:val="32"/>
          <w:szCs w:val="32"/>
          <w:u w:val="single"/>
        </w:rPr>
        <w:t>Child safeguarding practice review into the death of Adult A (BSCP 2020/21-02).</w:t>
      </w:r>
    </w:p>
    <w:p w14:paraId="12C0E0B7" w14:textId="77777777" w:rsidR="002E520C" w:rsidRDefault="002E520C" w:rsidP="00461C83">
      <w:pPr>
        <w:ind w:left="720" w:hanging="360"/>
        <w:jc w:val="center"/>
        <w:rPr>
          <w:b/>
          <w:bCs/>
          <w:sz w:val="32"/>
          <w:szCs w:val="32"/>
          <w:u w:val="single"/>
        </w:rPr>
      </w:pPr>
    </w:p>
    <w:p w14:paraId="2D8A7C07" w14:textId="3401A97E" w:rsidR="002E520C" w:rsidRPr="002E520C" w:rsidRDefault="002E520C" w:rsidP="002E520C">
      <w:pPr>
        <w:rPr>
          <w:sz w:val="28"/>
          <w:szCs w:val="28"/>
          <w:u w:val="single"/>
        </w:rPr>
      </w:pPr>
      <w:r w:rsidRPr="002E520C">
        <w:rPr>
          <w:sz w:val="28"/>
          <w:szCs w:val="28"/>
          <w:u w:val="single"/>
        </w:rPr>
        <w:t>Reference List</w:t>
      </w:r>
    </w:p>
    <w:p w14:paraId="4C8D12B3" w14:textId="5B13288E" w:rsidR="006F23A7" w:rsidRDefault="002423A9" w:rsidP="006F23A7">
      <w:pPr>
        <w:pStyle w:val="ListParagraph"/>
        <w:numPr>
          <w:ilvl w:val="0"/>
          <w:numId w:val="1"/>
        </w:numPr>
      </w:pPr>
      <w:r w:rsidRPr="002E520C">
        <w:t xml:space="preserve">UK GOV (2026). </w:t>
      </w:r>
      <w:r w:rsidRPr="002E520C">
        <w:t>Working Together</w:t>
      </w:r>
      <w:r w:rsidRPr="002423A9">
        <w:t xml:space="preserve"> to Safeguard Children 2026</w:t>
      </w:r>
      <w:r>
        <w:t>.</w:t>
      </w:r>
      <w:r w:rsidR="006F23A7" w:rsidRPr="006F23A7">
        <w:t>https://assets.publishing.service.gov.uk/media/69fb1c28d0e316a40f269a5b/Working_together_to_safeguard_children_2026_a_guide_to_multi_agency_working.pdf</w:t>
      </w:r>
    </w:p>
    <w:p w14:paraId="57295B7D" w14:textId="77777777" w:rsidR="006F23A7" w:rsidRDefault="006F23A7" w:rsidP="006F23A7">
      <w:pPr>
        <w:pStyle w:val="ListParagraph"/>
      </w:pPr>
    </w:p>
    <w:p w14:paraId="64630D28" w14:textId="0E3A4A96" w:rsidR="00C03D36" w:rsidRPr="006F23A7" w:rsidRDefault="00C03D36" w:rsidP="006F23A7">
      <w:pPr>
        <w:pStyle w:val="ListParagraph"/>
        <w:numPr>
          <w:ilvl w:val="0"/>
          <w:numId w:val="1"/>
        </w:numPr>
        <w:rPr>
          <w:lang w:val="en-GB"/>
        </w:rPr>
      </w:pPr>
      <w:r w:rsidRPr="006F23A7">
        <w:rPr>
          <w:lang w:val="en-GB"/>
        </w:rPr>
        <w:t xml:space="preserve">Bennett, P.L. (1992). An Introduction to the Children Act 1989. </w:t>
      </w:r>
      <w:r w:rsidRPr="006F23A7">
        <w:rPr>
          <w:i/>
          <w:iCs/>
          <w:lang w:val="en-GB"/>
        </w:rPr>
        <w:t>Educational Psychology in Practice</w:t>
      </w:r>
      <w:r w:rsidRPr="006F23A7">
        <w:rPr>
          <w:lang w:val="en-GB"/>
        </w:rPr>
        <w:t>, 7(4), pp.202–206. doi:https://doi.org/10.1080/0266736920070402.</w:t>
      </w:r>
    </w:p>
    <w:p w14:paraId="395508AB" w14:textId="77777777" w:rsidR="006F23A7" w:rsidRPr="006F23A7" w:rsidRDefault="006F23A7" w:rsidP="006F23A7">
      <w:pPr>
        <w:pStyle w:val="ListParagraph"/>
        <w:rPr>
          <w:lang w:val="en-GB"/>
        </w:rPr>
      </w:pPr>
    </w:p>
    <w:p w14:paraId="4F09E796" w14:textId="77777777" w:rsidR="00C64201" w:rsidRDefault="00C64201" w:rsidP="006F23A7">
      <w:pPr>
        <w:pStyle w:val="ListParagraph"/>
        <w:numPr>
          <w:ilvl w:val="0"/>
          <w:numId w:val="1"/>
        </w:numPr>
        <w:rPr>
          <w:lang w:val="en-GB"/>
        </w:rPr>
      </w:pPr>
      <w:r w:rsidRPr="006F23A7">
        <w:rPr>
          <w:lang w:val="en-GB"/>
        </w:rPr>
        <w:t xml:space="preserve">Bunting, L., Montgomery, L., Mooney, S., MacDonald, M., Coulter, S., Hayes, D. and Davidson, G. (2019). Trauma informed child welfare systems—a rapid evidence review. </w:t>
      </w:r>
      <w:r w:rsidRPr="006F23A7">
        <w:rPr>
          <w:i/>
          <w:iCs/>
          <w:lang w:val="en-GB"/>
        </w:rPr>
        <w:t>International Journal of Environmental Research and Public Health</w:t>
      </w:r>
      <w:r w:rsidRPr="006F23A7">
        <w:rPr>
          <w:lang w:val="en-GB"/>
        </w:rPr>
        <w:t>, 16(13), p.2365. doi:https://doi.org/10.3390/ijerph16132365.</w:t>
      </w:r>
    </w:p>
    <w:p w14:paraId="6C215EAE" w14:textId="77777777" w:rsidR="006F23A7" w:rsidRPr="006F23A7" w:rsidRDefault="006F23A7" w:rsidP="006F23A7">
      <w:pPr>
        <w:pStyle w:val="ListParagraph"/>
        <w:rPr>
          <w:lang w:val="en-GB"/>
        </w:rPr>
      </w:pPr>
    </w:p>
    <w:p w14:paraId="423DC3D1" w14:textId="57E85F45" w:rsidR="00C64201" w:rsidRDefault="00C64201" w:rsidP="006F23A7">
      <w:pPr>
        <w:pStyle w:val="ListParagraph"/>
        <w:numPr>
          <w:ilvl w:val="0"/>
          <w:numId w:val="1"/>
        </w:numPr>
        <w:rPr>
          <w:lang w:val="en-GB"/>
        </w:rPr>
      </w:pPr>
      <w:r w:rsidRPr="006F23A7">
        <w:rPr>
          <w:lang w:val="en-GB"/>
        </w:rPr>
        <w:t>Bilson, A. and Martin, K. (2016). British Journal of Social Work</w:t>
      </w:r>
      <w:r w:rsidR="00174DA1">
        <w:rPr>
          <w:lang w:val="en-GB"/>
        </w:rPr>
        <w:t xml:space="preserve">. </w:t>
      </w:r>
      <w:r w:rsidRPr="006F23A7">
        <w:rPr>
          <w:i/>
          <w:iCs/>
          <w:lang w:val="en-GB"/>
        </w:rPr>
        <w:t>British Journal of Social Work</w:t>
      </w:r>
      <w:r w:rsidR="00174DA1">
        <w:rPr>
          <w:lang w:val="en-GB"/>
        </w:rPr>
        <w:t xml:space="preserve"> </w:t>
      </w:r>
      <w:r w:rsidRPr="006F23A7">
        <w:rPr>
          <w:lang w:val="en-GB"/>
        </w:rPr>
        <w:t>(3), pp.1–19. doi:https://doi.org/10.1093/bjsw/bcw054.</w:t>
      </w:r>
    </w:p>
    <w:p w14:paraId="177E9C1F" w14:textId="77777777" w:rsidR="006F23A7" w:rsidRPr="006F23A7" w:rsidRDefault="006F23A7" w:rsidP="006F23A7">
      <w:pPr>
        <w:pStyle w:val="ListParagraph"/>
        <w:rPr>
          <w:lang w:val="en-GB"/>
        </w:rPr>
      </w:pPr>
    </w:p>
    <w:p w14:paraId="6FD34803" w14:textId="77777777" w:rsidR="006F23A7" w:rsidRPr="006F23A7" w:rsidRDefault="006F23A7" w:rsidP="006F23A7">
      <w:pPr>
        <w:pStyle w:val="ListParagraph"/>
        <w:rPr>
          <w:lang w:val="en-GB"/>
        </w:rPr>
      </w:pPr>
    </w:p>
    <w:p w14:paraId="50015AAB" w14:textId="1282E5FF" w:rsidR="00C64201" w:rsidRDefault="00C64201" w:rsidP="006F23A7">
      <w:pPr>
        <w:pStyle w:val="ListParagraph"/>
        <w:numPr>
          <w:ilvl w:val="0"/>
          <w:numId w:val="1"/>
        </w:numPr>
        <w:rPr>
          <w:lang w:val="en-GB"/>
        </w:rPr>
      </w:pPr>
      <w:r w:rsidRPr="006F23A7">
        <w:rPr>
          <w:lang w:val="en-GB"/>
        </w:rPr>
        <w:t xml:space="preserve">Burns, K., Tarja Pösö and Marit Skivenes (2017). </w:t>
      </w:r>
      <w:r w:rsidRPr="006F23A7">
        <w:rPr>
          <w:i/>
          <w:iCs/>
          <w:lang w:val="en-GB"/>
        </w:rPr>
        <w:t>Child welfare removals by the state: a cross-country analysis of decision-making systems</w:t>
      </w:r>
      <w:r w:rsidRPr="006F23A7">
        <w:rPr>
          <w:lang w:val="en-GB"/>
        </w:rPr>
        <w:t>. New York, Ny: Oxford University Press.</w:t>
      </w:r>
    </w:p>
    <w:p w14:paraId="3964E24A" w14:textId="77777777" w:rsidR="006F23A7" w:rsidRPr="006F23A7" w:rsidRDefault="006F23A7" w:rsidP="006F23A7">
      <w:pPr>
        <w:pStyle w:val="ListParagraph"/>
        <w:rPr>
          <w:lang w:val="en-GB"/>
        </w:rPr>
      </w:pPr>
    </w:p>
    <w:p w14:paraId="52B25AFA" w14:textId="16849755" w:rsidR="00C009DC" w:rsidRPr="006F23A7" w:rsidRDefault="00C009DC" w:rsidP="006F23A7">
      <w:pPr>
        <w:pStyle w:val="ListParagraph"/>
        <w:numPr>
          <w:ilvl w:val="0"/>
          <w:numId w:val="1"/>
        </w:numPr>
        <w:rPr>
          <w:lang w:val="en-GB"/>
        </w:rPr>
      </w:pPr>
      <w:r w:rsidRPr="006F23A7">
        <w:rPr>
          <w:lang w:val="en-GB"/>
        </w:rPr>
        <w:t xml:space="preserve">Levenson, J. (2017). Trauma-Informed Social Work Practice. </w:t>
      </w:r>
      <w:r w:rsidRPr="006F23A7">
        <w:rPr>
          <w:i/>
          <w:iCs/>
          <w:lang w:val="en-GB"/>
        </w:rPr>
        <w:t>Social Work</w:t>
      </w:r>
      <w:r w:rsidRPr="006F23A7">
        <w:rPr>
          <w:lang w:val="en-GB"/>
        </w:rPr>
        <w:t>, 62(2), pp.105–113. doi:https://doi.org/10.1093/sw/swx001.</w:t>
      </w:r>
    </w:p>
    <w:p w14:paraId="770BC606" w14:textId="77777777" w:rsidR="00C64201" w:rsidRDefault="00C64201" w:rsidP="006F23A7">
      <w:pPr>
        <w:pStyle w:val="ListParagraph"/>
        <w:numPr>
          <w:ilvl w:val="0"/>
          <w:numId w:val="1"/>
        </w:numPr>
        <w:rPr>
          <w:lang w:val="en-GB"/>
        </w:rPr>
      </w:pPr>
      <w:r w:rsidRPr="006F23A7">
        <w:rPr>
          <w:lang w:val="en-GB"/>
        </w:rPr>
        <w:lastRenderedPageBreak/>
        <w:t xml:space="preserve">Tilbury, C. (2013). Improving Child and Family Assessments: Turning Research into Practice. </w:t>
      </w:r>
      <w:r w:rsidRPr="006F23A7">
        <w:rPr>
          <w:i/>
          <w:iCs/>
          <w:lang w:val="en-GB"/>
        </w:rPr>
        <w:t>Australian Social Work</w:t>
      </w:r>
      <w:r w:rsidRPr="006F23A7">
        <w:rPr>
          <w:lang w:val="en-GB"/>
        </w:rPr>
        <w:t>, 66(3), pp.421–422. doi:https://doi.org/10.1080/0312407x.2013.809678.</w:t>
      </w:r>
    </w:p>
    <w:p w14:paraId="2895D7E0" w14:textId="77777777" w:rsidR="006F23A7" w:rsidRPr="006F23A7" w:rsidRDefault="006F23A7" w:rsidP="006F23A7">
      <w:pPr>
        <w:rPr>
          <w:lang w:val="en-GB"/>
        </w:rPr>
      </w:pPr>
    </w:p>
    <w:p w14:paraId="666E3E38" w14:textId="77777777" w:rsidR="00C03D36" w:rsidRPr="006F23A7" w:rsidRDefault="00C03D36" w:rsidP="006F23A7">
      <w:pPr>
        <w:pStyle w:val="ListParagraph"/>
        <w:numPr>
          <w:ilvl w:val="0"/>
          <w:numId w:val="1"/>
        </w:numPr>
        <w:rPr>
          <w:lang w:val="en-GB"/>
        </w:rPr>
      </w:pPr>
      <w:r w:rsidRPr="006F23A7">
        <w:rPr>
          <w:lang w:val="en-GB"/>
        </w:rPr>
        <w:t xml:space="preserve">Burton, L. (2007). Childhood Adultification in Economically Disadvantaged Families: A Conceptual Model. </w:t>
      </w:r>
      <w:r w:rsidRPr="006F23A7">
        <w:rPr>
          <w:i/>
          <w:iCs/>
          <w:lang w:val="en-GB"/>
        </w:rPr>
        <w:t>Family Relations</w:t>
      </w:r>
      <w:r w:rsidRPr="006F23A7">
        <w:rPr>
          <w:lang w:val="en-GB"/>
        </w:rPr>
        <w:t>, 56(4), pp.329–345. doi:https://doi.org/10.1111/j.1741-3729.2007.00463.x.</w:t>
      </w:r>
    </w:p>
    <w:p w14:paraId="49C57B36" w14:textId="77777777" w:rsidR="00851035" w:rsidRDefault="00851035"/>
    <w:sectPr w:rsidR="00851035" w:rsidSect="006B5B9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B745ED5"/>
    <w:multiLevelType w:val="hybridMultilevel"/>
    <w:tmpl w:val="DE0E84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14553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5B96"/>
    <w:rsid w:val="00001613"/>
    <w:rsid w:val="00174DA1"/>
    <w:rsid w:val="002410AC"/>
    <w:rsid w:val="002423A9"/>
    <w:rsid w:val="002E520C"/>
    <w:rsid w:val="00461C83"/>
    <w:rsid w:val="006B5B96"/>
    <w:rsid w:val="006F23A7"/>
    <w:rsid w:val="00851035"/>
    <w:rsid w:val="00C009DC"/>
    <w:rsid w:val="00C03D36"/>
    <w:rsid w:val="00C64201"/>
    <w:rsid w:val="00F12B9E"/>
    <w:rsid w:val="00F511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47051D"/>
  <w15:chartTrackingRefBased/>
  <w15:docId w15:val="{CC76ADFC-370B-4091-816D-14F2FF0512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B5B96"/>
    <w:pPr>
      <w:spacing w:after="200" w:line="276" w:lineRule="auto"/>
    </w:pPr>
    <w:rPr>
      <w:rFonts w:eastAsiaTheme="minorEastAsia"/>
      <w:kern w:val="0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6B5B9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B5B9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B5B96"/>
    <w:pPr>
      <w:keepNext/>
      <w:keepLines/>
      <w:spacing w:before="160" w:after="80"/>
      <w:outlineLvl w:val="2"/>
    </w:pPr>
    <w:rPr>
      <w:rFonts w:eastAsiaTheme="majorEastAsia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B5B9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B5B96"/>
    <w:pPr>
      <w:keepNext/>
      <w:keepLines/>
      <w:spacing w:before="80" w:after="40"/>
      <w:outlineLvl w:val="4"/>
    </w:pPr>
    <w:rPr>
      <w:rFonts w:eastAsiaTheme="majorEastAsia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B5B9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B5B9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B5B9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B5B9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B5B96"/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B5B96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B5B96"/>
    <w:rPr>
      <w:rFonts w:eastAsiaTheme="majorEastAsia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B5B96"/>
    <w:rPr>
      <w:rFonts w:eastAsiaTheme="majorEastAsia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B5B96"/>
    <w:rPr>
      <w:rFonts w:eastAsiaTheme="majorEastAsia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B5B9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B5B9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B5B9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B5B9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B5B9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B5B9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B5B9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B5B9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B5B9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B5B9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B5B9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B5B96"/>
    <w:rPr>
      <w:i/>
      <w:iCs/>
      <w:color w:val="2E74B5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B5B96"/>
    <w:pPr>
      <w:pBdr>
        <w:top w:val="single" w:sz="4" w:space="10" w:color="2E74B5" w:themeColor="accent1" w:themeShade="BF"/>
        <w:bottom w:val="single" w:sz="4" w:space="10" w:color="2E74B5" w:themeColor="accent1" w:themeShade="BF"/>
      </w:pBdr>
      <w:spacing w:before="360" w:after="360"/>
      <w:ind w:left="864" w:right="864"/>
      <w:jc w:val="center"/>
    </w:pPr>
    <w:rPr>
      <w:i/>
      <w:iCs/>
      <w:color w:val="2E74B5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B5B96"/>
    <w:rPr>
      <w:i/>
      <w:iCs/>
      <w:color w:val="2E74B5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B5B96"/>
    <w:rPr>
      <w:b/>
      <w:bCs/>
      <w:smallCaps/>
      <w:color w:val="2E74B5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2</Pages>
  <Words>286</Words>
  <Characters>1631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Samina Akhtar (2427571)</dc:creator>
  <cp:keywords/>
  <dc:description/>
  <cp:lastModifiedBy>Samina Akhtar (2427571)</cp:lastModifiedBy>
  <cp:revision>14</cp:revision>
  <dcterms:created xsi:type="dcterms:W3CDTF">2026-06-21T11:56:00Z</dcterms:created>
  <dcterms:modified xsi:type="dcterms:W3CDTF">2026-06-21T12:35:00Z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0c259c17-42d5-47f0-b78b-7ad0b8a75795</vt:lpwstr>
  </property>
</Properties>
</file>