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F79D6" w14:textId="1227D940" w:rsidR="00917EB7" w:rsidRPr="00E17C2A" w:rsidRDefault="002533A3" w:rsidP="00E17C2A">
      <w:pPr>
        <w:pStyle w:val="Write"/>
        <w:rPr>
          <w:b/>
          <w:bCs/>
        </w:rPr>
      </w:pPr>
      <w:r w:rsidRPr="00E17C2A">
        <w:rPr>
          <w:b/>
          <w:bCs/>
        </w:rPr>
        <w:t xml:space="preserve">Comparative Religious Ethics: Literature Review </w:t>
      </w:r>
    </w:p>
    <w:p w14:paraId="193967C7" w14:textId="1DC61EC1" w:rsidR="002533A3" w:rsidRPr="00E17C2A" w:rsidRDefault="002533A3" w:rsidP="00E17C2A">
      <w:pPr>
        <w:pStyle w:val="Write"/>
      </w:pPr>
    </w:p>
    <w:p w14:paraId="549695EC" w14:textId="7667B3EB" w:rsidR="002533A3" w:rsidRPr="00E17C2A" w:rsidRDefault="001F17F9" w:rsidP="00E17C2A">
      <w:pPr>
        <w:pStyle w:val="Write"/>
        <w:rPr>
          <w:b/>
          <w:bCs/>
        </w:rPr>
      </w:pPr>
      <w:r w:rsidRPr="00E17C2A">
        <w:rPr>
          <w:b/>
          <w:bCs/>
        </w:rPr>
        <w:t>Introduction</w:t>
      </w:r>
    </w:p>
    <w:p w14:paraId="169CDB6F" w14:textId="59B11C64" w:rsidR="00447789" w:rsidRPr="00E17C2A" w:rsidRDefault="00B4431D" w:rsidP="00E17C2A">
      <w:pPr>
        <w:pStyle w:val="Write"/>
      </w:pPr>
      <w:r w:rsidRPr="00E17C2A">
        <w:t xml:space="preserve">The genre of </w:t>
      </w:r>
      <w:r w:rsidR="00F85740" w:rsidRPr="00E17C2A">
        <w:t>comparative</w:t>
      </w:r>
      <w:r w:rsidRPr="00E17C2A">
        <w:t xml:space="preserve"> religious ethics as </w:t>
      </w:r>
      <w:r w:rsidR="009D670B" w:rsidRPr="00E17C2A">
        <w:t xml:space="preserve">being developed to </w:t>
      </w:r>
      <w:r w:rsidR="001538AC" w:rsidRPr="00E17C2A">
        <w:t>an independent</w:t>
      </w:r>
      <w:r w:rsidRPr="00E17C2A">
        <w:t xml:space="preserve"> discipline is traced to the period between </w:t>
      </w:r>
      <w:r w:rsidR="00547FD0" w:rsidRPr="00E17C2A">
        <w:t xml:space="preserve">1975 when the </w:t>
      </w:r>
      <w:r w:rsidR="00547FD0" w:rsidRPr="00E17C2A">
        <w:rPr>
          <w:i/>
          <w:iCs/>
        </w:rPr>
        <w:t xml:space="preserve">Journal of </w:t>
      </w:r>
      <w:r w:rsidR="00F85740" w:rsidRPr="00E17C2A">
        <w:rPr>
          <w:i/>
          <w:iCs/>
        </w:rPr>
        <w:t>Religious</w:t>
      </w:r>
      <w:r w:rsidR="00547FD0" w:rsidRPr="00E17C2A">
        <w:rPr>
          <w:i/>
          <w:iCs/>
        </w:rPr>
        <w:t xml:space="preserve"> Ethics</w:t>
      </w:r>
      <w:r w:rsidR="00BD41FD" w:rsidRPr="00E17C2A">
        <w:t xml:space="preserve"> </w:t>
      </w:r>
      <w:r w:rsidR="001538AC" w:rsidRPr="00E17C2A">
        <w:t>was launched</w:t>
      </w:r>
      <w:r w:rsidR="00142F70" w:rsidRPr="00E17C2A">
        <w:t>. A step</w:t>
      </w:r>
      <w:r w:rsidR="00490193" w:rsidRPr="00E17C2A">
        <w:t xml:space="preserve"> </w:t>
      </w:r>
      <w:r w:rsidR="00142F70" w:rsidRPr="00E17C2A">
        <w:t xml:space="preserve">forward to enrich the field took place in 1987 when three </w:t>
      </w:r>
      <w:r w:rsidR="00547FD0" w:rsidRPr="00E17C2A">
        <w:t>books</w:t>
      </w:r>
      <w:r w:rsidR="00116387" w:rsidRPr="00E17C2A">
        <w:t xml:space="preserve"> by Green, Little and Lovin</w:t>
      </w:r>
      <w:r w:rsidR="001538AC" w:rsidRPr="00E17C2A">
        <w:t xml:space="preserve"> </w:t>
      </w:r>
      <w:r w:rsidR="00547FD0" w:rsidRPr="00E17C2A">
        <w:t>were published</w:t>
      </w:r>
      <w:r w:rsidR="001538AC" w:rsidRPr="00E17C2A">
        <w:t>.</w:t>
      </w:r>
      <w:r w:rsidR="00547FD0" w:rsidRPr="00E17C2A">
        <w:t xml:space="preserve"> </w:t>
      </w:r>
      <w:r w:rsidR="00447789" w:rsidRPr="00E17C2A">
        <w:t>While comparative ethics is a rather</w:t>
      </w:r>
      <w:r w:rsidR="00447789" w:rsidRPr="00E17C2A">
        <w:rPr>
          <w:lang w:val="en-US"/>
        </w:rPr>
        <w:t xml:space="preserve"> a new academic </w:t>
      </w:r>
      <w:r w:rsidR="00447789" w:rsidRPr="00E17C2A">
        <w:t>enterprise, the methods employed at study have their origins early in the history of philosophy.</w:t>
      </w:r>
      <w:r w:rsidR="00490193" w:rsidRPr="00E17C2A">
        <w:t xml:space="preserve"> </w:t>
      </w:r>
      <w:r w:rsidR="0038381E" w:rsidRPr="00E17C2A">
        <w:t xml:space="preserve">In the lines below, I will highlight the </w:t>
      </w:r>
      <w:r w:rsidR="00B57921" w:rsidRPr="00E17C2A">
        <w:t>central</w:t>
      </w:r>
      <w:r w:rsidR="0038381E" w:rsidRPr="00E17C2A">
        <w:t xml:space="preserve"> works in </w:t>
      </w:r>
      <w:r w:rsidR="00116387" w:rsidRPr="00E17C2A">
        <w:t>the main phases of this genre</w:t>
      </w:r>
      <w:r w:rsidR="00490193" w:rsidRPr="00E17C2A">
        <w:t xml:space="preserve">; the </w:t>
      </w:r>
      <w:r w:rsidR="004B712C" w:rsidRPr="00E17C2A">
        <w:t>e</w:t>
      </w:r>
      <w:r w:rsidR="00F50AC4" w:rsidRPr="00E17C2A">
        <w:t xml:space="preserve">arly </w:t>
      </w:r>
      <w:r w:rsidR="004B712C" w:rsidRPr="00E17C2A">
        <w:t>c</w:t>
      </w:r>
      <w:r w:rsidR="00F50AC4" w:rsidRPr="00E17C2A">
        <w:t xml:space="preserve">omparative </w:t>
      </w:r>
      <w:r w:rsidR="004B712C" w:rsidRPr="00E17C2A">
        <w:t>r</w:t>
      </w:r>
      <w:r w:rsidR="00F50AC4" w:rsidRPr="00E17C2A">
        <w:t xml:space="preserve">eligious </w:t>
      </w:r>
      <w:r w:rsidR="004B712C" w:rsidRPr="00E17C2A">
        <w:t>e</w:t>
      </w:r>
      <w:r w:rsidR="00F50AC4" w:rsidRPr="00E17C2A">
        <w:t>thics</w:t>
      </w:r>
      <w:r w:rsidR="00B57921" w:rsidRPr="00E17C2A">
        <w:t>;</w:t>
      </w:r>
      <w:r w:rsidR="00490193" w:rsidRPr="00E17C2A">
        <w:t xml:space="preserve"> </w:t>
      </w:r>
      <w:r w:rsidR="00B57921" w:rsidRPr="00E17C2A">
        <w:t xml:space="preserve">the </w:t>
      </w:r>
      <w:r w:rsidR="00C91F69" w:rsidRPr="00E17C2A">
        <w:t>mid-twentieth century</w:t>
      </w:r>
      <w:r w:rsidR="004B712C" w:rsidRPr="00E17C2A">
        <w:t xml:space="preserve"> works;</w:t>
      </w:r>
      <w:r w:rsidR="00C91F69" w:rsidRPr="00E17C2A">
        <w:t xml:space="preserve"> and the contemporary period. </w:t>
      </w:r>
      <w:r w:rsidR="00447789" w:rsidRPr="00E17C2A">
        <w:t xml:space="preserve"> </w:t>
      </w:r>
    </w:p>
    <w:p w14:paraId="0C963A20" w14:textId="77777777" w:rsidR="00447789" w:rsidRPr="00E17C2A" w:rsidRDefault="00447789" w:rsidP="00E17C2A">
      <w:pPr>
        <w:pStyle w:val="Write"/>
      </w:pPr>
    </w:p>
    <w:p w14:paraId="62D033C4" w14:textId="77777777" w:rsidR="001F17F9" w:rsidRPr="00E17C2A" w:rsidRDefault="001F17F9" w:rsidP="00E17C2A">
      <w:pPr>
        <w:pStyle w:val="Write"/>
      </w:pPr>
      <w:r w:rsidRPr="00E17C2A">
        <w:br w:type="page"/>
      </w:r>
    </w:p>
    <w:p w14:paraId="5235A15D" w14:textId="489C84CE" w:rsidR="00F72655" w:rsidRPr="00E17C2A" w:rsidRDefault="004B712C" w:rsidP="00E17C2A">
      <w:pPr>
        <w:pStyle w:val="Write"/>
      </w:pPr>
      <w:r w:rsidRPr="00E17C2A">
        <w:rPr>
          <w:b/>
          <w:bCs/>
        </w:rPr>
        <w:lastRenderedPageBreak/>
        <w:t>1.Early Comparative Religious Ethics</w:t>
      </w:r>
    </w:p>
    <w:p w14:paraId="68326B64" w14:textId="2A0E061E" w:rsidR="009D0E58" w:rsidRPr="00E17C2A" w:rsidRDefault="00BD549A" w:rsidP="00E17C2A">
      <w:pPr>
        <w:pStyle w:val="Write"/>
      </w:pPr>
      <w:r w:rsidRPr="00E17C2A">
        <w:t xml:space="preserve">The need for </w:t>
      </w:r>
      <w:r w:rsidR="00B7259A" w:rsidRPr="00E17C2A">
        <w:t>comparison</w:t>
      </w:r>
      <w:r w:rsidRPr="00E17C2A">
        <w:t xml:space="preserve"> </w:t>
      </w:r>
      <w:r w:rsidR="00B7259A" w:rsidRPr="00E17C2A">
        <w:t xml:space="preserve">among the different moral systems started after the recognition of the differences among them. </w:t>
      </w:r>
      <w:r w:rsidR="006E0268" w:rsidRPr="00E17C2A">
        <w:t>In the seventeenth century, Ralph Cud</w:t>
      </w:r>
      <w:r w:rsidR="0055279D" w:rsidRPr="00E17C2A">
        <w:t>worth claimed for the universality of the moral standards. According to him, the standard of morality is rational, immutable, and universal; it could be discerned in the best thought of pagan philosophers and Hebrew prophets, as well as in its final revelation in Christianity.</w:t>
      </w:r>
      <w:r w:rsidR="009B22CA" w:rsidRPr="00E17C2A">
        <w:t xml:space="preserve"> </w:t>
      </w:r>
      <w:r w:rsidR="009B2A78" w:rsidRPr="00E17C2A">
        <w:t>T</w:t>
      </w:r>
      <w:r w:rsidR="009B22CA" w:rsidRPr="00E17C2A">
        <w:t>his ethical universalism could not be asserted in this simple, direct statement by the middle of the eighteenth century; Montesquieu observed the variations in law and culture between England and the Continent</w:t>
      </w:r>
      <w:r w:rsidR="00EA7623" w:rsidRPr="00E17C2A">
        <w:rPr>
          <w:rStyle w:val="FootnoteReference"/>
        </w:rPr>
        <w:footnoteReference w:id="1"/>
      </w:r>
      <w:r w:rsidR="009B22CA" w:rsidRPr="00E17C2A">
        <w:t xml:space="preserve"> (Montesquieu 1975), and David Hume (1711-76) pointed out the differences between the morals of ancient Greece and those of Christian Europe.</w:t>
      </w:r>
      <w:r w:rsidR="00BB0067" w:rsidRPr="00E17C2A">
        <w:rPr>
          <w:rStyle w:val="FootnoteReference"/>
        </w:rPr>
        <w:footnoteReference w:id="2"/>
      </w:r>
      <w:r w:rsidR="009B22CA" w:rsidRPr="00E17C2A">
        <w:t xml:space="preserve"> So, that time witnessed the recognition of the diversity and change not in the global ethical ordered, but within the Western civilization as well.</w:t>
      </w:r>
      <w:r w:rsidR="009D0E58" w:rsidRPr="00E17C2A">
        <w:t xml:space="preserve"> </w:t>
      </w:r>
      <w:r w:rsidR="00F0029F" w:rsidRPr="00E17C2A">
        <w:t xml:space="preserve">This </w:t>
      </w:r>
      <w:r w:rsidR="00000A94" w:rsidRPr="00E17C2A">
        <w:t>diversity urged the philosopher</w:t>
      </w:r>
      <w:r w:rsidR="00D2483E" w:rsidRPr="00E17C2A">
        <w:t>s</w:t>
      </w:r>
      <w:r w:rsidR="00000A94" w:rsidRPr="00E17C2A">
        <w:t xml:space="preserve"> to compare between </w:t>
      </w:r>
      <w:r w:rsidR="008C462C" w:rsidRPr="00E17C2A">
        <w:t>the different</w:t>
      </w:r>
      <w:r w:rsidR="00000A94" w:rsidRPr="00E17C2A">
        <w:t xml:space="preserve"> moral systems to find out the </w:t>
      </w:r>
      <w:r w:rsidR="001A1F99" w:rsidRPr="00E17C2A">
        <w:t>similarities and differences of the ethical orders to avoid the</w:t>
      </w:r>
      <w:r w:rsidR="00997675" w:rsidRPr="00E17C2A">
        <w:t xml:space="preserve"> impact of the</w:t>
      </w:r>
      <w:r w:rsidR="001A1F99" w:rsidRPr="00E17C2A">
        <w:t xml:space="preserve"> absolute relativism </w:t>
      </w:r>
      <w:r w:rsidR="00997675" w:rsidRPr="00E17C2A">
        <w:t xml:space="preserve">on </w:t>
      </w:r>
      <w:r w:rsidR="001A1F99" w:rsidRPr="00E17C2A">
        <w:t xml:space="preserve">society. </w:t>
      </w:r>
      <w:r w:rsidR="009D0E58" w:rsidRPr="00E17C2A">
        <w:t xml:space="preserve">In the lines below, I will </w:t>
      </w:r>
      <w:r w:rsidR="007722CA" w:rsidRPr="00E17C2A">
        <w:t>discuss</w:t>
      </w:r>
      <w:r w:rsidR="009D0E58" w:rsidRPr="00E17C2A">
        <w:t xml:space="preserve"> </w:t>
      </w:r>
      <w:r w:rsidR="00202FC8" w:rsidRPr="00E17C2A">
        <w:t>two principal philosophers</w:t>
      </w:r>
      <w:r w:rsidR="007722CA" w:rsidRPr="00E17C2A">
        <w:t xml:space="preserve"> (Hume and Kant)</w:t>
      </w:r>
      <w:r w:rsidR="00202FC8" w:rsidRPr="00E17C2A">
        <w:t xml:space="preserve"> to reveal the impact of their </w:t>
      </w:r>
      <w:r w:rsidR="007722CA" w:rsidRPr="00E17C2A">
        <w:t>methodology</w:t>
      </w:r>
      <w:r w:rsidR="00202FC8" w:rsidRPr="00E17C2A">
        <w:t xml:space="preserve"> on the </w:t>
      </w:r>
      <w:r w:rsidR="007722CA" w:rsidRPr="00E17C2A">
        <w:t>comparative</w:t>
      </w:r>
      <w:r w:rsidR="00202FC8" w:rsidRPr="00E17C2A">
        <w:t xml:space="preserve"> religious ethics.</w:t>
      </w:r>
    </w:p>
    <w:p w14:paraId="760167D7" w14:textId="233BB4F2" w:rsidR="009D0E58" w:rsidRPr="00E17C2A" w:rsidRDefault="009D0E58" w:rsidP="00E17C2A">
      <w:pPr>
        <w:pStyle w:val="Write"/>
        <w:numPr>
          <w:ilvl w:val="1"/>
          <w:numId w:val="5"/>
        </w:numPr>
        <w:rPr>
          <w:b/>
          <w:bCs/>
        </w:rPr>
      </w:pPr>
      <w:r w:rsidRPr="00E17C2A">
        <w:rPr>
          <w:b/>
          <w:bCs/>
        </w:rPr>
        <w:t xml:space="preserve">Hume’s Empirical Philosophy </w:t>
      </w:r>
    </w:p>
    <w:p w14:paraId="15C74F11" w14:textId="714EC5A6" w:rsidR="00A43A9E" w:rsidRPr="00E17C2A" w:rsidRDefault="00A43A9E" w:rsidP="00E17C2A">
      <w:pPr>
        <w:pStyle w:val="Write"/>
      </w:pPr>
      <w:r w:rsidRPr="00E17C2A">
        <w:t>According to Hume, relativisms could threaten the ordered moral world. If basic moral beliefs differ so widely, might it not turn out that they have nothing in common at all, so that there is no way to adjudicate conflict between the choice of one act and another?</w:t>
      </w:r>
    </w:p>
    <w:p w14:paraId="5F0185CE" w14:textId="5252BF77" w:rsidR="0097608A" w:rsidRPr="00E17C2A" w:rsidRDefault="0097608A" w:rsidP="00E17C2A">
      <w:pPr>
        <w:pStyle w:val="Write"/>
      </w:pPr>
    </w:p>
    <w:p w14:paraId="4B8808DB" w14:textId="518BB88E" w:rsidR="00100274" w:rsidRPr="00E17C2A" w:rsidRDefault="00904A2C" w:rsidP="00E17C2A">
      <w:pPr>
        <w:pStyle w:val="Write"/>
      </w:pPr>
      <w:r w:rsidRPr="00E17C2A">
        <w:lastRenderedPageBreak/>
        <w:t>To answer this question, Hume used the framework of the empirical philosophy which had raised the issue in the first place. Although Hume</w:t>
      </w:r>
      <w:r w:rsidR="002C588B" w:rsidRPr="00E17C2A">
        <w:t xml:space="preserve"> is </w:t>
      </w:r>
      <w:r w:rsidR="00EA0C4A" w:rsidRPr="00E17C2A">
        <w:t>clearly</w:t>
      </w:r>
      <w:r w:rsidR="002C588B" w:rsidRPr="00E17C2A">
        <w:t xml:space="preserve"> interested in identifying how people are morally acting </w:t>
      </w:r>
      <w:r w:rsidR="00EA0C4A" w:rsidRPr="00E17C2A">
        <w:t>and what they ought to act</w:t>
      </w:r>
      <w:r w:rsidRPr="00E17C2A">
        <w:t>,</w:t>
      </w:r>
      <w:r w:rsidR="007B7873" w:rsidRPr="00E17C2A">
        <w:rPr>
          <w:rStyle w:val="FootnoteReference"/>
        </w:rPr>
        <w:footnoteReference w:id="3"/>
      </w:r>
      <w:r w:rsidRPr="00E17C2A">
        <w:t xml:space="preserve"> he does not isolate the "ought" statements in a special realm of rational or intuited truths, different from our knowledge of the reality </w:t>
      </w:r>
      <w:r w:rsidR="00A421EC" w:rsidRPr="00E17C2A">
        <w:t>discerned through the empirical method i.e. through our senses</w:t>
      </w:r>
      <w:r w:rsidRPr="00E17C2A">
        <w:t>. Moral evaluations are intimately connected with our affective responses to ordinary events and our usual assumptions about what is, in fact, the case. Only closer attention to the morals people espouse in the full context of the rest of their beliefs and values will dissolve the problem that confronts us when we first begin to attend to the diversity of morals.</w:t>
      </w:r>
    </w:p>
    <w:p w14:paraId="603A8EAF" w14:textId="4180ACC9" w:rsidR="00F47683" w:rsidRPr="00E17C2A" w:rsidRDefault="00F47683" w:rsidP="00E17C2A">
      <w:pPr>
        <w:pStyle w:val="Write"/>
      </w:pPr>
    </w:p>
    <w:p w14:paraId="0E2AFBDF" w14:textId="058E3C21" w:rsidR="00FA1BEB" w:rsidRPr="00E17C2A" w:rsidRDefault="00F751A5" w:rsidP="00E17C2A">
      <w:pPr>
        <w:pStyle w:val="Write"/>
      </w:pPr>
      <w:r w:rsidRPr="00E17C2A">
        <w:t xml:space="preserve">Hume </w:t>
      </w:r>
      <w:r w:rsidR="00FA1BEB" w:rsidRPr="00E17C2A">
        <w:t>posts the question of relativism as follows:</w:t>
      </w:r>
      <w:r w:rsidR="00D2320C" w:rsidRPr="00E17C2A">
        <w:t xml:space="preserve"> </w:t>
      </w:r>
      <w:r w:rsidR="00FA1BEB" w:rsidRPr="00E17C2A">
        <w:t xml:space="preserve">"What wide difference, therefore, in the sentiments of morals, must be found between civilized nations and barbarians, or between nations whose characters have little in common? How shall we pretend to fix a standard for judgments of this nature?" </w:t>
      </w:r>
      <w:r w:rsidR="00D2320C" w:rsidRPr="00E17C2A">
        <w:t>He</w:t>
      </w:r>
      <w:r w:rsidR="00FA1BEB" w:rsidRPr="00E17C2A">
        <w:t xml:space="preserve"> then </w:t>
      </w:r>
      <w:r w:rsidR="00D2320C" w:rsidRPr="00E17C2A">
        <w:t>suggests</w:t>
      </w:r>
      <w:r w:rsidR="00FA1BEB" w:rsidRPr="00E17C2A">
        <w:t xml:space="preserve"> the </w:t>
      </w:r>
      <w:r w:rsidR="00E959DF" w:rsidRPr="00E17C2A">
        <w:t>borders</w:t>
      </w:r>
      <w:r w:rsidR="00FA1BEB" w:rsidRPr="00E17C2A">
        <w:t xml:space="preserve"> of an answer: "By tracing matters</w:t>
      </w:r>
      <w:r w:rsidR="00E959DF" w:rsidRPr="00E17C2A">
        <w:t>…</w:t>
      </w:r>
      <w:r w:rsidR="00FA1BEB" w:rsidRPr="00E17C2A">
        <w:t xml:space="preserve"> a little higher, and examining the first principles, which each nation establishes, of blame or censure. The Rhine flows north, the Rhone south; yet both spring from the same mountain, </w:t>
      </w:r>
      <w:proofErr w:type="gramStart"/>
      <w:r w:rsidR="00FA1BEB" w:rsidRPr="00E17C2A">
        <w:t>and also</w:t>
      </w:r>
      <w:proofErr w:type="gramEnd"/>
      <w:r w:rsidR="00FA1BEB" w:rsidRPr="00E17C2A">
        <w:t xml:space="preserve"> are actuated, in their opposite directions, by the same principle of gravity</w:t>
      </w:r>
      <w:r w:rsidR="00E73961" w:rsidRPr="00E17C2A">
        <w:t>.”</w:t>
      </w:r>
      <w:r w:rsidR="00E73961" w:rsidRPr="00E17C2A">
        <w:rPr>
          <w:rStyle w:val="FootnoteReference"/>
        </w:rPr>
        <w:footnoteReference w:id="4"/>
      </w:r>
    </w:p>
    <w:p w14:paraId="158C89BF" w14:textId="4B8D30BD" w:rsidR="00FB6100" w:rsidRPr="00E17C2A" w:rsidRDefault="00FB6100" w:rsidP="00E17C2A">
      <w:pPr>
        <w:pStyle w:val="Write"/>
      </w:pPr>
    </w:p>
    <w:p w14:paraId="0293A006" w14:textId="429D7991" w:rsidR="00FB6100" w:rsidRPr="00E17C2A" w:rsidRDefault="00D529CB" w:rsidP="00E17C2A">
      <w:pPr>
        <w:pStyle w:val="Write"/>
      </w:pPr>
      <w:r w:rsidRPr="00E17C2A">
        <w:t>Hume suggests that if we attend not to the specific acts which are praised or blamed, but to the basis on which a culture decides how to apply praise and blame, much of the apparent diversity in morals will disappear</w:t>
      </w:r>
      <w:r w:rsidR="00B96D11" w:rsidRPr="00E17C2A">
        <w:t>.</w:t>
      </w:r>
      <w:r w:rsidR="00B96D11" w:rsidRPr="00E17C2A">
        <w:rPr>
          <w:rStyle w:val="FootnoteReference"/>
        </w:rPr>
        <w:footnoteReference w:id="5"/>
      </w:r>
      <w:r w:rsidR="00766227" w:rsidRPr="00E17C2A">
        <w:t xml:space="preserve"> </w:t>
      </w:r>
      <w:r w:rsidR="00235CD0" w:rsidRPr="00E17C2A">
        <w:t xml:space="preserve">So, his interest in the empirical study of cultures and peoples gives rise to the more exact methods of </w:t>
      </w:r>
      <w:r w:rsidR="00235CD0" w:rsidRPr="00E17C2A">
        <w:lastRenderedPageBreak/>
        <w:t>history of religions, sociology, and anthropology which provide most of the data for contemporary comparative religious ethics</w:t>
      </w:r>
      <w:r w:rsidR="009744B3" w:rsidRPr="00E17C2A">
        <w:t>.</w:t>
      </w:r>
    </w:p>
    <w:p w14:paraId="261FA00A" w14:textId="264B6E9C" w:rsidR="000533E3" w:rsidRPr="00E17C2A" w:rsidRDefault="000533E3" w:rsidP="00E17C2A">
      <w:pPr>
        <w:pStyle w:val="Write"/>
      </w:pPr>
    </w:p>
    <w:p w14:paraId="36DF1B62" w14:textId="2790FDE8" w:rsidR="000533E3" w:rsidRPr="00E17C2A" w:rsidRDefault="000533E3" w:rsidP="00E17C2A">
      <w:pPr>
        <w:pStyle w:val="Write"/>
      </w:pPr>
      <w:r w:rsidRPr="00E17C2A">
        <w:t>Later social scientists do not always share Hume</w:t>
      </w:r>
      <w:r w:rsidR="00B66E45" w:rsidRPr="00E17C2A">
        <w:t>’</w:t>
      </w:r>
      <w:r w:rsidRPr="00E17C2A">
        <w:t xml:space="preserve">s confidence that common moral principles can be found at the source of diverse moral systems, but the eighteenth-century study of society was a starting point for attempts to understand diverse cultures </w:t>
      </w:r>
      <w:r w:rsidR="0001728F" w:rsidRPr="00E17C2A">
        <w:t>in the context of the common social powers.</w:t>
      </w:r>
      <w:r w:rsidR="0069506A" w:rsidRPr="00E17C2A">
        <w:rPr>
          <w:rStyle w:val="FootnoteReference"/>
        </w:rPr>
        <w:footnoteReference w:id="6"/>
      </w:r>
      <w:r w:rsidR="00277325" w:rsidRPr="00E17C2A">
        <w:t xml:space="preserve"> </w:t>
      </w:r>
      <w:r w:rsidRPr="00E17C2A">
        <w:t xml:space="preserve">In this broad sense, </w:t>
      </w:r>
      <w:r w:rsidR="00874E0A" w:rsidRPr="00E17C2A">
        <w:t xml:space="preserve"> both the studies of </w:t>
      </w:r>
      <w:r w:rsidRPr="00E17C2A">
        <w:t>Weber</w:t>
      </w:r>
      <w:r w:rsidR="006F181F" w:rsidRPr="00E17C2A">
        <w:rPr>
          <w:rStyle w:val="FootnoteReference"/>
        </w:rPr>
        <w:footnoteReference w:id="7"/>
      </w:r>
      <w:r w:rsidR="00874E0A" w:rsidRPr="00E17C2A">
        <w:t xml:space="preserve"> and Durkheim</w:t>
      </w:r>
      <w:r w:rsidR="0074633D" w:rsidRPr="00E17C2A">
        <w:rPr>
          <w:rStyle w:val="FootnoteReference"/>
        </w:rPr>
        <w:footnoteReference w:id="8"/>
      </w:r>
      <w:r w:rsidR="00772978" w:rsidRPr="00E17C2A">
        <w:t xml:space="preserve"> are based on </w:t>
      </w:r>
      <w:proofErr w:type="spellStart"/>
      <w:r w:rsidR="00772978" w:rsidRPr="00E17C2A">
        <w:t>Humean</w:t>
      </w:r>
      <w:proofErr w:type="spellEnd"/>
      <w:r w:rsidR="00772978" w:rsidRPr="00E17C2A">
        <w:t xml:space="preserve"> inquiries; the former responses to the question of </w:t>
      </w:r>
      <w:r w:rsidR="00AE0BBA" w:rsidRPr="00E17C2A">
        <w:t xml:space="preserve">the religious positions towards the reflections of the social and </w:t>
      </w:r>
      <w:r w:rsidR="00E16CD7" w:rsidRPr="00E17C2A">
        <w:t>financial</w:t>
      </w:r>
      <w:r w:rsidR="00AE0BBA" w:rsidRPr="00E17C2A">
        <w:t xml:space="preserve"> </w:t>
      </w:r>
      <w:r w:rsidR="00E45E4E" w:rsidRPr="00E17C2A">
        <w:t xml:space="preserve">rationalization and the latter studied the role of </w:t>
      </w:r>
      <w:r w:rsidR="003E4904" w:rsidRPr="00E17C2A">
        <w:t>religion</w:t>
      </w:r>
      <w:r w:rsidR="00E45E4E" w:rsidRPr="00E17C2A">
        <w:t xml:space="preserve"> in sustaining community.</w:t>
      </w:r>
      <w:r w:rsidR="006F181F" w:rsidRPr="00E17C2A">
        <w:t xml:space="preserve"> </w:t>
      </w:r>
    </w:p>
    <w:p w14:paraId="37AB8BB3" w14:textId="4B1B2280" w:rsidR="006C33A1" w:rsidRPr="00E17C2A" w:rsidRDefault="006C33A1" w:rsidP="00E17C2A">
      <w:pPr>
        <w:pStyle w:val="Write"/>
      </w:pPr>
    </w:p>
    <w:p w14:paraId="6B07657C" w14:textId="3C986B21" w:rsidR="006C33A1" w:rsidRPr="00E17C2A" w:rsidRDefault="00054FF9" w:rsidP="00E17C2A">
      <w:pPr>
        <w:pStyle w:val="Write"/>
        <w:numPr>
          <w:ilvl w:val="1"/>
          <w:numId w:val="5"/>
        </w:numPr>
        <w:rPr>
          <w:b/>
          <w:bCs/>
        </w:rPr>
      </w:pPr>
      <w:r w:rsidRPr="00E17C2A">
        <w:rPr>
          <w:b/>
          <w:bCs/>
        </w:rPr>
        <w:t xml:space="preserve">Immanuel </w:t>
      </w:r>
      <w:r w:rsidR="00406AA9" w:rsidRPr="00E17C2A">
        <w:rPr>
          <w:b/>
          <w:bCs/>
        </w:rPr>
        <w:t xml:space="preserve">Kant’s </w:t>
      </w:r>
      <w:r w:rsidRPr="00E17C2A">
        <w:rPr>
          <w:b/>
          <w:bCs/>
        </w:rPr>
        <w:t>Formalism</w:t>
      </w:r>
      <w:r w:rsidR="005F2EAF" w:rsidRPr="00E17C2A">
        <w:rPr>
          <w:b/>
          <w:bCs/>
        </w:rPr>
        <w:t xml:space="preserve"> </w:t>
      </w:r>
    </w:p>
    <w:p w14:paraId="753EBD38" w14:textId="3709C797" w:rsidR="00AC5BDA" w:rsidRPr="00E17C2A" w:rsidRDefault="00624C47" w:rsidP="00E17C2A">
      <w:pPr>
        <w:pStyle w:val="Write"/>
      </w:pPr>
      <w:r w:rsidRPr="00E17C2A">
        <w:t xml:space="preserve">Hume’s empirical methodology was not taken for granted. Some </w:t>
      </w:r>
      <w:r w:rsidR="00BD160D" w:rsidRPr="00E17C2A">
        <w:t xml:space="preserve">philosophers </w:t>
      </w:r>
      <w:r w:rsidR="00E515B6" w:rsidRPr="00E17C2A">
        <w:t>rejected Hume</w:t>
      </w:r>
      <w:r w:rsidR="00BD160D" w:rsidRPr="00E17C2A">
        <w:t>’</w:t>
      </w:r>
      <w:r w:rsidR="00E515B6" w:rsidRPr="00E17C2A">
        <w:t xml:space="preserve">s assurance that the empirical approach would reveal common features that allow us to compare different moral systems and assess their responses to similar social forces. Explaining moral diversity is not a matter of understanding moral systems in social contexts, these critics insisted, but of understanding the formal features of moral reasoning. Morality cannot be vitiated by relativism because it has a rational structure that is fundamentally identical in all times and places. Hume's empiricism thus provoked the formalism of Immanuel Kant rejected any attempt to base moral choices on what people </w:t>
      </w:r>
      <w:r w:rsidR="000A3BCA" w:rsidRPr="00E17C2A">
        <w:t>choose</w:t>
      </w:r>
      <w:r w:rsidR="00E515B6" w:rsidRPr="00E17C2A">
        <w:t xml:space="preserve"> and desire. Even if we reinterpret their immediate responses </w:t>
      </w:r>
      <w:r w:rsidR="00610A95" w:rsidRPr="00E17C2A">
        <w:t>based on</w:t>
      </w:r>
      <w:r w:rsidR="00E515B6" w:rsidRPr="00E17C2A">
        <w:t xml:space="preserve"> their long-</w:t>
      </w:r>
      <w:r w:rsidR="00E515B6" w:rsidRPr="00E17C2A">
        <w:lastRenderedPageBreak/>
        <w:t>term interests or the needs of society in general, we cannot establish what they ought to do</w:t>
      </w:r>
      <w:r w:rsidR="00DB6A35" w:rsidRPr="00E17C2A">
        <w:t>.</w:t>
      </w:r>
      <w:r w:rsidR="00DB6A35" w:rsidRPr="00E17C2A">
        <w:rPr>
          <w:rStyle w:val="FootnoteReference"/>
        </w:rPr>
        <w:footnoteReference w:id="9"/>
      </w:r>
      <w:r w:rsidR="00E515B6" w:rsidRPr="00E17C2A">
        <w:t xml:space="preserve"> </w:t>
      </w:r>
    </w:p>
    <w:p w14:paraId="7FBEA5D5" w14:textId="77777777" w:rsidR="00AC5BDA" w:rsidRPr="00E17C2A" w:rsidRDefault="00AC5BDA" w:rsidP="00E17C2A">
      <w:pPr>
        <w:pStyle w:val="Write"/>
      </w:pPr>
    </w:p>
    <w:p w14:paraId="0C294804" w14:textId="463E4286" w:rsidR="00391A01" w:rsidRPr="00E17C2A" w:rsidRDefault="00C31709" w:rsidP="00E17C2A">
      <w:pPr>
        <w:pStyle w:val="Write"/>
      </w:pPr>
      <w:r w:rsidRPr="00E17C2A">
        <w:t xml:space="preserve">According to Kant, to say that an act is morally </w:t>
      </w:r>
      <w:r w:rsidR="00C1118B" w:rsidRPr="00E17C2A">
        <w:t>binding</w:t>
      </w:r>
      <w:r w:rsidRPr="00E17C2A">
        <w:t xml:space="preserve"> is to say that I could will it</w:t>
      </w:r>
      <w:r w:rsidR="00E81E29" w:rsidRPr="00E17C2A">
        <w:t>,</w:t>
      </w:r>
      <w:r w:rsidRPr="00E17C2A">
        <w:t xml:space="preserve"> not only as a solution to my own immediate problems but as a universal rule for action. Keeping solemn promises qualifies as a moral obligation, according to Kant, because it passes this formal test. Breaking solemn promises is immoral, not because we find it distasteful, but because making that behaviour into a universal rule would mean that promise-making would be pointless in the first place. That self-contradiction, rather than our feelings or our assessment of the consequences, is what makes an act immoral</w:t>
      </w:r>
      <w:r w:rsidR="00E66200" w:rsidRPr="00E17C2A">
        <w:t>.</w:t>
      </w:r>
      <w:r w:rsidR="00FC231D" w:rsidRPr="00E17C2A">
        <w:rPr>
          <w:rStyle w:val="FootnoteReference"/>
        </w:rPr>
        <w:footnoteReference w:id="10"/>
      </w:r>
      <w:r w:rsidRPr="00E17C2A">
        <w:t xml:space="preserve"> Kant thus moves the scrutiny of moral claims from the diverse, disordered, and confusing substance of what persons want </w:t>
      </w:r>
      <w:r w:rsidR="00940406" w:rsidRPr="00E17C2A">
        <w:t>as</w:t>
      </w:r>
      <w:r w:rsidRPr="00E17C2A">
        <w:t xml:space="preserve"> value into a formal, logical test that concerns only the structure of their moral claims.</w:t>
      </w:r>
    </w:p>
    <w:p w14:paraId="25D90BE7" w14:textId="1D5500B0" w:rsidR="00391A01" w:rsidRPr="00E17C2A" w:rsidRDefault="00391A01" w:rsidP="00E17C2A">
      <w:pPr>
        <w:pStyle w:val="Write"/>
      </w:pPr>
    </w:p>
    <w:p w14:paraId="0D733FF8" w14:textId="3D8A9AFE" w:rsidR="008115E8" w:rsidRPr="00E17C2A" w:rsidRDefault="008115E8" w:rsidP="00E17C2A">
      <w:pPr>
        <w:pStyle w:val="Write"/>
      </w:pPr>
      <w:r w:rsidRPr="00E17C2A">
        <w:t xml:space="preserve">Kant did not think that most people understood their moral choices in this way. Most were motivated by fear of punishment or by more immediate feelings of delight or disgust for a </w:t>
      </w:r>
      <w:proofErr w:type="gramStart"/>
      <w:r w:rsidRPr="00E17C2A">
        <w:t>particular act</w:t>
      </w:r>
      <w:proofErr w:type="gramEnd"/>
      <w:r w:rsidRPr="00E17C2A">
        <w:t xml:space="preserve">. What a philosopher does is not to describe the moral life of persons experience it, but to provide a rational account of the structures of thought which make that experience possible and which alone provide valid reasons for the moral choice. Kant did believe, however, that a </w:t>
      </w:r>
      <w:r w:rsidRPr="00E17C2A">
        <w:rPr>
          <w:i/>
          <w:iCs/>
        </w:rPr>
        <w:t>complete</w:t>
      </w:r>
      <w:r w:rsidRPr="00E17C2A">
        <w:t xml:space="preserve"> account of the structures of practical reason would show that this respect for moral law is compatible with the search for happiness that motivates much of humanity's nonmoral choice and action</w:t>
      </w:r>
      <w:r w:rsidR="00304843" w:rsidRPr="00E17C2A">
        <w:t>.</w:t>
      </w:r>
      <w:r w:rsidR="00304843" w:rsidRPr="00E17C2A">
        <w:rPr>
          <w:rStyle w:val="FootnoteReference"/>
        </w:rPr>
        <w:footnoteReference w:id="11"/>
      </w:r>
    </w:p>
    <w:p w14:paraId="1969BF26" w14:textId="77777777" w:rsidR="008115E8" w:rsidRPr="00E17C2A" w:rsidRDefault="008115E8" w:rsidP="00E17C2A">
      <w:pPr>
        <w:pStyle w:val="Write"/>
      </w:pPr>
    </w:p>
    <w:p w14:paraId="610810A4" w14:textId="667DA421" w:rsidR="008115E8" w:rsidRPr="00E17C2A" w:rsidRDefault="008115E8" w:rsidP="00E17C2A">
      <w:pPr>
        <w:pStyle w:val="Write"/>
      </w:pPr>
      <w:r w:rsidRPr="00E17C2A">
        <w:rPr>
          <w:noProof/>
        </w:rPr>
        <w:drawing>
          <wp:anchor distT="0" distB="0" distL="114300" distR="114300" simplePos="0" relativeHeight="251659264" behindDoc="0" locked="0" layoutInCell="1" allowOverlap="1" wp14:anchorId="34BCAD96" wp14:editId="455C1A99">
            <wp:simplePos x="0" y="0"/>
            <wp:positionH relativeFrom="page">
              <wp:posOffset>281141</wp:posOffset>
            </wp:positionH>
            <wp:positionV relativeFrom="page">
              <wp:posOffset>9734620</wp:posOffset>
            </wp:positionV>
            <wp:extent cx="6245" cy="3127"/>
            <wp:effectExtent l="0" t="0" r="0" b="0"/>
            <wp:wrapSquare wrapText="bothSides"/>
            <wp:docPr id="3" name="Picture 1518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245" cy="3127"/>
                    </a:xfrm>
                    <a:prstGeom prst="rect">
                      <a:avLst/>
                    </a:prstGeom>
                    <a:noFill/>
                    <a:ln>
                      <a:noFill/>
                      <a:prstDash/>
                    </a:ln>
                  </pic:spPr>
                </pic:pic>
              </a:graphicData>
            </a:graphic>
          </wp:anchor>
        </w:drawing>
      </w:r>
      <w:r w:rsidRPr="00E17C2A">
        <w:t xml:space="preserve">Kant's transcendental philosophy thus provides a rigorous defence against the moral relativism that seemed to threaten Western philosophy and religion when it confronted the fact that moral standards do not converge, even between classical and Christian Westerners. If a single structure of reason underlies all valid moral thought, we need not to be puzzled by its apparent diversity. Instead, the appearance of diversity is a philosophical challenge, inviting us to demonstrate the underlying unity in moral reasoning. If one's chief objective is </w:t>
      </w:r>
      <w:r w:rsidR="00D761FC" w:rsidRPr="00E17C2A">
        <w:t>to ensure that</w:t>
      </w:r>
      <w:r w:rsidRPr="00E17C2A">
        <w:t xml:space="preserve"> moral judgments retain some universal authority, Kant's proposal has great appeal, but it does introduce a certain distance between moral philosophy and ordinary moral experience, and in so doing It tends to separate moral beliefs from other sorts of beliefs and conclusions.</w:t>
      </w:r>
      <w:r w:rsidR="003B4C25" w:rsidRPr="00E17C2A">
        <w:rPr>
          <w:rStyle w:val="FootnoteReference"/>
        </w:rPr>
        <w:footnoteReference w:id="12"/>
      </w:r>
    </w:p>
    <w:p w14:paraId="7CB9627D" w14:textId="77777777" w:rsidR="000C5693" w:rsidRPr="00E17C2A" w:rsidRDefault="000C5693" w:rsidP="00E17C2A">
      <w:pPr>
        <w:spacing w:line="360" w:lineRule="auto"/>
        <w:rPr>
          <w:rFonts w:asciiTheme="majorBidi" w:hAnsiTheme="majorBidi" w:cstheme="majorBidi"/>
          <w:sz w:val="28"/>
          <w:szCs w:val="28"/>
        </w:rPr>
      </w:pPr>
    </w:p>
    <w:p w14:paraId="78A2F89F" w14:textId="5C838468" w:rsidR="000C5693" w:rsidRPr="00E17C2A" w:rsidRDefault="000C5693" w:rsidP="00E17C2A">
      <w:pPr>
        <w:spacing w:line="360" w:lineRule="auto"/>
        <w:jc w:val="both"/>
        <w:rPr>
          <w:rFonts w:asciiTheme="majorBidi" w:hAnsiTheme="majorBidi" w:cstheme="majorBidi"/>
          <w:b/>
          <w:bCs/>
          <w:sz w:val="28"/>
          <w:szCs w:val="28"/>
        </w:rPr>
      </w:pPr>
      <w:r w:rsidRPr="00E17C2A">
        <w:rPr>
          <w:rFonts w:asciiTheme="majorBidi" w:hAnsiTheme="majorBidi" w:cstheme="majorBidi"/>
          <w:b/>
          <w:bCs/>
          <w:sz w:val="28"/>
          <w:szCs w:val="28"/>
        </w:rPr>
        <w:t>1.3.</w:t>
      </w:r>
      <w:r w:rsidR="0040080C" w:rsidRPr="00E17C2A">
        <w:rPr>
          <w:rFonts w:asciiTheme="majorBidi" w:hAnsiTheme="majorBidi" w:cstheme="majorBidi"/>
          <w:b/>
          <w:bCs/>
          <w:sz w:val="28"/>
          <w:szCs w:val="28"/>
        </w:rPr>
        <w:t xml:space="preserve"> </w:t>
      </w:r>
      <w:r w:rsidRPr="00E17C2A">
        <w:rPr>
          <w:rFonts w:asciiTheme="majorBidi" w:hAnsiTheme="majorBidi" w:cstheme="majorBidi"/>
          <w:b/>
          <w:bCs/>
          <w:sz w:val="28"/>
          <w:szCs w:val="28"/>
        </w:rPr>
        <w:t xml:space="preserve">Other Philosopher’s Contributions </w:t>
      </w:r>
    </w:p>
    <w:p w14:paraId="52F2DAE6" w14:textId="77777777" w:rsidR="00C633B7" w:rsidRPr="00E17C2A" w:rsidRDefault="00C633B7" w:rsidP="00E17C2A">
      <w:pPr>
        <w:spacing w:line="360" w:lineRule="auto"/>
        <w:jc w:val="both"/>
        <w:rPr>
          <w:rFonts w:asciiTheme="majorBidi" w:hAnsiTheme="majorBidi" w:cstheme="majorBidi"/>
          <w:sz w:val="28"/>
          <w:szCs w:val="28"/>
        </w:rPr>
      </w:pPr>
    </w:p>
    <w:p w14:paraId="1F4E8AB9" w14:textId="16F13D16" w:rsidR="00097196" w:rsidRPr="00E17C2A" w:rsidRDefault="00097196"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t>Other philosophers at this phase had pioneer reflections on developing the comparative religious ethics.</w:t>
      </w:r>
      <w:r w:rsidR="00C633B7" w:rsidRPr="00E17C2A">
        <w:rPr>
          <w:rFonts w:asciiTheme="majorBidi" w:hAnsiTheme="majorBidi" w:cstheme="majorBidi"/>
          <w:sz w:val="28"/>
          <w:szCs w:val="28"/>
        </w:rPr>
        <w:t xml:space="preserve"> </w:t>
      </w:r>
      <w:r w:rsidRPr="00E17C2A">
        <w:rPr>
          <w:rFonts w:asciiTheme="majorBidi" w:hAnsiTheme="majorBidi" w:cstheme="majorBidi"/>
          <w:sz w:val="28"/>
          <w:szCs w:val="28"/>
        </w:rPr>
        <w:t>Durkheim led the theory of handling the social sciences and ethics on the same prickles of the natural phenomena in terms of tracing the reasons, functions and the laws.</w:t>
      </w:r>
      <w:r w:rsidR="00080409" w:rsidRPr="00E17C2A">
        <w:rPr>
          <w:rStyle w:val="FootnoteReference"/>
          <w:rFonts w:asciiTheme="majorBidi" w:hAnsiTheme="majorBidi" w:cstheme="majorBidi"/>
          <w:sz w:val="28"/>
          <w:szCs w:val="28"/>
        </w:rPr>
        <w:footnoteReference w:id="13"/>
      </w:r>
      <w:r w:rsidRPr="00E17C2A">
        <w:rPr>
          <w:rFonts w:asciiTheme="majorBidi" w:hAnsiTheme="majorBidi" w:cstheme="majorBidi"/>
          <w:sz w:val="28"/>
          <w:szCs w:val="28"/>
        </w:rPr>
        <w:t xml:space="preserve"> During the period of the Third French Republic, he acted as a transformative instinctual who based his thought on presenting ethics as cornerstone for leading enlightened social and political policy.</w:t>
      </w:r>
    </w:p>
    <w:p w14:paraId="3FD2B70C" w14:textId="77777777" w:rsidR="00B07ED9" w:rsidRPr="00E17C2A" w:rsidRDefault="00B07ED9" w:rsidP="00E17C2A">
      <w:pPr>
        <w:spacing w:line="360" w:lineRule="auto"/>
        <w:jc w:val="both"/>
        <w:rPr>
          <w:rFonts w:asciiTheme="majorBidi" w:hAnsiTheme="majorBidi" w:cstheme="majorBidi"/>
          <w:sz w:val="28"/>
          <w:szCs w:val="28"/>
        </w:rPr>
      </w:pPr>
    </w:p>
    <w:p w14:paraId="7B628A03" w14:textId="39FDBA05" w:rsidR="00097196" w:rsidRPr="00E17C2A" w:rsidRDefault="00097196"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lastRenderedPageBreak/>
        <w:t xml:space="preserve">Contrary to </w:t>
      </w:r>
      <w:r w:rsidR="00357ED2" w:rsidRPr="00E17C2A">
        <w:rPr>
          <w:rFonts w:asciiTheme="majorBidi" w:hAnsiTheme="majorBidi" w:cstheme="majorBidi"/>
          <w:sz w:val="28"/>
          <w:szCs w:val="28"/>
        </w:rPr>
        <w:t>Durkheim</w:t>
      </w:r>
      <w:r w:rsidRPr="00E17C2A">
        <w:rPr>
          <w:rFonts w:asciiTheme="majorBidi" w:hAnsiTheme="majorBidi" w:cstheme="majorBidi"/>
          <w:sz w:val="28"/>
          <w:szCs w:val="28"/>
        </w:rPr>
        <w:t xml:space="preserve">, Weber sees a big difference between politics and knowledge. According to Twiss, </w:t>
      </w:r>
      <w:r w:rsidR="00357ED2" w:rsidRPr="00E17C2A">
        <w:rPr>
          <w:rFonts w:asciiTheme="majorBidi" w:hAnsiTheme="majorBidi" w:cstheme="majorBidi"/>
          <w:sz w:val="28"/>
          <w:szCs w:val="28"/>
        </w:rPr>
        <w:t>the latter</w:t>
      </w:r>
      <w:r w:rsidRPr="00E17C2A">
        <w:rPr>
          <w:rFonts w:asciiTheme="majorBidi" w:hAnsiTheme="majorBidi" w:cstheme="majorBidi"/>
          <w:sz w:val="28"/>
          <w:szCs w:val="28"/>
        </w:rPr>
        <w:t xml:space="preserve"> developed a program of value-neutral scientific inquiry into social phenomena.</w:t>
      </w:r>
      <w:r w:rsidR="00357ED2" w:rsidRPr="00E17C2A">
        <w:rPr>
          <w:rFonts w:asciiTheme="majorBidi" w:hAnsiTheme="majorBidi" w:cstheme="majorBidi"/>
          <w:sz w:val="28"/>
          <w:szCs w:val="28"/>
        </w:rPr>
        <w:t xml:space="preserve"> </w:t>
      </w:r>
      <w:r w:rsidRPr="00E17C2A">
        <w:rPr>
          <w:rFonts w:asciiTheme="majorBidi" w:hAnsiTheme="majorBidi" w:cstheme="majorBidi"/>
          <w:sz w:val="28"/>
          <w:szCs w:val="28"/>
        </w:rPr>
        <w:t xml:space="preserve">His methodology for understanding the moral order based on revealing both </w:t>
      </w:r>
      <w:r w:rsidR="00B07ED9" w:rsidRPr="00E17C2A">
        <w:rPr>
          <w:rFonts w:asciiTheme="majorBidi" w:hAnsiTheme="majorBidi" w:cstheme="majorBidi"/>
          <w:sz w:val="28"/>
          <w:szCs w:val="28"/>
        </w:rPr>
        <w:t>the subjective</w:t>
      </w:r>
      <w:r w:rsidRPr="00E17C2A">
        <w:rPr>
          <w:rFonts w:asciiTheme="majorBidi" w:hAnsiTheme="majorBidi" w:cstheme="majorBidi"/>
          <w:sz w:val="28"/>
          <w:szCs w:val="28"/>
        </w:rPr>
        <w:t xml:space="preserve"> motives of agents as well as the historical use of the models of the rational behaviour.</w:t>
      </w:r>
      <w:r w:rsidR="00B07ED9" w:rsidRPr="00E17C2A">
        <w:rPr>
          <w:rStyle w:val="FootnoteReference"/>
          <w:rFonts w:asciiTheme="majorBidi" w:hAnsiTheme="majorBidi" w:cstheme="majorBidi"/>
          <w:sz w:val="28"/>
          <w:szCs w:val="28"/>
        </w:rPr>
        <w:footnoteReference w:id="14"/>
      </w:r>
      <w:r w:rsidRPr="00E17C2A">
        <w:rPr>
          <w:rFonts w:asciiTheme="majorBidi" w:hAnsiTheme="majorBidi" w:cstheme="majorBidi"/>
          <w:sz w:val="28"/>
          <w:szCs w:val="28"/>
        </w:rPr>
        <w:t xml:space="preserve"> </w:t>
      </w:r>
    </w:p>
    <w:p w14:paraId="0E558DCD" w14:textId="4650183E" w:rsidR="00097196" w:rsidRPr="00E17C2A" w:rsidRDefault="00097196"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t xml:space="preserve">Twiss </w:t>
      </w:r>
      <w:r w:rsidR="001D7134" w:rsidRPr="00E17C2A">
        <w:rPr>
          <w:rFonts w:asciiTheme="majorBidi" w:hAnsiTheme="majorBidi" w:cstheme="majorBidi"/>
          <w:sz w:val="28"/>
          <w:szCs w:val="28"/>
        </w:rPr>
        <w:t>summarizes</w:t>
      </w:r>
      <w:r w:rsidRPr="00E17C2A">
        <w:rPr>
          <w:rFonts w:asciiTheme="majorBidi" w:hAnsiTheme="majorBidi" w:cstheme="majorBidi"/>
          <w:sz w:val="28"/>
          <w:szCs w:val="28"/>
        </w:rPr>
        <w:t xml:space="preserve"> the main themes of this phase as follows:</w:t>
      </w:r>
    </w:p>
    <w:p w14:paraId="032DBCEE" w14:textId="2CC850CE" w:rsidR="00097196" w:rsidRPr="00E17C2A" w:rsidRDefault="000F5B9E" w:rsidP="00E17C2A">
      <w:pPr>
        <w:spacing w:line="360" w:lineRule="auto"/>
        <w:ind w:left="720"/>
        <w:jc w:val="both"/>
        <w:rPr>
          <w:rFonts w:asciiTheme="majorBidi" w:hAnsiTheme="majorBidi" w:cstheme="majorBidi"/>
          <w:sz w:val="28"/>
          <w:szCs w:val="28"/>
        </w:rPr>
      </w:pPr>
      <w:r w:rsidRPr="00E17C2A">
        <w:rPr>
          <w:rFonts w:asciiTheme="majorBidi" w:hAnsiTheme="majorBidi" w:cstheme="majorBidi"/>
          <w:sz w:val="28"/>
          <w:szCs w:val="28"/>
        </w:rPr>
        <w:t>“</w:t>
      </w:r>
      <w:r w:rsidR="00097196" w:rsidRPr="00E17C2A">
        <w:rPr>
          <w:rFonts w:asciiTheme="majorBidi" w:hAnsiTheme="majorBidi" w:cstheme="majorBidi"/>
          <w:sz w:val="28"/>
          <w:szCs w:val="28"/>
        </w:rPr>
        <w:t>The major themes of this</w:t>
      </w:r>
      <w:r w:rsidRPr="00E17C2A">
        <w:rPr>
          <w:rFonts w:asciiTheme="majorBidi" w:hAnsiTheme="majorBidi" w:cstheme="majorBidi"/>
          <w:sz w:val="28"/>
          <w:szCs w:val="28"/>
        </w:rPr>
        <w:t>…</w:t>
      </w:r>
      <w:r w:rsidR="00097196" w:rsidRPr="00E17C2A">
        <w:rPr>
          <w:rFonts w:asciiTheme="majorBidi" w:hAnsiTheme="majorBidi" w:cstheme="majorBidi"/>
          <w:sz w:val="28"/>
          <w:szCs w:val="28"/>
        </w:rPr>
        <w:t xml:space="preserve">phase of development </w:t>
      </w:r>
      <w:proofErr w:type="gramStart"/>
      <w:r w:rsidR="00097196" w:rsidRPr="00E17C2A">
        <w:rPr>
          <w:rFonts w:asciiTheme="majorBidi" w:hAnsiTheme="majorBidi" w:cstheme="majorBidi"/>
          <w:sz w:val="28"/>
          <w:szCs w:val="28"/>
        </w:rPr>
        <w:t>are</w:t>
      </w:r>
      <w:proofErr w:type="gramEnd"/>
      <w:r w:rsidR="00097196" w:rsidRPr="00E17C2A">
        <w:rPr>
          <w:rFonts w:asciiTheme="majorBidi" w:hAnsiTheme="majorBidi" w:cstheme="majorBidi"/>
          <w:sz w:val="28"/>
          <w:szCs w:val="28"/>
        </w:rPr>
        <w:t>: interest in a science of morality with evolutionary overtones; attempts to articulate a method of systematic comparison; awareness of how historicism poses the acute challenge of universality versus relativism in the sphere of ethics; and a tendency to accept the role of public transformative intellectual.</w:t>
      </w:r>
      <w:r w:rsidRPr="00E17C2A">
        <w:rPr>
          <w:rFonts w:asciiTheme="majorBidi" w:hAnsiTheme="majorBidi" w:cstheme="majorBidi"/>
          <w:sz w:val="28"/>
          <w:szCs w:val="28"/>
        </w:rPr>
        <w:t>”</w:t>
      </w:r>
      <w:r w:rsidR="00DB46E0" w:rsidRPr="00E17C2A">
        <w:rPr>
          <w:rStyle w:val="FootnoteReference"/>
          <w:rFonts w:asciiTheme="majorBidi" w:hAnsiTheme="majorBidi" w:cstheme="majorBidi"/>
          <w:sz w:val="28"/>
          <w:szCs w:val="28"/>
        </w:rPr>
        <w:footnoteReference w:id="15"/>
      </w:r>
    </w:p>
    <w:p w14:paraId="0CB5A692" w14:textId="77777777" w:rsidR="00097196" w:rsidRPr="00E17C2A" w:rsidRDefault="00097196" w:rsidP="00E17C2A">
      <w:pPr>
        <w:spacing w:line="360" w:lineRule="auto"/>
        <w:jc w:val="both"/>
        <w:rPr>
          <w:rFonts w:asciiTheme="majorBidi" w:hAnsiTheme="majorBidi" w:cstheme="majorBidi"/>
          <w:sz w:val="28"/>
          <w:szCs w:val="28"/>
        </w:rPr>
      </w:pPr>
    </w:p>
    <w:p w14:paraId="2FC3D3AF" w14:textId="062160C3" w:rsidR="00097196" w:rsidRPr="00E17C2A" w:rsidRDefault="00097196"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t>Another phase of research defined by Twiss which is conducted by anthropologists or by philosophers who were guided by them where Richard Brandt</w:t>
      </w:r>
      <w:r w:rsidR="00CF11B8" w:rsidRPr="00E17C2A">
        <w:rPr>
          <w:rStyle w:val="FootnoteReference"/>
          <w:rFonts w:asciiTheme="majorBidi" w:hAnsiTheme="majorBidi" w:cstheme="majorBidi"/>
          <w:sz w:val="28"/>
          <w:szCs w:val="28"/>
        </w:rPr>
        <w:footnoteReference w:id="16"/>
      </w:r>
      <w:r w:rsidRPr="00E17C2A">
        <w:rPr>
          <w:rFonts w:asciiTheme="majorBidi" w:hAnsiTheme="majorBidi" w:cstheme="majorBidi"/>
          <w:sz w:val="28"/>
          <w:szCs w:val="28"/>
        </w:rPr>
        <w:t xml:space="preserve"> and John Ladd</w:t>
      </w:r>
      <w:r w:rsidR="00BA32C9" w:rsidRPr="00E17C2A">
        <w:rPr>
          <w:rStyle w:val="FootnoteReference"/>
          <w:rFonts w:asciiTheme="majorBidi" w:hAnsiTheme="majorBidi" w:cstheme="majorBidi"/>
          <w:sz w:val="28"/>
          <w:szCs w:val="28"/>
        </w:rPr>
        <w:footnoteReference w:id="17"/>
      </w:r>
      <w:r w:rsidRPr="00E17C2A">
        <w:rPr>
          <w:rFonts w:asciiTheme="majorBidi" w:hAnsiTheme="majorBidi" w:cstheme="majorBidi"/>
          <w:sz w:val="28"/>
          <w:szCs w:val="28"/>
        </w:rPr>
        <w:t xml:space="preserve"> were the key players in this phase. They did their research using anthropology to reveal the structural reasoning of the moral theory and formulating the worldviews of the Hopi and Navajo. They used ethnographic methods to conduct limited field work on their subjects. To organize their question and to synthesis their </w:t>
      </w:r>
      <w:r w:rsidR="00BA274C" w:rsidRPr="00E17C2A">
        <w:rPr>
          <w:rFonts w:asciiTheme="majorBidi" w:hAnsiTheme="majorBidi" w:cstheme="majorBidi"/>
          <w:sz w:val="28"/>
          <w:szCs w:val="28"/>
        </w:rPr>
        <w:t>results</w:t>
      </w:r>
      <w:r w:rsidRPr="00E17C2A">
        <w:rPr>
          <w:rFonts w:asciiTheme="majorBidi" w:hAnsiTheme="majorBidi" w:cstheme="majorBidi"/>
          <w:sz w:val="28"/>
          <w:szCs w:val="28"/>
        </w:rPr>
        <w:t>, both Brandt and Ladd adopted “ideal types”.</w:t>
      </w:r>
      <w:r w:rsidR="00F024BB" w:rsidRPr="00E17C2A">
        <w:rPr>
          <w:rStyle w:val="FootnoteReference"/>
          <w:rFonts w:asciiTheme="majorBidi" w:hAnsiTheme="majorBidi" w:cstheme="majorBidi"/>
          <w:sz w:val="28"/>
          <w:szCs w:val="28"/>
        </w:rPr>
        <w:footnoteReference w:id="18"/>
      </w:r>
    </w:p>
    <w:p w14:paraId="069CA43B" w14:textId="77777777" w:rsidR="00097196" w:rsidRPr="00E17C2A" w:rsidRDefault="00097196" w:rsidP="00E17C2A">
      <w:pPr>
        <w:spacing w:line="360" w:lineRule="auto"/>
        <w:jc w:val="both"/>
        <w:rPr>
          <w:rFonts w:asciiTheme="majorBidi" w:hAnsiTheme="majorBidi" w:cstheme="majorBidi"/>
          <w:sz w:val="28"/>
          <w:szCs w:val="28"/>
        </w:rPr>
      </w:pPr>
    </w:p>
    <w:p w14:paraId="4255107C" w14:textId="77777777" w:rsidR="00097196" w:rsidRPr="00E17C2A" w:rsidRDefault="00097196" w:rsidP="00E17C2A">
      <w:pPr>
        <w:spacing w:line="360" w:lineRule="auto"/>
        <w:jc w:val="both"/>
        <w:rPr>
          <w:rFonts w:asciiTheme="majorBidi" w:hAnsiTheme="majorBidi" w:cstheme="majorBidi"/>
          <w:sz w:val="28"/>
          <w:szCs w:val="28"/>
        </w:rPr>
      </w:pPr>
    </w:p>
    <w:p w14:paraId="4D241F2F" w14:textId="659E1E60" w:rsidR="00097196" w:rsidRPr="00E17C2A" w:rsidRDefault="00097196"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lastRenderedPageBreak/>
        <w:t>Their work could be the basis for what is known as descriptive ethics which means to analyse the moral reasoning for a group of people from their internal point of view.</w:t>
      </w:r>
      <w:r w:rsidR="00FA6B9A" w:rsidRPr="00E17C2A">
        <w:rPr>
          <w:rFonts w:asciiTheme="majorBidi" w:hAnsiTheme="majorBidi" w:cstheme="majorBidi"/>
          <w:sz w:val="28"/>
          <w:szCs w:val="28"/>
        </w:rPr>
        <w:t xml:space="preserve"> So, t</w:t>
      </w:r>
      <w:r w:rsidRPr="00E17C2A">
        <w:rPr>
          <w:rFonts w:asciiTheme="majorBidi" w:hAnsiTheme="majorBidi" w:cstheme="majorBidi"/>
          <w:sz w:val="28"/>
          <w:szCs w:val="28"/>
        </w:rPr>
        <w:t>heir comparison between the Western moral reasoning with the non-Western was unique and deep.</w:t>
      </w:r>
      <w:r w:rsidR="00FA6B9A" w:rsidRPr="00E17C2A">
        <w:rPr>
          <w:rStyle w:val="FootnoteReference"/>
          <w:rFonts w:asciiTheme="majorBidi" w:hAnsiTheme="majorBidi" w:cstheme="majorBidi"/>
          <w:sz w:val="28"/>
          <w:szCs w:val="28"/>
        </w:rPr>
        <w:footnoteReference w:id="19"/>
      </w:r>
      <w:r w:rsidRPr="00E17C2A">
        <w:rPr>
          <w:rFonts w:asciiTheme="majorBidi" w:hAnsiTheme="majorBidi" w:cstheme="majorBidi"/>
          <w:sz w:val="28"/>
          <w:szCs w:val="28"/>
        </w:rPr>
        <w:t xml:space="preserve"> </w:t>
      </w:r>
    </w:p>
    <w:p w14:paraId="7DCD2284" w14:textId="77777777" w:rsidR="00097196" w:rsidRPr="00E17C2A" w:rsidRDefault="00097196" w:rsidP="00E17C2A">
      <w:pPr>
        <w:spacing w:line="360" w:lineRule="auto"/>
        <w:jc w:val="both"/>
        <w:rPr>
          <w:rFonts w:asciiTheme="majorBidi" w:hAnsiTheme="majorBidi" w:cstheme="majorBidi"/>
          <w:sz w:val="28"/>
          <w:szCs w:val="28"/>
        </w:rPr>
      </w:pPr>
    </w:p>
    <w:p w14:paraId="41B216FE" w14:textId="01E8634E" w:rsidR="00097196" w:rsidRPr="00E17C2A" w:rsidRDefault="00097196"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t>On the other hand</w:t>
      </w:r>
      <w:r w:rsidR="00B07ED9" w:rsidRPr="00E17C2A">
        <w:rPr>
          <w:rFonts w:asciiTheme="majorBidi" w:hAnsiTheme="majorBidi" w:cstheme="majorBidi"/>
          <w:sz w:val="28"/>
          <w:szCs w:val="28"/>
        </w:rPr>
        <w:t>,</w:t>
      </w:r>
      <w:r w:rsidRPr="00E17C2A">
        <w:rPr>
          <w:rFonts w:asciiTheme="majorBidi" w:hAnsiTheme="majorBidi" w:cstheme="majorBidi"/>
          <w:sz w:val="28"/>
          <w:szCs w:val="28"/>
        </w:rPr>
        <w:t xml:space="preserve"> Malinowski used the people of Melanesia as his subject of study.</w:t>
      </w:r>
      <w:r w:rsidR="008635E0" w:rsidRPr="00E17C2A">
        <w:rPr>
          <w:rStyle w:val="FootnoteReference"/>
          <w:rFonts w:asciiTheme="majorBidi" w:hAnsiTheme="majorBidi" w:cstheme="majorBidi"/>
          <w:sz w:val="28"/>
          <w:szCs w:val="28"/>
        </w:rPr>
        <w:footnoteReference w:id="20"/>
      </w:r>
      <w:r w:rsidRPr="00E17C2A">
        <w:rPr>
          <w:rFonts w:asciiTheme="majorBidi" w:hAnsiTheme="majorBidi" w:cstheme="majorBidi"/>
          <w:sz w:val="28"/>
          <w:szCs w:val="28"/>
        </w:rPr>
        <w:t xml:space="preserve"> However his did intensive field work, the absence of the ideal types and not being intensively interested in comparison might have distorted the use of his data and led to misleading findings about the moral reasoning of his subjects.</w:t>
      </w:r>
    </w:p>
    <w:p w14:paraId="6828DD9F" w14:textId="77777777" w:rsidR="00097196" w:rsidRPr="00E17C2A" w:rsidRDefault="00097196" w:rsidP="00E17C2A">
      <w:pPr>
        <w:spacing w:line="360" w:lineRule="auto"/>
        <w:jc w:val="both"/>
        <w:rPr>
          <w:rFonts w:asciiTheme="majorBidi" w:hAnsiTheme="majorBidi" w:cstheme="majorBidi"/>
          <w:sz w:val="28"/>
          <w:szCs w:val="28"/>
        </w:rPr>
      </w:pPr>
    </w:p>
    <w:p w14:paraId="4947C8B8" w14:textId="4B1845EC" w:rsidR="00097196" w:rsidRPr="00E17C2A" w:rsidRDefault="00097196"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t xml:space="preserve">Twiss </w:t>
      </w:r>
      <w:r w:rsidR="00B07ED9" w:rsidRPr="00E17C2A">
        <w:rPr>
          <w:rFonts w:asciiTheme="majorBidi" w:hAnsiTheme="majorBidi" w:cstheme="majorBidi"/>
          <w:sz w:val="28"/>
          <w:szCs w:val="28"/>
        </w:rPr>
        <w:t>summarizes</w:t>
      </w:r>
      <w:r w:rsidRPr="00E17C2A">
        <w:rPr>
          <w:rFonts w:asciiTheme="majorBidi" w:hAnsiTheme="majorBidi" w:cstheme="majorBidi"/>
          <w:sz w:val="28"/>
          <w:szCs w:val="28"/>
        </w:rPr>
        <w:t xml:space="preserve"> the themes and the development of this phase as follows:</w:t>
      </w:r>
    </w:p>
    <w:p w14:paraId="61EC053F" w14:textId="7EB1D273" w:rsidR="00097196" w:rsidRPr="00E17C2A" w:rsidRDefault="009E16AC" w:rsidP="00E17C2A">
      <w:pPr>
        <w:spacing w:line="360" w:lineRule="auto"/>
        <w:ind w:left="720"/>
        <w:jc w:val="both"/>
        <w:rPr>
          <w:rFonts w:asciiTheme="majorBidi" w:hAnsiTheme="majorBidi" w:cstheme="majorBidi"/>
          <w:sz w:val="28"/>
          <w:szCs w:val="28"/>
        </w:rPr>
      </w:pPr>
      <w:r w:rsidRPr="00E17C2A">
        <w:rPr>
          <w:rFonts w:asciiTheme="majorBidi" w:hAnsiTheme="majorBidi" w:cstheme="majorBidi"/>
          <w:sz w:val="28"/>
          <w:szCs w:val="28"/>
        </w:rPr>
        <w:t>“</w:t>
      </w:r>
      <w:r w:rsidR="00097196" w:rsidRPr="00E17C2A">
        <w:rPr>
          <w:rFonts w:asciiTheme="majorBidi" w:hAnsiTheme="majorBidi" w:cstheme="majorBidi"/>
          <w:sz w:val="28"/>
          <w:szCs w:val="28"/>
        </w:rPr>
        <w:t>…a contrast between methods of inquiry about moral reasoning (inquiry into its logical structure guided by a descriptive typology versus intensive fieldwork guided only by a non</w:t>
      </w:r>
      <w:r w:rsidR="00036B75" w:rsidRPr="00E17C2A">
        <w:rPr>
          <w:rFonts w:asciiTheme="majorBidi" w:hAnsiTheme="majorBidi" w:cstheme="majorBidi"/>
          <w:sz w:val="28"/>
          <w:szCs w:val="28"/>
        </w:rPr>
        <w:t>-</w:t>
      </w:r>
      <w:r w:rsidR="00097196" w:rsidRPr="00E17C2A">
        <w:rPr>
          <w:rFonts w:asciiTheme="majorBidi" w:hAnsiTheme="majorBidi" w:cstheme="majorBidi"/>
          <w:sz w:val="28"/>
          <w:szCs w:val="28"/>
        </w:rPr>
        <w:t>theoretical pragmatic holism); movement toward explicit systematic comparison versus a suspicion of such comparison; and the apparent demise of the role of the public or transformative intellectual</w:t>
      </w:r>
      <w:r w:rsidRPr="00E17C2A">
        <w:rPr>
          <w:rFonts w:asciiTheme="majorBidi" w:hAnsiTheme="majorBidi" w:cstheme="majorBidi"/>
          <w:sz w:val="28"/>
          <w:szCs w:val="28"/>
        </w:rPr>
        <w:t>.”</w:t>
      </w:r>
      <w:r w:rsidR="001A7596" w:rsidRPr="00E17C2A">
        <w:rPr>
          <w:rStyle w:val="FootnoteReference"/>
          <w:rFonts w:asciiTheme="majorBidi" w:hAnsiTheme="majorBidi" w:cstheme="majorBidi"/>
          <w:sz w:val="28"/>
          <w:szCs w:val="28"/>
        </w:rPr>
        <w:footnoteReference w:id="21"/>
      </w:r>
    </w:p>
    <w:p w14:paraId="205DC7CD" w14:textId="77777777" w:rsidR="00097196" w:rsidRPr="00E17C2A" w:rsidRDefault="00097196" w:rsidP="00E17C2A">
      <w:pPr>
        <w:spacing w:line="360" w:lineRule="auto"/>
        <w:jc w:val="both"/>
        <w:rPr>
          <w:rFonts w:asciiTheme="majorBidi" w:hAnsiTheme="majorBidi" w:cstheme="majorBidi"/>
          <w:sz w:val="28"/>
          <w:szCs w:val="28"/>
        </w:rPr>
      </w:pPr>
    </w:p>
    <w:p w14:paraId="65D0B5F3" w14:textId="12E105CB" w:rsidR="00097196" w:rsidRPr="00E17C2A" w:rsidRDefault="00097196"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br w:type="page"/>
      </w:r>
    </w:p>
    <w:p w14:paraId="278E564C" w14:textId="17BC84EE" w:rsidR="00DF10D6" w:rsidRPr="00E17C2A" w:rsidRDefault="00DF10D6" w:rsidP="00E17C2A">
      <w:pPr>
        <w:pStyle w:val="Write"/>
        <w:numPr>
          <w:ilvl w:val="0"/>
          <w:numId w:val="5"/>
        </w:numPr>
        <w:rPr>
          <w:b/>
          <w:bCs/>
        </w:rPr>
      </w:pPr>
      <w:r w:rsidRPr="00E17C2A">
        <w:rPr>
          <w:b/>
          <w:bCs/>
        </w:rPr>
        <w:lastRenderedPageBreak/>
        <w:t>Mid-twentieth Century Comparative Religious Ethics</w:t>
      </w:r>
    </w:p>
    <w:p w14:paraId="485E6D69" w14:textId="5473CFA7" w:rsidR="006508F7" w:rsidRPr="00E17C2A" w:rsidRDefault="006508F7" w:rsidP="00E17C2A">
      <w:pPr>
        <w:pStyle w:val="Write"/>
      </w:pPr>
      <w:r w:rsidRPr="00E17C2A">
        <w:t>In 197</w:t>
      </w:r>
      <w:r w:rsidR="00A7555A" w:rsidRPr="00E17C2A">
        <w:t xml:space="preserve">3, the </w:t>
      </w:r>
      <w:r w:rsidR="00A7555A" w:rsidRPr="00E17C2A">
        <w:rPr>
          <w:i/>
          <w:iCs/>
        </w:rPr>
        <w:t>Journal of Religious Ethics</w:t>
      </w:r>
      <w:r w:rsidR="00A7555A" w:rsidRPr="00E17C2A">
        <w:t xml:space="preserve"> was issued </w:t>
      </w:r>
      <w:r w:rsidR="00102CA2" w:rsidRPr="00E17C2A">
        <w:t xml:space="preserve">which had a great effect on the development of the Religious ethics, and the comparative perspectives were not exceptional. </w:t>
      </w:r>
      <w:r w:rsidR="00C83771" w:rsidRPr="00E17C2A">
        <w:t>Being influenced by this increasing interest in Comparative Ethics, f</w:t>
      </w:r>
      <w:r w:rsidR="004B7592" w:rsidRPr="00E17C2A">
        <w:t xml:space="preserve">our years later, three books were published </w:t>
      </w:r>
      <w:r w:rsidR="00C83771" w:rsidRPr="00E17C2A">
        <w:t>at the same year (1978);</w:t>
      </w:r>
      <w:r w:rsidR="00E01C43" w:rsidRPr="00E17C2A">
        <w:t xml:space="preserve"> </w:t>
      </w:r>
      <w:bookmarkStart w:id="2" w:name="_Hlk10770376"/>
      <w:r w:rsidR="000E413E" w:rsidRPr="00E17C2A">
        <w:t>Ronald Green’s</w:t>
      </w:r>
      <w:r w:rsidR="00D82388" w:rsidRPr="00E17C2A">
        <w:t xml:space="preserve"> </w:t>
      </w:r>
      <w:r w:rsidR="00D82388" w:rsidRPr="00E17C2A">
        <w:rPr>
          <w:i/>
          <w:iCs/>
        </w:rPr>
        <w:t>Religious Reason: The Rational and Moral Basis of Religious Belief</w:t>
      </w:r>
      <w:r w:rsidR="00D82388" w:rsidRPr="00E17C2A">
        <w:t xml:space="preserve"> (New York: Oxford University Press, 1978)</w:t>
      </w:r>
      <w:r w:rsidR="00E01C43" w:rsidRPr="00E17C2A">
        <w:t xml:space="preserve">; </w:t>
      </w:r>
      <w:bookmarkStart w:id="3" w:name="_Hlk10770413"/>
      <w:bookmarkEnd w:id="2"/>
      <w:r w:rsidR="00C85EF1" w:rsidRPr="00E17C2A">
        <w:t xml:space="preserve">Roderick </w:t>
      </w:r>
      <w:proofErr w:type="spellStart"/>
      <w:r w:rsidR="00C85EF1" w:rsidRPr="00E17C2A">
        <w:t>Hindery</w:t>
      </w:r>
      <w:proofErr w:type="spellEnd"/>
      <w:r w:rsidR="00863E40" w:rsidRPr="00E17C2A">
        <w:t>,</w:t>
      </w:r>
      <w:r w:rsidR="00C85EF1" w:rsidRPr="00E17C2A">
        <w:t xml:space="preserve"> </w:t>
      </w:r>
      <w:r w:rsidR="00C85EF1" w:rsidRPr="00E17C2A">
        <w:rPr>
          <w:i/>
          <w:iCs/>
        </w:rPr>
        <w:t>Comparative Ethics in Hindu and Buddhist Traditions</w:t>
      </w:r>
      <w:r w:rsidR="00C85EF1" w:rsidRPr="00E17C2A">
        <w:t xml:space="preserve"> (Delhi, India: Motilal </w:t>
      </w:r>
      <w:proofErr w:type="spellStart"/>
      <w:r w:rsidR="00C85EF1" w:rsidRPr="00E17C2A">
        <w:t>Banarsidass</w:t>
      </w:r>
      <w:proofErr w:type="spellEnd"/>
      <w:r w:rsidR="00C85EF1" w:rsidRPr="00E17C2A">
        <w:t>, 1978)</w:t>
      </w:r>
      <w:r w:rsidR="00E01C43" w:rsidRPr="00E17C2A">
        <w:t xml:space="preserve">; </w:t>
      </w:r>
      <w:r w:rsidR="000E413E" w:rsidRPr="00E17C2A">
        <w:t>David Little and Sumner Twiss</w:t>
      </w:r>
      <w:r w:rsidR="00C85EF1" w:rsidRPr="00E17C2A">
        <w:t>’</w:t>
      </w:r>
      <w:r w:rsidR="00122EA5" w:rsidRPr="00E17C2A">
        <w:t xml:space="preserve"> </w:t>
      </w:r>
      <w:r w:rsidR="00122EA5" w:rsidRPr="00E17C2A">
        <w:rPr>
          <w:i/>
          <w:iCs/>
        </w:rPr>
        <w:t>Comparative Religious Ethics: A New Method</w:t>
      </w:r>
      <w:r w:rsidR="00122EA5" w:rsidRPr="00E17C2A">
        <w:t xml:space="preserve"> (New York: Harper and Row, 1978)</w:t>
      </w:r>
      <w:r w:rsidR="00E01C43" w:rsidRPr="00E17C2A">
        <w:t>.</w:t>
      </w:r>
      <w:r w:rsidR="00247615" w:rsidRPr="00E17C2A">
        <w:t xml:space="preserve"> </w:t>
      </w:r>
      <w:bookmarkEnd w:id="3"/>
      <w:r w:rsidR="00247615" w:rsidRPr="00E17C2A">
        <w:t>The methodologies used in these book</w:t>
      </w:r>
      <w:r w:rsidR="00180869" w:rsidRPr="00E17C2A">
        <w:t xml:space="preserve">s and the responses reacted towards them </w:t>
      </w:r>
      <w:r w:rsidR="00CA259B" w:rsidRPr="00E17C2A">
        <w:t>developed the genre of comparative religious ethics forward.</w:t>
      </w:r>
    </w:p>
    <w:p w14:paraId="5581A3CE" w14:textId="77777777" w:rsidR="00CA259B" w:rsidRPr="00E17C2A" w:rsidRDefault="00CA259B" w:rsidP="00E17C2A">
      <w:pPr>
        <w:pStyle w:val="Write"/>
      </w:pPr>
    </w:p>
    <w:p w14:paraId="0F0D8317" w14:textId="5776646D" w:rsidR="003C17DF" w:rsidRPr="00E17C2A" w:rsidRDefault="008654DF" w:rsidP="00E17C2A">
      <w:pPr>
        <w:pStyle w:val="Write"/>
      </w:pPr>
      <w:r w:rsidRPr="00E17C2A">
        <w:t>According to Lovin and Reynold</w:t>
      </w:r>
      <w:r w:rsidR="001874B1" w:rsidRPr="00E17C2A">
        <w:t xml:space="preserve">s, </w:t>
      </w:r>
      <w:r w:rsidR="009140EE" w:rsidRPr="00E17C2A">
        <w:t xml:space="preserve">Green's </w:t>
      </w:r>
      <w:r w:rsidR="009140EE" w:rsidRPr="00E17C2A">
        <w:rPr>
          <w:i/>
          <w:iCs/>
        </w:rPr>
        <w:t>Religious Reason</w:t>
      </w:r>
      <w:r w:rsidR="009140EE" w:rsidRPr="00E17C2A">
        <w:t xml:space="preserve"> is an outstanding example of the Kantian approach. Green insists that we must establish the structures of moral rationality independently of empirical generalizations about what people happen to approve morally.</w:t>
      </w:r>
      <w:r w:rsidR="00E82A3F" w:rsidRPr="00E17C2A">
        <w:rPr>
          <w:rStyle w:val="FootnoteReference"/>
        </w:rPr>
        <w:footnoteReference w:id="22"/>
      </w:r>
      <w:r w:rsidR="009140EE" w:rsidRPr="00E17C2A">
        <w:t xml:space="preserve"> </w:t>
      </w:r>
      <w:r w:rsidR="00C95FD8" w:rsidRPr="00E17C2A">
        <w:t>Green suggests that when</w:t>
      </w:r>
      <w:r w:rsidR="009140EE" w:rsidRPr="00E17C2A">
        <w:t xml:space="preserve"> this is done properly, with exclusive attention to the moral logic of religion and a careful elimination of the particularities es of Western theism, we will find a set of “requirements of pure religious reason</w:t>
      </w:r>
      <w:r w:rsidR="004C4D9B" w:rsidRPr="00E17C2A">
        <w:t>.</w:t>
      </w:r>
      <w:r w:rsidR="009140EE" w:rsidRPr="00E17C2A">
        <w:t>”</w:t>
      </w:r>
      <w:r w:rsidR="004C4D9B" w:rsidRPr="00E17C2A">
        <w:rPr>
          <w:rStyle w:val="FootnoteReference"/>
        </w:rPr>
        <w:footnoteReference w:id="23"/>
      </w:r>
      <w:r w:rsidR="009140EE" w:rsidRPr="00E17C2A">
        <w:t xml:space="preserve"> These requirements provide a structure within which we can understand the moral teaching of different religious traditions, either as exemplifications of the structure or as characteristic </w:t>
      </w:r>
      <w:proofErr w:type="spellStart"/>
      <w:r w:rsidR="009140EE" w:rsidRPr="00E17C2A">
        <w:t>maneuvers</w:t>
      </w:r>
      <w:proofErr w:type="spellEnd"/>
      <w:r w:rsidR="009140EE" w:rsidRPr="00E17C2A">
        <w:t xml:space="preserve"> to correct divergences from it.</w:t>
      </w:r>
    </w:p>
    <w:p w14:paraId="5BD94B8D" w14:textId="77777777" w:rsidR="00C40AD1" w:rsidRPr="00E17C2A" w:rsidRDefault="00C40AD1" w:rsidP="00E17C2A">
      <w:pPr>
        <w:pStyle w:val="Write"/>
      </w:pPr>
    </w:p>
    <w:p w14:paraId="02DD6FE2" w14:textId="77777777" w:rsidR="00C40AD1" w:rsidRPr="00E17C2A" w:rsidRDefault="000D1F46" w:rsidP="00E17C2A">
      <w:pPr>
        <w:pStyle w:val="Write"/>
      </w:pPr>
      <w:r w:rsidRPr="00E17C2A">
        <w:lastRenderedPageBreak/>
        <w:t>The explanatory power of Green's method appears most clearly in his treatment of two religions of Indian origin, Hinduism and Theravada Buddhism.</w:t>
      </w:r>
      <w:r w:rsidR="006F25C2" w:rsidRPr="00E17C2A">
        <w:rPr>
          <w:rStyle w:val="FootnoteReference"/>
        </w:rPr>
        <w:footnoteReference w:id="24"/>
      </w:r>
      <w:r w:rsidRPr="00E17C2A">
        <w:t xml:space="preserve"> In contrast to the common assertion that the religions of India are the faiths of mystics who have no use for ethics and, indeed, no belief in the substantial reality of the human person as moral agent,</w:t>
      </w:r>
      <w:r w:rsidR="004770F7" w:rsidRPr="00E17C2A">
        <w:rPr>
          <w:rStyle w:val="FootnoteReference"/>
        </w:rPr>
        <w:footnoteReference w:id="25"/>
      </w:r>
      <w:r w:rsidRPr="00E17C2A">
        <w:t xml:space="preserve"> Green argues that Hinduism and Theravada Buddhism conform precisely to the structure of pure religious reason which he has outlined. In the idea of </w:t>
      </w:r>
      <w:r w:rsidRPr="00E17C2A">
        <w:rPr>
          <w:i/>
          <w:iCs/>
        </w:rPr>
        <w:t>karma</w:t>
      </w:r>
      <w:r w:rsidRPr="00E17C2A">
        <w:t xml:space="preserve">, he finds the insistence on the significance of international actions which is essential to ethical system and which is, indeed, developed in the religions of India far more rigorously than in the moral philosophies and theologies </w:t>
      </w:r>
      <w:r w:rsidR="002F6FFA" w:rsidRPr="00E17C2A">
        <w:t>o</w:t>
      </w:r>
      <w:r w:rsidRPr="00E17C2A">
        <w:t xml:space="preserve">f the West. The iron law that connects will, act, and consequence in India obviates much of the Western discussion of whether virtue is rewarded. </w:t>
      </w:r>
    </w:p>
    <w:p w14:paraId="6EC4E60F" w14:textId="77777777" w:rsidR="00C40AD1" w:rsidRPr="00E17C2A" w:rsidRDefault="00C40AD1" w:rsidP="00E17C2A">
      <w:pPr>
        <w:pStyle w:val="Write"/>
      </w:pPr>
    </w:p>
    <w:p w14:paraId="3A70341B" w14:textId="0419D9CB" w:rsidR="000D1F46" w:rsidRPr="00E17C2A" w:rsidRDefault="000D1F46" w:rsidP="00E17C2A">
      <w:pPr>
        <w:pStyle w:val="Write"/>
        <w:rPr>
          <w:rtl/>
        </w:rPr>
      </w:pPr>
      <w:r w:rsidRPr="00E17C2A">
        <w:t xml:space="preserve">Indeed, Green notes, the certainty that right action will be rewarded would, taken by itself, reduce morality to a simple matter of prudence and obscure the distinction between duty and desire that Kant found so important. What keeps that reduction from happening is precisely the doctrine that the ultimate good is an annihilation of the self (moksha or nirvana) and that this annihilation of the self ends the karmic cycle of deed and recompense. Only by this teaching, which seems at first glance antithetical to Western ideas of moral responsibility, can a religion which believes in karma retain a moral rationality which distinguishes action that respects the moral law from action that merely seeks the long-term good of the agent. For Green, the methodological conclusion that follows from this reading of Hinduism and Theravada </w:t>
      </w:r>
      <w:proofErr w:type="spellStart"/>
      <w:r w:rsidRPr="00E17C2A">
        <w:t>Budism</w:t>
      </w:r>
      <w:proofErr w:type="spellEnd"/>
      <w:r w:rsidRPr="00E17C2A">
        <w:t xml:space="preserve"> is clear: empirical attention to the details of a culture’s morality may lead us to miss "a more basic moral and </w:t>
      </w:r>
      <w:r w:rsidRPr="00E17C2A">
        <w:lastRenderedPageBreak/>
        <w:t>religious logic that can help further explain the seeming inconsistencies" that the empirical method inevitably turns up</w:t>
      </w:r>
      <w:r w:rsidR="009B1885" w:rsidRPr="00E17C2A">
        <w:t>.</w:t>
      </w:r>
      <w:r w:rsidR="009B1885" w:rsidRPr="00E17C2A">
        <w:rPr>
          <w:rStyle w:val="FootnoteReference"/>
        </w:rPr>
        <w:footnoteReference w:id="26"/>
      </w:r>
      <w:r w:rsidRPr="00E17C2A">
        <w:t xml:space="preserve"> </w:t>
      </w:r>
    </w:p>
    <w:p w14:paraId="23C351BB" w14:textId="77777777" w:rsidR="00C40AD1" w:rsidRPr="00E17C2A" w:rsidRDefault="00C40AD1" w:rsidP="00E17C2A">
      <w:pPr>
        <w:pStyle w:val="Write"/>
      </w:pPr>
    </w:p>
    <w:p w14:paraId="77958D88" w14:textId="12BACFD1" w:rsidR="000D1F46" w:rsidRPr="00E17C2A" w:rsidRDefault="000D1F46" w:rsidP="00E17C2A">
      <w:pPr>
        <w:pStyle w:val="Write"/>
      </w:pPr>
      <w:r w:rsidRPr="00E17C2A">
        <w:t xml:space="preserve">Other observers see other possibilities. Frank Reynolds sees moral life in the Theravada tradition as a complex pattern of action devoted both to the alleviation of suffering in the world of cause-and-effect events and to the cessation of suffering in the attainment of </w:t>
      </w:r>
      <w:r w:rsidRPr="00E17C2A">
        <w:rPr>
          <w:i/>
          <w:iCs/>
        </w:rPr>
        <w:t>nibbana</w:t>
      </w:r>
      <w:r w:rsidRPr="00E17C2A">
        <w:t xml:space="preserve">. The choice of a </w:t>
      </w:r>
      <w:proofErr w:type="gramStart"/>
      <w:r w:rsidRPr="00E17C2A">
        <w:t>particular line</w:t>
      </w:r>
      <w:proofErr w:type="gramEnd"/>
      <w:r w:rsidRPr="00E17C2A">
        <w:t xml:space="preserve"> of action, however, is justified less by direct reference to the goal that is sought than by how that action is understood in the context of a worldview shaped by one or more of </w:t>
      </w:r>
      <w:r w:rsidR="00097570" w:rsidRPr="00E17C2A">
        <w:t>t</w:t>
      </w:r>
      <w:r w:rsidRPr="00E17C2A">
        <w:t xml:space="preserve">he canonical cosmogonies. An action may be taken because it conforms to rules that sustain the monastic or social order and thus stays the course of cosmic devolution that ends in the destruction of the present world. An action may be taken because it cultivates virtue, conforming the individual's life to the </w:t>
      </w:r>
      <w:r w:rsidRPr="00E17C2A">
        <w:rPr>
          <w:i/>
          <w:iCs/>
        </w:rPr>
        <w:t>dhamma</w:t>
      </w:r>
      <w:r w:rsidRPr="00E17C2A">
        <w:t xml:space="preserve"> and helping to order the world according to it. Examples could be multiplied, but the point should already be clear: When we begin our investigation with the question of how moral choices are understood in Theravada Buddhism, we find that they are not always connected to any direct line of practical reasoning that ends in </w:t>
      </w:r>
      <w:r w:rsidRPr="00E17C2A">
        <w:rPr>
          <w:i/>
          <w:iCs/>
        </w:rPr>
        <w:t>nibbana</w:t>
      </w:r>
      <w:r w:rsidRPr="00E17C2A">
        <w:t xml:space="preserve"> or depends upon </w:t>
      </w:r>
      <w:r w:rsidRPr="00E17C2A">
        <w:rPr>
          <w:i/>
          <w:iCs/>
        </w:rPr>
        <w:t>nibbana</w:t>
      </w:r>
      <w:r w:rsidRPr="00E17C2A">
        <w:t xml:space="preserve"> to make sense of the choice.</w:t>
      </w:r>
      <w:r w:rsidR="00351EC8" w:rsidRPr="00E17C2A">
        <w:rPr>
          <w:rStyle w:val="FootnoteReference"/>
        </w:rPr>
        <w:footnoteReference w:id="27"/>
      </w:r>
    </w:p>
    <w:p w14:paraId="3F63A04E" w14:textId="77777777" w:rsidR="000D1F46" w:rsidRPr="00E17C2A" w:rsidRDefault="000D1F46" w:rsidP="00E17C2A">
      <w:pPr>
        <w:pStyle w:val="Write"/>
      </w:pPr>
    </w:p>
    <w:p w14:paraId="6C099A96" w14:textId="7122C5FB" w:rsidR="000D1F46" w:rsidRPr="00E17C2A" w:rsidRDefault="000D1F46" w:rsidP="00E17C2A">
      <w:pPr>
        <w:pStyle w:val="Write"/>
        <w:rPr>
          <w:rtl/>
        </w:rPr>
      </w:pPr>
      <w:r w:rsidRPr="00E17C2A">
        <w:rPr>
          <w:noProof/>
        </w:rPr>
        <w:drawing>
          <wp:anchor distT="0" distB="0" distL="114300" distR="114300" simplePos="0" relativeHeight="251661312" behindDoc="0" locked="0" layoutInCell="1" allowOverlap="1" wp14:anchorId="16195B9D" wp14:editId="65DC489C">
            <wp:simplePos x="0" y="0"/>
            <wp:positionH relativeFrom="page">
              <wp:posOffset>307869</wp:posOffset>
            </wp:positionH>
            <wp:positionV relativeFrom="page">
              <wp:posOffset>9495422</wp:posOffset>
            </wp:positionV>
            <wp:extent cx="3044" cy="6099"/>
            <wp:effectExtent l="0" t="0" r="0" b="0"/>
            <wp:wrapTopAndBottom/>
            <wp:docPr id="5" name="Picture 224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044" cy="6099"/>
                    </a:xfrm>
                    <a:prstGeom prst="rect">
                      <a:avLst/>
                    </a:prstGeom>
                    <a:noFill/>
                    <a:ln>
                      <a:noFill/>
                      <a:prstDash/>
                    </a:ln>
                  </pic:spPr>
                </pic:pic>
              </a:graphicData>
            </a:graphic>
          </wp:anchor>
        </w:drawing>
      </w:r>
      <w:r w:rsidRPr="00E17C2A">
        <w:rPr>
          <w:noProof/>
        </w:rPr>
        <w:drawing>
          <wp:anchor distT="0" distB="0" distL="114300" distR="114300" simplePos="0" relativeHeight="251662336" behindDoc="0" locked="0" layoutInCell="1" allowOverlap="1" wp14:anchorId="4EDA79D0" wp14:editId="2E80050B">
            <wp:simplePos x="0" y="0"/>
            <wp:positionH relativeFrom="page">
              <wp:posOffset>286527</wp:posOffset>
            </wp:positionH>
            <wp:positionV relativeFrom="page">
              <wp:posOffset>597468</wp:posOffset>
            </wp:positionV>
            <wp:extent cx="12188" cy="64017"/>
            <wp:effectExtent l="0" t="0" r="25912" b="0"/>
            <wp:wrapTopAndBottom/>
            <wp:docPr id="6" name="Picture 890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2188" cy="64017"/>
                    </a:xfrm>
                    <a:prstGeom prst="rect">
                      <a:avLst/>
                    </a:prstGeom>
                    <a:noFill/>
                    <a:ln>
                      <a:noFill/>
                      <a:prstDash/>
                    </a:ln>
                  </pic:spPr>
                </pic:pic>
              </a:graphicData>
            </a:graphic>
          </wp:anchor>
        </w:drawing>
      </w:r>
      <w:r w:rsidRPr="00E17C2A">
        <w:t>Green recognizes this variety in Buddhist ethics. Speaking of Indian religion generally, he writes, "Lower caste individuals might be sufficiently attracted by the goal of a higher birth to be content with a world dominated by karma, and even today it is the simple promise of higher birth that principally motivates the Hindu lower castes and the Buddhist laity</w:t>
      </w:r>
      <w:r w:rsidR="00482B7C" w:rsidRPr="00E17C2A">
        <w:t>.</w:t>
      </w:r>
      <w:r w:rsidRPr="00E17C2A">
        <w:t>"</w:t>
      </w:r>
      <w:r w:rsidR="00482B7C" w:rsidRPr="00E17C2A">
        <w:rPr>
          <w:rStyle w:val="FootnoteReference"/>
        </w:rPr>
        <w:footnoteReference w:id="28"/>
      </w:r>
      <w:r w:rsidRPr="00E17C2A">
        <w:t xml:space="preserve"> From his formalist theoretical </w:t>
      </w:r>
      <w:r w:rsidRPr="00E17C2A">
        <w:lastRenderedPageBreak/>
        <w:t xml:space="preserve">perspective, however, this widespread pattern of moral thought and action makes sense only when it is set in a context dominated by the </w:t>
      </w:r>
      <w:proofErr w:type="spellStart"/>
      <w:r w:rsidRPr="00E17C2A">
        <w:t>nibbanic</w:t>
      </w:r>
      <w:proofErr w:type="spellEnd"/>
      <w:r w:rsidRPr="00E17C2A">
        <w:t xml:space="preserve"> ethic, which conforms to his pattern of religious reason. The forms of Buddhist ethics which concentrate on rooting out personal vices or increasing personal merit may have sociological or historical interest, but the key to Theravada Buddhism as a system of religious reason lies in its pursuit of nibbana. The question may be asked, of course, whether this emphasis on basic moral and religious logic has </w:t>
      </w:r>
      <w:r w:rsidRPr="00E17C2A">
        <w:rPr>
          <w:vertAlign w:val="superscript"/>
        </w:rPr>
        <w:t>t</w:t>
      </w:r>
      <w:r w:rsidRPr="00E17C2A">
        <w:t xml:space="preserve">ruly resolved "inconsistencies" in Buddhist thought, or whether it </w:t>
      </w:r>
      <w:r w:rsidRPr="00E17C2A">
        <w:rPr>
          <w:vertAlign w:val="superscript"/>
        </w:rPr>
        <w:t>h</w:t>
      </w:r>
      <w:r w:rsidRPr="00E17C2A">
        <w:t>as merely drawn our attention away from its genuine diversity.</w:t>
      </w:r>
    </w:p>
    <w:p w14:paraId="5E121A9A" w14:textId="77777777" w:rsidR="00AF6DCC" w:rsidRPr="00E17C2A" w:rsidRDefault="00AF6DCC" w:rsidP="00E17C2A">
      <w:pPr>
        <w:pStyle w:val="Write"/>
      </w:pPr>
    </w:p>
    <w:p w14:paraId="477C6CEB" w14:textId="794432DC" w:rsidR="000D1F46" w:rsidRPr="00E17C2A" w:rsidRDefault="000D1F46" w:rsidP="00E17C2A">
      <w:pPr>
        <w:pStyle w:val="Write"/>
      </w:pPr>
      <w:r w:rsidRPr="00E17C2A">
        <w:t xml:space="preserve">The diversity of moral systems may be developed to an unusual </w:t>
      </w:r>
      <w:r w:rsidRPr="00E17C2A">
        <w:rPr>
          <w:noProof/>
        </w:rPr>
        <w:drawing>
          <wp:inline distT="0" distB="0" distL="0" distR="0" wp14:anchorId="004E40BB" wp14:editId="5515EF38">
            <wp:extent cx="12188" cy="12188"/>
            <wp:effectExtent l="0" t="0" r="0" b="0"/>
            <wp:docPr id="7" name="Picture 2246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2188" cy="12188"/>
                    </a:xfrm>
                    <a:prstGeom prst="rect">
                      <a:avLst/>
                    </a:prstGeom>
                    <a:noFill/>
                    <a:ln>
                      <a:noFill/>
                      <a:prstDash/>
                    </a:ln>
                  </pic:spPr>
                </pic:pic>
              </a:graphicData>
            </a:graphic>
          </wp:inline>
        </w:drawing>
      </w:r>
      <w:r w:rsidRPr="00E17C2A">
        <w:t>degree in Theravada Buddhism, but more than half of the essays in this collection study traditions that include multiple cosmogonic myths, each with specific moral implications that develop from it.</w:t>
      </w:r>
      <w:r w:rsidR="006102B0" w:rsidRPr="00E17C2A">
        <w:rPr>
          <w:rStyle w:val="FootnoteReference"/>
        </w:rPr>
        <w:footnoteReference w:id="29"/>
      </w:r>
      <w:r w:rsidRPr="00E17C2A">
        <w:t xml:space="preserve"> To insist in advance that this apparent moral diversity within the traditions is best understood in terms of a single, underlying moral and religious rationality obviously sets the formalist explanation at odds with the moral experience of persons in some of these traditions. For it is precisely the diversity of moral and cosmogonic warrants that characterizes the experience. One may solve the problem by identifying one or another of the moral systems as primary, as Green identifies the </w:t>
      </w:r>
      <w:proofErr w:type="spellStart"/>
      <w:r w:rsidRPr="00E17C2A">
        <w:rPr>
          <w:i/>
          <w:iCs/>
        </w:rPr>
        <w:t>nibbanic</w:t>
      </w:r>
      <w:proofErr w:type="spellEnd"/>
      <w:r w:rsidRPr="00E17C2A">
        <w:t xml:space="preserve"> ethic in Buddhism, because it appears to bring the whole complex tradition into line with the formal requirements of religious reason. That approach, however, purchases comparative scope at the price of descriptive adequacy. It suggests the uncontroversial principle that if you go looking for things that are the same, the things that you find will be very much alike. </w:t>
      </w:r>
    </w:p>
    <w:p w14:paraId="0B6B5A1A" w14:textId="77777777" w:rsidR="000D1F46" w:rsidRPr="00E17C2A" w:rsidRDefault="000D1F46" w:rsidP="00E17C2A">
      <w:pPr>
        <w:pStyle w:val="Write"/>
      </w:pPr>
    </w:p>
    <w:p w14:paraId="306C4C0C" w14:textId="6FF076CA" w:rsidR="000D1F46" w:rsidRPr="00E17C2A" w:rsidRDefault="000D1F46" w:rsidP="00E17C2A">
      <w:pPr>
        <w:pStyle w:val="Write"/>
      </w:pPr>
      <w:r w:rsidRPr="00E17C2A">
        <w:lastRenderedPageBreak/>
        <w:t xml:space="preserve">The problems which a formalist approach has in dealing with the diversity within religious traditions reappear in a striking way in comparison between traditions. Consider, for example, the positions taken by Alan </w:t>
      </w:r>
      <w:proofErr w:type="spellStart"/>
      <w:r w:rsidRPr="00E17C2A">
        <w:t>Donagan</w:t>
      </w:r>
      <w:proofErr w:type="spellEnd"/>
      <w:r w:rsidR="001D634A" w:rsidRPr="00E17C2A">
        <w:rPr>
          <w:rStyle w:val="FootnoteReference"/>
        </w:rPr>
        <w:footnoteReference w:id="30"/>
      </w:r>
      <w:r w:rsidRPr="00E17C2A">
        <w:t xml:space="preserve">  and by Green. </w:t>
      </w:r>
      <w:proofErr w:type="spellStart"/>
      <w:r w:rsidRPr="00E17C2A">
        <w:t>Donagan</w:t>
      </w:r>
      <w:proofErr w:type="spellEnd"/>
      <w:r w:rsidRPr="00E17C2A">
        <w:t xml:space="preserve">, who employs a Kantian, formalist approach combines the premise that there is a universal structure of moral rationality with the belief that only some cultures and traditions have rules that apply to persons generally without regard to status or station. He concludes that while principles of morality are universal in the sense that they explain moral requirements where the occur only certain societies do in fact, have true moral requirements. </w:t>
      </w:r>
      <w:proofErr w:type="gramStart"/>
      <w:r w:rsidRPr="00E17C2A">
        <w:t>Thus</w:t>
      </w:r>
      <w:proofErr w:type="gramEnd"/>
      <w:r w:rsidRPr="00E17C2A">
        <w:t xml:space="preserve"> the scope of comparative religious </w:t>
      </w:r>
      <w:r w:rsidR="00E54457" w:rsidRPr="00E17C2A">
        <w:t>ethics is</w:t>
      </w:r>
      <w:r w:rsidRPr="00E17C2A">
        <w:t xml:space="preserve"> severely restricted. Green, on the other hand, argues that the formalist pattern of religious reason he elaborates </w:t>
      </w:r>
      <w:proofErr w:type="gramStart"/>
      <w:r w:rsidRPr="00E17C2A">
        <w:t>actually does</w:t>
      </w:r>
      <w:proofErr w:type="gramEnd"/>
      <w:r w:rsidRPr="00E17C2A">
        <w:t xml:space="preserve"> appear in all of the very diverse religious traditions he has examined. He develops this argument by employing a "diachronic" method</w:t>
      </w:r>
      <w:r w:rsidR="00EC5203" w:rsidRPr="00E17C2A">
        <w:rPr>
          <w:rStyle w:val="FootnoteReference"/>
        </w:rPr>
        <w:footnoteReference w:id="31"/>
      </w:r>
      <w:r w:rsidRPr="00E17C2A">
        <w:t xml:space="preserve"> which allows him to count as conformity to rational principles not only straight forward exemplifications of them but also the characteristic moves made in traditions to correct deviations from these principles. Given this method, it is difficult to know what sort of evidence might count against the theorist's presumption that moral </w:t>
      </w:r>
      <w:r w:rsidRPr="00E17C2A">
        <w:rPr>
          <w:noProof/>
        </w:rPr>
        <w:drawing>
          <wp:inline distT="0" distB="0" distL="0" distR="0" wp14:anchorId="45871468" wp14:editId="6A26B292">
            <wp:extent cx="6327" cy="3163"/>
            <wp:effectExtent l="0" t="0" r="0" b="0"/>
            <wp:docPr id="8" name="Picture 2709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327" cy="3163"/>
                    </a:xfrm>
                    <a:prstGeom prst="rect">
                      <a:avLst/>
                    </a:prstGeom>
                    <a:noFill/>
                    <a:ln>
                      <a:noFill/>
                      <a:prstDash/>
                    </a:ln>
                  </pic:spPr>
                </pic:pic>
              </a:graphicData>
            </a:graphic>
          </wp:inline>
        </w:drawing>
      </w:r>
      <w:r w:rsidRPr="00E17C2A">
        <w:t>rationality is at work in any culture under consideration.</w:t>
      </w:r>
      <w:r w:rsidR="00DE2231" w:rsidRPr="00E17C2A">
        <w:rPr>
          <w:rStyle w:val="FootnoteReference"/>
        </w:rPr>
        <w:footnoteReference w:id="32"/>
      </w:r>
    </w:p>
    <w:p w14:paraId="519EAA40" w14:textId="77777777" w:rsidR="00093578" w:rsidRPr="00E17C2A" w:rsidRDefault="00093578" w:rsidP="00E17C2A">
      <w:pPr>
        <w:pStyle w:val="Write"/>
      </w:pPr>
    </w:p>
    <w:p w14:paraId="64CFC540" w14:textId="512CADCD" w:rsidR="000D1F46" w:rsidRPr="00E17C2A" w:rsidRDefault="000D1F46" w:rsidP="00E17C2A">
      <w:pPr>
        <w:pStyle w:val="Write"/>
      </w:pPr>
      <w:r w:rsidRPr="00E17C2A">
        <w:t xml:space="preserve">All such formalist approaches which seek to illuminate the commonality and diversity of </w:t>
      </w:r>
      <w:proofErr w:type="spellStart"/>
      <w:r w:rsidRPr="00E17C2A">
        <w:t>religio</w:t>
      </w:r>
      <w:proofErr w:type="spellEnd"/>
      <w:r w:rsidRPr="00E17C2A">
        <w:t xml:space="preserve">-ethical traditions must incorporate, at a secondary level, a description of the beliefs, wants, and value of persons in various cultures. However, these formalistic approaches, by virtue of their a priori character, inhibit adequate descriptive accounts. </w:t>
      </w:r>
      <w:proofErr w:type="spellStart"/>
      <w:r w:rsidRPr="00E17C2A">
        <w:t>Donagan's</w:t>
      </w:r>
      <w:proofErr w:type="spellEnd"/>
      <w:r w:rsidRPr="00E17C2A">
        <w:t xml:space="preserve"> formalist understanding of ethics, in combination with his historical understanding of various religions and </w:t>
      </w:r>
      <w:r w:rsidRPr="00E17C2A">
        <w:lastRenderedPageBreak/>
        <w:t>cultures, leads to a dichotomy between religions and cultures which have ethics in a strict sense and those who do not.</w:t>
      </w:r>
      <w:r w:rsidR="00E7162D" w:rsidRPr="00E17C2A">
        <w:rPr>
          <w:rStyle w:val="FootnoteReference"/>
        </w:rPr>
        <w:footnoteReference w:id="33"/>
      </w:r>
    </w:p>
    <w:p w14:paraId="11CF0BE8" w14:textId="77777777" w:rsidR="000D1F46" w:rsidRPr="00E17C2A" w:rsidRDefault="000D1F46" w:rsidP="00E17C2A">
      <w:pPr>
        <w:pStyle w:val="Write"/>
      </w:pPr>
    </w:p>
    <w:p w14:paraId="4F088D16" w14:textId="736540E2" w:rsidR="000D1F46" w:rsidRPr="00E17C2A" w:rsidRDefault="000D1F46" w:rsidP="00E17C2A">
      <w:pPr>
        <w:pStyle w:val="Write"/>
      </w:pPr>
      <w:r w:rsidRPr="00E17C2A">
        <w:t xml:space="preserve">In practice this turns out to be a distinction between Western, Judeo-Christian cultures on the one hand, and primitive and Eastern cultures on the other. In the case of </w:t>
      </w:r>
      <w:r w:rsidRPr="00E17C2A">
        <w:rPr>
          <w:noProof/>
        </w:rPr>
        <w:drawing>
          <wp:inline distT="0" distB="0" distL="0" distR="0" wp14:anchorId="699D6E3E" wp14:editId="579B2D3E">
            <wp:extent cx="3044" cy="3044"/>
            <wp:effectExtent l="0" t="0" r="0" b="0"/>
            <wp:docPr id="9" name="Picture 3147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044" cy="3044"/>
                    </a:xfrm>
                    <a:prstGeom prst="rect">
                      <a:avLst/>
                    </a:prstGeom>
                    <a:noFill/>
                    <a:ln>
                      <a:noFill/>
                      <a:prstDash/>
                    </a:ln>
                  </pic:spPr>
                </pic:pic>
              </a:graphicData>
            </a:graphic>
          </wp:inline>
        </w:drawing>
      </w:r>
      <w:r w:rsidRPr="00E17C2A">
        <w:t xml:space="preserve"> Green, a very similar formalistic understanding of ethics leads to the construction of historical interpretations designed to justify the contrary assumption that the requirements of religious reason are, in fact, manifest universally. These interpretations, though they are certainly</w:t>
      </w:r>
      <w:r w:rsidRPr="00E17C2A">
        <w:rPr>
          <w:noProof/>
        </w:rPr>
        <w:drawing>
          <wp:anchor distT="0" distB="0" distL="114300" distR="114300" simplePos="0" relativeHeight="251663360" behindDoc="0" locked="0" layoutInCell="1" allowOverlap="1" wp14:anchorId="772392DD" wp14:editId="2AC62558">
            <wp:simplePos x="0" y="0"/>
            <wp:positionH relativeFrom="column">
              <wp:posOffset>6132990</wp:posOffset>
            </wp:positionH>
            <wp:positionV relativeFrom="paragraph">
              <wp:posOffset>205529</wp:posOffset>
            </wp:positionV>
            <wp:extent cx="39630" cy="6099"/>
            <wp:effectExtent l="0" t="0" r="0" b="0"/>
            <wp:wrapSquare wrapText="bothSides"/>
            <wp:docPr id="10" name="Picture 3147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9630" cy="6099"/>
                    </a:xfrm>
                    <a:prstGeom prst="rect">
                      <a:avLst/>
                    </a:prstGeom>
                    <a:noFill/>
                    <a:ln>
                      <a:noFill/>
                      <a:prstDash/>
                    </a:ln>
                  </pic:spPr>
                </pic:pic>
              </a:graphicData>
            </a:graphic>
          </wp:anchor>
        </w:drawing>
      </w:r>
      <w:r w:rsidRPr="00E17C2A">
        <w:t xml:space="preserve"> less presumptuous in tone that those of </w:t>
      </w:r>
      <w:proofErr w:type="spellStart"/>
      <w:r w:rsidRPr="00E17C2A">
        <w:t>Donagan</w:t>
      </w:r>
      <w:proofErr w:type="spellEnd"/>
      <w:r w:rsidRPr="00E17C2A">
        <w:t>, are, for the empirically oriented historians, equally questionable.</w:t>
      </w:r>
      <w:r w:rsidR="00E7162D" w:rsidRPr="00E17C2A">
        <w:rPr>
          <w:rStyle w:val="FootnoteReference"/>
        </w:rPr>
        <w:footnoteReference w:id="34"/>
      </w:r>
    </w:p>
    <w:p w14:paraId="5873B57F" w14:textId="77777777" w:rsidR="0013196E" w:rsidRPr="00E17C2A" w:rsidRDefault="0013196E" w:rsidP="00E17C2A">
      <w:pPr>
        <w:pStyle w:val="Write"/>
        <w:rPr>
          <w:rtl/>
        </w:rPr>
      </w:pPr>
    </w:p>
    <w:p w14:paraId="41BC7403" w14:textId="3E9D768C" w:rsidR="00BD6A9B" w:rsidRPr="00E17C2A" w:rsidRDefault="00816AB8" w:rsidP="00E17C2A">
      <w:pPr>
        <w:pStyle w:val="Write"/>
      </w:pPr>
      <w:r w:rsidRPr="00E17C2A">
        <w:t>Little and Twiss i</w:t>
      </w:r>
      <w:r w:rsidR="00BD6A9B" w:rsidRPr="00E17C2A">
        <w:t xml:space="preserve">n </w:t>
      </w:r>
      <w:r w:rsidR="00BD6A9B" w:rsidRPr="00E17C2A">
        <w:rPr>
          <w:i/>
          <w:iCs/>
        </w:rPr>
        <w:t>Comparative Religious</w:t>
      </w:r>
      <w:r w:rsidR="00BD6A9B" w:rsidRPr="00E17C2A">
        <w:rPr>
          <w:i/>
          <w:iCs/>
          <w:noProof/>
        </w:rPr>
        <w:drawing>
          <wp:anchor distT="0" distB="0" distL="114300" distR="114300" simplePos="0" relativeHeight="251665408" behindDoc="0" locked="0" layoutInCell="1" allowOverlap="1" wp14:anchorId="3CE0E3DF" wp14:editId="1A92A3BA">
            <wp:simplePos x="0" y="0"/>
            <wp:positionH relativeFrom="page">
              <wp:posOffset>262149</wp:posOffset>
            </wp:positionH>
            <wp:positionV relativeFrom="page">
              <wp:posOffset>9906938</wp:posOffset>
            </wp:positionV>
            <wp:extent cx="21332" cy="94494"/>
            <wp:effectExtent l="0" t="0" r="16768" b="756"/>
            <wp:wrapTopAndBottom/>
            <wp:docPr id="11" name="Picture 8906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1332" cy="94494"/>
                    </a:xfrm>
                    <a:prstGeom prst="rect">
                      <a:avLst/>
                    </a:prstGeom>
                    <a:noFill/>
                    <a:ln>
                      <a:noFill/>
                      <a:prstDash/>
                    </a:ln>
                  </pic:spPr>
                </pic:pic>
              </a:graphicData>
            </a:graphic>
          </wp:anchor>
        </w:drawing>
      </w:r>
      <w:r w:rsidR="00BD6A9B" w:rsidRPr="00E17C2A">
        <w:rPr>
          <w:i/>
          <w:iCs/>
        </w:rPr>
        <w:t xml:space="preserve"> Ethics: A New Methodology</w:t>
      </w:r>
      <w:r w:rsidR="00BD6A9B" w:rsidRPr="00E17C2A">
        <w:t xml:space="preserve">, begin with the social problems of cooperation and scarce </w:t>
      </w:r>
      <w:r w:rsidR="00BD6A9B" w:rsidRPr="00E17C2A">
        <w:rPr>
          <w:noProof/>
        </w:rPr>
        <w:drawing>
          <wp:inline distT="0" distB="0" distL="0" distR="0" wp14:anchorId="069FD584" wp14:editId="3CCECC3F">
            <wp:extent cx="21332" cy="21342"/>
            <wp:effectExtent l="0" t="0" r="0" b="0"/>
            <wp:docPr id="12" name="Picture 3149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1332" cy="21342"/>
                    </a:xfrm>
                    <a:prstGeom prst="rect">
                      <a:avLst/>
                    </a:prstGeom>
                    <a:noFill/>
                    <a:ln>
                      <a:noFill/>
                      <a:prstDash/>
                    </a:ln>
                  </pic:spPr>
                </pic:pic>
              </a:graphicData>
            </a:graphic>
          </wp:inline>
        </w:drawing>
      </w:r>
      <w:r w:rsidR="00BD6A9B" w:rsidRPr="00E17C2A">
        <w:t>resources, and they ask how societies formulate action guides in response to these facts about the human condition.</w:t>
      </w:r>
      <w:r w:rsidR="007C3F21" w:rsidRPr="00E17C2A">
        <w:rPr>
          <w:rStyle w:val="FootnoteReference"/>
        </w:rPr>
        <w:footnoteReference w:id="35"/>
      </w:r>
      <w:r w:rsidR="00BD6A9B" w:rsidRPr="00E17C2A">
        <w:t xml:space="preserve"> What emerges in their investigation is, however, a structure of practical </w:t>
      </w:r>
      <w:r w:rsidR="00BD6A9B" w:rsidRPr="00E17C2A">
        <w:rPr>
          <w:noProof/>
        </w:rPr>
        <w:drawing>
          <wp:inline distT="0" distB="0" distL="0" distR="0" wp14:anchorId="647E5591" wp14:editId="5DA57CDB">
            <wp:extent cx="6099" cy="21342"/>
            <wp:effectExtent l="0" t="0" r="0" b="0"/>
            <wp:docPr id="13" name="Picture 8906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099" cy="21342"/>
                    </a:xfrm>
                    <a:prstGeom prst="rect">
                      <a:avLst/>
                    </a:prstGeom>
                    <a:noFill/>
                    <a:ln>
                      <a:noFill/>
                      <a:prstDash/>
                    </a:ln>
                  </pic:spPr>
                </pic:pic>
              </a:graphicData>
            </a:graphic>
          </wp:inline>
        </w:drawing>
      </w:r>
      <w:r w:rsidR="00BD6A9B" w:rsidRPr="00E17C2A">
        <w:t xml:space="preserve">reason which shares many of the characteristics of Green's </w:t>
      </w:r>
      <w:r w:rsidRPr="00E17C2A">
        <w:rPr>
          <w:i/>
          <w:iCs/>
        </w:rPr>
        <w:t>Religious</w:t>
      </w:r>
      <w:r w:rsidR="00BD6A9B" w:rsidRPr="00E17C2A">
        <w:rPr>
          <w:i/>
          <w:iCs/>
        </w:rPr>
        <w:t xml:space="preserve"> </w:t>
      </w:r>
      <w:r w:rsidRPr="00E17C2A">
        <w:rPr>
          <w:i/>
          <w:iCs/>
        </w:rPr>
        <w:t>R</w:t>
      </w:r>
      <w:r w:rsidR="00BD6A9B" w:rsidRPr="00E17C2A">
        <w:rPr>
          <w:i/>
          <w:iCs/>
        </w:rPr>
        <w:t>eason</w:t>
      </w:r>
      <w:r w:rsidR="00BD6A9B" w:rsidRPr="00E17C2A">
        <w:t>, though it is not, of course, derived from a priori analysis of the requirements of moral rationality. In terms of the fundamental methodological alternatives for comparative ethics, Little and Twiss attempt to occupy an intermediate position between the formalist and empirical approaches.</w:t>
      </w:r>
      <w:r w:rsidR="00D05344" w:rsidRPr="00E17C2A">
        <w:rPr>
          <w:rStyle w:val="FootnoteReference"/>
        </w:rPr>
        <w:footnoteReference w:id="36"/>
      </w:r>
      <w:r w:rsidR="00BD6A9B" w:rsidRPr="00E17C2A">
        <w:t xml:space="preserve"> </w:t>
      </w:r>
    </w:p>
    <w:p w14:paraId="75BB7B0B" w14:textId="77777777" w:rsidR="00BD6A9B" w:rsidRPr="00E17C2A" w:rsidRDefault="00BD6A9B" w:rsidP="00E17C2A">
      <w:pPr>
        <w:pStyle w:val="Write"/>
      </w:pPr>
    </w:p>
    <w:p w14:paraId="346C3AAD" w14:textId="55844089" w:rsidR="00BD6A9B" w:rsidRPr="00E17C2A" w:rsidRDefault="00BD6A9B" w:rsidP="00E17C2A">
      <w:pPr>
        <w:pStyle w:val="Write"/>
      </w:pPr>
      <w:r w:rsidRPr="00E17C2A">
        <w:t xml:space="preserve">Little and Twiss suggest that in any system of action-guides, we will find basic norms and the rules and principles governing their </w:t>
      </w:r>
      <w:r w:rsidRPr="00E17C2A">
        <w:rPr>
          <w:noProof/>
        </w:rPr>
        <w:drawing>
          <wp:inline distT="0" distB="0" distL="0" distR="0" wp14:anchorId="30B3CDF4" wp14:editId="7CF0CECC">
            <wp:extent cx="9144" cy="3044"/>
            <wp:effectExtent l="0" t="0" r="0" b="0"/>
            <wp:docPr id="14" name="Picture 315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9144" cy="3044"/>
                    </a:xfrm>
                    <a:prstGeom prst="rect">
                      <a:avLst/>
                    </a:prstGeom>
                    <a:noFill/>
                    <a:ln>
                      <a:noFill/>
                      <a:prstDash/>
                    </a:ln>
                  </pic:spPr>
                </pic:pic>
              </a:graphicData>
            </a:graphic>
          </wp:inline>
        </w:drawing>
      </w:r>
      <w:r w:rsidRPr="00E17C2A">
        <w:t xml:space="preserve"> application. Also</w:t>
      </w:r>
      <w:r w:rsidR="005C13ED" w:rsidRPr="00E17C2A">
        <w:t>,</w:t>
      </w:r>
      <w:r w:rsidRPr="00E17C2A">
        <w:t xml:space="preserve"> as part of </w:t>
      </w:r>
      <w:r w:rsidRPr="00E17C2A">
        <w:lastRenderedPageBreak/>
        <w:t xml:space="preserve">the system, there will be procedures for </w:t>
      </w:r>
      <w:r w:rsidRPr="00E17C2A">
        <w:rPr>
          <w:noProof/>
        </w:rPr>
        <w:drawing>
          <wp:inline distT="0" distB="0" distL="0" distR="0" wp14:anchorId="3D3A5B0D" wp14:editId="02C3CDC7">
            <wp:extent cx="6099" cy="6099"/>
            <wp:effectExtent l="0" t="0" r="0" b="0"/>
            <wp:docPr id="15" name="Picture 3150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6099" cy="6099"/>
                    </a:xfrm>
                    <a:prstGeom prst="rect">
                      <a:avLst/>
                    </a:prstGeom>
                    <a:noFill/>
                    <a:ln>
                      <a:noFill/>
                      <a:prstDash/>
                    </a:ln>
                  </pic:spPr>
                </pic:pic>
              </a:graphicData>
            </a:graphic>
          </wp:inline>
        </w:drawing>
      </w:r>
      <w:r w:rsidRPr="00E17C2A">
        <w:t xml:space="preserve"> the "validation" of these norms by divine command, authoritative </w:t>
      </w:r>
      <w:r w:rsidRPr="00E17C2A">
        <w:rPr>
          <w:noProof/>
        </w:rPr>
        <w:drawing>
          <wp:inline distT="0" distB="0" distL="0" distR="0" wp14:anchorId="2CBA0CC8" wp14:editId="7889250E">
            <wp:extent cx="6099" cy="3044"/>
            <wp:effectExtent l="0" t="0" r="0" b="0"/>
            <wp:docPr id="16" name="Picture 315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099" cy="3044"/>
                    </a:xfrm>
                    <a:prstGeom prst="rect">
                      <a:avLst/>
                    </a:prstGeom>
                    <a:noFill/>
                    <a:ln>
                      <a:noFill/>
                      <a:prstDash/>
                    </a:ln>
                  </pic:spPr>
                </pic:pic>
              </a:graphicData>
            </a:graphic>
          </wp:inline>
        </w:drawing>
      </w:r>
      <w:r w:rsidRPr="00E17C2A">
        <w:t xml:space="preserve"> interpretation, and so on, and for the "vindication" of the validated norms by generally held beliefs or special ways of knowing. No claim I is made that the same normative content will appear in every system brought under examination, but Little and Twiss discern a way of thinking about how principles are applied and justified for which they do claim a cross-cultural validity.</w:t>
      </w:r>
      <w:r w:rsidR="0015160B" w:rsidRPr="00E17C2A">
        <w:rPr>
          <w:rStyle w:val="FootnoteReference"/>
        </w:rPr>
        <w:footnoteReference w:id="37"/>
      </w:r>
    </w:p>
    <w:p w14:paraId="3713C50E" w14:textId="77777777" w:rsidR="00BD6A9B" w:rsidRPr="00E17C2A" w:rsidRDefault="00BD6A9B" w:rsidP="00E17C2A">
      <w:pPr>
        <w:pStyle w:val="Write"/>
      </w:pPr>
    </w:p>
    <w:p w14:paraId="0C7B8B7F" w14:textId="625A1A82" w:rsidR="00BD6A9B" w:rsidRPr="00E17C2A" w:rsidRDefault="00BF369E" w:rsidP="00E17C2A">
      <w:pPr>
        <w:pStyle w:val="Write"/>
      </w:pPr>
      <w:r w:rsidRPr="00E17C2A">
        <w:t>A</w:t>
      </w:r>
      <w:r w:rsidR="00BD6A9B" w:rsidRPr="00E17C2A">
        <w:t xml:space="preserve"> basic norm of not injuring others might be applied through a set of rules that require rigid observance of the norm with respect to innocent bystanders but allow exceptions for purposes of </w:t>
      </w:r>
      <w:proofErr w:type="spellStart"/>
      <w:r w:rsidR="00BD6A9B" w:rsidRPr="00E17C2A">
        <w:t>self-defense</w:t>
      </w:r>
      <w:proofErr w:type="spellEnd"/>
      <w:r w:rsidR="00BD6A9B" w:rsidRPr="00E17C2A">
        <w:t xml:space="preserve"> or restraint of malefactors. These applications may proceed through a quite rigorous casuistic logic. A less formal reasoning, however, usually governs the validation of the norms. One may find </w:t>
      </w:r>
      <w:r w:rsidR="00BD6A9B" w:rsidRPr="00E17C2A">
        <w:rPr>
          <w:vertAlign w:val="superscript"/>
        </w:rPr>
        <w:t xml:space="preserve">a </w:t>
      </w:r>
      <w:r w:rsidR="00BD6A9B" w:rsidRPr="00E17C2A">
        <w:t>proscription against inflicting injury in sacred scripture, for example, or one may claim that it simply belongs in a list of self-evident truths. The vindication of the norm would then depend on the coherence of the validating claim with more general ideas about reality, such as the idea that scripture originates as the word of God, or the Socratic claim that all persons have a set of moral ideas in their minds that need only to be awakened by conscious reflection. Cosmogonic beliefs, then, are chiefly relevant to the last-named "vindication" element in the structure of practical reasoning.  The structure applies, according to Little and Twiss, whether the action-guides in question are moral, legal or religious.</w:t>
      </w:r>
      <w:r w:rsidR="0015160B" w:rsidRPr="00E17C2A">
        <w:rPr>
          <w:rStyle w:val="FootnoteReference"/>
        </w:rPr>
        <w:footnoteReference w:id="38"/>
      </w:r>
    </w:p>
    <w:p w14:paraId="7AA33FB4" w14:textId="77777777" w:rsidR="00BD6A9B" w:rsidRPr="00E17C2A" w:rsidRDefault="00BD6A9B" w:rsidP="00E17C2A">
      <w:pPr>
        <w:pStyle w:val="Write"/>
      </w:pPr>
    </w:p>
    <w:p w14:paraId="4CDA1632" w14:textId="2C8F040F" w:rsidR="00BD6A9B" w:rsidRPr="00E17C2A" w:rsidRDefault="00BD6A9B" w:rsidP="00E17C2A">
      <w:pPr>
        <w:pStyle w:val="Write"/>
      </w:pPr>
      <w:r w:rsidRPr="00E17C2A">
        <w:t xml:space="preserve">Clearly, this method is distinguished from the formalist procedures by the way in which the structure of practical reason is established. Green settle his in advance </w:t>
      </w:r>
      <w:r w:rsidRPr="00E17C2A">
        <w:lastRenderedPageBreak/>
        <w:t xml:space="preserve">and uses it to guide empirical investigations of culture. Little and Twiss allow the structure to emerge in the investigation. The diverse ways of thinking that mark application, validation, and vindication are more clearly recognized, but it is correspondingly less clear why these, and just these, should be called "rational." The claim here is not Kant's proposition that we must think according to certain laws if we are to think at all, but rather that there is in fact a very general agreement on the ways in which it is appropriate to argue for one </w:t>
      </w:r>
      <w:proofErr w:type="spellStart"/>
      <w:r w:rsidRPr="00E17C2A">
        <w:t>norm</w:t>
      </w:r>
      <w:proofErr w:type="spellEnd"/>
      <w:r w:rsidRPr="00E17C2A">
        <w:t xml:space="preserve"> or another.</w:t>
      </w:r>
      <w:r w:rsidR="00602014" w:rsidRPr="00E17C2A">
        <w:rPr>
          <w:rStyle w:val="FootnoteReference"/>
        </w:rPr>
        <w:footnoteReference w:id="39"/>
      </w:r>
    </w:p>
    <w:p w14:paraId="61B98D39" w14:textId="77777777" w:rsidR="003707D8" w:rsidRPr="00E17C2A" w:rsidRDefault="003707D8" w:rsidP="00E17C2A">
      <w:pPr>
        <w:pStyle w:val="Write"/>
      </w:pPr>
    </w:p>
    <w:p w14:paraId="65925CBF" w14:textId="1AE67DF2" w:rsidR="00BD6A9B" w:rsidRPr="00E17C2A" w:rsidRDefault="00BD6A9B" w:rsidP="00E17C2A">
      <w:pPr>
        <w:pStyle w:val="Write"/>
      </w:pPr>
      <w:r w:rsidRPr="00E17C2A">
        <w:t xml:space="preserve">The classics of comparative method shed little light on this notion of rationality. Indeed, social theorists often suggest that what makes a practice socially rational will conflict with any account we can give of why individual persons might find it worth choosing. Weber, for example, seems to regard rationalization primarily as a matter of bringing individual habits and practices into line with the requirements of the social and economic </w:t>
      </w:r>
      <w:proofErr w:type="gramStart"/>
      <w:r w:rsidRPr="00E17C2A">
        <w:t>system as a whole</w:t>
      </w:r>
      <w:proofErr w:type="gramEnd"/>
      <w:r w:rsidRPr="00E17C2A">
        <w:t>. This tendency to reduce reason to instrumental rationality, while at the same time subordinating human purposes to social necessity, may make it impossible to reconcile Weber's rationality with the Kantian account of reason.</w:t>
      </w:r>
      <w:r w:rsidR="00B3406A" w:rsidRPr="00E17C2A">
        <w:rPr>
          <w:rStyle w:val="FootnoteReference"/>
        </w:rPr>
        <w:footnoteReference w:id="40"/>
      </w:r>
      <w:r w:rsidRPr="00E17C2A">
        <w:t xml:space="preserve"> Weber certainly introduces a "struggle in principle between ethical rationalizations and the process of rationalization in the domain of economics</w:t>
      </w:r>
      <w:r w:rsidR="00570AF4" w:rsidRPr="00E17C2A">
        <w:t>.</w:t>
      </w:r>
      <w:r w:rsidRPr="00E17C2A">
        <w:t>"</w:t>
      </w:r>
      <w:r w:rsidR="00570AF4" w:rsidRPr="00E17C2A">
        <w:rPr>
          <w:rStyle w:val="FootnoteReference"/>
        </w:rPr>
        <w:footnoteReference w:id="41"/>
      </w:r>
      <w:r w:rsidRPr="00E17C2A">
        <w:t xml:space="preserve"> With Durkheim, the distance from the ethicist's usual notion of practical reason is even more pronounced, since he gives up the "struggle in principle" and equates rationality strictly with the requirements of the social system. "Since morality expresses the nature of society and since this nature is no more directly apprehended by us than the nature of the </w:t>
      </w:r>
      <w:r w:rsidRPr="00E17C2A">
        <w:lastRenderedPageBreak/>
        <w:t>physical world, individual reason can no more be the lawmaker for the moral world than that of the physical world</w:t>
      </w:r>
      <w:r w:rsidR="008D34F4" w:rsidRPr="00E17C2A">
        <w:t>.</w:t>
      </w:r>
      <w:r w:rsidRPr="00E17C2A">
        <w:t>"</w:t>
      </w:r>
      <w:r w:rsidR="00B33EE8" w:rsidRPr="00E17C2A">
        <w:rPr>
          <w:rStyle w:val="FootnoteReference"/>
        </w:rPr>
        <w:footnoteReference w:id="42"/>
      </w:r>
    </w:p>
    <w:p w14:paraId="3AFCEA65" w14:textId="77777777" w:rsidR="00BD6A9B" w:rsidRPr="00E17C2A" w:rsidRDefault="00BD6A9B" w:rsidP="00E17C2A">
      <w:pPr>
        <w:pStyle w:val="Write"/>
      </w:pPr>
    </w:p>
    <w:p w14:paraId="66EB3041" w14:textId="22A62D80" w:rsidR="00780E01" w:rsidRPr="00E17C2A" w:rsidRDefault="00BD6A9B" w:rsidP="00E17C2A">
      <w:pPr>
        <w:pStyle w:val="Write"/>
      </w:pPr>
      <w:r w:rsidRPr="00E17C2A">
        <w:t>The attempt to establish by empirical practical reason that closely matches the structure of persons' actual deliberations represents a genuinely new inquiry which Little and Twiss have brought to the more established comparative enterprises of the anthropologists and the sociologists of Religion. What is sought is no e social-functional rationality that subordinates human wants to the requirements of an economic and cultural system, but a way of explicating what persons find worth of choice in terms of what they believe to be lasting and important in the world in which they live.</w:t>
      </w:r>
    </w:p>
    <w:p w14:paraId="0DC9985E" w14:textId="77777777" w:rsidR="00394270" w:rsidRPr="00E17C2A" w:rsidRDefault="00394270" w:rsidP="00E17C2A">
      <w:pPr>
        <w:pStyle w:val="Write"/>
      </w:pPr>
    </w:p>
    <w:p w14:paraId="6CA730C4" w14:textId="0C58EC1C" w:rsidR="00511B60" w:rsidRPr="00E17C2A" w:rsidRDefault="00B90A3D" w:rsidP="00E17C2A">
      <w:pPr>
        <w:pStyle w:val="Write"/>
      </w:pPr>
      <w:r w:rsidRPr="00E17C2A">
        <w:rPr>
          <w:noProof/>
        </w:rPr>
        <w:drawing>
          <wp:anchor distT="0" distB="0" distL="114300" distR="114300" simplePos="0" relativeHeight="251667456" behindDoc="0" locked="0" layoutInCell="1" allowOverlap="1" wp14:anchorId="30D8E013" wp14:editId="0B190E8D">
            <wp:simplePos x="0" y="0"/>
            <wp:positionH relativeFrom="column">
              <wp:posOffset>23308</wp:posOffset>
            </wp:positionH>
            <wp:positionV relativeFrom="paragraph">
              <wp:posOffset>5485558</wp:posOffset>
            </wp:positionV>
            <wp:extent cx="6656" cy="33293"/>
            <wp:effectExtent l="0" t="0" r="31444" b="4807"/>
            <wp:wrapSquare wrapText="bothSides"/>
            <wp:docPr id="18" name="Picture 8908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6656" cy="33293"/>
                    </a:xfrm>
                    <a:prstGeom prst="rect">
                      <a:avLst/>
                    </a:prstGeom>
                    <a:noFill/>
                    <a:ln>
                      <a:noFill/>
                      <a:prstDash/>
                    </a:ln>
                  </pic:spPr>
                </pic:pic>
              </a:graphicData>
            </a:graphic>
          </wp:anchor>
        </w:drawing>
      </w:r>
      <w:r w:rsidRPr="00E17C2A">
        <w:t>The structure of practical reason Little and Twiss describe certainly encompasses the elements of that explication, but the rigidity of the structure itself may arbitrarily limit the relationships counted as rational.</w:t>
      </w:r>
      <w:r w:rsidR="00394270" w:rsidRPr="00E17C2A">
        <w:rPr>
          <w:rStyle w:val="FootnoteReference"/>
        </w:rPr>
        <w:footnoteReference w:id="43"/>
      </w:r>
      <w:r w:rsidRPr="00E17C2A">
        <w:t xml:space="preserve"> The structure hangs suspended, as it were, connected to the rest of the world only through the informal logic of "vindication," which is "an effort to persuade others of the acceptability of the recommended validating norms and procedures"</w:t>
      </w:r>
      <w:r w:rsidR="00394270" w:rsidRPr="00E17C2A">
        <w:t>.</w:t>
      </w:r>
      <w:r w:rsidR="00394270" w:rsidRPr="00E17C2A">
        <w:rPr>
          <w:rStyle w:val="FootnoteReference"/>
        </w:rPr>
        <w:footnoteReference w:id="44"/>
      </w:r>
      <w:r w:rsidR="00394270" w:rsidRPr="00E17C2A">
        <w:t xml:space="preserve"> </w:t>
      </w:r>
      <w:r w:rsidRPr="00E17C2A">
        <w:t>It is in such a connection that appeals to ideas of human nature or the cosmic order are appropriate. This raises at once the question of whether the upward movement of the structure—application, validation, vindication—does not ignore important dialectical interactions between the levels.</w:t>
      </w:r>
      <w:r w:rsidR="00F4424A" w:rsidRPr="00E17C2A">
        <w:rPr>
          <w:rStyle w:val="FootnoteReference"/>
        </w:rPr>
        <w:footnoteReference w:id="45"/>
      </w:r>
      <w:r w:rsidRPr="00E17C2A">
        <w:t xml:space="preserve"> Little concedes that he and Twiss </w:t>
      </w:r>
      <w:r w:rsidRPr="00E17C2A">
        <w:lastRenderedPageBreak/>
        <w:t>have not emphasized such interactions, but he says they did not mean to imply that they do not happen.</w:t>
      </w:r>
      <w:r w:rsidR="0002080F" w:rsidRPr="00E17C2A">
        <w:rPr>
          <w:rStyle w:val="FootnoteReference"/>
        </w:rPr>
        <w:footnoteReference w:id="46"/>
      </w:r>
    </w:p>
    <w:p w14:paraId="4CCEEE76" w14:textId="2B9C0EA5" w:rsidR="00511B60" w:rsidRPr="00E17C2A" w:rsidRDefault="00511B60" w:rsidP="00E17C2A">
      <w:pPr>
        <w:pStyle w:val="Write"/>
      </w:pPr>
    </w:p>
    <w:p w14:paraId="6763047D" w14:textId="4C8B4C49" w:rsidR="00BE06D3" w:rsidRPr="00E17C2A" w:rsidRDefault="00250BA1" w:rsidP="00E17C2A">
      <w:pPr>
        <w:pStyle w:val="Write"/>
      </w:pPr>
      <w:r w:rsidRPr="00E17C2A">
        <w:t>The structure hangs suspended, as it were, connected to the rest of the world only through the informal logic of "vindication," which is "an effort to persuade others</w:t>
      </w:r>
      <w:r w:rsidR="00DC28F4" w:rsidRPr="00E17C2A">
        <w:t xml:space="preserve"> </w:t>
      </w:r>
      <w:r w:rsidRPr="00E17C2A">
        <w:t>of the acceptability of the recommended validating norms and procedures.</w:t>
      </w:r>
      <w:r w:rsidR="00402804" w:rsidRPr="00E17C2A">
        <w:rPr>
          <w:rStyle w:val="FootnoteReference"/>
        </w:rPr>
        <w:footnoteReference w:id="47"/>
      </w:r>
      <w:r w:rsidRPr="00E17C2A">
        <w:t xml:space="preserve"> It is in such a connection that appeals to ideas of human nature or the cosmic order are appropriate. This raises at once the question of whether the upward movement of the structure</w:t>
      </w:r>
      <w:r w:rsidR="0000755E" w:rsidRPr="00E17C2A">
        <w:t xml:space="preserve"> -</w:t>
      </w:r>
      <w:r w:rsidRPr="00E17C2A">
        <w:t>application, validation, vindication</w:t>
      </w:r>
      <w:r w:rsidR="0000755E" w:rsidRPr="00E17C2A">
        <w:t xml:space="preserve">- </w:t>
      </w:r>
      <w:r w:rsidRPr="00E17C2A">
        <w:t>does not ignore important dialectical interactions between the levels</w:t>
      </w:r>
      <w:r w:rsidR="00AE6D1A" w:rsidRPr="00E17C2A">
        <w:t>.</w:t>
      </w:r>
      <w:r w:rsidR="00AE6D1A" w:rsidRPr="00E17C2A">
        <w:rPr>
          <w:rStyle w:val="FootnoteReference"/>
        </w:rPr>
        <w:footnoteReference w:id="48"/>
      </w:r>
      <w:r w:rsidR="00AE6D1A" w:rsidRPr="00E17C2A">
        <w:t xml:space="preserve"> </w:t>
      </w:r>
      <w:r w:rsidRPr="00E17C2A">
        <w:t>Little concedes that he and Twiss have not emphasized such interactions, but he says they did not mean to imply that they do not happen.</w:t>
      </w:r>
      <w:r w:rsidR="00AE6D1A" w:rsidRPr="00E17C2A">
        <w:rPr>
          <w:rStyle w:val="FootnoteReference"/>
        </w:rPr>
        <w:footnoteReference w:id="49"/>
      </w:r>
      <w:r w:rsidRPr="00E17C2A">
        <w:t xml:space="preserve"> However, even when it is understood dynamically, a structure which implies that basic norms are subject to question and reformulation by cosmogonic beliefs or natural realities only in relation to their validation by higher level norms retains echoes of the separation of "ought" from "is" that has marked ethical theories in Anglo-American philosophy.</w:t>
      </w:r>
      <w:r w:rsidR="00AB46E0" w:rsidRPr="00E17C2A">
        <w:rPr>
          <w:rStyle w:val="FootnoteReference"/>
        </w:rPr>
        <w:footnoteReference w:id="50"/>
      </w:r>
      <w:r w:rsidRPr="00E17C2A">
        <w:t xml:space="preserve"> </w:t>
      </w:r>
    </w:p>
    <w:p w14:paraId="68C899A7" w14:textId="77777777" w:rsidR="006869F2" w:rsidRPr="00E17C2A" w:rsidRDefault="006869F2" w:rsidP="00E17C2A">
      <w:pPr>
        <w:pStyle w:val="Write"/>
      </w:pPr>
    </w:p>
    <w:p w14:paraId="1CEA8E5C" w14:textId="78609F34" w:rsidR="00250BA1" w:rsidRPr="00E17C2A" w:rsidRDefault="00250BA1" w:rsidP="00E17C2A">
      <w:pPr>
        <w:pStyle w:val="Write"/>
        <w:rPr>
          <w:rtl/>
        </w:rPr>
      </w:pPr>
      <w:r w:rsidRPr="00E17C2A">
        <w:t xml:space="preserve">A more thoroughgoing empirical approach, by contrast, suggests that a norm   called into question is susceptible to confirmation or rejection in terms   of its relationship to any of the other beliefs the inquirer or inquirers have. Beliefs about the way things are </w:t>
      </w:r>
      <w:proofErr w:type="gramStart"/>
      <w:r w:rsidRPr="00E17C2A">
        <w:t>in reality impinge</w:t>
      </w:r>
      <w:proofErr w:type="gramEnd"/>
      <w:r w:rsidRPr="00E17C2A">
        <w:t xml:space="preserve"> upon </w:t>
      </w:r>
      <w:r w:rsidR="00AE6D1A" w:rsidRPr="00E17C2A">
        <w:t>action guides</w:t>
      </w:r>
      <w:r w:rsidRPr="00E17C2A">
        <w:t xml:space="preserve"> not only in the vindication of a whole system of action-guides but directly in the formulation of particular norms. This seems apparent in the case of the Andean mesa and other </w:t>
      </w:r>
      <w:r w:rsidRPr="00E17C2A">
        <w:lastRenderedPageBreak/>
        <w:t>forms of divination   (Sullivan, "Above, Below, and Far Away"), but it is also true for the  Hesiodic landowner who receives from the gods not only a sanction   for his efforts to attain prosperity but quite specific suggestions about how to do it</w:t>
      </w:r>
      <w:r w:rsidR="00EA613C" w:rsidRPr="00E17C2A">
        <w:t>.</w:t>
      </w:r>
      <w:r w:rsidR="00EA613C" w:rsidRPr="00E17C2A">
        <w:rPr>
          <w:rStyle w:val="FootnoteReference"/>
        </w:rPr>
        <w:footnoteReference w:id="51"/>
      </w:r>
      <w:r w:rsidR="00EA613C" w:rsidRPr="00E17C2A">
        <w:t xml:space="preserve"> </w:t>
      </w:r>
      <w:r w:rsidRPr="00E17C2A">
        <w:t>It is even true for William Paley, the theological utilitarian of the eighteenth century, who finds the will of God clearly indicated in such specific things as the structure of the eye or the function of the   teeth</w:t>
      </w:r>
      <w:r w:rsidR="00382504" w:rsidRPr="00E17C2A">
        <w:t>.</w:t>
      </w:r>
      <w:r w:rsidR="00382504" w:rsidRPr="00E17C2A">
        <w:rPr>
          <w:rStyle w:val="FootnoteReference"/>
        </w:rPr>
        <w:footnoteReference w:id="52"/>
      </w:r>
      <w:r w:rsidRPr="00E17C2A">
        <w:t xml:space="preserve"> </w:t>
      </w:r>
      <w:r w:rsidR="009A3804" w:rsidRPr="00E17C2A">
        <w:t>T</w:t>
      </w:r>
      <w:r w:rsidRPr="00E17C2A">
        <w:t xml:space="preserve">hese ways of connecting order and action </w:t>
      </w:r>
      <w:r w:rsidR="009A3804" w:rsidRPr="00E17C2A">
        <w:t xml:space="preserve">may be regarded </w:t>
      </w:r>
      <w:r w:rsidRPr="00E17C2A">
        <w:t xml:space="preserve">as mistaken, out </w:t>
      </w:r>
      <w:proofErr w:type="spellStart"/>
      <w:r w:rsidRPr="00E17C2A">
        <w:t>moded</w:t>
      </w:r>
      <w:proofErr w:type="spellEnd"/>
      <w:r w:rsidRPr="00E17C2A">
        <w:t>, unusable, or merely incomprehensible, but it is hard to say why we should call them irrational, unless we have begun the empirical investigation with a few formalist assumptions of our own.</w:t>
      </w:r>
      <w:r w:rsidR="00B21C57" w:rsidRPr="00E17C2A">
        <w:rPr>
          <w:rStyle w:val="FootnoteReference"/>
        </w:rPr>
        <w:footnoteReference w:id="53"/>
      </w:r>
    </w:p>
    <w:p w14:paraId="18CFE318" w14:textId="77777777" w:rsidR="00F03268" w:rsidRPr="00E17C2A" w:rsidRDefault="00F03268" w:rsidP="00E17C2A">
      <w:pPr>
        <w:pStyle w:val="Write"/>
      </w:pPr>
    </w:p>
    <w:p w14:paraId="06938D63" w14:textId="3CB09E35" w:rsidR="00A87D93" w:rsidRPr="00E17C2A" w:rsidRDefault="003D6B57" w:rsidP="00E17C2A">
      <w:pPr>
        <w:pStyle w:val="Write"/>
      </w:pPr>
      <w:r w:rsidRPr="00E17C2A">
        <w:t>According to Twiss,</w:t>
      </w:r>
      <w:r w:rsidR="00A87D93" w:rsidRPr="00E17C2A">
        <w:t xml:space="preserve"> Robin Lovin and Frank Reynolds edited volume</w:t>
      </w:r>
      <w:r w:rsidRPr="00E17C2A">
        <w:t>,</w:t>
      </w:r>
      <w:r w:rsidR="00A87D93" w:rsidRPr="00E17C2A">
        <w:t xml:space="preserve"> that included essays on cosmogonies and ethics</w:t>
      </w:r>
      <w:r w:rsidRPr="00E17C2A">
        <w:t>,</w:t>
      </w:r>
      <w:r w:rsidR="00A87D93" w:rsidRPr="00E17C2A">
        <w:t xml:space="preserve"> </w:t>
      </w:r>
      <w:r w:rsidR="009D17F0" w:rsidRPr="00E17C2A">
        <w:t>clearly echoed</w:t>
      </w:r>
      <w:r w:rsidR="00A87D93" w:rsidRPr="00E17C2A">
        <w:t xml:space="preserve"> a Malinowski-like holistic </w:t>
      </w:r>
      <w:r w:rsidR="003153BD" w:rsidRPr="00E17C2A">
        <w:t>approach to</w:t>
      </w:r>
      <w:r w:rsidR="00A87D93" w:rsidRPr="00E17C2A">
        <w:t xml:space="preserve"> address texts and phenomena within diverse moral traditions. Their introduced their volume by stating that the patterns that link cosmogony and ethical order could be organized in several ways. If one begins, as Little and Twiss do, by identifying patterns of moral reasoning, the comparative task is to ask whether a mode of moral reasoning relates in some significant way to a belief about cosmogony. Do result-oriented ethics, for example, generally   presume a benign power that originally ordered things for human benefit? The theological utilitarianism of William Paley does, in fact, display that enthusiasm for God's creation. Or is the emphasis on consequences, considered across a range of traditions, equally compatible with a negative attitude toward the world of experience? A Buddhist who acknowledges that the world </w:t>
      </w:r>
      <w:proofErr w:type="gramStart"/>
      <w:r w:rsidR="00A87D93" w:rsidRPr="00E17C2A">
        <w:t>as a whole grows</w:t>
      </w:r>
      <w:proofErr w:type="gramEnd"/>
      <w:r w:rsidR="00A87D93" w:rsidRPr="00E17C2A">
        <w:t xml:space="preserve"> </w:t>
      </w:r>
      <w:r w:rsidR="00A87D93" w:rsidRPr="00E17C2A">
        <w:lastRenderedPageBreak/>
        <w:t>worse with the passing ages may nonetheless cultivate virtues with a view to making the world no worse than it need be.</w:t>
      </w:r>
      <w:r w:rsidR="0081349A" w:rsidRPr="00E17C2A">
        <w:rPr>
          <w:rStyle w:val="FootnoteReference"/>
        </w:rPr>
        <w:footnoteReference w:id="54"/>
      </w:r>
    </w:p>
    <w:p w14:paraId="39610F4A" w14:textId="77777777" w:rsidR="00073307" w:rsidRPr="00E17C2A" w:rsidRDefault="00073307" w:rsidP="00E17C2A">
      <w:pPr>
        <w:pStyle w:val="Write"/>
      </w:pPr>
    </w:p>
    <w:p w14:paraId="65A3C283" w14:textId="57B0B127" w:rsidR="00A87D93" w:rsidRPr="00E17C2A" w:rsidRDefault="00A87D93" w:rsidP="00E17C2A">
      <w:pPr>
        <w:pStyle w:val="Write"/>
      </w:pPr>
      <w:r w:rsidRPr="00E17C2A">
        <w:t>Another possibility would be to begin not with moral reasoning but with the moral feelings that traditions evince toward their cosmogonies. On this basis, the Buddhist cosmogony of dependent co-origination would be situated at the "negative" pole. Both the process and its results are found wanting. The Marxian cosmogony, on the other hand, would be at the "positive" pole. Both the process and the results receive an approval that is explicit and enthusiastic. Many of the other cosmogonies in this volume could be placed at other points on this continuum</w:t>
      </w:r>
      <w:r w:rsidR="00E73492" w:rsidRPr="00E17C2A">
        <w:t>.</w:t>
      </w:r>
      <w:r w:rsidR="008F2835" w:rsidRPr="00E17C2A">
        <w:rPr>
          <w:rStyle w:val="FootnoteReference"/>
        </w:rPr>
        <w:footnoteReference w:id="55"/>
      </w:r>
    </w:p>
    <w:p w14:paraId="52DF9C2A" w14:textId="6776CF12" w:rsidR="0017119D" w:rsidRPr="00E17C2A" w:rsidRDefault="0017119D" w:rsidP="00E17C2A">
      <w:pPr>
        <w:pStyle w:val="Write"/>
      </w:pPr>
    </w:p>
    <w:p w14:paraId="3F8B0E7D" w14:textId="1F517081" w:rsidR="00A87D93" w:rsidRPr="00E17C2A" w:rsidRDefault="005D1624" w:rsidP="00E17C2A">
      <w:pPr>
        <w:pStyle w:val="Write"/>
      </w:pPr>
      <w:r w:rsidRPr="00E17C2A">
        <w:t>T</w:t>
      </w:r>
      <w:r w:rsidR="0017119D" w:rsidRPr="00E17C2A">
        <w:t xml:space="preserve">he studies in </w:t>
      </w:r>
      <w:r w:rsidR="00E27CB7" w:rsidRPr="00E17C2A">
        <w:t xml:space="preserve">Lovin and Reynolds’ edited volume </w:t>
      </w:r>
      <w:r w:rsidR="0017119D" w:rsidRPr="00E17C2A">
        <w:t xml:space="preserve">show the immediate methodological influences of Weber, </w:t>
      </w:r>
      <w:proofErr w:type="spellStart"/>
      <w:r w:rsidR="0017119D" w:rsidRPr="00E17C2A">
        <w:t>Troeltsch</w:t>
      </w:r>
      <w:proofErr w:type="spellEnd"/>
      <w:r w:rsidR="0017119D" w:rsidRPr="00E17C2A">
        <w:t xml:space="preserve">, </w:t>
      </w:r>
      <w:proofErr w:type="spellStart"/>
      <w:r w:rsidR="0017119D" w:rsidRPr="00E17C2A">
        <w:t>Wach</w:t>
      </w:r>
      <w:proofErr w:type="spellEnd"/>
      <w:r w:rsidR="0017119D" w:rsidRPr="00E17C2A">
        <w:t>, and   Durkheim</w:t>
      </w:r>
      <w:r w:rsidR="00E27CB7" w:rsidRPr="00E17C2A">
        <w:t>. However,</w:t>
      </w:r>
      <w:r w:rsidR="0017119D" w:rsidRPr="00E17C2A">
        <w:t xml:space="preserve"> their approach to the variety of moral systems often continues the main lines of Hume's empirical studies of morals</w:t>
      </w:r>
      <w:r w:rsidR="00E27CB7" w:rsidRPr="00E17C2A">
        <w:t>.</w:t>
      </w:r>
      <w:r w:rsidR="00E27CB7" w:rsidRPr="00E17C2A">
        <w:rPr>
          <w:rStyle w:val="FootnoteReference"/>
        </w:rPr>
        <w:footnoteReference w:id="56"/>
      </w:r>
      <w:r w:rsidR="0017119D" w:rsidRPr="00E17C2A">
        <w:t xml:space="preserve"> </w:t>
      </w:r>
      <w:r w:rsidR="002A0488" w:rsidRPr="00E17C2A">
        <w:t xml:space="preserve"> The two editors </w:t>
      </w:r>
      <w:r w:rsidR="00A87D93" w:rsidRPr="00E17C2A">
        <w:t>find it most useful to focus on cosmogonies themselves. Of course, the judgements a culture makes about the reality its cosmogony course, presents the judgments react on the cosmogony in important ways that may change the cosmogony itself, and will certainly change its correlation with ethics. The cosmogony or cosmogonies nevertheless seem to them to provide an appropriate starting point for comparative studies, if only because their places in the traditions under study can be rather easily typed and classified</w:t>
      </w:r>
      <w:r w:rsidR="002A0488" w:rsidRPr="00E17C2A">
        <w:t>.</w:t>
      </w:r>
      <w:r w:rsidR="002A0488" w:rsidRPr="00E17C2A">
        <w:rPr>
          <w:rStyle w:val="FootnoteReference"/>
        </w:rPr>
        <w:footnoteReference w:id="57"/>
      </w:r>
      <w:r w:rsidR="00A87D93" w:rsidRPr="00E17C2A">
        <w:t xml:space="preserve">They identified five types and briefly discussed the studies that seemed to exemplify each of them. These types are: single cosmogony and ethical </w:t>
      </w:r>
      <w:r w:rsidR="00A87D93" w:rsidRPr="00E17C2A">
        <w:lastRenderedPageBreak/>
        <w:t>order; cosmogonic traditions and ethical order; multiple cosmogonies and ethical order; and myth, philosophy and ethical order</w:t>
      </w:r>
      <w:r w:rsidR="005824A6" w:rsidRPr="00E17C2A">
        <w:t>.</w:t>
      </w:r>
      <w:r w:rsidR="005824A6" w:rsidRPr="00E17C2A">
        <w:rPr>
          <w:rStyle w:val="FootnoteReference"/>
        </w:rPr>
        <w:footnoteReference w:id="58"/>
      </w:r>
    </w:p>
    <w:p w14:paraId="1255B5CB" w14:textId="77777777" w:rsidR="00582223" w:rsidRPr="00E17C2A" w:rsidRDefault="00582223" w:rsidP="00E17C2A">
      <w:pPr>
        <w:pStyle w:val="Write"/>
      </w:pPr>
    </w:p>
    <w:p w14:paraId="5AF63686" w14:textId="32F2B026" w:rsidR="00A87D93" w:rsidRPr="00E17C2A" w:rsidRDefault="00A87D93" w:rsidP="00E17C2A">
      <w:pPr>
        <w:pStyle w:val="Write"/>
      </w:pPr>
      <w:r w:rsidRPr="00E17C2A">
        <w:t xml:space="preserve"> According to Twiss, </w:t>
      </w:r>
      <w:r w:rsidR="00582223" w:rsidRPr="00E17C2A">
        <w:t>most</w:t>
      </w:r>
      <w:r w:rsidRPr="00E17C2A">
        <w:t xml:space="preserve"> essays in this volume were particularistic studies of limited texts and traditions (considered within themselves), not explicit comparisons across traditions or cultures</w:t>
      </w:r>
      <w:bookmarkStart w:id="5" w:name="_Hlk10435346"/>
      <w:r w:rsidR="00AE2B33" w:rsidRPr="00E17C2A">
        <w:t>.</w:t>
      </w:r>
      <w:r w:rsidR="00AE2B33" w:rsidRPr="00E17C2A">
        <w:rPr>
          <w:rStyle w:val="FootnoteReference"/>
        </w:rPr>
        <w:footnoteReference w:id="59"/>
      </w:r>
      <w:r w:rsidR="00AE2B33" w:rsidRPr="00E17C2A">
        <w:t xml:space="preserve"> </w:t>
      </w:r>
      <w:r w:rsidRPr="00E17C2A">
        <w:t>Twiss summaries this phase as follows:</w:t>
      </w:r>
    </w:p>
    <w:bookmarkEnd w:id="5"/>
    <w:p w14:paraId="32969570" w14:textId="42C2E8A0" w:rsidR="00A87D93" w:rsidRPr="00E17C2A" w:rsidRDefault="00AE2B33" w:rsidP="00E17C2A">
      <w:pPr>
        <w:pStyle w:val="Write"/>
        <w:ind w:left="720"/>
      </w:pPr>
      <w:r w:rsidRPr="00E17C2A">
        <w:t>“</w:t>
      </w:r>
      <w:r w:rsidR="00A87D93" w:rsidRPr="00E17C2A">
        <w:t>A number of trends are remarkable in light of the preceding phases: a continuing interest in a grand theoretical (although not explicitly evolutionary) account of morality across traditions; the continuing use of ideal types (even if challenged) in comparative ethics; and a continuing interest in deploying less systematic and more pragmatic approaches to the subject. In addition, the theme of universality versus relativism carried through many of these works. Green’s theory presupposed moral universalism. Little and Twiss’ patterns of moral reasoning were portrayed as descriptive universals. Lovin and Reynolds worried about the possible relativistic implications of their pragmatic holism.</w:t>
      </w:r>
      <w:r w:rsidRPr="00E17C2A">
        <w:t>”</w:t>
      </w:r>
      <w:r w:rsidRPr="00E17C2A">
        <w:rPr>
          <w:rStyle w:val="FootnoteReference"/>
        </w:rPr>
        <w:footnoteReference w:id="60"/>
      </w:r>
    </w:p>
    <w:p w14:paraId="55EFAC99" w14:textId="77777777" w:rsidR="00A87D93" w:rsidRPr="00E17C2A" w:rsidRDefault="00A87D93" w:rsidP="00E17C2A">
      <w:pPr>
        <w:spacing w:line="360" w:lineRule="auto"/>
        <w:rPr>
          <w:rFonts w:asciiTheme="majorBidi" w:hAnsiTheme="majorBidi" w:cstheme="majorBidi"/>
          <w:sz w:val="28"/>
          <w:szCs w:val="28"/>
        </w:rPr>
      </w:pPr>
    </w:p>
    <w:p w14:paraId="06FE2A55" w14:textId="77777777" w:rsidR="00A87D93" w:rsidRPr="00E17C2A" w:rsidRDefault="00A87D93" w:rsidP="00E17C2A">
      <w:pPr>
        <w:spacing w:line="360" w:lineRule="auto"/>
        <w:rPr>
          <w:rFonts w:asciiTheme="majorBidi" w:hAnsiTheme="majorBidi" w:cstheme="majorBidi"/>
          <w:b/>
          <w:bCs/>
          <w:sz w:val="28"/>
          <w:szCs w:val="28"/>
        </w:rPr>
      </w:pPr>
      <w:r w:rsidRPr="00E17C2A">
        <w:rPr>
          <w:rFonts w:asciiTheme="majorBidi" w:hAnsiTheme="majorBidi" w:cstheme="majorBidi"/>
          <w:b/>
          <w:bCs/>
          <w:sz w:val="28"/>
          <w:szCs w:val="28"/>
        </w:rPr>
        <w:br w:type="page"/>
      </w:r>
    </w:p>
    <w:p w14:paraId="6456A687" w14:textId="3AD8C28C" w:rsidR="004D42C4" w:rsidRPr="00E17C2A" w:rsidRDefault="00DA1A1B" w:rsidP="00E17C2A">
      <w:pPr>
        <w:pStyle w:val="ListParagraph"/>
        <w:numPr>
          <w:ilvl w:val="0"/>
          <w:numId w:val="5"/>
        </w:numPr>
        <w:spacing w:line="360" w:lineRule="auto"/>
        <w:jc w:val="both"/>
        <w:rPr>
          <w:rFonts w:asciiTheme="majorBidi" w:hAnsiTheme="majorBidi" w:cstheme="majorBidi"/>
          <w:b/>
          <w:bCs/>
          <w:sz w:val="28"/>
          <w:szCs w:val="28"/>
        </w:rPr>
      </w:pPr>
      <w:r w:rsidRPr="00E17C2A">
        <w:rPr>
          <w:rFonts w:asciiTheme="majorBidi" w:hAnsiTheme="majorBidi" w:cstheme="majorBidi"/>
          <w:b/>
          <w:bCs/>
          <w:sz w:val="28"/>
          <w:szCs w:val="28"/>
        </w:rPr>
        <w:lastRenderedPageBreak/>
        <w:t xml:space="preserve">Contemporary </w:t>
      </w:r>
      <w:r w:rsidR="00CC2F93" w:rsidRPr="00E17C2A">
        <w:rPr>
          <w:rFonts w:asciiTheme="majorBidi" w:hAnsiTheme="majorBidi" w:cstheme="majorBidi"/>
          <w:b/>
          <w:bCs/>
          <w:sz w:val="28"/>
          <w:szCs w:val="28"/>
        </w:rPr>
        <w:t>Comparative</w:t>
      </w:r>
      <w:r w:rsidRPr="00E17C2A">
        <w:rPr>
          <w:rFonts w:asciiTheme="majorBidi" w:hAnsiTheme="majorBidi" w:cstheme="majorBidi"/>
          <w:b/>
          <w:bCs/>
          <w:sz w:val="28"/>
          <w:szCs w:val="28"/>
        </w:rPr>
        <w:t xml:space="preserve"> Ethics: </w:t>
      </w:r>
      <w:r w:rsidR="004D42C4" w:rsidRPr="00E17C2A">
        <w:rPr>
          <w:rFonts w:asciiTheme="majorBidi" w:hAnsiTheme="majorBidi" w:cstheme="majorBidi"/>
          <w:b/>
          <w:bCs/>
          <w:sz w:val="28"/>
          <w:szCs w:val="28"/>
        </w:rPr>
        <w:t xml:space="preserve">The </w:t>
      </w:r>
      <w:r w:rsidR="00156F7D" w:rsidRPr="00E17C2A">
        <w:rPr>
          <w:rFonts w:asciiTheme="majorBidi" w:hAnsiTheme="majorBidi" w:cstheme="majorBidi"/>
          <w:b/>
          <w:bCs/>
          <w:sz w:val="28"/>
          <w:szCs w:val="28"/>
        </w:rPr>
        <w:t>T</w:t>
      </w:r>
      <w:r w:rsidR="00CE2D86" w:rsidRPr="00E17C2A">
        <w:rPr>
          <w:rFonts w:asciiTheme="majorBidi" w:hAnsiTheme="majorBidi" w:cstheme="majorBidi"/>
          <w:b/>
          <w:bCs/>
          <w:sz w:val="28"/>
          <w:szCs w:val="28"/>
        </w:rPr>
        <w:t xml:space="preserve">hird </w:t>
      </w:r>
      <w:r w:rsidR="00156F7D" w:rsidRPr="00E17C2A">
        <w:rPr>
          <w:rFonts w:asciiTheme="majorBidi" w:hAnsiTheme="majorBidi" w:cstheme="majorBidi"/>
          <w:b/>
          <w:bCs/>
          <w:sz w:val="28"/>
          <w:szCs w:val="28"/>
        </w:rPr>
        <w:t>W</w:t>
      </w:r>
      <w:r w:rsidR="00CE2D86" w:rsidRPr="00E17C2A">
        <w:rPr>
          <w:rFonts w:asciiTheme="majorBidi" w:hAnsiTheme="majorBidi" w:cstheme="majorBidi"/>
          <w:b/>
          <w:bCs/>
          <w:sz w:val="28"/>
          <w:szCs w:val="28"/>
        </w:rPr>
        <w:t xml:space="preserve">ave </w:t>
      </w:r>
    </w:p>
    <w:p w14:paraId="6B3F6547" w14:textId="00F86E00" w:rsidR="004D42C4" w:rsidRPr="00E17C2A" w:rsidRDefault="004D42C4"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t xml:space="preserve">The start of the third wave of the comparative religious ethics is dated to 2005 when the </w:t>
      </w:r>
      <w:r w:rsidRPr="00E17C2A">
        <w:rPr>
          <w:rFonts w:asciiTheme="majorBidi" w:hAnsiTheme="majorBidi" w:cstheme="majorBidi"/>
          <w:i/>
          <w:iCs/>
          <w:sz w:val="28"/>
          <w:szCs w:val="28"/>
        </w:rPr>
        <w:t xml:space="preserve">Journal of Religious </w:t>
      </w:r>
      <w:r w:rsidR="00183ACD" w:rsidRPr="00E17C2A">
        <w:rPr>
          <w:rFonts w:asciiTheme="majorBidi" w:hAnsiTheme="majorBidi" w:cstheme="majorBidi"/>
          <w:i/>
          <w:iCs/>
          <w:sz w:val="28"/>
          <w:szCs w:val="28"/>
        </w:rPr>
        <w:t>E</w:t>
      </w:r>
      <w:r w:rsidRPr="00E17C2A">
        <w:rPr>
          <w:rFonts w:asciiTheme="majorBidi" w:hAnsiTheme="majorBidi" w:cstheme="majorBidi"/>
          <w:i/>
          <w:iCs/>
          <w:sz w:val="28"/>
          <w:szCs w:val="28"/>
        </w:rPr>
        <w:t>thics</w:t>
      </w:r>
      <w:r w:rsidRPr="00E17C2A">
        <w:rPr>
          <w:rFonts w:asciiTheme="majorBidi" w:hAnsiTheme="majorBidi" w:cstheme="majorBidi"/>
          <w:sz w:val="28"/>
          <w:szCs w:val="28"/>
        </w:rPr>
        <w:t xml:space="preserve"> dedicated a special issue to the comparative ethics. In addition, a volume edited by </w:t>
      </w:r>
      <w:proofErr w:type="spellStart"/>
      <w:r w:rsidRPr="00E17C2A">
        <w:rPr>
          <w:rFonts w:asciiTheme="majorBidi" w:hAnsiTheme="majorBidi" w:cstheme="majorBidi"/>
          <w:sz w:val="28"/>
          <w:szCs w:val="28"/>
        </w:rPr>
        <w:t>Bucar</w:t>
      </w:r>
      <w:proofErr w:type="spellEnd"/>
      <w:r w:rsidRPr="00E17C2A">
        <w:rPr>
          <w:rFonts w:asciiTheme="majorBidi" w:hAnsiTheme="majorBidi" w:cstheme="majorBidi"/>
          <w:sz w:val="28"/>
          <w:szCs w:val="28"/>
        </w:rPr>
        <w:t xml:space="preserve"> and Stalnaker in 2012 highlighted the main feature</w:t>
      </w:r>
      <w:r w:rsidR="00BD17A7" w:rsidRPr="00E17C2A">
        <w:rPr>
          <w:rFonts w:asciiTheme="majorBidi" w:hAnsiTheme="majorBidi" w:cstheme="majorBidi"/>
          <w:sz w:val="28"/>
          <w:szCs w:val="28"/>
        </w:rPr>
        <w:t>s</w:t>
      </w:r>
      <w:r w:rsidRPr="00E17C2A">
        <w:rPr>
          <w:rFonts w:asciiTheme="majorBidi" w:hAnsiTheme="majorBidi" w:cstheme="majorBidi"/>
          <w:sz w:val="28"/>
          <w:szCs w:val="28"/>
        </w:rPr>
        <w:t xml:space="preserve"> </w:t>
      </w:r>
      <w:r w:rsidR="003C637D" w:rsidRPr="00E17C2A">
        <w:rPr>
          <w:rFonts w:asciiTheme="majorBidi" w:hAnsiTheme="majorBidi" w:cstheme="majorBidi"/>
          <w:sz w:val="28"/>
          <w:szCs w:val="28"/>
        </w:rPr>
        <w:t xml:space="preserve">and invited some of the </w:t>
      </w:r>
      <w:r w:rsidR="0025558E" w:rsidRPr="00E17C2A">
        <w:rPr>
          <w:rFonts w:asciiTheme="majorBidi" w:hAnsiTheme="majorBidi" w:cstheme="majorBidi"/>
          <w:sz w:val="28"/>
          <w:szCs w:val="28"/>
        </w:rPr>
        <w:t>key</w:t>
      </w:r>
      <w:r w:rsidR="003C637D" w:rsidRPr="00E17C2A">
        <w:rPr>
          <w:rFonts w:asciiTheme="majorBidi" w:hAnsiTheme="majorBidi" w:cstheme="majorBidi"/>
          <w:sz w:val="28"/>
          <w:szCs w:val="28"/>
        </w:rPr>
        <w:t xml:space="preserve"> participants in </w:t>
      </w:r>
      <w:r w:rsidR="0025558E" w:rsidRPr="00E17C2A">
        <w:rPr>
          <w:rFonts w:asciiTheme="majorBidi" w:hAnsiTheme="majorBidi" w:cstheme="majorBidi"/>
          <w:sz w:val="28"/>
          <w:szCs w:val="28"/>
        </w:rPr>
        <w:t>this wave</w:t>
      </w:r>
      <w:r w:rsidRPr="00E17C2A">
        <w:rPr>
          <w:rFonts w:asciiTheme="majorBidi" w:hAnsiTheme="majorBidi" w:cstheme="majorBidi"/>
          <w:sz w:val="28"/>
          <w:szCs w:val="28"/>
        </w:rPr>
        <w:t>.</w:t>
      </w:r>
      <w:r w:rsidR="00591D91" w:rsidRPr="00E17C2A">
        <w:rPr>
          <w:rStyle w:val="FootnoteReference"/>
          <w:rFonts w:asciiTheme="majorBidi" w:hAnsiTheme="majorBidi" w:cstheme="majorBidi"/>
          <w:sz w:val="28"/>
          <w:szCs w:val="28"/>
        </w:rPr>
        <w:footnoteReference w:id="61"/>
      </w:r>
      <w:r w:rsidRPr="00E17C2A">
        <w:rPr>
          <w:rFonts w:asciiTheme="majorBidi" w:hAnsiTheme="majorBidi" w:cstheme="majorBidi"/>
          <w:sz w:val="28"/>
          <w:szCs w:val="28"/>
        </w:rPr>
        <w:t xml:space="preserve"> This volume brought different traditions of various form from Christianity, Islam, Confucianism, and Daoism as well as modern Western moral thought that are to bear in discussion of the comparative religious ethics. What unites the volume is the continuous discussion in and among the its chapters concerning the nature of the comparative religious ethics as a field of study and its scope.</w:t>
      </w:r>
      <w:r w:rsidR="008E527D" w:rsidRPr="00E17C2A">
        <w:rPr>
          <w:rStyle w:val="FootnoteReference"/>
          <w:rFonts w:asciiTheme="majorBidi" w:hAnsiTheme="majorBidi" w:cstheme="majorBidi"/>
          <w:sz w:val="28"/>
          <w:szCs w:val="28"/>
        </w:rPr>
        <w:footnoteReference w:id="62"/>
      </w:r>
    </w:p>
    <w:p w14:paraId="7A1D45A2" w14:textId="77777777" w:rsidR="004D42C4" w:rsidRPr="00E17C2A" w:rsidRDefault="004D42C4" w:rsidP="00E17C2A">
      <w:pPr>
        <w:spacing w:line="360" w:lineRule="auto"/>
        <w:jc w:val="both"/>
        <w:rPr>
          <w:rFonts w:asciiTheme="majorBidi" w:hAnsiTheme="majorBidi" w:cstheme="majorBidi"/>
          <w:sz w:val="28"/>
          <w:szCs w:val="28"/>
        </w:rPr>
      </w:pPr>
    </w:p>
    <w:p w14:paraId="6BADC1B5" w14:textId="462B99C1" w:rsidR="004D42C4" w:rsidRPr="00E17C2A" w:rsidRDefault="004D42C4"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t xml:space="preserve">Generally, </w:t>
      </w:r>
      <w:r w:rsidR="00BF3904" w:rsidRPr="00E17C2A">
        <w:rPr>
          <w:rFonts w:asciiTheme="majorBidi" w:hAnsiTheme="majorBidi" w:cstheme="majorBidi"/>
          <w:sz w:val="28"/>
          <w:szCs w:val="28"/>
        </w:rPr>
        <w:t xml:space="preserve">the </w:t>
      </w:r>
      <w:r w:rsidRPr="00E17C2A">
        <w:rPr>
          <w:rFonts w:asciiTheme="majorBidi" w:hAnsiTheme="majorBidi" w:cstheme="majorBidi"/>
          <w:sz w:val="28"/>
          <w:szCs w:val="28"/>
        </w:rPr>
        <w:t xml:space="preserve">third-wave contributors attempt to push forward the comparative ethics past the work </w:t>
      </w:r>
      <w:r w:rsidR="009A1C79" w:rsidRPr="00E17C2A">
        <w:rPr>
          <w:rFonts w:asciiTheme="majorBidi" w:hAnsiTheme="majorBidi" w:cstheme="majorBidi"/>
          <w:sz w:val="28"/>
          <w:szCs w:val="28"/>
        </w:rPr>
        <w:t>done in</w:t>
      </w:r>
      <w:r w:rsidRPr="00E17C2A">
        <w:rPr>
          <w:rFonts w:asciiTheme="majorBidi" w:hAnsiTheme="majorBidi" w:cstheme="majorBidi"/>
          <w:sz w:val="28"/>
          <w:szCs w:val="28"/>
        </w:rPr>
        <w:t xml:space="preserve"> the past </w:t>
      </w:r>
      <w:r w:rsidR="00526704" w:rsidRPr="00E17C2A">
        <w:rPr>
          <w:rFonts w:asciiTheme="majorBidi" w:hAnsiTheme="majorBidi" w:cstheme="majorBidi"/>
          <w:sz w:val="28"/>
          <w:szCs w:val="28"/>
        </w:rPr>
        <w:t>two decades</w:t>
      </w:r>
      <w:r w:rsidRPr="00E17C2A">
        <w:rPr>
          <w:rFonts w:asciiTheme="majorBidi" w:hAnsiTheme="majorBidi" w:cstheme="majorBidi"/>
          <w:sz w:val="28"/>
          <w:szCs w:val="28"/>
        </w:rPr>
        <w:t>.</w:t>
      </w:r>
      <w:r w:rsidR="001C5765" w:rsidRPr="00E17C2A">
        <w:rPr>
          <w:rStyle w:val="FootnoteReference"/>
          <w:rFonts w:asciiTheme="majorBidi" w:hAnsiTheme="majorBidi" w:cstheme="majorBidi"/>
          <w:sz w:val="28"/>
          <w:szCs w:val="28"/>
        </w:rPr>
        <w:footnoteReference w:id="63"/>
      </w:r>
      <w:r w:rsidR="00867AE5" w:rsidRPr="00E17C2A">
        <w:rPr>
          <w:rFonts w:asciiTheme="majorBidi" w:hAnsiTheme="majorBidi" w:cstheme="majorBidi"/>
          <w:sz w:val="28"/>
          <w:szCs w:val="28"/>
        </w:rPr>
        <w:t xml:space="preserve"> </w:t>
      </w:r>
      <w:r w:rsidRPr="00E17C2A">
        <w:rPr>
          <w:rFonts w:asciiTheme="majorBidi" w:hAnsiTheme="majorBidi" w:cstheme="majorBidi"/>
          <w:sz w:val="28"/>
          <w:szCs w:val="28"/>
        </w:rPr>
        <w:t xml:space="preserve">According to </w:t>
      </w:r>
      <w:r w:rsidR="00867AE5" w:rsidRPr="00E17C2A">
        <w:rPr>
          <w:rFonts w:asciiTheme="majorBidi" w:hAnsiTheme="majorBidi" w:cstheme="majorBidi"/>
          <w:sz w:val="28"/>
          <w:szCs w:val="28"/>
        </w:rPr>
        <w:t>the two editors</w:t>
      </w:r>
      <w:r w:rsidRPr="00E17C2A">
        <w:rPr>
          <w:rFonts w:asciiTheme="majorBidi" w:hAnsiTheme="majorBidi" w:cstheme="majorBidi"/>
          <w:sz w:val="28"/>
          <w:szCs w:val="28"/>
        </w:rPr>
        <w:t>, some noticeable difference to the previous studies, the third was presents the much higher percentage of women, both as scholars and as objects of intellectual attention.</w:t>
      </w:r>
      <w:r w:rsidR="00867AE5" w:rsidRPr="00E17C2A">
        <w:rPr>
          <w:rStyle w:val="FootnoteReference"/>
          <w:rFonts w:asciiTheme="majorBidi" w:hAnsiTheme="majorBidi" w:cstheme="majorBidi"/>
          <w:sz w:val="28"/>
          <w:szCs w:val="28"/>
        </w:rPr>
        <w:footnoteReference w:id="64"/>
      </w:r>
      <w:r w:rsidRPr="00E17C2A">
        <w:rPr>
          <w:rFonts w:asciiTheme="majorBidi" w:hAnsiTheme="majorBidi" w:cstheme="majorBidi"/>
          <w:sz w:val="28"/>
          <w:szCs w:val="28"/>
        </w:rPr>
        <w:t xml:space="preserve"> The title “third wave” itself suggests influence of the </w:t>
      </w:r>
      <w:r w:rsidR="00827825" w:rsidRPr="00E17C2A">
        <w:rPr>
          <w:rFonts w:asciiTheme="majorBidi" w:hAnsiTheme="majorBidi" w:cstheme="majorBidi"/>
          <w:sz w:val="28"/>
          <w:szCs w:val="28"/>
        </w:rPr>
        <w:t>feministic</w:t>
      </w:r>
      <w:r w:rsidRPr="00E17C2A">
        <w:rPr>
          <w:rFonts w:asciiTheme="majorBidi" w:hAnsiTheme="majorBidi" w:cstheme="majorBidi"/>
          <w:sz w:val="28"/>
          <w:szCs w:val="28"/>
        </w:rPr>
        <w:t xml:space="preserve"> voice which classify </w:t>
      </w:r>
      <w:r w:rsidR="00827825" w:rsidRPr="00E17C2A">
        <w:rPr>
          <w:rFonts w:asciiTheme="majorBidi" w:hAnsiTheme="majorBidi" w:cstheme="majorBidi"/>
          <w:sz w:val="28"/>
          <w:szCs w:val="28"/>
        </w:rPr>
        <w:t>the</w:t>
      </w:r>
      <w:r w:rsidRPr="00E17C2A">
        <w:rPr>
          <w:rFonts w:asciiTheme="majorBidi" w:hAnsiTheme="majorBidi" w:cstheme="majorBidi"/>
          <w:sz w:val="28"/>
          <w:szCs w:val="28"/>
        </w:rPr>
        <w:t xml:space="preserve"> different phases into waves. The effect of the increase of the female researchers is effective especially when it comes to the intellectual issue of taking gender and sex seriously as categories of analysis. In addition to the variety among the contributors in this wave, the themes addressed, and the methods adopted are also noticeable</w:t>
      </w:r>
      <w:r w:rsidR="00C63F0C" w:rsidRPr="00E17C2A">
        <w:rPr>
          <w:rFonts w:asciiTheme="majorBidi" w:hAnsiTheme="majorBidi" w:cstheme="majorBidi"/>
          <w:sz w:val="28"/>
          <w:szCs w:val="28"/>
        </w:rPr>
        <w:t xml:space="preserve"> as discussed in the lines below</w:t>
      </w:r>
      <w:r w:rsidRPr="00E17C2A">
        <w:rPr>
          <w:rFonts w:asciiTheme="majorBidi" w:hAnsiTheme="majorBidi" w:cstheme="majorBidi"/>
          <w:sz w:val="28"/>
          <w:szCs w:val="28"/>
        </w:rPr>
        <w:t xml:space="preserve">. </w:t>
      </w:r>
    </w:p>
    <w:p w14:paraId="78963A53" w14:textId="77777777" w:rsidR="00E17C2A" w:rsidRDefault="00E17C2A">
      <w:pPr>
        <w:rPr>
          <w:rFonts w:asciiTheme="majorBidi" w:hAnsiTheme="majorBidi" w:cstheme="majorBidi"/>
          <w:b/>
          <w:bCs/>
          <w:sz w:val="28"/>
          <w:szCs w:val="28"/>
        </w:rPr>
      </w:pPr>
      <w:r>
        <w:rPr>
          <w:rFonts w:asciiTheme="majorBidi" w:hAnsiTheme="majorBidi" w:cstheme="majorBidi"/>
          <w:b/>
          <w:bCs/>
          <w:sz w:val="28"/>
          <w:szCs w:val="28"/>
        </w:rPr>
        <w:br w:type="page"/>
      </w:r>
    </w:p>
    <w:p w14:paraId="3BB07E23" w14:textId="325B6DF6" w:rsidR="004D42C4" w:rsidRPr="00E17C2A" w:rsidRDefault="004D42C4" w:rsidP="00E17C2A">
      <w:pPr>
        <w:pStyle w:val="ListParagraph"/>
        <w:numPr>
          <w:ilvl w:val="1"/>
          <w:numId w:val="5"/>
        </w:numPr>
        <w:spacing w:line="360" w:lineRule="auto"/>
        <w:jc w:val="both"/>
        <w:rPr>
          <w:rFonts w:asciiTheme="majorBidi" w:hAnsiTheme="majorBidi" w:cstheme="majorBidi"/>
          <w:b/>
          <w:bCs/>
          <w:sz w:val="28"/>
          <w:szCs w:val="28"/>
        </w:rPr>
      </w:pPr>
      <w:r w:rsidRPr="00E17C2A">
        <w:rPr>
          <w:rFonts w:asciiTheme="majorBidi" w:hAnsiTheme="majorBidi" w:cstheme="majorBidi"/>
          <w:b/>
          <w:bCs/>
          <w:sz w:val="28"/>
          <w:szCs w:val="28"/>
        </w:rPr>
        <w:lastRenderedPageBreak/>
        <w:t xml:space="preserve">Themes of the Third Wave of Religious Ethics </w:t>
      </w:r>
    </w:p>
    <w:p w14:paraId="447EB178" w14:textId="1E45F7F1" w:rsidR="004D42C4" w:rsidRPr="00E17C2A" w:rsidRDefault="004D42C4" w:rsidP="00E17C2A">
      <w:pPr>
        <w:spacing w:line="360" w:lineRule="auto"/>
        <w:jc w:val="both"/>
        <w:rPr>
          <w:rFonts w:asciiTheme="majorBidi" w:hAnsiTheme="majorBidi" w:cstheme="majorBidi"/>
          <w:i/>
          <w:iCs/>
          <w:sz w:val="28"/>
          <w:szCs w:val="28"/>
        </w:rPr>
      </w:pPr>
      <w:r w:rsidRPr="00E17C2A">
        <w:rPr>
          <w:rFonts w:asciiTheme="majorBidi" w:hAnsiTheme="majorBidi" w:cstheme="majorBidi"/>
          <w:sz w:val="28"/>
          <w:szCs w:val="28"/>
        </w:rPr>
        <w:t xml:space="preserve">Special interest in embodiment is noticed in the works of the third wave works. Contributors who paid special interest to this theme include </w:t>
      </w:r>
      <w:bookmarkStart w:id="7" w:name="_Hlk10801457"/>
      <w:r w:rsidRPr="00E17C2A">
        <w:rPr>
          <w:rFonts w:asciiTheme="majorBidi" w:hAnsiTheme="majorBidi" w:cstheme="majorBidi"/>
          <w:sz w:val="28"/>
          <w:szCs w:val="28"/>
        </w:rPr>
        <w:t xml:space="preserve">Jonathan W. </w:t>
      </w:r>
      <w:proofErr w:type="spellStart"/>
      <w:r w:rsidRPr="00E17C2A">
        <w:rPr>
          <w:rFonts w:asciiTheme="majorBidi" w:hAnsiTheme="majorBidi" w:cstheme="majorBidi"/>
          <w:sz w:val="28"/>
          <w:szCs w:val="28"/>
        </w:rPr>
        <w:t>Schofer</w:t>
      </w:r>
      <w:bookmarkEnd w:id="7"/>
      <w:proofErr w:type="spellEnd"/>
      <w:r w:rsidRPr="00E17C2A">
        <w:rPr>
          <w:rFonts w:asciiTheme="majorBidi" w:hAnsiTheme="majorBidi" w:cstheme="majorBidi"/>
          <w:sz w:val="28"/>
          <w:szCs w:val="28"/>
        </w:rPr>
        <w:t>,</w:t>
      </w:r>
      <w:r w:rsidRPr="00E17C2A">
        <w:rPr>
          <w:rStyle w:val="FootnoteReference"/>
          <w:rFonts w:asciiTheme="majorBidi" w:hAnsiTheme="majorBidi" w:cstheme="majorBidi"/>
          <w:sz w:val="28"/>
          <w:szCs w:val="28"/>
        </w:rPr>
        <w:footnoteReference w:id="65"/>
      </w:r>
      <w:r w:rsidRPr="00E17C2A">
        <w:rPr>
          <w:rFonts w:asciiTheme="majorBidi" w:hAnsiTheme="majorBidi" w:cstheme="majorBidi"/>
          <w:sz w:val="28"/>
          <w:szCs w:val="28"/>
        </w:rPr>
        <w:t xml:space="preserve"> Elizabeth M. </w:t>
      </w:r>
      <w:proofErr w:type="spellStart"/>
      <w:r w:rsidRPr="00E17C2A">
        <w:rPr>
          <w:rFonts w:asciiTheme="majorBidi" w:hAnsiTheme="majorBidi" w:cstheme="majorBidi"/>
          <w:sz w:val="28"/>
          <w:szCs w:val="28"/>
        </w:rPr>
        <w:t>Bucar</w:t>
      </w:r>
      <w:proofErr w:type="spellEnd"/>
      <w:r w:rsidRPr="00E17C2A">
        <w:rPr>
          <w:rFonts w:asciiTheme="majorBidi" w:hAnsiTheme="majorBidi" w:cstheme="majorBidi"/>
          <w:sz w:val="28"/>
          <w:szCs w:val="28"/>
        </w:rPr>
        <w:t>,</w:t>
      </w:r>
      <w:r w:rsidRPr="00E17C2A">
        <w:rPr>
          <w:rStyle w:val="FootnoteReference"/>
          <w:rFonts w:asciiTheme="majorBidi" w:hAnsiTheme="majorBidi" w:cstheme="majorBidi"/>
          <w:sz w:val="28"/>
          <w:szCs w:val="28"/>
        </w:rPr>
        <w:footnoteReference w:id="66"/>
      </w:r>
      <w:r w:rsidRPr="00E17C2A">
        <w:rPr>
          <w:rFonts w:asciiTheme="majorBidi" w:hAnsiTheme="majorBidi" w:cstheme="majorBidi"/>
          <w:sz w:val="28"/>
          <w:szCs w:val="28"/>
        </w:rPr>
        <w:t xml:space="preserve"> </w:t>
      </w:r>
      <w:bookmarkStart w:id="8" w:name="_Hlk10801619"/>
      <w:r w:rsidR="00160D09" w:rsidRPr="00E17C2A">
        <w:rPr>
          <w:rFonts w:asciiTheme="majorBidi" w:hAnsiTheme="majorBidi" w:cstheme="majorBidi"/>
          <w:sz w:val="28"/>
          <w:szCs w:val="28"/>
        </w:rPr>
        <w:t xml:space="preserve">and </w:t>
      </w:r>
      <w:r w:rsidRPr="00E17C2A">
        <w:rPr>
          <w:rFonts w:asciiTheme="majorBidi" w:hAnsiTheme="majorBidi" w:cstheme="majorBidi"/>
          <w:sz w:val="28"/>
          <w:szCs w:val="28"/>
        </w:rPr>
        <w:t>Grace Y. Kao</w:t>
      </w:r>
      <w:bookmarkEnd w:id="8"/>
      <w:r w:rsidR="007037D1" w:rsidRPr="00E17C2A">
        <w:rPr>
          <w:rFonts w:asciiTheme="majorBidi" w:hAnsiTheme="majorBidi" w:cstheme="majorBidi"/>
          <w:sz w:val="28"/>
          <w:szCs w:val="28"/>
        </w:rPr>
        <w:t>.</w:t>
      </w:r>
      <w:r w:rsidRPr="00E17C2A">
        <w:rPr>
          <w:rStyle w:val="FootnoteReference"/>
          <w:rFonts w:asciiTheme="majorBidi" w:hAnsiTheme="majorBidi" w:cstheme="majorBidi"/>
          <w:sz w:val="28"/>
          <w:szCs w:val="28"/>
        </w:rPr>
        <w:footnoteReference w:id="67"/>
      </w:r>
      <w:r w:rsidRPr="00E17C2A">
        <w:rPr>
          <w:rFonts w:asciiTheme="majorBidi" w:hAnsiTheme="majorBidi" w:cstheme="majorBidi"/>
          <w:sz w:val="28"/>
          <w:szCs w:val="28"/>
        </w:rPr>
        <w:t xml:space="preserve"> Also, attention is given to the question of gender and ethnicity, both for the researchers and their subjects. </w:t>
      </w:r>
      <w:r w:rsidR="0070241C" w:rsidRPr="00E17C2A">
        <w:rPr>
          <w:rFonts w:asciiTheme="majorBidi" w:hAnsiTheme="majorBidi" w:cstheme="majorBidi"/>
          <w:sz w:val="28"/>
          <w:szCs w:val="28"/>
        </w:rPr>
        <w:t>Participants</w:t>
      </w:r>
      <w:r w:rsidR="00C933A4" w:rsidRPr="00E17C2A">
        <w:rPr>
          <w:rFonts w:asciiTheme="majorBidi" w:hAnsiTheme="majorBidi" w:cstheme="majorBidi"/>
          <w:sz w:val="28"/>
          <w:szCs w:val="28"/>
        </w:rPr>
        <w:t xml:space="preserve"> who are interested in </w:t>
      </w:r>
      <w:r w:rsidR="0070241C" w:rsidRPr="00E17C2A">
        <w:rPr>
          <w:rFonts w:asciiTheme="majorBidi" w:hAnsiTheme="majorBidi" w:cstheme="majorBidi"/>
          <w:sz w:val="28"/>
          <w:szCs w:val="28"/>
        </w:rPr>
        <w:t xml:space="preserve">gender and ethnicity </w:t>
      </w:r>
      <w:r w:rsidRPr="00E17C2A">
        <w:rPr>
          <w:rFonts w:asciiTheme="majorBidi" w:hAnsiTheme="majorBidi" w:cstheme="majorBidi"/>
          <w:sz w:val="28"/>
          <w:szCs w:val="28"/>
        </w:rPr>
        <w:t>include:</w:t>
      </w:r>
      <w:r w:rsidR="0070241C" w:rsidRPr="00E17C2A">
        <w:rPr>
          <w:rFonts w:asciiTheme="majorBidi" w:hAnsiTheme="majorBidi" w:cstheme="majorBidi"/>
          <w:sz w:val="28"/>
          <w:szCs w:val="28"/>
        </w:rPr>
        <w:t xml:space="preserve"> </w:t>
      </w:r>
      <w:r w:rsidRPr="00E17C2A">
        <w:rPr>
          <w:rFonts w:asciiTheme="majorBidi" w:hAnsiTheme="majorBidi" w:cstheme="majorBidi"/>
          <w:sz w:val="28"/>
          <w:szCs w:val="28"/>
        </w:rPr>
        <w:t xml:space="preserve">Elizabeth M. </w:t>
      </w:r>
      <w:proofErr w:type="spellStart"/>
      <w:r w:rsidRPr="00E17C2A">
        <w:rPr>
          <w:rFonts w:asciiTheme="majorBidi" w:hAnsiTheme="majorBidi" w:cstheme="majorBidi"/>
          <w:sz w:val="28"/>
          <w:szCs w:val="28"/>
        </w:rPr>
        <w:t>Bucar</w:t>
      </w:r>
      <w:proofErr w:type="spellEnd"/>
      <w:r w:rsidR="007F6142" w:rsidRPr="00E17C2A">
        <w:rPr>
          <w:rFonts w:asciiTheme="majorBidi" w:hAnsiTheme="majorBidi" w:cstheme="majorBidi"/>
          <w:sz w:val="28"/>
          <w:szCs w:val="28"/>
        </w:rPr>
        <w:t>;</w:t>
      </w:r>
      <w:r w:rsidR="002F392C" w:rsidRPr="00E17C2A">
        <w:rPr>
          <w:rStyle w:val="FootnoteReference"/>
          <w:rFonts w:asciiTheme="majorBidi" w:hAnsiTheme="majorBidi" w:cstheme="majorBidi"/>
          <w:sz w:val="28"/>
          <w:szCs w:val="28"/>
        </w:rPr>
        <w:footnoteReference w:id="68"/>
      </w:r>
      <w:r w:rsidR="007F6142" w:rsidRPr="00E17C2A">
        <w:rPr>
          <w:rFonts w:asciiTheme="majorBidi" w:hAnsiTheme="majorBidi" w:cstheme="majorBidi"/>
          <w:sz w:val="28"/>
          <w:szCs w:val="28"/>
        </w:rPr>
        <w:t xml:space="preserve"> and</w:t>
      </w:r>
      <w:r w:rsidRPr="00E17C2A">
        <w:rPr>
          <w:rFonts w:asciiTheme="majorBidi" w:hAnsiTheme="majorBidi" w:cstheme="majorBidi"/>
          <w:sz w:val="28"/>
          <w:szCs w:val="28"/>
        </w:rPr>
        <w:t xml:space="preserve"> </w:t>
      </w:r>
      <w:bookmarkStart w:id="9" w:name="_Hlk10802396"/>
      <w:r w:rsidRPr="00E17C2A">
        <w:rPr>
          <w:rFonts w:asciiTheme="majorBidi" w:hAnsiTheme="majorBidi" w:cstheme="majorBidi"/>
          <w:sz w:val="28"/>
          <w:szCs w:val="28"/>
        </w:rPr>
        <w:t>Grace Y. Kao, and Irene Oh</w:t>
      </w:r>
      <w:r w:rsidR="007F6142" w:rsidRPr="00E17C2A">
        <w:rPr>
          <w:rFonts w:asciiTheme="majorBidi" w:hAnsiTheme="majorBidi" w:cstheme="majorBidi"/>
          <w:sz w:val="28"/>
          <w:szCs w:val="28"/>
        </w:rPr>
        <w:t>,</w:t>
      </w:r>
      <w:r w:rsidR="00240E14" w:rsidRPr="00E17C2A">
        <w:rPr>
          <w:rStyle w:val="FootnoteReference"/>
          <w:rFonts w:asciiTheme="majorBidi" w:hAnsiTheme="majorBidi" w:cstheme="majorBidi"/>
          <w:sz w:val="28"/>
          <w:szCs w:val="28"/>
        </w:rPr>
        <w:footnoteReference w:id="69"/>
      </w:r>
      <w:r w:rsidR="007F6142" w:rsidRPr="00E17C2A">
        <w:rPr>
          <w:rFonts w:asciiTheme="majorBidi" w:hAnsiTheme="majorBidi" w:cstheme="majorBidi"/>
          <w:sz w:val="28"/>
          <w:szCs w:val="28"/>
        </w:rPr>
        <w:t xml:space="preserve"> </w:t>
      </w:r>
      <w:bookmarkStart w:id="10" w:name="_Hlk10802592"/>
      <w:bookmarkEnd w:id="9"/>
      <w:r w:rsidRPr="00E17C2A">
        <w:rPr>
          <w:rFonts w:asciiTheme="majorBidi" w:hAnsiTheme="majorBidi" w:cstheme="majorBidi"/>
          <w:sz w:val="28"/>
          <w:szCs w:val="28"/>
        </w:rPr>
        <w:t>Grace Y. Kao,</w:t>
      </w:r>
      <w:r w:rsidR="00B66D26" w:rsidRPr="00E17C2A">
        <w:rPr>
          <w:rStyle w:val="FootnoteReference"/>
          <w:rFonts w:asciiTheme="majorBidi" w:hAnsiTheme="majorBidi" w:cstheme="majorBidi"/>
          <w:sz w:val="28"/>
          <w:szCs w:val="28"/>
        </w:rPr>
        <w:footnoteReference w:id="70"/>
      </w:r>
      <w:bookmarkEnd w:id="10"/>
      <w:r w:rsidRPr="00E17C2A">
        <w:rPr>
          <w:rFonts w:asciiTheme="majorBidi" w:hAnsiTheme="majorBidi" w:cstheme="majorBidi"/>
          <w:sz w:val="28"/>
          <w:szCs w:val="28"/>
        </w:rPr>
        <w:t xml:space="preserve"> and </w:t>
      </w:r>
      <w:bookmarkStart w:id="11" w:name="_Hlk10802667"/>
      <w:r w:rsidRPr="00E17C2A">
        <w:rPr>
          <w:rFonts w:asciiTheme="majorBidi" w:hAnsiTheme="majorBidi" w:cstheme="majorBidi"/>
          <w:sz w:val="28"/>
          <w:szCs w:val="28"/>
        </w:rPr>
        <w:t>Erin Cline</w:t>
      </w:r>
      <w:r w:rsidR="007E50F3" w:rsidRPr="00E17C2A">
        <w:rPr>
          <w:rFonts w:asciiTheme="majorBidi" w:hAnsiTheme="majorBidi" w:cstheme="majorBidi"/>
          <w:sz w:val="28"/>
          <w:szCs w:val="28"/>
        </w:rPr>
        <w:t>.</w:t>
      </w:r>
      <w:r w:rsidR="007E50F3" w:rsidRPr="00E17C2A">
        <w:rPr>
          <w:rStyle w:val="FootnoteReference"/>
          <w:rFonts w:asciiTheme="majorBidi" w:hAnsiTheme="majorBidi" w:cstheme="majorBidi"/>
          <w:sz w:val="28"/>
          <w:szCs w:val="28"/>
        </w:rPr>
        <w:footnoteReference w:id="71"/>
      </w:r>
      <w:bookmarkEnd w:id="11"/>
    </w:p>
    <w:p w14:paraId="77CE405D" w14:textId="77777777" w:rsidR="00413DBC" w:rsidRPr="00E17C2A" w:rsidRDefault="00413DBC" w:rsidP="00E17C2A">
      <w:pPr>
        <w:spacing w:line="360" w:lineRule="auto"/>
        <w:jc w:val="both"/>
        <w:rPr>
          <w:rFonts w:asciiTheme="majorBidi" w:hAnsiTheme="majorBidi" w:cstheme="majorBidi"/>
          <w:sz w:val="28"/>
          <w:szCs w:val="28"/>
        </w:rPr>
      </w:pPr>
    </w:p>
    <w:p w14:paraId="1D0724FE" w14:textId="3759629E" w:rsidR="004D42C4" w:rsidRPr="00E17C2A" w:rsidRDefault="00413DBC"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t>In additions</w:t>
      </w:r>
      <w:r w:rsidR="004D42C4" w:rsidRPr="00E17C2A">
        <w:rPr>
          <w:rFonts w:asciiTheme="majorBidi" w:hAnsiTheme="majorBidi" w:cstheme="majorBidi"/>
          <w:sz w:val="28"/>
          <w:szCs w:val="28"/>
        </w:rPr>
        <w:t xml:space="preserve">, the relations between literary form and conceptual content was an important theme in this genre as in the writing of </w:t>
      </w:r>
      <w:bookmarkStart w:id="12" w:name="_Hlk10802791"/>
      <w:r w:rsidR="004D42C4" w:rsidRPr="00E17C2A">
        <w:rPr>
          <w:rFonts w:asciiTheme="majorBidi" w:hAnsiTheme="majorBidi" w:cstheme="majorBidi"/>
          <w:sz w:val="28"/>
          <w:szCs w:val="28"/>
        </w:rPr>
        <w:t xml:space="preserve">Elizabeth M. </w:t>
      </w:r>
      <w:proofErr w:type="spellStart"/>
      <w:r w:rsidR="004D42C4" w:rsidRPr="00E17C2A">
        <w:rPr>
          <w:rFonts w:asciiTheme="majorBidi" w:hAnsiTheme="majorBidi" w:cstheme="majorBidi"/>
          <w:sz w:val="28"/>
          <w:szCs w:val="28"/>
        </w:rPr>
        <w:t>Bucar</w:t>
      </w:r>
      <w:proofErr w:type="spellEnd"/>
      <w:r w:rsidR="004D42C4" w:rsidRPr="00E17C2A">
        <w:rPr>
          <w:rFonts w:asciiTheme="majorBidi" w:hAnsiTheme="majorBidi" w:cstheme="majorBidi"/>
          <w:sz w:val="28"/>
          <w:szCs w:val="28"/>
        </w:rPr>
        <w:t>,</w:t>
      </w:r>
      <w:r w:rsidR="00AB25BA" w:rsidRPr="00E17C2A">
        <w:rPr>
          <w:rStyle w:val="FootnoteReference"/>
          <w:rFonts w:asciiTheme="majorBidi" w:hAnsiTheme="majorBidi" w:cstheme="majorBidi"/>
          <w:sz w:val="28"/>
          <w:szCs w:val="28"/>
        </w:rPr>
        <w:footnoteReference w:id="72"/>
      </w:r>
      <w:r w:rsidR="00AB25BA" w:rsidRPr="00E17C2A">
        <w:rPr>
          <w:rFonts w:asciiTheme="majorBidi" w:hAnsiTheme="majorBidi" w:cstheme="majorBidi"/>
          <w:sz w:val="28"/>
          <w:szCs w:val="28"/>
        </w:rPr>
        <w:t xml:space="preserve"> </w:t>
      </w:r>
      <w:r w:rsidR="004D42C4" w:rsidRPr="00E17C2A">
        <w:rPr>
          <w:rFonts w:asciiTheme="majorBidi" w:hAnsiTheme="majorBidi" w:cstheme="majorBidi"/>
          <w:sz w:val="28"/>
          <w:szCs w:val="28"/>
        </w:rPr>
        <w:t xml:space="preserve">Jonathan W. </w:t>
      </w:r>
      <w:proofErr w:type="spellStart"/>
      <w:r w:rsidR="004D42C4" w:rsidRPr="00E17C2A">
        <w:rPr>
          <w:rFonts w:asciiTheme="majorBidi" w:hAnsiTheme="majorBidi" w:cstheme="majorBidi"/>
          <w:sz w:val="28"/>
          <w:szCs w:val="28"/>
        </w:rPr>
        <w:t>Schofer</w:t>
      </w:r>
      <w:proofErr w:type="spellEnd"/>
      <w:r w:rsidR="00D92788" w:rsidRPr="00E17C2A">
        <w:rPr>
          <w:rFonts w:asciiTheme="majorBidi" w:hAnsiTheme="majorBidi" w:cstheme="majorBidi"/>
          <w:sz w:val="28"/>
          <w:szCs w:val="28"/>
        </w:rPr>
        <w:t>.</w:t>
      </w:r>
      <w:r w:rsidR="00D92788" w:rsidRPr="00E17C2A">
        <w:rPr>
          <w:rStyle w:val="FootnoteReference"/>
          <w:rFonts w:asciiTheme="majorBidi" w:hAnsiTheme="majorBidi" w:cstheme="majorBidi"/>
          <w:sz w:val="28"/>
          <w:szCs w:val="28"/>
        </w:rPr>
        <w:footnoteReference w:id="73"/>
      </w:r>
      <w:bookmarkEnd w:id="12"/>
    </w:p>
    <w:p w14:paraId="48E9A2BD" w14:textId="77777777" w:rsidR="004D42C4" w:rsidRPr="00E17C2A" w:rsidRDefault="004D42C4" w:rsidP="00E17C2A">
      <w:pPr>
        <w:spacing w:line="360" w:lineRule="auto"/>
        <w:jc w:val="both"/>
        <w:rPr>
          <w:rFonts w:asciiTheme="majorBidi" w:hAnsiTheme="majorBidi" w:cstheme="majorBidi"/>
          <w:sz w:val="28"/>
          <w:szCs w:val="28"/>
        </w:rPr>
      </w:pPr>
    </w:p>
    <w:p w14:paraId="461505C0" w14:textId="029E5BAA" w:rsidR="004D42C4" w:rsidRPr="00E17C2A" w:rsidRDefault="004D42C4" w:rsidP="00E17C2A">
      <w:pPr>
        <w:spacing w:line="360" w:lineRule="auto"/>
        <w:jc w:val="both"/>
        <w:rPr>
          <w:rFonts w:asciiTheme="majorBidi" w:hAnsiTheme="majorBidi" w:cstheme="majorBidi"/>
          <w:i/>
          <w:iCs/>
          <w:sz w:val="28"/>
          <w:szCs w:val="28"/>
        </w:rPr>
      </w:pPr>
      <w:r w:rsidRPr="00E17C2A">
        <w:rPr>
          <w:rFonts w:asciiTheme="majorBidi" w:hAnsiTheme="majorBidi" w:cstheme="majorBidi"/>
          <w:sz w:val="28"/>
          <w:szCs w:val="28"/>
        </w:rPr>
        <w:t xml:space="preserve">Studying the embodiment of the cultural contact of the multi-cultural selfhood among people and situations in multi-cultural societies, is also another central </w:t>
      </w:r>
      <w:r w:rsidRPr="00E17C2A">
        <w:rPr>
          <w:rFonts w:asciiTheme="majorBidi" w:hAnsiTheme="majorBidi" w:cstheme="majorBidi"/>
          <w:sz w:val="28"/>
          <w:szCs w:val="28"/>
        </w:rPr>
        <w:lastRenderedPageBreak/>
        <w:t xml:space="preserve">theme in this the third wave. This theme </w:t>
      </w:r>
      <w:proofErr w:type="gramStart"/>
      <w:r w:rsidRPr="00E17C2A">
        <w:rPr>
          <w:rFonts w:asciiTheme="majorBidi" w:hAnsiTheme="majorBidi" w:cstheme="majorBidi"/>
          <w:sz w:val="28"/>
          <w:szCs w:val="28"/>
        </w:rPr>
        <w:t>have</w:t>
      </w:r>
      <w:proofErr w:type="gramEnd"/>
      <w:r w:rsidRPr="00E17C2A">
        <w:rPr>
          <w:rFonts w:asciiTheme="majorBidi" w:hAnsiTheme="majorBidi" w:cstheme="majorBidi"/>
          <w:sz w:val="28"/>
          <w:szCs w:val="28"/>
        </w:rPr>
        <w:t xml:space="preserve"> not received the same interest of the others, so </w:t>
      </w:r>
      <w:proofErr w:type="spellStart"/>
      <w:r w:rsidRPr="00E17C2A">
        <w:rPr>
          <w:rFonts w:asciiTheme="majorBidi" w:hAnsiTheme="majorBidi" w:cstheme="majorBidi"/>
          <w:sz w:val="28"/>
          <w:szCs w:val="28"/>
        </w:rPr>
        <w:t>Bukar</w:t>
      </w:r>
      <w:proofErr w:type="spellEnd"/>
      <w:r w:rsidRPr="00E17C2A">
        <w:rPr>
          <w:rFonts w:asciiTheme="majorBidi" w:hAnsiTheme="majorBidi" w:cstheme="majorBidi"/>
          <w:sz w:val="28"/>
          <w:szCs w:val="28"/>
        </w:rPr>
        <w:t xml:space="preserve"> and Stalnaker only refer to the works of David Clairmont, </w:t>
      </w:r>
      <w:r w:rsidRPr="00E17C2A">
        <w:rPr>
          <w:rFonts w:asciiTheme="majorBidi" w:hAnsiTheme="majorBidi" w:cstheme="majorBidi"/>
          <w:i/>
          <w:iCs/>
          <w:sz w:val="28"/>
          <w:szCs w:val="28"/>
        </w:rPr>
        <w:t xml:space="preserve">Moral Struggle and Religious Ethics: On the Person as Classic in Comparative Theological Contexts </w:t>
      </w:r>
      <w:r w:rsidRPr="00E17C2A">
        <w:rPr>
          <w:rFonts w:asciiTheme="majorBidi" w:hAnsiTheme="majorBidi" w:cstheme="majorBidi"/>
          <w:sz w:val="28"/>
          <w:szCs w:val="28"/>
        </w:rPr>
        <w:t>(Malden,</w:t>
      </w:r>
      <w:r w:rsidRPr="00E17C2A">
        <w:rPr>
          <w:rFonts w:asciiTheme="majorBidi" w:hAnsiTheme="majorBidi" w:cstheme="majorBidi"/>
          <w:i/>
          <w:iCs/>
          <w:sz w:val="28"/>
          <w:szCs w:val="28"/>
        </w:rPr>
        <w:t xml:space="preserve"> </w:t>
      </w:r>
      <w:r w:rsidRPr="00E17C2A">
        <w:rPr>
          <w:rFonts w:asciiTheme="majorBidi" w:hAnsiTheme="majorBidi" w:cstheme="majorBidi"/>
          <w:sz w:val="28"/>
          <w:szCs w:val="28"/>
        </w:rPr>
        <w:t>MA: Wiley-Blackwell, 2011</w:t>
      </w:r>
      <w:r w:rsidR="00012691" w:rsidRPr="00E17C2A">
        <w:rPr>
          <w:rFonts w:asciiTheme="majorBidi" w:hAnsiTheme="majorBidi" w:cstheme="majorBidi"/>
          <w:sz w:val="28"/>
          <w:szCs w:val="28"/>
        </w:rPr>
        <w:t>).</w:t>
      </w:r>
    </w:p>
    <w:p w14:paraId="00E1478F" w14:textId="77777777" w:rsidR="00012691" w:rsidRPr="00E17C2A" w:rsidRDefault="00012691" w:rsidP="00E17C2A">
      <w:pPr>
        <w:spacing w:line="360" w:lineRule="auto"/>
        <w:jc w:val="both"/>
        <w:rPr>
          <w:rFonts w:asciiTheme="majorBidi" w:hAnsiTheme="majorBidi" w:cstheme="majorBidi"/>
          <w:sz w:val="28"/>
          <w:szCs w:val="28"/>
        </w:rPr>
      </w:pPr>
    </w:p>
    <w:p w14:paraId="6CE30477" w14:textId="102F47C7" w:rsidR="004D42C4" w:rsidRPr="00E17C2A" w:rsidRDefault="004D42C4"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t xml:space="preserve">The strongest attention in this wave was given to practices that for selves ethically. Thomas A. Lewis has published five works that are related to this theme: </w:t>
      </w:r>
      <w:r w:rsidRPr="00E17C2A">
        <w:rPr>
          <w:rFonts w:asciiTheme="majorBidi" w:hAnsiTheme="majorBidi" w:cstheme="majorBidi"/>
          <w:i/>
          <w:iCs/>
          <w:sz w:val="28"/>
          <w:szCs w:val="28"/>
        </w:rPr>
        <w:t xml:space="preserve">Freedom and Tradition in Hegel: Reconsidering Anthropology, Ethics, and Religion (2005); Religion, Modernity, and Politics in Hegel </w:t>
      </w:r>
      <w:r w:rsidRPr="00E17C2A">
        <w:rPr>
          <w:rFonts w:asciiTheme="majorBidi" w:hAnsiTheme="majorBidi" w:cstheme="majorBidi"/>
          <w:sz w:val="28"/>
          <w:szCs w:val="28"/>
        </w:rPr>
        <w:t xml:space="preserve">(2011); “Speaking of Habits: The Role of Language in Moving from Habit to Freedom,”(2008); and “Actions as the Ties That Bind: Love, Praxis, and Community in the Thought of Gustavo Gutierrez,”(2005). </w:t>
      </w:r>
    </w:p>
    <w:p w14:paraId="5C2F3A12" w14:textId="77777777" w:rsidR="004D42C4" w:rsidRPr="00E17C2A" w:rsidRDefault="004D42C4" w:rsidP="00E17C2A">
      <w:pPr>
        <w:spacing w:line="360" w:lineRule="auto"/>
        <w:jc w:val="both"/>
        <w:rPr>
          <w:rFonts w:asciiTheme="majorBidi" w:hAnsiTheme="majorBidi" w:cstheme="majorBidi"/>
          <w:sz w:val="28"/>
          <w:szCs w:val="28"/>
        </w:rPr>
      </w:pPr>
    </w:p>
    <w:p w14:paraId="1AD3B3A9" w14:textId="77777777" w:rsidR="004D42C4" w:rsidRPr="00E17C2A" w:rsidRDefault="004D42C4"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t xml:space="preserve">In addition, Clairmont has published three works: “Theravada Buddhist </w:t>
      </w:r>
      <w:proofErr w:type="spellStart"/>
      <w:r w:rsidRPr="00E17C2A">
        <w:rPr>
          <w:rFonts w:asciiTheme="majorBidi" w:hAnsiTheme="majorBidi" w:cstheme="majorBidi"/>
          <w:sz w:val="28"/>
          <w:szCs w:val="28"/>
        </w:rPr>
        <w:t>Abhidhamma</w:t>
      </w:r>
      <w:proofErr w:type="spellEnd"/>
      <w:r w:rsidRPr="00E17C2A">
        <w:rPr>
          <w:rFonts w:asciiTheme="majorBidi" w:hAnsiTheme="majorBidi" w:cstheme="majorBidi"/>
          <w:sz w:val="28"/>
          <w:szCs w:val="28"/>
        </w:rPr>
        <w:t xml:space="preserve"> and Moral Development” (2010); On Hegemonies Within: Franciscan Missions and Buddhist Kings in Comparative Theological Contexts”; and “Moral Disagreement and Interreligious Conversation: The Penitential Pace of Understanding”. Each of </w:t>
      </w:r>
      <w:proofErr w:type="spellStart"/>
      <w:r w:rsidRPr="00E17C2A">
        <w:rPr>
          <w:rFonts w:asciiTheme="majorBidi" w:hAnsiTheme="majorBidi" w:cstheme="majorBidi"/>
          <w:sz w:val="28"/>
          <w:szCs w:val="28"/>
        </w:rPr>
        <w:t>Schofer</w:t>
      </w:r>
      <w:proofErr w:type="spellEnd"/>
      <w:r w:rsidRPr="00E17C2A">
        <w:rPr>
          <w:rFonts w:asciiTheme="majorBidi" w:hAnsiTheme="majorBidi" w:cstheme="majorBidi"/>
          <w:sz w:val="28"/>
          <w:szCs w:val="28"/>
        </w:rPr>
        <w:t>,</w:t>
      </w:r>
      <w:r w:rsidRPr="00E17C2A">
        <w:rPr>
          <w:rStyle w:val="FootnoteReference"/>
          <w:rFonts w:asciiTheme="majorBidi" w:hAnsiTheme="majorBidi" w:cstheme="majorBidi"/>
          <w:sz w:val="28"/>
          <w:szCs w:val="28"/>
        </w:rPr>
        <w:footnoteReference w:id="74"/>
      </w:r>
      <w:r w:rsidRPr="00E17C2A">
        <w:rPr>
          <w:rFonts w:asciiTheme="majorBidi" w:hAnsiTheme="majorBidi" w:cstheme="majorBidi"/>
          <w:sz w:val="28"/>
          <w:szCs w:val="28"/>
        </w:rPr>
        <w:t xml:space="preserve"> Stalnaker</w:t>
      </w:r>
      <w:r w:rsidRPr="00E17C2A">
        <w:rPr>
          <w:rStyle w:val="FootnoteReference"/>
          <w:rFonts w:asciiTheme="majorBidi" w:hAnsiTheme="majorBidi" w:cstheme="majorBidi"/>
          <w:sz w:val="28"/>
          <w:szCs w:val="28"/>
        </w:rPr>
        <w:footnoteReference w:id="75"/>
      </w:r>
      <w:r w:rsidRPr="00E17C2A">
        <w:rPr>
          <w:rFonts w:asciiTheme="majorBidi" w:hAnsiTheme="majorBidi" w:cstheme="majorBidi"/>
          <w:sz w:val="28"/>
          <w:szCs w:val="28"/>
        </w:rPr>
        <w:t xml:space="preserve"> and Erin Cline</w:t>
      </w:r>
      <w:r w:rsidRPr="00E17C2A">
        <w:rPr>
          <w:rStyle w:val="FootnoteReference"/>
          <w:rFonts w:asciiTheme="majorBidi" w:hAnsiTheme="majorBidi" w:cstheme="majorBidi"/>
          <w:sz w:val="28"/>
          <w:szCs w:val="28"/>
        </w:rPr>
        <w:footnoteReference w:id="76"/>
      </w:r>
      <w:r w:rsidRPr="00E17C2A">
        <w:rPr>
          <w:rFonts w:asciiTheme="majorBidi" w:hAnsiTheme="majorBidi" w:cstheme="majorBidi"/>
          <w:sz w:val="28"/>
          <w:szCs w:val="28"/>
        </w:rPr>
        <w:t xml:space="preserve"> has published two works under this theme while </w:t>
      </w:r>
      <w:proofErr w:type="spellStart"/>
      <w:r w:rsidRPr="00E17C2A">
        <w:rPr>
          <w:rFonts w:asciiTheme="majorBidi" w:hAnsiTheme="majorBidi" w:cstheme="majorBidi"/>
          <w:sz w:val="28"/>
          <w:szCs w:val="28"/>
        </w:rPr>
        <w:t>Erine</w:t>
      </w:r>
      <w:proofErr w:type="spellEnd"/>
      <w:r w:rsidRPr="00E17C2A">
        <w:rPr>
          <w:rFonts w:asciiTheme="majorBidi" w:hAnsiTheme="majorBidi" w:cstheme="majorBidi"/>
          <w:sz w:val="28"/>
          <w:szCs w:val="28"/>
        </w:rPr>
        <w:t xml:space="preserve"> </w:t>
      </w:r>
      <w:proofErr w:type="spellStart"/>
      <w:r w:rsidRPr="00E17C2A">
        <w:rPr>
          <w:rFonts w:asciiTheme="majorBidi" w:hAnsiTheme="majorBidi" w:cstheme="majorBidi"/>
          <w:sz w:val="28"/>
          <w:szCs w:val="28"/>
        </w:rPr>
        <w:t>Ohne</w:t>
      </w:r>
      <w:proofErr w:type="spellEnd"/>
      <w:r w:rsidRPr="00E17C2A">
        <w:rPr>
          <w:rFonts w:asciiTheme="majorBidi" w:hAnsiTheme="majorBidi" w:cstheme="majorBidi"/>
          <w:sz w:val="28"/>
          <w:szCs w:val="28"/>
        </w:rPr>
        <w:t xml:space="preserve"> has published an article entitled: “The Performativity of Motherhood: Embodying Theology and Political Agency.”</w:t>
      </w:r>
      <w:r w:rsidRPr="00E17C2A">
        <w:rPr>
          <w:rStyle w:val="FootnoteReference"/>
          <w:rFonts w:asciiTheme="majorBidi" w:hAnsiTheme="majorBidi" w:cstheme="majorBidi"/>
          <w:sz w:val="28"/>
          <w:szCs w:val="28"/>
        </w:rPr>
        <w:footnoteReference w:id="77"/>
      </w:r>
      <w:r w:rsidRPr="00E17C2A">
        <w:rPr>
          <w:rFonts w:asciiTheme="majorBidi" w:hAnsiTheme="majorBidi" w:cstheme="majorBidi"/>
          <w:sz w:val="28"/>
          <w:szCs w:val="28"/>
        </w:rPr>
        <w:t xml:space="preserve">  </w:t>
      </w:r>
    </w:p>
    <w:p w14:paraId="46A01C2E" w14:textId="465985B7" w:rsidR="004D42C4" w:rsidRPr="00E17C2A" w:rsidRDefault="004D42C4" w:rsidP="00E17C2A">
      <w:pPr>
        <w:spacing w:line="360" w:lineRule="auto"/>
        <w:jc w:val="both"/>
        <w:rPr>
          <w:rFonts w:asciiTheme="majorBidi" w:hAnsiTheme="majorBidi" w:cstheme="majorBidi"/>
          <w:sz w:val="28"/>
          <w:szCs w:val="28"/>
        </w:rPr>
      </w:pPr>
    </w:p>
    <w:p w14:paraId="736B92F9" w14:textId="1FF49C84" w:rsidR="00793A60" w:rsidRPr="00E17C2A" w:rsidRDefault="00793A60" w:rsidP="00E17C2A">
      <w:pPr>
        <w:spacing w:line="360" w:lineRule="auto"/>
        <w:jc w:val="both"/>
        <w:rPr>
          <w:rFonts w:asciiTheme="majorBidi" w:hAnsiTheme="majorBidi" w:cstheme="majorBidi"/>
          <w:sz w:val="28"/>
          <w:szCs w:val="28"/>
        </w:rPr>
      </w:pPr>
      <w:proofErr w:type="gramStart"/>
      <w:r w:rsidRPr="00E17C2A">
        <w:rPr>
          <w:rFonts w:asciiTheme="majorBidi" w:hAnsiTheme="majorBidi" w:cstheme="majorBidi"/>
          <w:sz w:val="28"/>
          <w:szCs w:val="28"/>
        </w:rPr>
        <w:t>However</w:t>
      </w:r>
      <w:proofErr w:type="gramEnd"/>
      <w:r w:rsidRPr="00E17C2A">
        <w:rPr>
          <w:rFonts w:asciiTheme="majorBidi" w:hAnsiTheme="majorBidi" w:cstheme="majorBidi"/>
          <w:sz w:val="28"/>
          <w:szCs w:val="28"/>
        </w:rPr>
        <w:t xml:space="preserve"> some of these themes have been studied before, but </w:t>
      </w:r>
      <w:r w:rsidR="00A22278" w:rsidRPr="00E17C2A">
        <w:rPr>
          <w:rFonts w:asciiTheme="majorBidi" w:hAnsiTheme="majorBidi" w:cstheme="majorBidi"/>
          <w:sz w:val="28"/>
          <w:szCs w:val="28"/>
        </w:rPr>
        <w:t>some of them are quite original and the methodology adopted to tackle them in the Third Wave are quite unique as shown in the lines below.</w:t>
      </w:r>
    </w:p>
    <w:p w14:paraId="0625403C" w14:textId="77777777" w:rsidR="00A22278" w:rsidRPr="00E17C2A" w:rsidRDefault="00A22278" w:rsidP="00E17C2A">
      <w:pPr>
        <w:spacing w:line="360" w:lineRule="auto"/>
        <w:jc w:val="both"/>
        <w:rPr>
          <w:rFonts w:asciiTheme="majorBidi" w:hAnsiTheme="majorBidi" w:cstheme="majorBidi"/>
          <w:sz w:val="28"/>
          <w:szCs w:val="28"/>
        </w:rPr>
      </w:pPr>
    </w:p>
    <w:p w14:paraId="0765FCFC" w14:textId="77777777" w:rsidR="004D42C4" w:rsidRPr="00E17C2A" w:rsidRDefault="004D42C4" w:rsidP="00E17C2A">
      <w:pPr>
        <w:spacing w:line="360" w:lineRule="auto"/>
        <w:jc w:val="both"/>
        <w:rPr>
          <w:rFonts w:asciiTheme="majorBidi" w:hAnsiTheme="majorBidi" w:cstheme="majorBidi"/>
          <w:b/>
          <w:bCs/>
          <w:sz w:val="28"/>
          <w:szCs w:val="28"/>
        </w:rPr>
      </w:pPr>
      <w:r w:rsidRPr="00E17C2A">
        <w:rPr>
          <w:rFonts w:asciiTheme="majorBidi" w:hAnsiTheme="majorBidi" w:cstheme="majorBidi"/>
          <w:b/>
          <w:bCs/>
          <w:sz w:val="28"/>
          <w:szCs w:val="28"/>
        </w:rPr>
        <w:t>The Methods of the Third Wave</w:t>
      </w:r>
    </w:p>
    <w:p w14:paraId="6EA71514" w14:textId="634BC03C" w:rsidR="004D42C4" w:rsidRPr="00E17C2A" w:rsidRDefault="004D42C4" w:rsidP="00E17C2A">
      <w:pPr>
        <w:spacing w:line="360" w:lineRule="auto"/>
        <w:jc w:val="both"/>
        <w:rPr>
          <w:rFonts w:asciiTheme="majorBidi" w:hAnsiTheme="majorBidi" w:cstheme="majorBidi"/>
          <w:sz w:val="28"/>
          <w:szCs w:val="28"/>
        </w:rPr>
      </w:pPr>
      <w:proofErr w:type="spellStart"/>
      <w:r w:rsidRPr="00E17C2A">
        <w:rPr>
          <w:rFonts w:asciiTheme="majorBidi" w:hAnsiTheme="majorBidi" w:cstheme="majorBidi"/>
          <w:sz w:val="28"/>
          <w:szCs w:val="28"/>
        </w:rPr>
        <w:t>Bucar</w:t>
      </w:r>
      <w:proofErr w:type="spellEnd"/>
      <w:r w:rsidRPr="00E17C2A">
        <w:rPr>
          <w:rFonts w:asciiTheme="majorBidi" w:hAnsiTheme="majorBidi" w:cstheme="majorBidi"/>
          <w:sz w:val="28"/>
          <w:szCs w:val="28"/>
        </w:rPr>
        <w:t xml:space="preserve"> and Stalnaker have identified three methodology that are distinctive to the </w:t>
      </w:r>
      <w:r w:rsidR="000A40FB" w:rsidRPr="00E17C2A">
        <w:rPr>
          <w:rFonts w:asciiTheme="majorBidi" w:hAnsiTheme="majorBidi" w:cstheme="majorBidi"/>
          <w:sz w:val="28"/>
          <w:szCs w:val="28"/>
        </w:rPr>
        <w:t>T</w:t>
      </w:r>
      <w:r w:rsidRPr="00E17C2A">
        <w:rPr>
          <w:rFonts w:asciiTheme="majorBidi" w:hAnsiTheme="majorBidi" w:cstheme="majorBidi"/>
          <w:sz w:val="28"/>
          <w:szCs w:val="28"/>
        </w:rPr>
        <w:t xml:space="preserve">hird </w:t>
      </w:r>
      <w:r w:rsidR="000A40FB" w:rsidRPr="00E17C2A">
        <w:rPr>
          <w:rFonts w:asciiTheme="majorBidi" w:hAnsiTheme="majorBidi" w:cstheme="majorBidi"/>
          <w:sz w:val="28"/>
          <w:szCs w:val="28"/>
        </w:rPr>
        <w:t>W</w:t>
      </w:r>
      <w:r w:rsidRPr="00E17C2A">
        <w:rPr>
          <w:rFonts w:asciiTheme="majorBidi" w:hAnsiTheme="majorBidi" w:cstheme="majorBidi"/>
          <w:sz w:val="28"/>
          <w:szCs w:val="28"/>
        </w:rPr>
        <w:t>ave from the previous work in comparative religious ethics: the more comparative component; the move from the rational justification of moral systems to more wide areas of study; and redefining the role of the “local culture in the age of globalization.</w:t>
      </w:r>
    </w:p>
    <w:p w14:paraId="1AE08FB0" w14:textId="77777777" w:rsidR="004D42C4" w:rsidRPr="00E17C2A" w:rsidRDefault="004D42C4" w:rsidP="00E17C2A">
      <w:pPr>
        <w:spacing w:line="360" w:lineRule="auto"/>
        <w:jc w:val="both"/>
        <w:rPr>
          <w:rFonts w:asciiTheme="majorBidi" w:hAnsiTheme="majorBidi" w:cstheme="majorBidi"/>
          <w:sz w:val="28"/>
          <w:szCs w:val="28"/>
        </w:rPr>
      </w:pPr>
    </w:p>
    <w:p w14:paraId="33F50A50" w14:textId="57C70098" w:rsidR="004D42C4" w:rsidRPr="00E17C2A" w:rsidRDefault="004D42C4"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t xml:space="preserve">The editors see potential comparison in the form of the  “two traditions” studies conducted by Stalnaker, Lee </w:t>
      </w:r>
      <w:proofErr w:type="spellStart"/>
      <w:r w:rsidRPr="00E17C2A">
        <w:rPr>
          <w:rFonts w:asciiTheme="majorBidi" w:hAnsiTheme="majorBidi" w:cstheme="majorBidi"/>
          <w:sz w:val="28"/>
          <w:szCs w:val="28"/>
        </w:rPr>
        <w:t>Yearley</w:t>
      </w:r>
      <w:proofErr w:type="spellEnd"/>
      <w:r w:rsidRPr="00E17C2A">
        <w:rPr>
          <w:rFonts w:asciiTheme="majorBidi" w:hAnsiTheme="majorBidi" w:cstheme="majorBidi"/>
          <w:sz w:val="28"/>
          <w:szCs w:val="28"/>
        </w:rPr>
        <w:t xml:space="preserve">, </w:t>
      </w:r>
      <w:proofErr w:type="spellStart"/>
      <w:r w:rsidRPr="00E17C2A">
        <w:rPr>
          <w:rFonts w:asciiTheme="majorBidi" w:hAnsiTheme="majorBidi" w:cstheme="majorBidi"/>
          <w:sz w:val="28"/>
          <w:szCs w:val="28"/>
        </w:rPr>
        <w:t>Bucar</w:t>
      </w:r>
      <w:proofErr w:type="spellEnd"/>
      <w:r w:rsidRPr="00E17C2A">
        <w:rPr>
          <w:rFonts w:asciiTheme="majorBidi" w:hAnsiTheme="majorBidi" w:cstheme="majorBidi"/>
          <w:sz w:val="28"/>
          <w:szCs w:val="28"/>
        </w:rPr>
        <w:t xml:space="preserve">,  and Clairmont in terms of having “the advantage of </w:t>
      </w:r>
      <w:r w:rsidRPr="00E17C2A">
        <w:rPr>
          <w:rFonts w:asciiTheme="majorBidi" w:hAnsiTheme="majorBidi" w:cstheme="majorBidi"/>
          <w:i/>
          <w:iCs/>
          <w:sz w:val="28"/>
          <w:szCs w:val="28"/>
        </w:rPr>
        <w:t xml:space="preserve">requiring </w:t>
      </w:r>
      <w:r w:rsidRPr="00E17C2A">
        <w:rPr>
          <w:rFonts w:asciiTheme="majorBidi" w:hAnsiTheme="majorBidi" w:cstheme="majorBidi"/>
          <w:sz w:val="28"/>
          <w:szCs w:val="28"/>
        </w:rPr>
        <w:t>the careful scholar to grapple with methodological stance since neutrality is extremely difficult to attain or even conceive in this sort of project.”</w:t>
      </w:r>
      <w:r w:rsidR="007C45C4" w:rsidRPr="00E17C2A">
        <w:rPr>
          <w:rStyle w:val="FootnoteReference"/>
          <w:rFonts w:asciiTheme="majorBidi" w:hAnsiTheme="majorBidi" w:cstheme="majorBidi"/>
          <w:sz w:val="28"/>
          <w:szCs w:val="28"/>
        </w:rPr>
        <w:footnoteReference w:id="78"/>
      </w:r>
      <w:r w:rsidRPr="00E17C2A">
        <w:rPr>
          <w:rFonts w:asciiTheme="majorBidi" w:hAnsiTheme="majorBidi" w:cstheme="majorBidi"/>
          <w:sz w:val="28"/>
          <w:szCs w:val="28"/>
        </w:rPr>
        <w:t xml:space="preserve"> However, in the Third Wave, the participants attempt to open the range of comparison to study the same theme in other historical ranges, different cultures and traditions.  The study of </w:t>
      </w:r>
      <w:proofErr w:type="spellStart"/>
      <w:r w:rsidRPr="00E17C2A">
        <w:rPr>
          <w:rFonts w:asciiTheme="majorBidi" w:hAnsiTheme="majorBidi" w:cstheme="majorBidi"/>
          <w:sz w:val="28"/>
          <w:szCs w:val="28"/>
        </w:rPr>
        <w:t>Schofer</w:t>
      </w:r>
      <w:proofErr w:type="spellEnd"/>
      <w:r w:rsidRPr="00E17C2A">
        <w:rPr>
          <w:rFonts w:asciiTheme="majorBidi" w:hAnsiTheme="majorBidi" w:cstheme="majorBidi"/>
          <w:sz w:val="28"/>
          <w:szCs w:val="28"/>
        </w:rPr>
        <w:t xml:space="preserve"> for example on the “rabbinic ethics” is not only based on the textual material of the rabbinic literature, but also </w:t>
      </w:r>
      <w:proofErr w:type="spellStart"/>
      <w:r w:rsidRPr="00E17C2A">
        <w:rPr>
          <w:rFonts w:asciiTheme="majorBidi" w:hAnsiTheme="majorBidi" w:cstheme="majorBidi"/>
          <w:sz w:val="28"/>
          <w:szCs w:val="28"/>
        </w:rPr>
        <w:t>Schofer</w:t>
      </w:r>
      <w:proofErr w:type="spellEnd"/>
      <w:r w:rsidRPr="00E17C2A">
        <w:rPr>
          <w:rFonts w:asciiTheme="majorBidi" w:hAnsiTheme="majorBidi" w:cstheme="majorBidi"/>
          <w:sz w:val="28"/>
          <w:szCs w:val="28"/>
        </w:rPr>
        <w:t xml:space="preserve"> compares his findings to other cultures and traditions such as the Mayan deviation and the Catholics missions in Africa.</w:t>
      </w:r>
    </w:p>
    <w:p w14:paraId="5A995B74" w14:textId="77777777" w:rsidR="004D42C4" w:rsidRPr="00E17C2A" w:rsidRDefault="004D42C4" w:rsidP="00E17C2A">
      <w:pPr>
        <w:spacing w:line="360" w:lineRule="auto"/>
        <w:jc w:val="both"/>
        <w:rPr>
          <w:rFonts w:asciiTheme="majorBidi" w:hAnsiTheme="majorBidi" w:cstheme="majorBidi"/>
          <w:sz w:val="28"/>
          <w:szCs w:val="28"/>
        </w:rPr>
      </w:pPr>
    </w:p>
    <w:p w14:paraId="48565A6A" w14:textId="30F14995" w:rsidR="004D42C4" w:rsidRPr="00E17C2A" w:rsidRDefault="004D42C4" w:rsidP="00E17C2A">
      <w:pPr>
        <w:spacing w:line="360" w:lineRule="auto"/>
        <w:jc w:val="both"/>
        <w:rPr>
          <w:rFonts w:asciiTheme="majorBidi" w:hAnsiTheme="majorBidi" w:cstheme="majorBidi"/>
          <w:iCs/>
          <w:sz w:val="28"/>
          <w:szCs w:val="28"/>
          <w:lang w:bidi="ar-EG"/>
        </w:rPr>
      </w:pPr>
      <w:r w:rsidRPr="00E17C2A">
        <w:rPr>
          <w:rFonts w:asciiTheme="majorBidi" w:hAnsiTheme="majorBidi" w:cstheme="majorBidi"/>
          <w:iCs/>
          <w:sz w:val="28"/>
          <w:szCs w:val="28"/>
          <w:lang w:bidi="ar-EG"/>
        </w:rPr>
        <w:t xml:space="preserve">In additions, the rational justification of moral norms which was the main interest of the philosophers and the anthropologists has become just one them in the third </w:t>
      </w:r>
      <w:r w:rsidRPr="00E17C2A">
        <w:rPr>
          <w:rFonts w:asciiTheme="majorBidi" w:hAnsiTheme="majorBidi" w:cstheme="majorBidi"/>
          <w:iCs/>
          <w:sz w:val="28"/>
          <w:szCs w:val="28"/>
          <w:lang w:bidi="ar-EG"/>
        </w:rPr>
        <w:lastRenderedPageBreak/>
        <w:t>wave among many others “to drive analysis in two fundamentally different directions simultaneously: abstraction and specification.” This means that the interest in the comparative studies goes far beyond a desire to “illustrate” a broader thesis, but it also does not rest content with the naive thought that everything is important and presents its own truth unproblematically, without analysis.</w:t>
      </w:r>
      <w:r w:rsidR="00B752DF" w:rsidRPr="00E17C2A">
        <w:rPr>
          <w:rStyle w:val="FootnoteReference"/>
          <w:rFonts w:asciiTheme="majorBidi" w:hAnsiTheme="majorBidi" w:cstheme="majorBidi"/>
          <w:iCs/>
          <w:sz w:val="28"/>
          <w:szCs w:val="28"/>
          <w:lang w:bidi="ar-EG"/>
        </w:rPr>
        <w:footnoteReference w:id="79"/>
      </w:r>
    </w:p>
    <w:p w14:paraId="38F7C596" w14:textId="77777777" w:rsidR="00B752DF" w:rsidRPr="00E17C2A" w:rsidRDefault="00B752DF" w:rsidP="00E17C2A">
      <w:pPr>
        <w:spacing w:line="360" w:lineRule="auto"/>
        <w:jc w:val="both"/>
        <w:rPr>
          <w:rFonts w:asciiTheme="majorBidi" w:hAnsiTheme="majorBidi" w:cstheme="majorBidi"/>
          <w:iCs/>
          <w:sz w:val="28"/>
          <w:szCs w:val="28"/>
          <w:lang w:bidi="ar-EG"/>
        </w:rPr>
      </w:pPr>
    </w:p>
    <w:p w14:paraId="62BA5445" w14:textId="6537D7E3" w:rsidR="004D42C4" w:rsidRPr="00E17C2A" w:rsidRDefault="004D42C4" w:rsidP="00E17C2A">
      <w:pPr>
        <w:spacing w:line="360" w:lineRule="auto"/>
        <w:jc w:val="both"/>
        <w:rPr>
          <w:rFonts w:asciiTheme="majorBidi" w:hAnsiTheme="majorBidi" w:cstheme="majorBidi"/>
          <w:sz w:val="28"/>
          <w:szCs w:val="28"/>
        </w:rPr>
      </w:pPr>
      <w:r w:rsidRPr="00E17C2A">
        <w:rPr>
          <w:rFonts w:asciiTheme="majorBidi" w:hAnsiTheme="majorBidi" w:cstheme="majorBidi"/>
          <w:sz w:val="28"/>
          <w:szCs w:val="28"/>
        </w:rPr>
        <w:t xml:space="preserve">In the time of globalisation, with the fusion of many people from different religions and cultures are, the subjects </w:t>
      </w:r>
      <w:r w:rsidR="00145808" w:rsidRPr="00E17C2A">
        <w:rPr>
          <w:rFonts w:asciiTheme="majorBidi" w:hAnsiTheme="majorBidi" w:cstheme="majorBidi"/>
          <w:sz w:val="28"/>
          <w:szCs w:val="28"/>
        </w:rPr>
        <w:t>themselves</w:t>
      </w:r>
      <w:r w:rsidRPr="00E17C2A">
        <w:rPr>
          <w:rFonts w:asciiTheme="majorBidi" w:hAnsiTheme="majorBidi" w:cstheme="majorBidi"/>
          <w:sz w:val="28"/>
          <w:szCs w:val="28"/>
        </w:rPr>
        <w:t xml:space="preserve"> are themselves conducting comparative ethics in some degree. The big change happens to the researchers who are no longer European orientalists living in their own libraries studying old texts from philologist’s perspectives. Now, the comparative ethicists are from different backgrounds and providing their own feedback to their subjects. Also, due to the different training backgrounds of the contributors of the third wave, which goes beyond the religious studies to area of anthropology, history of religions, social theory, and pollical theory, they are more skilful in applying cultural awareness to describe and represent “the other</w:t>
      </w:r>
      <w:r w:rsidR="009B1423" w:rsidRPr="00E17C2A">
        <w:rPr>
          <w:rFonts w:asciiTheme="majorBidi" w:hAnsiTheme="majorBidi" w:cstheme="majorBidi"/>
          <w:sz w:val="28"/>
          <w:szCs w:val="28"/>
        </w:rPr>
        <w:t xml:space="preserve">” </w:t>
      </w:r>
      <w:r w:rsidRPr="00E17C2A">
        <w:rPr>
          <w:rFonts w:asciiTheme="majorBidi" w:hAnsiTheme="majorBidi" w:cstheme="majorBidi"/>
          <w:sz w:val="28"/>
          <w:szCs w:val="28"/>
        </w:rPr>
        <w:t>in ways sensitive to their own self understandings and to promote their  tendency to focus on  both general questions and local specificity.</w:t>
      </w:r>
      <w:r w:rsidR="00B752DF" w:rsidRPr="00E17C2A">
        <w:rPr>
          <w:rStyle w:val="FootnoteReference"/>
          <w:rFonts w:asciiTheme="majorBidi" w:hAnsiTheme="majorBidi" w:cstheme="majorBidi"/>
          <w:sz w:val="28"/>
          <w:szCs w:val="28"/>
        </w:rPr>
        <w:footnoteReference w:id="80"/>
      </w:r>
      <w:r w:rsidRPr="00E17C2A">
        <w:rPr>
          <w:rFonts w:asciiTheme="majorBidi" w:hAnsiTheme="majorBidi" w:cstheme="majorBidi"/>
          <w:sz w:val="28"/>
          <w:szCs w:val="28"/>
        </w:rPr>
        <w:t xml:space="preserve"> Following the model of Lee </w:t>
      </w:r>
      <w:proofErr w:type="spellStart"/>
      <w:r w:rsidRPr="00E17C2A">
        <w:rPr>
          <w:rFonts w:asciiTheme="majorBidi" w:hAnsiTheme="majorBidi" w:cstheme="majorBidi"/>
          <w:sz w:val="28"/>
          <w:szCs w:val="28"/>
        </w:rPr>
        <w:t>Yearley</w:t>
      </w:r>
      <w:proofErr w:type="spellEnd"/>
      <w:r w:rsidRPr="00E17C2A">
        <w:rPr>
          <w:rFonts w:asciiTheme="majorBidi" w:hAnsiTheme="majorBidi" w:cstheme="majorBidi"/>
          <w:sz w:val="28"/>
          <w:szCs w:val="28"/>
        </w:rPr>
        <w:t>, Clairmont sees it is essential for an analysist to discern what is essential from what is accidental in the tradition being studied.</w:t>
      </w:r>
      <w:r w:rsidR="00D710DA" w:rsidRPr="00E17C2A">
        <w:rPr>
          <w:rStyle w:val="FootnoteReference"/>
          <w:rFonts w:asciiTheme="majorBidi" w:hAnsiTheme="majorBidi" w:cstheme="majorBidi"/>
          <w:sz w:val="28"/>
          <w:szCs w:val="28"/>
        </w:rPr>
        <w:footnoteReference w:id="81"/>
      </w:r>
    </w:p>
    <w:p w14:paraId="34B34F52" w14:textId="7D7C661A" w:rsidR="00844884" w:rsidRPr="00E17C2A" w:rsidRDefault="00844884" w:rsidP="00E17C2A">
      <w:pPr>
        <w:spacing w:line="360" w:lineRule="auto"/>
        <w:rPr>
          <w:rFonts w:asciiTheme="majorBidi" w:hAnsiTheme="majorBidi" w:cstheme="majorBidi"/>
          <w:b/>
          <w:bCs/>
          <w:sz w:val="28"/>
          <w:szCs w:val="28"/>
        </w:rPr>
      </w:pPr>
    </w:p>
    <w:p w14:paraId="04BFDDC3" w14:textId="29F691EE" w:rsidR="00EE5C64" w:rsidRPr="00E17C2A" w:rsidRDefault="00367344" w:rsidP="00E17C2A">
      <w:pPr>
        <w:pStyle w:val="Write"/>
        <w:rPr>
          <w:b/>
          <w:bCs/>
        </w:rPr>
      </w:pPr>
      <w:r w:rsidRPr="00E17C2A">
        <w:rPr>
          <w:b/>
          <w:bCs/>
        </w:rPr>
        <w:t xml:space="preserve">Conclusion </w:t>
      </w:r>
    </w:p>
    <w:p w14:paraId="567D885B" w14:textId="11383C36" w:rsidR="00EE5C64" w:rsidRPr="00E17C2A" w:rsidRDefault="00EE5C64" w:rsidP="00E17C2A">
      <w:pPr>
        <w:pStyle w:val="Write"/>
      </w:pPr>
      <w:r w:rsidRPr="00E17C2A">
        <w:t xml:space="preserve">The </w:t>
      </w:r>
      <w:r w:rsidR="0047608A" w:rsidRPr="00E17C2A">
        <w:t>comparative</w:t>
      </w:r>
      <w:r w:rsidRPr="00E17C2A">
        <w:t xml:space="preserve"> religious ethics real challenge is the </w:t>
      </w:r>
      <w:r w:rsidR="00686711" w:rsidRPr="00E17C2A">
        <w:t xml:space="preserve">liquidity of its themes and methods adopted. Still the </w:t>
      </w:r>
      <w:r w:rsidR="0047608A" w:rsidRPr="00E17C2A">
        <w:t>contributors</w:t>
      </w:r>
      <w:r w:rsidR="00686711" w:rsidRPr="00E17C2A">
        <w:t xml:space="preserve"> in this genre debate whether it it’s an </w:t>
      </w:r>
      <w:r w:rsidR="00686711" w:rsidRPr="00E17C2A">
        <w:lastRenderedPageBreak/>
        <w:t xml:space="preserve">independent </w:t>
      </w:r>
      <w:r w:rsidR="0047608A" w:rsidRPr="00E17C2A">
        <w:t>discipline</w:t>
      </w:r>
      <w:r w:rsidR="00686711" w:rsidRPr="00E17C2A">
        <w:t xml:space="preserve"> or a conversation </w:t>
      </w:r>
      <w:r w:rsidR="0047608A" w:rsidRPr="00E17C2A">
        <w:t>among different disciplines.</w:t>
      </w:r>
      <w:r w:rsidR="00FD6731" w:rsidRPr="00E17C2A">
        <w:rPr>
          <w:rStyle w:val="FootnoteReference"/>
        </w:rPr>
        <w:footnoteReference w:id="82"/>
      </w:r>
      <w:r w:rsidR="0047608A" w:rsidRPr="00E17C2A">
        <w:t xml:space="preserve"> The aim of comparison is still vague and needs to be more defined.</w:t>
      </w:r>
      <w:r w:rsidR="00F53336" w:rsidRPr="00E17C2A">
        <w:t xml:space="preserve"> </w:t>
      </w:r>
      <w:proofErr w:type="gramStart"/>
      <w:r w:rsidR="00F53336" w:rsidRPr="00E17C2A">
        <w:t>However</w:t>
      </w:r>
      <w:proofErr w:type="gramEnd"/>
      <w:r w:rsidR="00F53336" w:rsidRPr="00E17C2A">
        <w:t xml:space="preserve"> the holistic </w:t>
      </w:r>
      <w:r w:rsidR="00805A76" w:rsidRPr="00E17C2A">
        <w:t xml:space="preserve">historical approach has been shown effective finding </w:t>
      </w:r>
      <w:r w:rsidR="006755BD" w:rsidRPr="00E17C2A">
        <w:t xml:space="preserve">as mentioned above, </w:t>
      </w:r>
      <w:r w:rsidR="00805A76" w:rsidRPr="00E17C2A">
        <w:t>not many studies have used it for the per</w:t>
      </w:r>
      <w:r w:rsidR="00D0044E" w:rsidRPr="00E17C2A">
        <w:t>formative aspects of humanities except some shy attempts in education and interreligious dialogue.</w:t>
      </w:r>
    </w:p>
    <w:p w14:paraId="7A0E6961" w14:textId="03FDDB64" w:rsidR="00D0044E" w:rsidRPr="00E17C2A" w:rsidRDefault="00D0044E" w:rsidP="00E17C2A">
      <w:pPr>
        <w:pStyle w:val="Write"/>
      </w:pPr>
    </w:p>
    <w:p w14:paraId="076F0F58" w14:textId="09428D81" w:rsidR="00070F14" w:rsidRPr="00E17C2A" w:rsidRDefault="00D0044E" w:rsidP="00E17C2A">
      <w:pPr>
        <w:pStyle w:val="Write"/>
      </w:pPr>
      <w:r w:rsidRPr="00E17C2A">
        <w:t xml:space="preserve">As for the </w:t>
      </w:r>
      <w:r w:rsidR="00E63C85" w:rsidRPr="00E17C2A">
        <w:t xml:space="preserve">using the </w:t>
      </w:r>
      <w:r w:rsidR="00070F14" w:rsidRPr="00E17C2A">
        <w:t>comparative</w:t>
      </w:r>
      <w:r w:rsidR="00E63C85" w:rsidRPr="00E17C2A">
        <w:t xml:space="preserve"> religious ethics in education, only four curricula that tackle this genre.</w:t>
      </w:r>
      <w:r w:rsidR="00001232" w:rsidRPr="00E17C2A">
        <w:rPr>
          <w:rStyle w:val="FootnoteReference"/>
        </w:rPr>
        <w:footnoteReference w:id="83"/>
      </w:r>
      <w:r w:rsidR="00E63C85" w:rsidRPr="00E17C2A">
        <w:t xml:space="preserve"> They all study </w:t>
      </w:r>
      <w:r w:rsidR="00B649D9" w:rsidRPr="00E17C2A">
        <w:t xml:space="preserve">comparative religious ethics from </w:t>
      </w:r>
      <w:r w:rsidR="00070F14" w:rsidRPr="00E17C2A">
        <w:t>theoretical</w:t>
      </w:r>
      <w:r w:rsidR="000855EE" w:rsidRPr="00E17C2A">
        <w:t xml:space="preserve"> </w:t>
      </w:r>
      <w:r w:rsidR="00B649D9" w:rsidRPr="00E17C2A">
        <w:t xml:space="preserve">way and no serious </w:t>
      </w:r>
      <w:r w:rsidR="00070F14" w:rsidRPr="00E17C2A">
        <w:t>attempt</w:t>
      </w:r>
      <w:r w:rsidR="00B649D9" w:rsidRPr="00E17C2A">
        <w:t xml:space="preserve"> is made for providing interfaith curricula based on powerful </w:t>
      </w:r>
      <w:r w:rsidR="000855EE" w:rsidRPr="00E17C2A">
        <w:t>comparison</w:t>
      </w:r>
      <w:r w:rsidR="00070F14" w:rsidRPr="00E17C2A">
        <w:t>.</w:t>
      </w:r>
      <w:r w:rsidR="004A34DE" w:rsidRPr="00E17C2A">
        <w:t xml:space="preserve"> Also, interreligious dialogue </w:t>
      </w:r>
      <w:r w:rsidR="005732A9" w:rsidRPr="00E17C2A">
        <w:t xml:space="preserve">could help the </w:t>
      </w:r>
      <w:r w:rsidR="005C0B86" w:rsidRPr="00E17C2A">
        <w:t>comparative</w:t>
      </w:r>
      <w:r w:rsidR="005732A9" w:rsidRPr="00E17C2A">
        <w:t xml:space="preserve"> religious ethics by providing a clear aim </w:t>
      </w:r>
      <w:r w:rsidR="005A5677" w:rsidRPr="00E17C2A">
        <w:t>for</w:t>
      </w:r>
      <w:r w:rsidR="005732A9" w:rsidRPr="00E17C2A">
        <w:t xml:space="preserve"> </w:t>
      </w:r>
      <w:r w:rsidR="005C0B86" w:rsidRPr="00E17C2A">
        <w:t>comparison</w:t>
      </w:r>
      <w:r w:rsidR="005732A9" w:rsidRPr="00E17C2A">
        <w:t xml:space="preserve">, and the latter could provide clear schemes </w:t>
      </w:r>
      <w:r w:rsidR="00FD27D1" w:rsidRPr="00E17C2A">
        <w:t>of</w:t>
      </w:r>
      <w:r w:rsidR="005732A9" w:rsidRPr="00E17C2A">
        <w:t xml:space="preserve"> dialogue</w:t>
      </w:r>
      <w:r w:rsidR="005C0B86" w:rsidRPr="00E17C2A">
        <w:t>.</w:t>
      </w:r>
    </w:p>
    <w:p w14:paraId="4477912E" w14:textId="1150BCAB" w:rsidR="00E76181" w:rsidRDefault="00E76181">
      <w:pPr>
        <w:rPr>
          <w:rFonts w:asciiTheme="majorBidi" w:hAnsiTheme="majorBidi" w:cstheme="majorBidi"/>
          <w:b/>
          <w:bCs/>
          <w:sz w:val="28"/>
          <w:szCs w:val="28"/>
          <w:lang w:bidi="ar-EG"/>
        </w:rPr>
      </w:pPr>
      <w:bookmarkStart w:id="13" w:name="_GoBack"/>
      <w:bookmarkEnd w:id="13"/>
    </w:p>
    <w:p w14:paraId="573CA314" w14:textId="7D6A81A3" w:rsidR="00F53336" w:rsidRDefault="00675253" w:rsidP="00E17C2A">
      <w:pPr>
        <w:pStyle w:val="Write"/>
        <w:rPr>
          <w:b/>
          <w:bCs/>
          <w:lang w:bidi="ar-EG"/>
        </w:rPr>
      </w:pPr>
      <w:r>
        <w:rPr>
          <w:b/>
          <w:bCs/>
          <w:lang w:bidi="ar-EG"/>
        </w:rPr>
        <w:t xml:space="preserve">Bibliography </w:t>
      </w:r>
    </w:p>
    <w:p w14:paraId="5D6F6BD3"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14" w:name="_Hlk10782152"/>
      <w:r w:rsidRPr="000A45B0">
        <w:rPr>
          <w:rFonts w:asciiTheme="majorBidi" w:hAnsiTheme="majorBidi" w:cstheme="majorBidi"/>
          <w:sz w:val="28"/>
          <w:szCs w:val="28"/>
        </w:rPr>
        <w:t>Adkins</w:t>
      </w:r>
      <w:r>
        <w:rPr>
          <w:rFonts w:asciiTheme="majorBidi" w:hAnsiTheme="majorBidi" w:cstheme="majorBidi"/>
          <w:sz w:val="28"/>
          <w:szCs w:val="28"/>
        </w:rPr>
        <w:t xml:space="preserve">, </w:t>
      </w:r>
      <w:proofErr w:type="spellStart"/>
      <w:r w:rsidRPr="000A45B0">
        <w:rPr>
          <w:rFonts w:asciiTheme="majorBidi" w:hAnsiTheme="majorBidi" w:cstheme="majorBidi"/>
          <w:sz w:val="28"/>
          <w:szCs w:val="28"/>
        </w:rPr>
        <w:t>Arhtur</w:t>
      </w:r>
      <w:proofErr w:type="spellEnd"/>
      <w:r w:rsidRPr="000A45B0">
        <w:rPr>
          <w:rFonts w:asciiTheme="majorBidi" w:hAnsiTheme="majorBidi" w:cstheme="majorBidi"/>
          <w:sz w:val="28"/>
          <w:szCs w:val="28"/>
        </w:rPr>
        <w:t xml:space="preserve"> W.H., "Ethics and the breakdown of the cosmogony in ancient Greece", in </w:t>
      </w:r>
      <w:r w:rsidRPr="000A45B0">
        <w:rPr>
          <w:rFonts w:asciiTheme="majorBidi" w:hAnsiTheme="majorBidi" w:cstheme="majorBidi"/>
          <w:i/>
          <w:iCs/>
          <w:sz w:val="28"/>
          <w:szCs w:val="28"/>
        </w:rPr>
        <w:t>Cosmogony and Ethical Order: New Studies in Comparative Ethics</w:t>
      </w:r>
      <w:r w:rsidRPr="000A45B0">
        <w:rPr>
          <w:rFonts w:asciiTheme="majorBidi" w:hAnsiTheme="majorBidi" w:cstheme="majorBidi"/>
          <w:sz w:val="28"/>
          <w:szCs w:val="28"/>
        </w:rPr>
        <w:t>, eds. Robin W. Lovin and Frank E. Reynolds, (Chicago: University of Chicago Press, 1985).</w:t>
      </w:r>
    </w:p>
    <w:bookmarkEnd w:id="14"/>
    <w:p w14:paraId="1688547F"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r w:rsidRPr="000A45B0">
        <w:rPr>
          <w:rFonts w:asciiTheme="majorBidi" w:hAnsiTheme="majorBidi" w:cstheme="majorBidi"/>
          <w:sz w:val="28"/>
          <w:szCs w:val="28"/>
        </w:rPr>
        <w:t xml:space="preserve">Brandt, </w:t>
      </w:r>
      <w:r w:rsidRPr="000A45B0">
        <w:rPr>
          <w:rFonts w:asciiTheme="majorBidi" w:hAnsiTheme="majorBidi" w:cstheme="majorBidi"/>
          <w:i/>
          <w:iCs/>
          <w:sz w:val="28"/>
          <w:szCs w:val="28"/>
        </w:rPr>
        <w:t>Hopi Ethics</w:t>
      </w:r>
      <w:r w:rsidRPr="000A45B0">
        <w:rPr>
          <w:rFonts w:asciiTheme="majorBidi" w:hAnsiTheme="majorBidi" w:cstheme="majorBidi"/>
          <w:sz w:val="28"/>
          <w:szCs w:val="28"/>
        </w:rPr>
        <w:t>, (Chicago: University of Chicago Press, 1954).</w:t>
      </w:r>
    </w:p>
    <w:p w14:paraId="071E539F"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proofErr w:type="spellStart"/>
      <w:r w:rsidRPr="000A45B0">
        <w:rPr>
          <w:rFonts w:asciiTheme="majorBidi" w:hAnsiTheme="majorBidi" w:cstheme="majorBidi"/>
          <w:sz w:val="28"/>
          <w:szCs w:val="28"/>
        </w:rPr>
        <w:t>Bucar</w:t>
      </w:r>
      <w:proofErr w:type="spellEnd"/>
      <w:r w:rsidRPr="000A45B0">
        <w:rPr>
          <w:rFonts w:asciiTheme="majorBidi" w:hAnsiTheme="majorBidi" w:cstheme="majorBidi"/>
          <w:sz w:val="28"/>
          <w:szCs w:val="28"/>
        </w:rPr>
        <w:t xml:space="preserve"> and Stalnaker, eds., </w:t>
      </w:r>
      <w:r w:rsidRPr="000A45B0">
        <w:rPr>
          <w:rFonts w:asciiTheme="majorBidi" w:hAnsiTheme="majorBidi" w:cstheme="majorBidi"/>
          <w:i/>
          <w:iCs/>
          <w:sz w:val="28"/>
          <w:szCs w:val="28"/>
        </w:rPr>
        <w:t>Religious Ethics in a Time of Globalism: Shaping a Third Wave of Comparative Analysis</w:t>
      </w:r>
      <w:r w:rsidRPr="000A45B0">
        <w:rPr>
          <w:rFonts w:asciiTheme="majorBidi" w:hAnsiTheme="majorBidi" w:cstheme="majorBidi"/>
          <w:sz w:val="28"/>
          <w:szCs w:val="28"/>
        </w:rPr>
        <w:t>, (London: Palgrave Macmillan, 2012).</w:t>
      </w:r>
    </w:p>
    <w:p w14:paraId="317AB92E"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proofErr w:type="spellStart"/>
      <w:r w:rsidRPr="000A45B0">
        <w:rPr>
          <w:rFonts w:asciiTheme="majorBidi" w:hAnsiTheme="majorBidi" w:cstheme="majorBidi"/>
          <w:sz w:val="28"/>
          <w:szCs w:val="28"/>
        </w:rPr>
        <w:lastRenderedPageBreak/>
        <w:t>Bucar</w:t>
      </w:r>
      <w:proofErr w:type="spellEnd"/>
      <w:r>
        <w:rPr>
          <w:rFonts w:asciiTheme="majorBidi" w:hAnsiTheme="majorBidi" w:cstheme="majorBidi"/>
          <w:sz w:val="28"/>
          <w:szCs w:val="28"/>
        </w:rPr>
        <w:t xml:space="preserve">, </w:t>
      </w:r>
      <w:r w:rsidRPr="000A45B0">
        <w:rPr>
          <w:rFonts w:asciiTheme="majorBidi" w:hAnsiTheme="majorBidi" w:cstheme="majorBidi"/>
          <w:sz w:val="28"/>
          <w:szCs w:val="28"/>
        </w:rPr>
        <w:t>Elizabeth M., “</w:t>
      </w:r>
      <w:proofErr w:type="spellStart"/>
      <w:r w:rsidRPr="000A45B0">
        <w:rPr>
          <w:rFonts w:asciiTheme="majorBidi" w:hAnsiTheme="majorBidi" w:cstheme="majorBidi"/>
          <w:sz w:val="28"/>
          <w:szCs w:val="28"/>
        </w:rPr>
        <w:t>Dianomy</w:t>
      </w:r>
      <w:proofErr w:type="spellEnd"/>
      <w:r w:rsidRPr="000A45B0">
        <w:rPr>
          <w:rFonts w:asciiTheme="majorBidi" w:hAnsiTheme="majorBidi" w:cstheme="majorBidi"/>
          <w:sz w:val="28"/>
          <w:szCs w:val="28"/>
        </w:rPr>
        <w:t xml:space="preserve">: Understanding Religious Women’s Moral Agency as Creative Conformity,” </w:t>
      </w:r>
      <w:r w:rsidRPr="000A45B0">
        <w:rPr>
          <w:rFonts w:asciiTheme="majorBidi" w:hAnsiTheme="majorBidi" w:cstheme="majorBidi"/>
          <w:i/>
          <w:iCs/>
          <w:sz w:val="28"/>
          <w:szCs w:val="28"/>
        </w:rPr>
        <w:t xml:space="preserve">Journal of American Academy of Religions </w:t>
      </w:r>
      <w:r w:rsidRPr="000A45B0">
        <w:rPr>
          <w:rFonts w:asciiTheme="majorBidi" w:hAnsiTheme="majorBidi" w:cstheme="majorBidi"/>
          <w:sz w:val="28"/>
          <w:szCs w:val="28"/>
        </w:rPr>
        <w:t xml:space="preserve">78, no. 3 (2010): 662–686. </w:t>
      </w:r>
    </w:p>
    <w:p w14:paraId="4C1ED8F3"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r>
        <w:rPr>
          <w:rFonts w:asciiTheme="majorBidi" w:hAnsiTheme="majorBidi" w:cstheme="majorBidi"/>
          <w:sz w:val="28"/>
          <w:szCs w:val="28"/>
        </w:rPr>
        <w:t>____.,</w:t>
      </w:r>
      <w:r w:rsidRPr="000A45B0">
        <w:rPr>
          <w:rFonts w:asciiTheme="majorBidi" w:hAnsiTheme="majorBidi" w:cstheme="majorBidi"/>
          <w:sz w:val="28"/>
          <w:szCs w:val="28"/>
        </w:rPr>
        <w:t xml:space="preserve"> “Ethical Genre in the Digital Age: The Case of Reading Weblogs in Tehran,” </w:t>
      </w:r>
      <w:r w:rsidRPr="000A45B0">
        <w:rPr>
          <w:rFonts w:asciiTheme="majorBidi" w:hAnsiTheme="majorBidi" w:cstheme="majorBidi"/>
          <w:i/>
          <w:iCs/>
          <w:sz w:val="28"/>
          <w:szCs w:val="28"/>
        </w:rPr>
        <w:t>Journal of the Society of</w:t>
      </w:r>
      <w:r w:rsidRPr="000A45B0">
        <w:rPr>
          <w:rFonts w:asciiTheme="majorBidi" w:hAnsiTheme="majorBidi" w:cstheme="majorBidi"/>
          <w:sz w:val="28"/>
          <w:szCs w:val="28"/>
        </w:rPr>
        <w:t xml:space="preserve"> Christian Ethics 29, no. 2 (2009): 141–156. </w:t>
      </w:r>
    </w:p>
    <w:p w14:paraId="5675C7CE"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r>
        <w:rPr>
          <w:rFonts w:asciiTheme="majorBidi" w:hAnsiTheme="majorBidi" w:cstheme="majorBidi"/>
          <w:sz w:val="28"/>
          <w:szCs w:val="28"/>
        </w:rPr>
        <w:t>____.,</w:t>
      </w:r>
      <w:r w:rsidRPr="000A45B0">
        <w:rPr>
          <w:rFonts w:asciiTheme="majorBidi" w:hAnsiTheme="majorBidi" w:cstheme="majorBidi"/>
          <w:sz w:val="28"/>
          <w:szCs w:val="28"/>
        </w:rPr>
        <w:t xml:space="preserve"> “Scripture, Sacred Law, and Hermeneutics: Exploring Gendered Meanings in Textual Records,” in </w:t>
      </w:r>
      <w:r w:rsidRPr="000A45B0">
        <w:rPr>
          <w:rFonts w:asciiTheme="majorBidi" w:hAnsiTheme="majorBidi" w:cstheme="majorBidi"/>
          <w:i/>
          <w:iCs/>
          <w:sz w:val="28"/>
          <w:szCs w:val="28"/>
        </w:rPr>
        <w:t>Creative Conformity</w:t>
      </w:r>
      <w:r w:rsidRPr="000A45B0">
        <w:rPr>
          <w:rFonts w:asciiTheme="majorBidi" w:hAnsiTheme="majorBidi" w:cstheme="majorBidi"/>
          <w:sz w:val="28"/>
          <w:szCs w:val="28"/>
        </w:rPr>
        <w:t>.</w:t>
      </w:r>
    </w:p>
    <w:p w14:paraId="7F7F0864"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r>
        <w:rPr>
          <w:rFonts w:asciiTheme="majorBidi" w:hAnsiTheme="majorBidi" w:cstheme="majorBidi"/>
          <w:sz w:val="28"/>
          <w:szCs w:val="28"/>
        </w:rPr>
        <w:t>____.,</w:t>
      </w:r>
      <w:r w:rsidRPr="000A45B0">
        <w:rPr>
          <w:rFonts w:asciiTheme="majorBidi" w:hAnsiTheme="majorBidi" w:cstheme="majorBidi"/>
          <w:sz w:val="28"/>
          <w:szCs w:val="28"/>
        </w:rPr>
        <w:t xml:space="preserve"> “Speaking of Motherhood: The Epideictic Rhetoric of John Paul</w:t>
      </w:r>
      <w:r w:rsidRPr="000A45B0">
        <w:rPr>
          <w:rFonts w:asciiTheme="majorBidi" w:hAnsiTheme="majorBidi" w:cstheme="majorBidi"/>
          <w:i/>
          <w:iCs/>
          <w:sz w:val="28"/>
          <w:szCs w:val="28"/>
        </w:rPr>
        <w:t xml:space="preserve"> </w:t>
      </w:r>
      <w:r w:rsidRPr="000A45B0">
        <w:rPr>
          <w:rFonts w:asciiTheme="majorBidi" w:hAnsiTheme="majorBidi" w:cstheme="majorBidi"/>
          <w:sz w:val="28"/>
          <w:szCs w:val="28"/>
        </w:rPr>
        <w:t xml:space="preserve">II and Ayatollah Khomeini,” </w:t>
      </w:r>
      <w:r w:rsidRPr="000A45B0">
        <w:rPr>
          <w:rFonts w:asciiTheme="majorBidi" w:hAnsiTheme="majorBidi" w:cstheme="majorBidi"/>
          <w:i/>
          <w:iCs/>
          <w:sz w:val="28"/>
          <w:szCs w:val="28"/>
        </w:rPr>
        <w:t xml:space="preserve">Journal of the Society of Christian Ethics </w:t>
      </w:r>
      <w:r w:rsidRPr="000A45B0">
        <w:rPr>
          <w:rFonts w:asciiTheme="majorBidi" w:hAnsiTheme="majorBidi" w:cstheme="majorBidi"/>
          <w:sz w:val="28"/>
          <w:szCs w:val="28"/>
        </w:rPr>
        <w:t xml:space="preserve">26, no. 2 (2006): 93–123; </w:t>
      </w:r>
      <w:proofErr w:type="spellStart"/>
      <w:r w:rsidRPr="000A45B0">
        <w:rPr>
          <w:rFonts w:asciiTheme="majorBidi" w:hAnsiTheme="majorBidi" w:cstheme="majorBidi"/>
          <w:sz w:val="28"/>
          <w:szCs w:val="28"/>
        </w:rPr>
        <w:t>Bucar</w:t>
      </w:r>
      <w:proofErr w:type="spellEnd"/>
      <w:r w:rsidRPr="000A45B0">
        <w:rPr>
          <w:rFonts w:asciiTheme="majorBidi" w:hAnsiTheme="majorBidi" w:cstheme="majorBidi"/>
          <w:sz w:val="28"/>
          <w:szCs w:val="28"/>
        </w:rPr>
        <w:t xml:space="preserve">, </w:t>
      </w:r>
      <w:r w:rsidRPr="000A45B0">
        <w:rPr>
          <w:rFonts w:asciiTheme="majorBidi" w:hAnsiTheme="majorBidi" w:cstheme="majorBidi"/>
          <w:i/>
          <w:iCs/>
          <w:sz w:val="28"/>
          <w:szCs w:val="28"/>
        </w:rPr>
        <w:t>Creative Conformity</w:t>
      </w:r>
      <w:r w:rsidRPr="000A45B0">
        <w:rPr>
          <w:rFonts w:asciiTheme="majorBidi" w:hAnsiTheme="majorBidi" w:cstheme="majorBidi"/>
          <w:sz w:val="28"/>
          <w:szCs w:val="28"/>
        </w:rPr>
        <w:t>.</w:t>
      </w:r>
    </w:p>
    <w:p w14:paraId="4771ED5F"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sidRPr="000A45B0">
        <w:rPr>
          <w:rFonts w:asciiTheme="majorBidi" w:hAnsiTheme="majorBidi" w:cstheme="majorBidi"/>
          <w:sz w:val="28"/>
          <w:szCs w:val="28"/>
        </w:rPr>
        <w:t>Clairmont</w:t>
      </w:r>
      <w:r>
        <w:rPr>
          <w:rFonts w:asciiTheme="majorBidi" w:hAnsiTheme="majorBidi" w:cstheme="majorBidi"/>
          <w:sz w:val="28"/>
          <w:szCs w:val="28"/>
        </w:rPr>
        <w:t xml:space="preserve">, </w:t>
      </w:r>
      <w:r w:rsidRPr="000A45B0">
        <w:rPr>
          <w:rFonts w:asciiTheme="majorBidi" w:hAnsiTheme="majorBidi" w:cstheme="majorBidi"/>
          <w:sz w:val="28"/>
          <w:szCs w:val="28"/>
        </w:rPr>
        <w:t xml:space="preserve">David, “On Hegemonies Within: Franciscan Missions and Buddhist Kings in Comparative Theological Contexts,” in </w:t>
      </w:r>
      <w:r w:rsidRPr="000A45B0">
        <w:rPr>
          <w:rFonts w:asciiTheme="majorBidi" w:hAnsiTheme="majorBidi" w:cstheme="majorBidi"/>
          <w:i/>
          <w:iCs/>
          <w:sz w:val="28"/>
          <w:szCs w:val="28"/>
        </w:rPr>
        <w:t xml:space="preserve">Comparative Theology: Thinking </w:t>
      </w:r>
      <w:proofErr w:type="spellStart"/>
      <w:r w:rsidRPr="000A45B0">
        <w:rPr>
          <w:rFonts w:asciiTheme="majorBidi" w:hAnsiTheme="majorBidi" w:cstheme="majorBidi"/>
          <w:i/>
          <w:iCs/>
          <w:sz w:val="28"/>
          <w:szCs w:val="28"/>
        </w:rPr>
        <w:t>Interreligiously</w:t>
      </w:r>
      <w:proofErr w:type="spellEnd"/>
      <w:r w:rsidRPr="000A45B0">
        <w:rPr>
          <w:rFonts w:asciiTheme="majorBidi" w:hAnsiTheme="majorBidi" w:cstheme="majorBidi"/>
          <w:i/>
          <w:iCs/>
          <w:sz w:val="28"/>
          <w:szCs w:val="28"/>
        </w:rPr>
        <w:t xml:space="preserve"> in the Twenty-first Century</w:t>
      </w:r>
      <w:r w:rsidRPr="000A45B0">
        <w:rPr>
          <w:rFonts w:asciiTheme="majorBidi" w:hAnsiTheme="majorBidi" w:cstheme="majorBidi"/>
          <w:sz w:val="28"/>
          <w:szCs w:val="28"/>
        </w:rPr>
        <w:t>, Francis X. Clooney, SJ, eds (New York: T&amp;T Clark/Continuum, 2010), pp. 63–88</w:t>
      </w:r>
      <w:r>
        <w:rPr>
          <w:rFonts w:asciiTheme="majorBidi" w:hAnsiTheme="majorBidi" w:cstheme="majorBidi"/>
          <w:sz w:val="28"/>
          <w:szCs w:val="28"/>
        </w:rPr>
        <w:t>.</w:t>
      </w:r>
    </w:p>
    <w:p w14:paraId="78AC37E4"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Pr>
          <w:rFonts w:asciiTheme="majorBidi" w:hAnsiTheme="majorBidi" w:cstheme="majorBidi"/>
          <w:sz w:val="28"/>
          <w:szCs w:val="28"/>
        </w:rPr>
        <w:t>____.,</w:t>
      </w:r>
      <w:r w:rsidRPr="000A45B0">
        <w:rPr>
          <w:rFonts w:asciiTheme="majorBidi" w:hAnsiTheme="majorBidi" w:cstheme="majorBidi"/>
          <w:sz w:val="28"/>
          <w:szCs w:val="28"/>
        </w:rPr>
        <w:t xml:space="preserve"> “Theravada Buddhist </w:t>
      </w:r>
      <w:proofErr w:type="spellStart"/>
      <w:r w:rsidRPr="000A45B0">
        <w:rPr>
          <w:rFonts w:asciiTheme="majorBidi" w:hAnsiTheme="majorBidi" w:cstheme="majorBidi"/>
          <w:sz w:val="28"/>
          <w:szCs w:val="28"/>
        </w:rPr>
        <w:t>Abhidhamma</w:t>
      </w:r>
      <w:proofErr w:type="spellEnd"/>
      <w:r w:rsidRPr="000A45B0">
        <w:rPr>
          <w:rFonts w:asciiTheme="majorBidi" w:hAnsiTheme="majorBidi" w:cstheme="majorBidi"/>
          <w:sz w:val="28"/>
          <w:szCs w:val="28"/>
        </w:rPr>
        <w:t xml:space="preserve"> and Moral Development: Lists and Narratives in the Practice of Religious </w:t>
      </w:r>
      <w:proofErr w:type="spellStart"/>
      <w:r w:rsidRPr="000A45B0">
        <w:rPr>
          <w:rFonts w:asciiTheme="majorBidi" w:hAnsiTheme="majorBidi" w:cstheme="majorBidi"/>
          <w:sz w:val="28"/>
          <w:szCs w:val="28"/>
        </w:rPr>
        <w:t>Ethics</w:t>
      </w:r>
      <w:proofErr w:type="gramStart"/>
      <w:r w:rsidRPr="000A45B0">
        <w:rPr>
          <w:rFonts w:asciiTheme="majorBidi" w:hAnsiTheme="majorBidi" w:cstheme="majorBidi"/>
          <w:sz w:val="28"/>
          <w:szCs w:val="28"/>
        </w:rPr>
        <w:t>,”</w:t>
      </w:r>
      <w:r w:rsidRPr="000A45B0">
        <w:rPr>
          <w:rFonts w:asciiTheme="majorBidi" w:hAnsiTheme="majorBidi" w:cstheme="majorBidi"/>
          <w:i/>
          <w:iCs/>
          <w:sz w:val="28"/>
          <w:szCs w:val="28"/>
        </w:rPr>
        <w:t>Journal</w:t>
      </w:r>
      <w:proofErr w:type="spellEnd"/>
      <w:proofErr w:type="gramEnd"/>
      <w:r w:rsidRPr="000A45B0">
        <w:rPr>
          <w:rFonts w:asciiTheme="majorBidi" w:hAnsiTheme="majorBidi" w:cstheme="majorBidi"/>
          <w:i/>
          <w:iCs/>
          <w:sz w:val="28"/>
          <w:szCs w:val="28"/>
        </w:rPr>
        <w:t xml:space="preserve"> of the Society of Christian Ethics </w:t>
      </w:r>
      <w:r w:rsidRPr="000A45B0">
        <w:rPr>
          <w:rFonts w:asciiTheme="majorBidi" w:hAnsiTheme="majorBidi" w:cstheme="majorBidi"/>
          <w:sz w:val="28"/>
          <w:szCs w:val="28"/>
        </w:rPr>
        <w:t>30, no. 2 (2010): 171–193.</w:t>
      </w:r>
    </w:p>
    <w:p w14:paraId="01E912A1"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Pr>
          <w:rFonts w:asciiTheme="majorBidi" w:hAnsiTheme="majorBidi" w:cstheme="majorBidi"/>
          <w:sz w:val="28"/>
          <w:szCs w:val="28"/>
        </w:rPr>
        <w:t xml:space="preserve">____., </w:t>
      </w:r>
      <w:r w:rsidRPr="000A45B0">
        <w:rPr>
          <w:rFonts w:asciiTheme="majorBidi" w:hAnsiTheme="majorBidi" w:cstheme="majorBidi"/>
          <w:i/>
          <w:iCs/>
          <w:sz w:val="28"/>
          <w:szCs w:val="28"/>
        </w:rPr>
        <w:t>Moral</w:t>
      </w:r>
      <w:r w:rsidRPr="000A45B0">
        <w:rPr>
          <w:rFonts w:asciiTheme="majorBidi" w:hAnsiTheme="majorBidi" w:cstheme="majorBidi"/>
          <w:sz w:val="28"/>
          <w:szCs w:val="28"/>
        </w:rPr>
        <w:t xml:space="preserve"> </w:t>
      </w:r>
      <w:r w:rsidRPr="000A45B0">
        <w:rPr>
          <w:rFonts w:asciiTheme="majorBidi" w:hAnsiTheme="majorBidi" w:cstheme="majorBidi"/>
          <w:i/>
          <w:iCs/>
          <w:sz w:val="28"/>
          <w:szCs w:val="28"/>
        </w:rPr>
        <w:t>Struggle and Religious Ethics: On the Person as Classic in Comparative</w:t>
      </w:r>
      <w:r w:rsidRPr="000A45B0">
        <w:rPr>
          <w:rFonts w:asciiTheme="majorBidi" w:hAnsiTheme="majorBidi" w:cstheme="majorBidi"/>
          <w:sz w:val="28"/>
          <w:szCs w:val="28"/>
        </w:rPr>
        <w:t xml:space="preserve"> </w:t>
      </w:r>
      <w:r w:rsidRPr="000A45B0">
        <w:rPr>
          <w:rFonts w:asciiTheme="majorBidi" w:hAnsiTheme="majorBidi" w:cstheme="majorBidi"/>
          <w:i/>
          <w:iCs/>
          <w:sz w:val="28"/>
          <w:szCs w:val="28"/>
        </w:rPr>
        <w:t xml:space="preserve">Theological Contexts </w:t>
      </w:r>
      <w:r w:rsidRPr="000A45B0">
        <w:rPr>
          <w:rFonts w:asciiTheme="majorBidi" w:hAnsiTheme="majorBidi" w:cstheme="majorBidi"/>
          <w:sz w:val="28"/>
          <w:szCs w:val="28"/>
        </w:rPr>
        <w:t>(Malden, MA: Wiley-Blackwell, 2011).</w:t>
      </w:r>
    </w:p>
    <w:p w14:paraId="657C5412"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sidRPr="000A45B0">
        <w:rPr>
          <w:rFonts w:asciiTheme="majorBidi" w:hAnsiTheme="majorBidi" w:cstheme="majorBidi"/>
          <w:sz w:val="28"/>
          <w:szCs w:val="28"/>
        </w:rPr>
        <w:t>Cline</w:t>
      </w:r>
      <w:r>
        <w:rPr>
          <w:rFonts w:asciiTheme="majorBidi" w:hAnsiTheme="majorBidi" w:cstheme="majorBidi"/>
          <w:sz w:val="28"/>
          <w:szCs w:val="28"/>
        </w:rPr>
        <w:t xml:space="preserve">, </w:t>
      </w:r>
      <w:r w:rsidRPr="000A45B0">
        <w:rPr>
          <w:rFonts w:asciiTheme="majorBidi" w:hAnsiTheme="majorBidi" w:cstheme="majorBidi"/>
          <w:sz w:val="28"/>
          <w:szCs w:val="28"/>
        </w:rPr>
        <w:t xml:space="preserve">Erin, “Autonomy or Appropriateness? Contrasting Selves in The Democracy of the Dead” </w:t>
      </w:r>
      <w:r w:rsidRPr="000A45B0">
        <w:rPr>
          <w:rFonts w:asciiTheme="majorBidi" w:hAnsiTheme="majorBidi" w:cstheme="majorBidi"/>
          <w:i/>
          <w:iCs/>
          <w:sz w:val="28"/>
          <w:szCs w:val="28"/>
        </w:rPr>
        <w:t>Southwest Philosophy</w:t>
      </w:r>
      <w:r w:rsidRPr="000A45B0">
        <w:rPr>
          <w:rFonts w:asciiTheme="majorBidi" w:hAnsiTheme="majorBidi" w:cstheme="majorBidi"/>
          <w:sz w:val="28"/>
          <w:szCs w:val="28"/>
        </w:rPr>
        <w:t xml:space="preserve"> </w:t>
      </w:r>
      <w:r w:rsidRPr="000A45B0">
        <w:rPr>
          <w:rFonts w:asciiTheme="majorBidi" w:hAnsiTheme="majorBidi" w:cstheme="majorBidi"/>
          <w:i/>
          <w:iCs/>
          <w:sz w:val="28"/>
          <w:szCs w:val="28"/>
        </w:rPr>
        <w:t xml:space="preserve">Review </w:t>
      </w:r>
      <w:r w:rsidRPr="000A45B0">
        <w:rPr>
          <w:rFonts w:asciiTheme="majorBidi" w:hAnsiTheme="majorBidi" w:cstheme="majorBidi"/>
          <w:sz w:val="28"/>
          <w:szCs w:val="28"/>
        </w:rPr>
        <w:t>19, no. 1 (2003): 179–187.</w:t>
      </w:r>
    </w:p>
    <w:p w14:paraId="6DB22F79"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15" w:name="_Hlk10802707"/>
      <w:r>
        <w:rPr>
          <w:rFonts w:asciiTheme="majorBidi" w:hAnsiTheme="majorBidi" w:cstheme="majorBidi"/>
          <w:sz w:val="28"/>
          <w:szCs w:val="28"/>
        </w:rPr>
        <w:t>____.,</w:t>
      </w:r>
      <w:r w:rsidRPr="000A45B0">
        <w:rPr>
          <w:rFonts w:asciiTheme="majorBidi" w:hAnsiTheme="majorBidi" w:cstheme="majorBidi"/>
          <w:sz w:val="28"/>
          <w:szCs w:val="28"/>
        </w:rPr>
        <w:t xml:space="preserve"> “Female Spirit Mediums and Religious Authority in Contemporary South-eastern China,” </w:t>
      </w:r>
      <w:r w:rsidRPr="000A45B0">
        <w:rPr>
          <w:rFonts w:asciiTheme="majorBidi" w:hAnsiTheme="majorBidi" w:cstheme="majorBidi"/>
          <w:i/>
          <w:iCs/>
          <w:sz w:val="28"/>
          <w:szCs w:val="28"/>
        </w:rPr>
        <w:t xml:space="preserve">Modern China </w:t>
      </w:r>
      <w:r w:rsidRPr="000A45B0">
        <w:rPr>
          <w:rFonts w:asciiTheme="majorBidi" w:hAnsiTheme="majorBidi" w:cstheme="majorBidi"/>
          <w:sz w:val="28"/>
          <w:szCs w:val="28"/>
        </w:rPr>
        <w:t>36, no. 5 (2010): 520–555.</w:t>
      </w:r>
      <w:bookmarkEnd w:id="15"/>
    </w:p>
    <w:p w14:paraId="67D42C3E"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Pr>
          <w:rFonts w:asciiTheme="majorBidi" w:hAnsiTheme="majorBidi" w:cstheme="majorBidi"/>
          <w:sz w:val="28"/>
          <w:szCs w:val="28"/>
        </w:rPr>
        <w:t>____.,</w:t>
      </w:r>
      <w:r w:rsidRPr="000A45B0">
        <w:rPr>
          <w:rFonts w:asciiTheme="majorBidi" w:hAnsiTheme="majorBidi" w:cstheme="majorBidi"/>
          <w:sz w:val="28"/>
          <w:szCs w:val="28"/>
        </w:rPr>
        <w:t xml:space="preserve"> “Nameless Virtues and Restrained Speech in the Analects” in </w:t>
      </w:r>
      <w:r w:rsidRPr="000A45B0">
        <w:rPr>
          <w:rFonts w:asciiTheme="majorBidi" w:hAnsiTheme="majorBidi" w:cstheme="majorBidi"/>
          <w:i/>
          <w:iCs/>
          <w:sz w:val="28"/>
          <w:szCs w:val="28"/>
        </w:rPr>
        <w:t>International</w:t>
      </w:r>
      <w:r w:rsidRPr="000A45B0">
        <w:rPr>
          <w:rFonts w:asciiTheme="majorBidi" w:hAnsiTheme="majorBidi" w:cstheme="majorBidi"/>
          <w:sz w:val="28"/>
          <w:szCs w:val="28"/>
        </w:rPr>
        <w:t xml:space="preserve"> </w:t>
      </w:r>
      <w:r w:rsidRPr="000A45B0">
        <w:rPr>
          <w:rFonts w:asciiTheme="majorBidi" w:hAnsiTheme="majorBidi" w:cstheme="majorBidi"/>
          <w:i/>
          <w:iCs/>
          <w:sz w:val="28"/>
          <w:szCs w:val="28"/>
        </w:rPr>
        <w:t xml:space="preserve">Philosophical Quarterly </w:t>
      </w:r>
      <w:r w:rsidRPr="000A45B0">
        <w:rPr>
          <w:rFonts w:asciiTheme="majorBidi" w:hAnsiTheme="majorBidi" w:cstheme="majorBidi"/>
          <w:sz w:val="28"/>
          <w:szCs w:val="28"/>
        </w:rPr>
        <w:t xml:space="preserve">49, no. 1 (2009): 53–69; Erin Cline, “The Way, the Right, and the Good,” </w:t>
      </w:r>
      <w:r w:rsidRPr="000A45B0">
        <w:rPr>
          <w:rFonts w:asciiTheme="majorBidi" w:hAnsiTheme="majorBidi" w:cstheme="majorBidi"/>
          <w:i/>
          <w:iCs/>
          <w:sz w:val="28"/>
          <w:szCs w:val="28"/>
        </w:rPr>
        <w:t xml:space="preserve">Journal of Religious Ethics </w:t>
      </w:r>
      <w:r w:rsidRPr="000A45B0">
        <w:rPr>
          <w:rFonts w:asciiTheme="majorBidi" w:hAnsiTheme="majorBidi" w:cstheme="majorBidi"/>
          <w:sz w:val="28"/>
          <w:szCs w:val="28"/>
        </w:rPr>
        <w:t>37, no. 1 (2009): 107–129.</w:t>
      </w:r>
    </w:p>
    <w:p w14:paraId="51B226F5"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r w:rsidRPr="000A45B0">
        <w:rPr>
          <w:rFonts w:asciiTheme="majorBidi" w:hAnsiTheme="majorBidi" w:cstheme="majorBidi"/>
          <w:sz w:val="28"/>
          <w:szCs w:val="28"/>
        </w:rPr>
        <w:t xml:space="preserve">David </w:t>
      </w:r>
      <w:bookmarkStart w:id="16" w:name="_Hlk10774443"/>
      <w:r w:rsidRPr="000A45B0">
        <w:rPr>
          <w:rFonts w:asciiTheme="majorBidi" w:hAnsiTheme="majorBidi" w:cstheme="majorBidi"/>
          <w:sz w:val="28"/>
          <w:szCs w:val="28"/>
        </w:rPr>
        <w:t xml:space="preserve">Little and Sumner Twiss, </w:t>
      </w:r>
      <w:r w:rsidRPr="000A45B0">
        <w:rPr>
          <w:rFonts w:asciiTheme="majorBidi" w:hAnsiTheme="majorBidi" w:cstheme="majorBidi"/>
          <w:i/>
          <w:iCs/>
          <w:sz w:val="28"/>
          <w:szCs w:val="28"/>
        </w:rPr>
        <w:t>Comparative Religious Ethics: A New Method</w:t>
      </w:r>
      <w:r w:rsidRPr="000A45B0">
        <w:rPr>
          <w:rFonts w:asciiTheme="majorBidi" w:hAnsiTheme="majorBidi" w:cstheme="majorBidi"/>
          <w:sz w:val="28"/>
          <w:szCs w:val="28"/>
        </w:rPr>
        <w:t xml:space="preserve"> </w:t>
      </w:r>
      <w:bookmarkEnd w:id="16"/>
      <w:r w:rsidRPr="000A45B0">
        <w:rPr>
          <w:rFonts w:asciiTheme="majorBidi" w:hAnsiTheme="majorBidi" w:cstheme="majorBidi"/>
          <w:sz w:val="28"/>
          <w:szCs w:val="28"/>
        </w:rPr>
        <w:t>(New York: Harper and Row, 1978).</w:t>
      </w:r>
    </w:p>
    <w:p w14:paraId="3A8D5614"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17" w:name="_Hlk10773207"/>
      <w:proofErr w:type="spellStart"/>
      <w:r w:rsidRPr="000A45B0">
        <w:rPr>
          <w:rFonts w:asciiTheme="majorBidi" w:hAnsiTheme="majorBidi" w:cstheme="majorBidi"/>
          <w:sz w:val="28"/>
          <w:szCs w:val="28"/>
        </w:rPr>
        <w:lastRenderedPageBreak/>
        <w:t>Donagan</w:t>
      </w:r>
      <w:proofErr w:type="spellEnd"/>
      <w:r>
        <w:rPr>
          <w:rFonts w:asciiTheme="majorBidi" w:hAnsiTheme="majorBidi" w:cstheme="majorBidi"/>
          <w:sz w:val="28"/>
          <w:szCs w:val="28"/>
        </w:rPr>
        <w:t xml:space="preserve">, </w:t>
      </w:r>
      <w:r w:rsidRPr="000A45B0">
        <w:rPr>
          <w:rFonts w:asciiTheme="majorBidi" w:hAnsiTheme="majorBidi" w:cstheme="majorBidi"/>
          <w:sz w:val="28"/>
          <w:szCs w:val="28"/>
        </w:rPr>
        <w:t xml:space="preserve">Alan, </w:t>
      </w:r>
      <w:r w:rsidRPr="000A45B0">
        <w:rPr>
          <w:rFonts w:asciiTheme="majorBidi" w:hAnsiTheme="majorBidi" w:cstheme="majorBidi"/>
          <w:i/>
          <w:iCs/>
          <w:sz w:val="28"/>
          <w:szCs w:val="28"/>
        </w:rPr>
        <w:t>The Theory of Morality</w:t>
      </w:r>
      <w:r w:rsidRPr="000A45B0">
        <w:rPr>
          <w:rFonts w:asciiTheme="majorBidi" w:hAnsiTheme="majorBidi" w:cstheme="majorBidi"/>
          <w:sz w:val="28"/>
          <w:szCs w:val="28"/>
        </w:rPr>
        <w:t>, (Chicago: Chicago University Press, 1977)</w:t>
      </w:r>
      <w:bookmarkEnd w:id="17"/>
      <w:r w:rsidRPr="000A45B0">
        <w:rPr>
          <w:rFonts w:asciiTheme="majorBidi" w:hAnsiTheme="majorBidi" w:cstheme="majorBidi"/>
          <w:sz w:val="28"/>
          <w:szCs w:val="28"/>
        </w:rPr>
        <w:t>.</w:t>
      </w:r>
    </w:p>
    <w:p w14:paraId="5B2C0545"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lang w:val="en-US"/>
        </w:rPr>
      </w:pPr>
      <w:bookmarkStart w:id="18" w:name="_Hlk10762004"/>
      <w:r w:rsidRPr="000A45B0">
        <w:rPr>
          <w:rFonts w:asciiTheme="majorBidi" w:hAnsiTheme="majorBidi" w:cstheme="majorBidi"/>
          <w:sz w:val="28"/>
          <w:szCs w:val="28"/>
          <w:lang w:val="en-US"/>
        </w:rPr>
        <w:t>Durkheim</w:t>
      </w:r>
      <w:r>
        <w:rPr>
          <w:rFonts w:asciiTheme="majorBidi" w:hAnsiTheme="majorBidi" w:cstheme="majorBidi"/>
          <w:sz w:val="28"/>
          <w:szCs w:val="28"/>
          <w:lang w:val="en-US"/>
        </w:rPr>
        <w:t xml:space="preserve">, </w:t>
      </w:r>
      <w:r w:rsidRPr="000A45B0">
        <w:rPr>
          <w:rFonts w:asciiTheme="majorBidi" w:hAnsiTheme="majorBidi" w:cstheme="majorBidi"/>
          <w:sz w:val="28"/>
          <w:szCs w:val="28"/>
          <w:lang w:val="en-US"/>
        </w:rPr>
        <w:t xml:space="preserve">Emile, </w:t>
      </w:r>
      <w:r w:rsidRPr="000A45B0">
        <w:rPr>
          <w:rFonts w:asciiTheme="majorBidi" w:hAnsiTheme="majorBidi" w:cstheme="majorBidi"/>
          <w:i/>
          <w:iCs/>
          <w:sz w:val="28"/>
          <w:szCs w:val="28"/>
          <w:lang w:val="en-US"/>
        </w:rPr>
        <w:t>The Elementary Forms of Religious Life</w:t>
      </w:r>
      <w:r w:rsidRPr="000A45B0">
        <w:rPr>
          <w:rFonts w:asciiTheme="majorBidi" w:hAnsiTheme="majorBidi" w:cstheme="majorBidi"/>
          <w:sz w:val="28"/>
          <w:szCs w:val="28"/>
          <w:lang w:val="en-US"/>
        </w:rPr>
        <w:t>, (Oxford: Oxford University Press, 2008)</w:t>
      </w:r>
      <w:bookmarkEnd w:id="18"/>
      <w:r w:rsidRPr="000A45B0">
        <w:rPr>
          <w:rFonts w:asciiTheme="majorBidi" w:hAnsiTheme="majorBidi" w:cstheme="majorBidi"/>
          <w:sz w:val="28"/>
          <w:szCs w:val="28"/>
          <w:lang w:val="en-US"/>
        </w:rPr>
        <w:t>.</w:t>
      </w:r>
    </w:p>
    <w:p w14:paraId="42D31743"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r>
        <w:rPr>
          <w:rFonts w:asciiTheme="majorBidi" w:hAnsiTheme="majorBidi" w:cstheme="majorBidi"/>
          <w:sz w:val="28"/>
          <w:szCs w:val="28"/>
        </w:rPr>
        <w:t xml:space="preserve">____., </w:t>
      </w:r>
      <w:r w:rsidRPr="000A45B0">
        <w:rPr>
          <w:rFonts w:asciiTheme="majorBidi" w:hAnsiTheme="majorBidi" w:cstheme="majorBidi"/>
          <w:i/>
          <w:iCs/>
          <w:sz w:val="28"/>
          <w:szCs w:val="28"/>
        </w:rPr>
        <w:t>The Moral Education</w:t>
      </w:r>
      <w:r w:rsidRPr="000A45B0">
        <w:rPr>
          <w:rFonts w:asciiTheme="majorBidi" w:hAnsiTheme="majorBidi" w:cstheme="majorBidi"/>
          <w:sz w:val="28"/>
          <w:szCs w:val="28"/>
        </w:rPr>
        <w:t>, (New York, the Free Press, 1961)</w:t>
      </w:r>
      <w:r>
        <w:rPr>
          <w:rFonts w:asciiTheme="majorBidi" w:hAnsiTheme="majorBidi" w:cstheme="majorBidi"/>
          <w:sz w:val="28"/>
          <w:szCs w:val="28"/>
        </w:rPr>
        <w:t>.</w:t>
      </w:r>
    </w:p>
    <w:p w14:paraId="37302E19"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r>
        <w:rPr>
          <w:rFonts w:asciiTheme="majorBidi" w:hAnsiTheme="majorBidi" w:cstheme="majorBidi"/>
          <w:sz w:val="28"/>
          <w:szCs w:val="28"/>
        </w:rPr>
        <w:t xml:space="preserve">____., </w:t>
      </w:r>
      <w:r w:rsidRPr="000A45B0">
        <w:rPr>
          <w:rFonts w:asciiTheme="majorBidi" w:hAnsiTheme="majorBidi" w:cstheme="majorBidi"/>
          <w:i/>
          <w:iCs/>
          <w:sz w:val="28"/>
          <w:szCs w:val="28"/>
        </w:rPr>
        <w:t>The Elementary Forms of the Religious Life</w:t>
      </w:r>
      <w:r w:rsidRPr="000A45B0">
        <w:rPr>
          <w:rFonts w:asciiTheme="majorBidi" w:hAnsiTheme="majorBidi" w:cstheme="majorBidi"/>
          <w:sz w:val="28"/>
          <w:szCs w:val="28"/>
        </w:rPr>
        <w:t>, trans. J. W. Swain, (London: George Allen &amp; Unwin, 1915).</w:t>
      </w:r>
    </w:p>
    <w:p w14:paraId="4E6536DE"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19" w:name="_Hlk10771698"/>
      <w:r w:rsidRPr="000A45B0">
        <w:rPr>
          <w:rFonts w:asciiTheme="majorBidi" w:hAnsiTheme="majorBidi" w:cstheme="majorBidi"/>
          <w:sz w:val="28"/>
          <w:szCs w:val="28"/>
        </w:rPr>
        <w:t>Green</w:t>
      </w:r>
      <w:r>
        <w:rPr>
          <w:rFonts w:asciiTheme="majorBidi" w:hAnsiTheme="majorBidi" w:cstheme="majorBidi"/>
          <w:sz w:val="28"/>
          <w:szCs w:val="28"/>
        </w:rPr>
        <w:t xml:space="preserve">, </w:t>
      </w:r>
      <w:r w:rsidRPr="000A45B0">
        <w:rPr>
          <w:rFonts w:asciiTheme="majorBidi" w:hAnsiTheme="majorBidi" w:cstheme="majorBidi"/>
          <w:sz w:val="28"/>
          <w:szCs w:val="28"/>
        </w:rPr>
        <w:t xml:space="preserve">Ronald, “Review of David Little and Sumner B. Twiss, Comparative Religious Ethics”, </w:t>
      </w:r>
      <w:r w:rsidRPr="000A45B0">
        <w:rPr>
          <w:rFonts w:asciiTheme="majorBidi" w:hAnsiTheme="majorBidi" w:cstheme="majorBidi"/>
          <w:i/>
          <w:iCs/>
          <w:sz w:val="28"/>
          <w:szCs w:val="28"/>
        </w:rPr>
        <w:t xml:space="preserve">Journal of Religion </w:t>
      </w:r>
      <w:r w:rsidRPr="000A45B0">
        <w:rPr>
          <w:rFonts w:asciiTheme="majorBidi" w:hAnsiTheme="majorBidi" w:cstheme="majorBidi"/>
          <w:sz w:val="28"/>
          <w:szCs w:val="28"/>
        </w:rPr>
        <w:t>61: (1981).</w:t>
      </w:r>
      <w:bookmarkEnd w:id="19"/>
    </w:p>
    <w:p w14:paraId="1BF6CEEC"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proofErr w:type="spellStart"/>
      <w:r w:rsidRPr="000A45B0">
        <w:rPr>
          <w:rFonts w:asciiTheme="majorBidi" w:hAnsiTheme="majorBidi" w:cstheme="majorBidi"/>
          <w:sz w:val="28"/>
          <w:szCs w:val="28"/>
        </w:rPr>
        <w:t>Grelle</w:t>
      </w:r>
      <w:proofErr w:type="spellEnd"/>
      <w:r>
        <w:rPr>
          <w:rFonts w:asciiTheme="majorBidi" w:hAnsiTheme="majorBidi" w:cstheme="majorBidi"/>
          <w:sz w:val="28"/>
          <w:szCs w:val="28"/>
        </w:rPr>
        <w:t xml:space="preserve">, </w:t>
      </w:r>
      <w:r w:rsidRPr="000A45B0">
        <w:rPr>
          <w:rFonts w:asciiTheme="majorBidi" w:hAnsiTheme="majorBidi" w:cstheme="majorBidi"/>
          <w:sz w:val="28"/>
          <w:szCs w:val="28"/>
        </w:rPr>
        <w:t xml:space="preserve">Bruce, “Book Review of Religious Ethics in A Time of Globalism: Shaping A Third Wave of Comparative Analysis”, </w:t>
      </w:r>
      <w:r w:rsidRPr="000A45B0">
        <w:rPr>
          <w:rFonts w:asciiTheme="majorBidi" w:hAnsiTheme="majorBidi" w:cstheme="majorBidi"/>
          <w:i/>
          <w:iCs/>
          <w:sz w:val="28"/>
          <w:szCs w:val="28"/>
        </w:rPr>
        <w:t>Religious Studies Review</w:t>
      </w:r>
      <w:r w:rsidRPr="000A45B0">
        <w:rPr>
          <w:rFonts w:asciiTheme="majorBidi" w:hAnsiTheme="majorBidi" w:cstheme="majorBidi"/>
          <w:sz w:val="28"/>
          <w:szCs w:val="28"/>
        </w:rPr>
        <w:t xml:space="preserve"> 42 (2016)</w:t>
      </w:r>
      <w:r>
        <w:rPr>
          <w:rFonts w:asciiTheme="majorBidi" w:hAnsiTheme="majorBidi" w:cstheme="majorBidi"/>
          <w:sz w:val="28"/>
          <w:szCs w:val="28"/>
        </w:rPr>
        <w:t>.</w:t>
      </w:r>
    </w:p>
    <w:p w14:paraId="666CF944"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lang w:val="en-US"/>
        </w:rPr>
      </w:pPr>
      <w:r w:rsidRPr="000A45B0">
        <w:rPr>
          <w:rFonts w:asciiTheme="majorBidi" w:hAnsiTheme="majorBidi" w:cstheme="majorBidi"/>
          <w:sz w:val="28"/>
          <w:szCs w:val="28"/>
        </w:rPr>
        <w:t>Hume</w:t>
      </w:r>
      <w:r>
        <w:rPr>
          <w:rFonts w:asciiTheme="majorBidi" w:hAnsiTheme="majorBidi" w:cstheme="majorBidi"/>
          <w:sz w:val="28"/>
          <w:szCs w:val="28"/>
        </w:rPr>
        <w:t xml:space="preserve">, </w:t>
      </w:r>
      <w:r w:rsidRPr="000A45B0">
        <w:rPr>
          <w:rFonts w:asciiTheme="majorBidi" w:hAnsiTheme="majorBidi" w:cstheme="majorBidi"/>
          <w:sz w:val="28"/>
          <w:szCs w:val="28"/>
        </w:rPr>
        <w:t xml:space="preserve">David, </w:t>
      </w:r>
      <w:r w:rsidRPr="000A45B0">
        <w:rPr>
          <w:rFonts w:asciiTheme="majorBidi" w:hAnsiTheme="majorBidi" w:cstheme="majorBidi"/>
          <w:i/>
          <w:iCs/>
          <w:sz w:val="28"/>
          <w:szCs w:val="28"/>
        </w:rPr>
        <w:t>A Treatise of Human Nature</w:t>
      </w:r>
      <w:r w:rsidRPr="000A45B0">
        <w:rPr>
          <w:rFonts w:asciiTheme="majorBidi" w:hAnsiTheme="majorBidi" w:cstheme="majorBidi"/>
          <w:sz w:val="28"/>
          <w:szCs w:val="28"/>
        </w:rPr>
        <w:t>, (Oxford: Oxford University Press, 1973).</w:t>
      </w:r>
    </w:p>
    <w:p w14:paraId="7DA3951E"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lang w:val="en-US"/>
        </w:rPr>
      </w:pPr>
      <w:bookmarkStart w:id="20" w:name="_Hlk10763609"/>
      <w:r w:rsidRPr="000A45B0">
        <w:rPr>
          <w:rFonts w:asciiTheme="majorBidi" w:hAnsiTheme="majorBidi" w:cstheme="majorBidi"/>
          <w:sz w:val="28"/>
          <w:szCs w:val="28"/>
          <w:lang w:val="en-US"/>
        </w:rPr>
        <w:t xml:space="preserve">Kant, </w:t>
      </w:r>
      <w:r w:rsidRPr="000A45B0">
        <w:rPr>
          <w:rFonts w:asciiTheme="majorBidi" w:hAnsiTheme="majorBidi" w:cstheme="majorBidi"/>
          <w:i/>
          <w:iCs/>
          <w:sz w:val="28"/>
          <w:szCs w:val="28"/>
          <w:lang w:val="en-US"/>
        </w:rPr>
        <w:t>Critique of Practical Reason</w:t>
      </w:r>
      <w:r w:rsidRPr="000A45B0">
        <w:rPr>
          <w:rFonts w:asciiTheme="majorBidi" w:hAnsiTheme="majorBidi" w:cstheme="majorBidi"/>
          <w:sz w:val="28"/>
          <w:szCs w:val="28"/>
          <w:lang w:val="en-US"/>
        </w:rPr>
        <w:t xml:space="preserve">, (Indianapolis: </w:t>
      </w:r>
      <w:proofErr w:type="spellStart"/>
      <w:r w:rsidRPr="000A45B0">
        <w:rPr>
          <w:rFonts w:asciiTheme="majorBidi" w:hAnsiTheme="majorBidi" w:cstheme="majorBidi"/>
          <w:sz w:val="28"/>
          <w:szCs w:val="28"/>
          <w:lang w:val="en-US"/>
        </w:rPr>
        <w:t>Bobbs</w:t>
      </w:r>
      <w:proofErr w:type="spellEnd"/>
      <w:r w:rsidRPr="000A45B0">
        <w:rPr>
          <w:rFonts w:asciiTheme="majorBidi" w:hAnsiTheme="majorBidi" w:cstheme="majorBidi"/>
          <w:sz w:val="28"/>
          <w:szCs w:val="28"/>
          <w:lang w:val="en-US"/>
        </w:rPr>
        <w:t xml:space="preserve"> </w:t>
      </w:r>
      <w:proofErr w:type="spellStart"/>
      <w:r w:rsidRPr="000A45B0">
        <w:rPr>
          <w:rFonts w:asciiTheme="majorBidi" w:hAnsiTheme="majorBidi" w:cstheme="majorBidi"/>
          <w:sz w:val="28"/>
          <w:szCs w:val="28"/>
          <w:lang w:val="en-US"/>
        </w:rPr>
        <w:t>Merril</w:t>
      </w:r>
      <w:proofErr w:type="spellEnd"/>
      <w:r w:rsidRPr="000A45B0">
        <w:rPr>
          <w:rFonts w:asciiTheme="majorBidi" w:hAnsiTheme="majorBidi" w:cstheme="majorBidi"/>
          <w:sz w:val="28"/>
          <w:szCs w:val="28"/>
          <w:lang w:val="en-US"/>
        </w:rPr>
        <w:t>, 1956).</w:t>
      </w:r>
      <w:bookmarkEnd w:id="20"/>
    </w:p>
    <w:p w14:paraId="079CA3ED"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21" w:name="_Hlk10802628"/>
      <w:r w:rsidRPr="000A45B0">
        <w:rPr>
          <w:rFonts w:asciiTheme="majorBidi" w:hAnsiTheme="majorBidi" w:cstheme="majorBidi"/>
          <w:sz w:val="28"/>
          <w:szCs w:val="28"/>
        </w:rPr>
        <w:t>Kao</w:t>
      </w:r>
      <w:r>
        <w:rPr>
          <w:rFonts w:asciiTheme="majorBidi" w:hAnsiTheme="majorBidi" w:cstheme="majorBidi"/>
          <w:sz w:val="28"/>
          <w:szCs w:val="28"/>
        </w:rPr>
        <w:t xml:space="preserve">, </w:t>
      </w:r>
      <w:r w:rsidRPr="000A45B0">
        <w:rPr>
          <w:rFonts w:asciiTheme="majorBidi" w:hAnsiTheme="majorBidi" w:cstheme="majorBidi"/>
          <w:sz w:val="28"/>
          <w:szCs w:val="28"/>
        </w:rPr>
        <w:t>Grace Y., “Prospects</w:t>
      </w:r>
      <w:r w:rsidRPr="000A45B0">
        <w:rPr>
          <w:rFonts w:asciiTheme="majorBidi" w:hAnsiTheme="majorBidi" w:cstheme="majorBidi"/>
          <w:i/>
          <w:iCs/>
          <w:sz w:val="28"/>
          <w:szCs w:val="28"/>
        </w:rPr>
        <w:t xml:space="preserve"> </w:t>
      </w:r>
      <w:r w:rsidRPr="000A45B0">
        <w:rPr>
          <w:rFonts w:asciiTheme="majorBidi" w:hAnsiTheme="majorBidi" w:cstheme="majorBidi"/>
          <w:sz w:val="28"/>
          <w:szCs w:val="28"/>
        </w:rPr>
        <w:t xml:space="preserve">for Developing Asian American Christian Ethics,” </w:t>
      </w:r>
      <w:r w:rsidRPr="000A45B0">
        <w:rPr>
          <w:rFonts w:asciiTheme="majorBidi" w:hAnsiTheme="majorBidi" w:cstheme="majorBidi"/>
          <w:i/>
          <w:iCs/>
          <w:sz w:val="28"/>
          <w:szCs w:val="28"/>
        </w:rPr>
        <w:t xml:space="preserve">Society of Asia North American Christian Studies </w:t>
      </w:r>
      <w:r w:rsidRPr="000A45B0">
        <w:rPr>
          <w:rFonts w:asciiTheme="majorBidi" w:hAnsiTheme="majorBidi" w:cstheme="majorBidi"/>
          <w:sz w:val="28"/>
          <w:szCs w:val="28"/>
        </w:rPr>
        <w:t>3 (2011): 91–102.</w:t>
      </w:r>
      <w:bookmarkEnd w:id="21"/>
    </w:p>
    <w:p w14:paraId="1F4970AC"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22" w:name="_Hlk10802431"/>
      <w:r w:rsidRPr="000A45B0">
        <w:rPr>
          <w:rFonts w:asciiTheme="majorBidi" w:hAnsiTheme="majorBidi" w:cstheme="majorBidi"/>
          <w:sz w:val="28"/>
          <w:szCs w:val="28"/>
        </w:rPr>
        <w:t>Kao</w:t>
      </w:r>
      <w:r>
        <w:rPr>
          <w:rFonts w:asciiTheme="majorBidi" w:hAnsiTheme="majorBidi" w:cstheme="majorBidi"/>
          <w:sz w:val="28"/>
          <w:szCs w:val="28"/>
        </w:rPr>
        <w:t xml:space="preserve">, </w:t>
      </w:r>
      <w:r w:rsidRPr="000A45B0">
        <w:rPr>
          <w:rFonts w:asciiTheme="majorBidi" w:hAnsiTheme="majorBidi" w:cstheme="majorBidi"/>
          <w:sz w:val="28"/>
          <w:szCs w:val="28"/>
        </w:rPr>
        <w:t>Grace Y., and Irene Oh, “Sexing Comparative Ethics:</w:t>
      </w:r>
      <w:r w:rsidRPr="000A45B0">
        <w:rPr>
          <w:rFonts w:asciiTheme="majorBidi" w:hAnsiTheme="majorBidi" w:cstheme="majorBidi"/>
          <w:i/>
          <w:iCs/>
          <w:sz w:val="28"/>
          <w:szCs w:val="28"/>
        </w:rPr>
        <w:t xml:space="preserve"> </w:t>
      </w:r>
      <w:r w:rsidRPr="000A45B0">
        <w:rPr>
          <w:rFonts w:asciiTheme="majorBidi" w:hAnsiTheme="majorBidi" w:cstheme="majorBidi"/>
          <w:sz w:val="28"/>
          <w:szCs w:val="28"/>
        </w:rPr>
        <w:t xml:space="preserve">Bringing Forth Feminist and Gendered Perspectives,” </w:t>
      </w:r>
      <w:r w:rsidRPr="000A45B0">
        <w:rPr>
          <w:rFonts w:asciiTheme="majorBidi" w:hAnsiTheme="majorBidi" w:cstheme="majorBidi"/>
          <w:i/>
          <w:iCs/>
          <w:sz w:val="28"/>
          <w:szCs w:val="28"/>
        </w:rPr>
        <w:t xml:space="preserve">Journal of Religious Ethics </w:t>
      </w:r>
      <w:r w:rsidRPr="000A45B0">
        <w:rPr>
          <w:rFonts w:asciiTheme="majorBidi" w:hAnsiTheme="majorBidi" w:cstheme="majorBidi"/>
          <w:sz w:val="28"/>
          <w:szCs w:val="28"/>
        </w:rPr>
        <w:t>38, no. 4 (2010): 654–659.</w:t>
      </w:r>
      <w:bookmarkEnd w:id="22"/>
    </w:p>
    <w:p w14:paraId="5F744B74" w14:textId="77777777" w:rsidR="00675253" w:rsidRPr="000A45B0" w:rsidRDefault="00675253" w:rsidP="00675253">
      <w:pPr>
        <w:pStyle w:val="ListParagraph"/>
        <w:numPr>
          <w:ilvl w:val="0"/>
          <w:numId w:val="4"/>
        </w:numPr>
        <w:spacing w:line="360" w:lineRule="auto"/>
        <w:jc w:val="both"/>
        <w:rPr>
          <w:rFonts w:asciiTheme="majorBidi" w:hAnsiTheme="majorBidi" w:cstheme="majorBidi"/>
          <w:i/>
          <w:iCs/>
          <w:sz w:val="28"/>
          <w:szCs w:val="28"/>
        </w:rPr>
      </w:pPr>
      <w:r w:rsidRPr="000A45B0">
        <w:rPr>
          <w:rFonts w:asciiTheme="majorBidi" w:hAnsiTheme="majorBidi" w:cstheme="majorBidi"/>
          <w:sz w:val="28"/>
          <w:szCs w:val="28"/>
        </w:rPr>
        <w:t xml:space="preserve">Ladd, </w:t>
      </w:r>
      <w:r w:rsidRPr="000A45B0">
        <w:rPr>
          <w:rFonts w:asciiTheme="majorBidi" w:hAnsiTheme="majorBidi" w:cstheme="majorBidi"/>
          <w:i/>
          <w:iCs/>
          <w:sz w:val="28"/>
          <w:szCs w:val="28"/>
        </w:rPr>
        <w:t>The Structure of a Moral Code: A Philosophical Analysis of Ethical Discourse Applied to the Ethics of the Navaho Indians</w:t>
      </w:r>
      <w:r w:rsidRPr="000A45B0">
        <w:rPr>
          <w:rFonts w:asciiTheme="majorBidi" w:hAnsiTheme="majorBidi" w:cstheme="majorBidi"/>
          <w:sz w:val="28"/>
          <w:szCs w:val="28"/>
        </w:rPr>
        <w:t>, (Cambridge, MA: Harvard University Press, 1957).</w:t>
      </w:r>
    </w:p>
    <w:p w14:paraId="0B7F7A3C"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23" w:name="_Hlk10779530"/>
      <w:r w:rsidRPr="000A45B0">
        <w:rPr>
          <w:rFonts w:asciiTheme="majorBidi" w:hAnsiTheme="majorBidi" w:cstheme="majorBidi"/>
          <w:sz w:val="28"/>
          <w:szCs w:val="28"/>
        </w:rPr>
        <w:t xml:space="preserve">Little, “The Present State of </w:t>
      </w:r>
      <w:r w:rsidRPr="000A45B0">
        <w:rPr>
          <w:rFonts w:asciiTheme="majorBidi" w:hAnsiTheme="majorBidi" w:cstheme="majorBidi"/>
          <w:sz w:val="28"/>
          <w:szCs w:val="28"/>
          <w:lang w:val="en-US"/>
        </w:rPr>
        <w:t xml:space="preserve">the </w:t>
      </w:r>
      <w:r w:rsidRPr="000A45B0">
        <w:rPr>
          <w:rFonts w:asciiTheme="majorBidi" w:hAnsiTheme="majorBidi" w:cstheme="majorBidi"/>
          <w:sz w:val="28"/>
          <w:szCs w:val="28"/>
        </w:rPr>
        <w:t xml:space="preserve">Study of Comparative Religious Ethics”, </w:t>
      </w:r>
      <w:r w:rsidRPr="000A45B0">
        <w:rPr>
          <w:rFonts w:asciiTheme="majorBidi" w:hAnsiTheme="majorBidi" w:cstheme="majorBidi"/>
          <w:i/>
          <w:iCs/>
          <w:sz w:val="28"/>
          <w:szCs w:val="28"/>
        </w:rPr>
        <w:t xml:space="preserve">Journal of Religious Ethics </w:t>
      </w:r>
      <w:r w:rsidRPr="000A45B0">
        <w:rPr>
          <w:rFonts w:asciiTheme="majorBidi" w:hAnsiTheme="majorBidi" w:cstheme="majorBidi"/>
          <w:sz w:val="28"/>
          <w:szCs w:val="28"/>
        </w:rPr>
        <w:t>9 (1981)</w:t>
      </w:r>
      <w:bookmarkEnd w:id="23"/>
      <w:r>
        <w:rPr>
          <w:rFonts w:asciiTheme="majorBidi" w:hAnsiTheme="majorBidi" w:cstheme="majorBidi"/>
          <w:sz w:val="28"/>
          <w:szCs w:val="28"/>
        </w:rPr>
        <w:t>.</w:t>
      </w:r>
    </w:p>
    <w:p w14:paraId="34810226"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24" w:name="_Hlk10782282"/>
      <w:r w:rsidRPr="000A45B0">
        <w:rPr>
          <w:rFonts w:asciiTheme="majorBidi" w:hAnsiTheme="majorBidi" w:cstheme="majorBidi"/>
          <w:sz w:val="28"/>
          <w:szCs w:val="28"/>
        </w:rPr>
        <w:t>Lovin</w:t>
      </w:r>
      <w:r>
        <w:rPr>
          <w:rFonts w:asciiTheme="majorBidi" w:hAnsiTheme="majorBidi" w:cstheme="majorBidi"/>
          <w:sz w:val="28"/>
          <w:szCs w:val="28"/>
        </w:rPr>
        <w:t xml:space="preserve">, </w:t>
      </w:r>
      <w:r w:rsidRPr="000A45B0">
        <w:rPr>
          <w:rFonts w:asciiTheme="majorBidi" w:hAnsiTheme="majorBidi" w:cstheme="majorBidi"/>
          <w:sz w:val="28"/>
          <w:szCs w:val="28"/>
        </w:rPr>
        <w:t xml:space="preserve">Robin, "Cosmogony, Contrivance, and Ethical Order", in </w:t>
      </w:r>
      <w:r w:rsidRPr="000A45B0">
        <w:rPr>
          <w:rFonts w:asciiTheme="majorBidi" w:hAnsiTheme="majorBidi" w:cstheme="majorBidi"/>
          <w:i/>
          <w:iCs/>
          <w:sz w:val="28"/>
          <w:szCs w:val="28"/>
        </w:rPr>
        <w:t>Cosmogony and Ethical Order: New Studies in Comparative Ethics</w:t>
      </w:r>
      <w:r w:rsidRPr="000A45B0">
        <w:rPr>
          <w:rFonts w:asciiTheme="majorBidi" w:hAnsiTheme="majorBidi" w:cstheme="majorBidi"/>
          <w:sz w:val="28"/>
          <w:szCs w:val="28"/>
        </w:rPr>
        <w:t xml:space="preserve">, eds. </w:t>
      </w:r>
      <w:r w:rsidRPr="000A45B0">
        <w:rPr>
          <w:rFonts w:asciiTheme="majorBidi" w:hAnsiTheme="majorBidi" w:cstheme="majorBidi"/>
          <w:sz w:val="28"/>
          <w:szCs w:val="28"/>
        </w:rPr>
        <w:lastRenderedPageBreak/>
        <w:t>Robin W. Lovin and Frank E. Reynolds, (Chicago: University of Chicago Press, 1985).</w:t>
      </w:r>
      <w:bookmarkEnd w:id="24"/>
    </w:p>
    <w:p w14:paraId="543C480A"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25" w:name="_Hlk10776573"/>
      <w:proofErr w:type="spellStart"/>
      <w:r w:rsidRPr="000A45B0">
        <w:rPr>
          <w:rFonts w:asciiTheme="majorBidi" w:hAnsiTheme="majorBidi" w:cstheme="majorBidi"/>
          <w:sz w:val="28"/>
          <w:szCs w:val="28"/>
        </w:rPr>
        <w:t>Lukes</w:t>
      </w:r>
      <w:proofErr w:type="spellEnd"/>
      <w:r>
        <w:rPr>
          <w:rFonts w:asciiTheme="majorBidi" w:hAnsiTheme="majorBidi" w:cstheme="majorBidi"/>
          <w:sz w:val="28"/>
          <w:szCs w:val="28"/>
        </w:rPr>
        <w:t xml:space="preserve">, </w:t>
      </w:r>
      <w:r w:rsidRPr="000A45B0">
        <w:rPr>
          <w:rFonts w:asciiTheme="majorBidi" w:hAnsiTheme="majorBidi" w:cstheme="majorBidi"/>
          <w:sz w:val="28"/>
          <w:szCs w:val="28"/>
        </w:rPr>
        <w:t xml:space="preserve">Steven, "Some Problems about Rationality", in </w:t>
      </w:r>
      <w:r w:rsidRPr="000A45B0">
        <w:rPr>
          <w:rFonts w:asciiTheme="majorBidi" w:hAnsiTheme="majorBidi" w:cstheme="majorBidi"/>
          <w:i/>
          <w:iCs/>
          <w:sz w:val="28"/>
          <w:szCs w:val="28"/>
        </w:rPr>
        <w:t>Rationality</w:t>
      </w:r>
      <w:r w:rsidRPr="000A45B0">
        <w:rPr>
          <w:rFonts w:asciiTheme="majorBidi" w:hAnsiTheme="majorBidi" w:cstheme="majorBidi"/>
          <w:sz w:val="28"/>
          <w:szCs w:val="28"/>
        </w:rPr>
        <w:t>, ed., Bryan R. Wilson, (Oxford: Basil Blackwell, 1970)</w:t>
      </w:r>
      <w:bookmarkEnd w:id="25"/>
      <w:r>
        <w:rPr>
          <w:rFonts w:asciiTheme="majorBidi" w:hAnsiTheme="majorBidi" w:cstheme="majorBidi"/>
          <w:sz w:val="28"/>
          <w:szCs w:val="28"/>
        </w:rPr>
        <w:t>.</w:t>
      </w:r>
    </w:p>
    <w:p w14:paraId="27A4987A"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26" w:name="_Hlk10767379"/>
      <w:r w:rsidRPr="000A45B0">
        <w:rPr>
          <w:rFonts w:asciiTheme="majorBidi" w:hAnsiTheme="majorBidi" w:cstheme="majorBidi"/>
          <w:sz w:val="28"/>
          <w:szCs w:val="28"/>
        </w:rPr>
        <w:t>Malinowski</w:t>
      </w:r>
      <w:r w:rsidRPr="000A45B0">
        <w:rPr>
          <w:rFonts w:asciiTheme="majorBidi" w:hAnsiTheme="majorBidi" w:cstheme="majorBidi"/>
          <w:i/>
          <w:iCs/>
          <w:sz w:val="28"/>
          <w:szCs w:val="28"/>
        </w:rPr>
        <w:t>, Magic, Science and Religion and Other Essays,</w:t>
      </w:r>
      <w:r w:rsidRPr="000A45B0">
        <w:rPr>
          <w:rFonts w:asciiTheme="majorBidi" w:hAnsiTheme="majorBidi" w:cstheme="majorBidi"/>
          <w:sz w:val="28"/>
          <w:szCs w:val="28"/>
        </w:rPr>
        <w:t xml:space="preserve"> (New York: Free Press, 1948).</w:t>
      </w:r>
      <w:bookmarkEnd w:id="26"/>
    </w:p>
    <w:p w14:paraId="707A48EC"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lang w:val="en-US"/>
        </w:rPr>
      </w:pPr>
      <w:bookmarkStart w:id="27" w:name="_Hlk10760567"/>
      <w:r w:rsidRPr="000A45B0">
        <w:rPr>
          <w:rFonts w:asciiTheme="majorBidi" w:hAnsiTheme="majorBidi" w:cstheme="majorBidi"/>
          <w:sz w:val="28"/>
          <w:szCs w:val="28"/>
          <w:lang w:val="en-US"/>
        </w:rPr>
        <w:t xml:space="preserve">Montesquieu, </w:t>
      </w:r>
      <w:r w:rsidRPr="000A45B0">
        <w:rPr>
          <w:rFonts w:asciiTheme="majorBidi" w:hAnsiTheme="majorBidi" w:cstheme="majorBidi"/>
          <w:i/>
          <w:iCs/>
          <w:sz w:val="28"/>
          <w:szCs w:val="28"/>
          <w:lang w:val="en-US"/>
        </w:rPr>
        <w:t>The Spirit of the Laws</w:t>
      </w:r>
      <w:r w:rsidRPr="000A45B0">
        <w:rPr>
          <w:rFonts w:asciiTheme="majorBidi" w:hAnsiTheme="majorBidi" w:cstheme="majorBidi"/>
          <w:sz w:val="28"/>
          <w:szCs w:val="28"/>
          <w:lang w:val="en-US"/>
        </w:rPr>
        <w:t>, (New York: Hafner, 1975)</w:t>
      </w:r>
      <w:bookmarkEnd w:id="27"/>
      <w:r w:rsidRPr="000A45B0">
        <w:rPr>
          <w:rFonts w:asciiTheme="majorBidi" w:hAnsiTheme="majorBidi" w:cstheme="majorBidi"/>
          <w:sz w:val="28"/>
          <w:szCs w:val="28"/>
          <w:lang w:val="en-US"/>
        </w:rPr>
        <w:t>.</w:t>
      </w:r>
    </w:p>
    <w:p w14:paraId="1E4C8650"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sidRPr="000A45B0">
        <w:rPr>
          <w:rFonts w:asciiTheme="majorBidi" w:hAnsiTheme="majorBidi" w:cstheme="majorBidi"/>
          <w:sz w:val="28"/>
          <w:szCs w:val="28"/>
        </w:rPr>
        <w:t>Oh</w:t>
      </w:r>
      <w:r>
        <w:rPr>
          <w:rFonts w:asciiTheme="majorBidi" w:hAnsiTheme="majorBidi" w:cstheme="majorBidi"/>
          <w:sz w:val="28"/>
          <w:szCs w:val="28"/>
        </w:rPr>
        <w:t xml:space="preserve">, </w:t>
      </w:r>
      <w:r w:rsidRPr="000A45B0">
        <w:rPr>
          <w:rFonts w:asciiTheme="majorBidi" w:hAnsiTheme="majorBidi" w:cstheme="majorBidi"/>
          <w:sz w:val="28"/>
          <w:szCs w:val="28"/>
        </w:rPr>
        <w:t xml:space="preserve">Irene, “The Performativity of Motherhood: Embodying Theology and Political Agency,” </w:t>
      </w:r>
      <w:r w:rsidRPr="000A45B0">
        <w:rPr>
          <w:rFonts w:asciiTheme="majorBidi" w:hAnsiTheme="majorBidi" w:cstheme="majorBidi"/>
          <w:i/>
          <w:iCs/>
          <w:sz w:val="28"/>
          <w:szCs w:val="28"/>
        </w:rPr>
        <w:t xml:space="preserve">Journal of the Society of Christian Ethics </w:t>
      </w:r>
      <w:r w:rsidRPr="000A45B0">
        <w:rPr>
          <w:rFonts w:asciiTheme="majorBidi" w:hAnsiTheme="majorBidi" w:cstheme="majorBidi"/>
          <w:sz w:val="28"/>
          <w:szCs w:val="28"/>
        </w:rPr>
        <w:t>29, no. 2 (2009): 3–17.</w:t>
      </w:r>
    </w:p>
    <w:p w14:paraId="78C97936" w14:textId="77777777" w:rsidR="00675253" w:rsidRPr="000A45B0" w:rsidRDefault="00675253" w:rsidP="00675253">
      <w:pPr>
        <w:pStyle w:val="ListParagraph"/>
        <w:numPr>
          <w:ilvl w:val="0"/>
          <w:numId w:val="4"/>
        </w:numPr>
        <w:jc w:val="both"/>
        <w:rPr>
          <w:rFonts w:asciiTheme="majorBidi" w:hAnsiTheme="majorBidi" w:cstheme="majorBidi"/>
          <w:sz w:val="28"/>
          <w:szCs w:val="28"/>
        </w:rPr>
      </w:pPr>
      <w:bookmarkStart w:id="28" w:name="_Hlk10519699"/>
      <w:r>
        <w:rPr>
          <w:rFonts w:asciiTheme="majorBidi" w:hAnsiTheme="majorBidi" w:cstheme="majorBidi"/>
          <w:sz w:val="28"/>
          <w:szCs w:val="28"/>
        </w:rPr>
        <w:t>____.,</w:t>
      </w:r>
      <w:r w:rsidRPr="000A45B0">
        <w:rPr>
          <w:rFonts w:asciiTheme="majorBidi" w:hAnsiTheme="majorBidi" w:cstheme="majorBidi"/>
          <w:sz w:val="28"/>
          <w:szCs w:val="28"/>
        </w:rPr>
        <w:t xml:space="preserve"> “The Performativity of Motherhood: Embodying Theology and Political Agency,” </w:t>
      </w:r>
      <w:r w:rsidRPr="000A45B0">
        <w:rPr>
          <w:rFonts w:asciiTheme="majorBidi" w:hAnsiTheme="majorBidi" w:cstheme="majorBidi"/>
          <w:i/>
          <w:iCs/>
          <w:sz w:val="28"/>
          <w:szCs w:val="28"/>
        </w:rPr>
        <w:t xml:space="preserve">Journal of the Society of Christian Ethics </w:t>
      </w:r>
      <w:r w:rsidRPr="000A45B0">
        <w:rPr>
          <w:rFonts w:asciiTheme="majorBidi" w:hAnsiTheme="majorBidi" w:cstheme="majorBidi"/>
          <w:sz w:val="28"/>
          <w:szCs w:val="28"/>
        </w:rPr>
        <w:t>29, no. 2 (2009): 3–17.</w:t>
      </w:r>
      <w:bookmarkEnd w:id="28"/>
    </w:p>
    <w:p w14:paraId="643BF7C3"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29" w:name="_Hlk10804976"/>
      <w:r w:rsidRPr="000A45B0">
        <w:rPr>
          <w:rFonts w:asciiTheme="majorBidi" w:hAnsiTheme="majorBidi" w:cstheme="majorBidi"/>
          <w:sz w:val="28"/>
          <w:szCs w:val="28"/>
        </w:rPr>
        <w:t>Reeder Jr</w:t>
      </w:r>
      <w:r>
        <w:rPr>
          <w:rFonts w:asciiTheme="majorBidi" w:hAnsiTheme="majorBidi" w:cstheme="majorBidi"/>
          <w:sz w:val="28"/>
          <w:szCs w:val="28"/>
        </w:rPr>
        <w:t xml:space="preserve">, </w:t>
      </w:r>
      <w:r w:rsidRPr="000A45B0">
        <w:rPr>
          <w:rFonts w:asciiTheme="majorBidi" w:hAnsiTheme="majorBidi" w:cstheme="majorBidi"/>
          <w:sz w:val="28"/>
          <w:szCs w:val="28"/>
        </w:rPr>
        <w:t xml:space="preserve">John P., “Religious Ethics as a Field and Discipline,” </w:t>
      </w:r>
      <w:r w:rsidRPr="000A45B0">
        <w:rPr>
          <w:rFonts w:asciiTheme="majorBidi" w:hAnsiTheme="majorBidi" w:cstheme="majorBidi"/>
          <w:i/>
          <w:iCs/>
          <w:sz w:val="28"/>
          <w:szCs w:val="28"/>
        </w:rPr>
        <w:t>The Journal of Religious Ethics</w:t>
      </w:r>
      <w:r w:rsidRPr="000A45B0">
        <w:rPr>
          <w:rFonts w:asciiTheme="majorBidi" w:hAnsiTheme="majorBidi" w:cstheme="majorBidi"/>
          <w:sz w:val="28"/>
          <w:szCs w:val="28"/>
        </w:rPr>
        <w:t xml:space="preserve"> (1978).</w:t>
      </w:r>
      <w:bookmarkEnd w:id="29"/>
    </w:p>
    <w:p w14:paraId="6B9CEA73"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30" w:name="_Hlk10772533"/>
      <w:r w:rsidRPr="000A45B0">
        <w:rPr>
          <w:rFonts w:asciiTheme="majorBidi" w:hAnsiTheme="majorBidi" w:cstheme="majorBidi"/>
          <w:sz w:val="28"/>
          <w:szCs w:val="28"/>
        </w:rPr>
        <w:t xml:space="preserve">Reynolds, Frank “Contrasting Modes of Action: A Comparative Study of Buddhist and Christian Ethics.” </w:t>
      </w:r>
      <w:r w:rsidRPr="000A45B0">
        <w:rPr>
          <w:rFonts w:asciiTheme="majorBidi" w:hAnsiTheme="majorBidi" w:cstheme="majorBidi"/>
          <w:i/>
          <w:iCs/>
          <w:sz w:val="28"/>
          <w:szCs w:val="28"/>
        </w:rPr>
        <w:t>History of Religions</w:t>
      </w:r>
      <w:r w:rsidRPr="000A45B0">
        <w:rPr>
          <w:rFonts w:asciiTheme="majorBidi" w:hAnsiTheme="majorBidi" w:cstheme="majorBidi"/>
          <w:sz w:val="28"/>
          <w:szCs w:val="28"/>
        </w:rPr>
        <w:t xml:space="preserve"> 20 (1986).</w:t>
      </w:r>
      <w:bookmarkEnd w:id="30"/>
    </w:p>
    <w:p w14:paraId="7DDB2C38"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r w:rsidRPr="000A45B0">
        <w:rPr>
          <w:rFonts w:asciiTheme="majorBidi" w:hAnsiTheme="majorBidi" w:cstheme="majorBidi"/>
          <w:sz w:val="28"/>
          <w:szCs w:val="28"/>
        </w:rPr>
        <w:t xml:space="preserve">Roderick </w:t>
      </w:r>
      <w:proofErr w:type="spellStart"/>
      <w:r w:rsidRPr="000A45B0">
        <w:rPr>
          <w:rFonts w:asciiTheme="majorBidi" w:hAnsiTheme="majorBidi" w:cstheme="majorBidi"/>
          <w:sz w:val="28"/>
          <w:szCs w:val="28"/>
        </w:rPr>
        <w:t>Hindery</w:t>
      </w:r>
      <w:proofErr w:type="spellEnd"/>
      <w:r w:rsidRPr="000A45B0">
        <w:rPr>
          <w:rFonts w:asciiTheme="majorBidi" w:hAnsiTheme="majorBidi" w:cstheme="majorBidi"/>
          <w:sz w:val="28"/>
          <w:szCs w:val="28"/>
        </w:rPr>
        <w:t xml:space="preserve">, </w:t>
      </w:r>
      <w:r w:rsidRPr="000A45B0">
        <w:rPr>
          <w:rFonts w:asciiTheme="majorBidi" w:hAnsiTheme="majorBidi" w:cstheme="majorBidi"/>
          <w:i/>
          <w:iCs/>
          <w:sz w:val="28"/>
          <w:szCs w:val="28"/>
        </w:rPr>
        <w:t>Comparative Ethics in Hindu and Buddhist Traditions</w:t>
      </w:r>
      <w:r w:rsidRPr="000A45B0">
        <w:rPr>
          <w:rFonts w:asciiTheme="majorBidi" w:hAnsiTheme="majorBidi" w:cstheme="majorBidi"/>
          <w:sz w:val="28"/>
          <w:szCs w:val="28"/>
        </w:rPr>
        <w:t xml:space="preserve"> (Delhi, India: Motilal </w:t>
      </w:r>
      <w:proofErr w:type="spellStart"/>
      <w:r w:rsidRPr="000A45B0">
        <w:rPr>
          <w:rFonts w:asciiTheme="majorBidi" w:hAnsiTheme="majorBidi" w:cstheme="majorBidi"/>
          <w:sz w:val="28"/>
          <w:szCs w:val="28"/>
        </w:rPr>
        <w:t>Banarsidass</w:t>
      </w:r>
      <w:proofErr w:type="spellEnd"/>
      <w:r w:rsidRPr="000A45B0">
        <w:rPr>
          <w:rFonts w:asciiTheme="majorBidi" w:hAnsiTheme="majorBidi" w:cstheme="majorBidi"/>
          <w:sz w:val="28"/>
          <w:szCs w:val="28"/>
        </w:rPr>
        <w:t>, 1978).</w:t>
      </w:r>
    </w:p>
    <w:p w14:paraId="5C3C56A7"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r w:rsidRPr="000A45B0">
        <w:rPr>
          <w:rFonts w:asciiTheme="majorBidi" w:hAnsiTheme="majorBidi" w:cstheme="majorBidi"/>
          <w:sz w:val="28"/>
          <w:szCs w:val="28"/>
        </w:rPr>
        <w:t xml:space="preserve">Ronald Green, </w:t>
      </w:r>
      <w:r w:rsidRPr="000A45B0">
        <w:rPr>
          <w:rFonts w:asciiTheme="majorBidi" w:hAnsiTheme="majorBidi" w:cstheme="majorBidi"/>
          <w:i/>
          <w:iCs/>
          <w:sz w:val="28"/>
          <w:szCs w:val="28"/>
        </w:rPr>
        <w:t>Religious Reason: The Rational and Moral Basis of Religious Belief</w:t>
      </w:r>
      <w:r w:rsidRPr="000A45B0">
        <w:rPr>
          <w:rFonts w:asciiTheme="majorBidi" w:hAnsiTheme="majorBidi" w:cstheme="majorBidi"/>
          <w:sz w:val="28"/>
          <w:szCs w:val="28"/>
        </w:rPr>
        <w:t xml:space="preserve"> (New York: Oxford University Press, 1978).</w:t>
      </w:r>
    </w:p>
    <w:p w14:paraId="11D53DAE"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lang w:val="en-US"/>
        </w:rPr>
      </w:pPr>
      <w:r w:rsidRPr="000A45B0">
        <w:rPr>
          <w:rFonts w:asciiTheme="majorBidi" w:hAnsiTheme="majorBidi" w:cstheme="majorBidi"/>
          <w:sz w:val="28"/>
          <w:szCs w:val="28"/>
          <w:lang w:val="en-US"/>
        </w:rPr>
        <w:t>Schneider</w:t>
      </w:r>
      <w:r>
        <w:rPr>
          <w:rFonts w:asciiTheme="majorBidi" w:hAnsiTheme="majorBidi" w:cstheme="majorBidi"/>
          <w:sz w:val="28"/>
          <w:szCs w:val="28"/>
          <w:lang w:val="en-US"/>
        </w:rPr>
        <w:t xml:space="preserve">, </w:t>
      </w:r>
      <w:r w:rsidRPr="000A45B0">
        <w:rPr>
          <w:rFonts w:asciiTheme="majorBidi" w:hAnsiTheme="majorBidi" w:cstheme="majorBidi"/>
          <w:sz w:val="28"/>
          <w:szCs w:val="28"/>
          <w:lang w:val="en-US"/>
        </w:rPr>
        <w:t xml:space="preserve">Louis, </w:t>
      </w:r>
      <w:r w:rsidRPr="000A45B0">
        <w:rPr>
          <w:rFonts w:asciiTheme="majorBidi" w:hAnsiTheme="majorBidi" w:cstheme="majorBidi"/>
          <w:i/>
          <w:iCs/>
          <w:sz w:val="28"/>
          <w:szCs w:val="28"/>
          <w:lang w:val="en-US"/>
        </w:rPr>
        <w:t>The Scottish Moralists on Human Nature and Society</w:t>
      </w:r>
      <w:r w:rsidRPr="000A45B0">
        <w:rPr>
          <w:rFonts w:asciiTheme="majorBidi" w:hAnsiTheme="majorBidi" w:cstheme="majorBidi"/>
          <w:sz w:val="28"/>
          <w:szCs w:val="28"/>
          <w:lang w:val="en-US"/>
        </w:rPr>
        <w:t>, (Chicago: Chicago University Press, 1967)</w:t>
      </w:r>
      <w:r>
        <w:rPr>
          <w:rFonts w:asciiTheme="majorBidi" w:hAnsiTheme="majorBidi" w:cstheme="majorBidi"/>
          <w:sz w:val="28"/>
          <w:szCs w:val="28"/>
          <w:lang w:val="en-US"/>
        </w:rPr>
        <w:t>.</w:t>
      </w:r>
    </w:p>
    <w:p w14:paraId="3CABFD19"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proofErr w:type="spellStart"/>
      <w:r w:rsidRPr="000A45B0">
        <w:rPr>
          <w:rFonts w:asciiTheme="majorBidi" w:hAnsiTheme="majorBidi" w:cstheme="majorBidi"/>
          <w:sz w:val="28"/>
          <w:szCs w:val="28"/>
        </w:rPr>
        <w:t>Schofer</w:t>
      </w:r>
      <w:proofErr w:type="spellEnd"/>
      <w:r>
        <w:rPr>
          <w:rFonts w:asciiTheme="majorBidi" w:hAnsiTheme="majorBidi" w:cstheme="majorBidi"/>
          <w:sz w:val="28"/>
          <w:szCs w:val="28"/>
        </w:rPr>
        <w:t xml:space="preserve">, </w:t>
      </w:r>
      <w:r w:rsidRPr="000A45B0">
        <w:rPr>
          <w:rFonts w:asciiTheme="majorBidi" w:hAnsiTheme="majorBidi" w:cstheme="majorBidi"/>
          <w:sz w:val="28"/>
          <w:szCs w:val="28"/>
        </w:rPr>
        <w:t xml:space="preserve">Jonathan W., “The Redaction of Desire: Structure and Editing of Rabbinic Teachings Concerning </w:t>
      </w:r>
      <w:proofErr w:type="spellStart"/>
      <w:r w:rsidRPr="000A45B0">
        <w:rPr>
          <w:rFonts w:asciiTheme="majorBidi" w:hAnsiTheme="majorBidi" w:cstheme="majorBidi"/>
          <w:i/>
          <w:iCs/>
          <w:sz w:val="28"/>
          <w:szCs w:val="28"/>
        </w:rPr>
        <w:t>Yeser</w:t>
      </w:r>
      <w:proofErr w:type="spellEnd"/>
      <w:r w:rsidRPr="000A45B0">
        <w:rPr>
          <w:rFonts w:asciiTheme="majorBidi" w:hAnsiTheme="majorBidi" w:cstheme="majorBidi"/>
          <w:i/>
          <w:iCs/>
          <w:sz w:val="28"/>
          <w:szCs w:val="28"/>
        </w:rPr>
        <w:t xml:space="preserve"> </w:t>
      </w:r>
      <w:r w:rsidRPr="000A45B0">
        <w:rPr>
          <w:rFonts w:asciiTheme="majorBidi" w:hAnsiTheme="majorBidi" w:cstheme="majorBidi"/>
          <w:sz w:val="28"/>
          <w:szCs w:val="28"/>
        </w:rPr>
        <w:t xml:space="preserve">(Inclination),” </w:t>
      </w:r>
      <w:r w:rsidRPr="000A45B0">
        <w:rPr>
          <w:rFonts w:asciiTheme="majorBidi" w:hAnsiTheme="majorBidi" w:cstheme="majorBidi"/>
          <w:i/>
          <w:iCs/>
          <w:sz w:val="28"/>
          <w:szCs w:val="28"/>
        </w:rPr>
        <w:t xml:space="preserve">Journal of Jewish Thought and Philosophy </w:t>
      </w:r>
      <w:r w:rsidRPr="000A45B0">
        <w:rPr>
          <w:rFonts w:asciiTheme="majorBidi" w:hAnsiTheme="majorBidi" w:cstheme="majorBidi"/>
          <w:sz w:val="28"/>
          <w:szCs w:val="28"/>
        </w:rPr>
        <w:t>12, no. 1 (2003): 19–53.</w:t>
      </w:r>
    </w:p>
    <w:p w14:paraId="2D198D76"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r>
        <w:rPr>
          <w:rFonts w:asciiTheme="majorBidi" w:hAnsiTheme="majorBidi" w:cstheme="majorBidi"/>
          <w:sz w:val="28"/>
          <w:szCs w:val="28"/>
        </w:rPr>
        <w:t xml:space="preserve">____., </w:t>
      </w:r>
      <w:r w:rsidRPr="000A45B0">
        <w:rPr>
          <w:rFonts w:asciiTheme="majorBidi" w:hAnsiTheme="majorBidi" w:cstheme="majorBidi"/>
          <w:i/>
          <w:iCs/>
          <w:sz w:val="28"/>
          <w:szCs w:val="28"/>
        </w:rPr>
        <w:t xml:space="preserve">The Making of a Sage: A Study in Rabbinic Ethics </w:t>
      </w:r>
      <w:r w:rsidRPr="000A45B0">
        <w:rPr>
          <w:rFonts w:asciiTheme="majorBidi" w:hAnsiTheme="majorBidi" w:cstheme="majorBidi"/>
          <w:sz w:val="28"/>
          <w:szCs w:val="28"/>
        </w:rPr>
        <w:t xml:space="preserve">(Madison: University of Wisconsin Press, 2004). </w:t>
      </w:r>
    </w:p>
    <w:p w14:paraId="4854B87D"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Pr>
          <w:rFonts w:asciiTheme="majorBidi" w:hAnsiTheme="majorBidi" w:cstheme="majorBidi"/>
          <w:sz w:val="28"/>
          <w:szCs w:val="28"/>
        </w:rPr>
        <w:t xml:space="preserve">____., </w:t>
      </w:r>
      <w:r w:rsidRPr="000A45B0">
        <w:rPr>
          <w:rFonts w:asciiTheme="majorBidi" w:hAnsiTheme="majorBidi" w:cstheme="majorBidi"/>
          <w:i/>
          <w:iCs/>
          <w:sz w:val="28"/>
          <w:szCs w:val="28"/>
        </w:rPr>
        <w:t>The Making of a Sage</w:t>
      </w:r>
      <w:r w:rsidRPr="000A45B0">
        <w:rPr>
          <w:rFonts w:asciiTheme="majorBidi" w:hAnsiTheme="majorBidi" w:cstheme="majorBidi"/>
          <w:sz w:val="28"/>
          <w:szCs w:val="28"/>
        </w:rPr>
        <w:t xml:space="preserve">; Aaron Stalnaker, </w:t>
      </w:r>
      <w:r w:rsidRPr="000A45B0">
        <w:rPr>
          <w:rFonts w:asciiTheme="majorBidi" w:hAnsiTheme="majorBidi" w:cstheme="majorBidi"/>
          <w:i/>
          <w:iCs/>
          <w:sz w:val="28"/>
          <w:szCs w:val="28"/>
        </w:rPr>
        <w:t>Overcoming Our</w:t>
      </w:r>
      <w:r w:rsidRPr="000A45B0">
        <w:rPr>
          <w:rFonts w:asciiTheme="majorBidi" w:hAnsiTheme="majorBidi" w:cstheme="majorBidi"/>
          <w:sz w:val="28"/>
          <w:szCs w:val="28"/>
        </w:rPr>
        <w:t xml:space="preserve"> </w:t>
      </w:r>
      <w:r w:rsidRPr="000A45B0">
        <w:rPr>
          <w:rFonts w:asciiTheme="majorBidi" w:hAnsiTheme="majorBidi" w:cstheme="majorBidi"/>
          <w:i/>
          <w:iCs/>
          <w:sz w:val="28"/>
          <w:szCs w:val="28"/>
        </w:rPr>
        <w:t xml:space="preserve">Evil: Human Nature and Spiritual Exercises in </w:t>
      </w:r>
      <w:proofErr w:type="spellStart"/>
      <w:r w:rsidRPr="000A45B0">
        <w:rPr>
          <w:rFonts w:asciiTheme="majorBidi" w:hAnsiTheme="majorBidi" w:cstheme="majorBidi"/>
          <w:i/>
          <w:iCs/>
          <w:sz w:val="28"/>
          <w:szCs w:val="28"/>
        </w:rPr>
        <w:t>Xunzi</w:t>
      </w:r>
      <w:proofErr w:type="spellEnd"/>
      <w:r w:rsidRPr="000A45B0">
        <w:rPr>
          <w:rFonts w:asciiTheme="majorBidi" w:hAnsiTheme="majorBidi" w:cstheme="majorBidi"/>
          <w:i/>
          <w:iCs/>
          <w:sz w:val="28"/>
          <w:szCs w:val="28"/>
        </w:rPr>
        <w:t xml:space="preserve"> and Augustine</w:t>
      </w:r>
      <w:r w:rsidRPr="000A45B0">
        <w:rPr>
          <w:rFonts w:asciiTheme="majorBidi" w:hAnsiTheme="majorBidi" w:cstheme="majorBidi"/>
          <w:sz w:val="28"/>
          <w:szCs w:val="28"/>
        </w:rPr>
        <w:t xml:space="preserve"> (Georgetown University Press, 2006)</w:t>
      </w:r>
      <w:r>
        <w:rPr>
          <w:rFonts w:asciiTheme="majorBidi" w:hAnsiTheme="majorBidi" w:cstheme="majorBidi"/>
          <w:sz w:val="28"/>
          <w:szCs w:val="28"/>
        </w:rPr>
        <w:t>.</w:t>
      </w:r>
    </w:p>
    <w:p w14:paraId="75367E54"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sidRPr="000A45B0">
        <w:rPr>
          <w:rFonts w:asciiTheme="majorBidi" w:hAnsiTheme="majorBidi" w:cstheme="majorBidi"/>
          <w:sz w:val="28"/>
          <w:szCs w:val="28"/>
        </w:rPr>
        <w:lastRenderedPageBreak/>
        <w:t>Stalnaker</w:t>
      </w:r>
      <w:r>
        <w:rPr>
          <w:rFonts w:asciiTheme="majorBidi" w:hAnsiTheme="majorBidi" w:cstheme="majorBidi"/>
          <w:sz w:val="28"/>
          <w:szCs w:val="28"/>
        </w:rPr>
        <w:t xml:space="preserve">, </w:t>
      </w:r>
      <w:r w:rsidRPr="000A45B0">
        <w:rPr>
          <w:rFonts w:asciiTheme="majorBidi" w:hAnsiTheme="majorBidi" w:cstheme="majorBidi"/>
          <w:sz w:val="28"/>
          <w:szCs w:val="28"/>
        </w:rPr>
        <w:t xml:space="preserve">Aaron, “Virtue as Mastery in Early Confucianism,” </w:t>
      </w:r>
      <w:r w:rsidRPr="000A45B0">
        <w:rPr>
          <w:rFonts w:asciiTheme="majorBidi" w:hAnsiTheme="majorBidi" w:cstheme="majorBidi"/>
          <w:i/>
          <w:iCs/>
          <w:sz w:val="28"/>
          <w:szCs w:val="28"/>
        </w:rPr>
        <w:t xml:space="preserve">Journal of Religious Ethics </w:t>
      </w:r>
      <w:r w:rsidRPr="000A45B0">
        <w:rPr>
          <w:rFonts w:asciiTheme="majorBidi" w:hAnsiTheme="majorBidi" w:cstheme="majorBidi"/>
          <w:sz w:val="28"/>
          <w:szCs w:val="28"/>
        </w:rPr>
        <w:t xml:space="preserve">38, no. 3 (2010): 404–428; Aaron Stalnaker, “Spiritual Exercises and the Grace of God: Paradoxes of Personal Formation in Augustine,” </w:t>
      </w:r>
      <w:r w:rsidRPr="000A45B0">
        <w:rPr>
          <w:rFonts w:asciiTheme="majorBidi" w:hAnsiTheme="majorBidi" w:cstheme="majorBidi"/>
          <w:i/>
          <w:iCs/>
          <w:sz w:val="28"/>
          <w:szCs w:val="28"/>
        </w:rPr>
        <w:t>Journal of</w:t>
      </w:r>
      <w:r w:rsidRPr="000A45B0">
        <w:rPr>
          <w:rFonts w:asciiTheme="majorBidi" w:hAnsiTheme="majorBidi" w:cstheme="majorBidi"/>
          <w:sz w:val="28"/>
          <w:szCs w:val="28"/>
        </w:rPr>
        <w:t xml:space="preserve"> </w:t>
      </w:r>
      <w:r w:rsidRPr="000A45B0">
        <w:rPr>
          <w:rFonts w:asciiTheme="majorBidi" w:hAnsiTheme="majorBidi" w:cstheme="majorBidi"/>
          <w:i/>
          <w:iCs/>
          <w:sz w:val="28"/>
          <w:szCs w:val="28"/>
        </w:rPr>
        <w:t xml:space="preserve">the Society of Christian Ethics </w:t>
      </w:r>
      <w:r w:rsidRPr="000A45B0">
        <w:rPr>
          <w:rFonts w:asciiTheme="majorBidi" w:hAnsiTheme="majorBidi" w:cstheme="majorBidi"/>
          <w:sz w:val="28"/>
          <w:szCs w:val="28"/>
        </w:rPr>
        <w:t>24, no. 2 (2004): 137–170.</w:t>
      </w:r>
    </w:p>
    <w:p w14:paraId="4699646F"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31" w:name="_Hlk10779496"/>
      <w:r w:rsidRPr="000A45B0">
        <w:rPr>
          <w:rFonts w:asciiTheme="majorBidi" w:hAnsiTheme="majorBidi" w:cstheme="majorBidi"/>
          <w:sz w:val="28"/>
          <w:szCs w:val="28"/>
        </w:rPr>
        <w:t xml:space="preserve">Stout, “Weber’s Progeny, Once Removed.” </w:t>
      </w:r>
      <w:r w:rsidRPr="000A45B0">
        <w:rPr>
          <w:rFonts w:asciiTheme="majorBidi" w:hAnsiTheme="majorBidi" w:cstheme="majorBidi"/>
          <w:i/>
          <w:iCs/>
          <w:sz w:val="28"/>
          <w:szCs w:val="28"/>
        </w:rPr>
        <w:t xml:space="preserve">Religious Studies Review </w:t>
      </w:r>
      <w:r w:rsidRPr="000A45B0">
        <w:rPr>
          <w:rFonts w:asciiTheme="majorBidi" w:hAnsiTheme="majorBidi" w:cstheme="majorBidi"/>
          <w:sz w:val="28"/>
          <w:szCs w:val="28"/>
        </w:rPr>
        <w:t>6(1980)</w:t>
      </w:r>
      <w:bookmarkEnd w:id="31"/>
      <w:r>
        <w:rPr>
          <w:rFonts w:asciiTheme="majorBidi" w:hAnsiTheme="majorBidi" w:cstheme="majorBidi"/>
          <w:sz w:val="28"/>
          <w:szCs w:val="28"/>
        </w:rPr>
        <w:t>.</w:t>
      </w:r>
    </w:p>
    <w:p w14:paraId="05AEE359"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sidRPr="000A45B0">
        <w:rPr>
          <w:rFonts w:asciiTheme="majorBidi" w:hAnsiTheme="majorBidi" w:cstheme="majorBidi"/>
          <w:sz w:val="28"/>
          <w:szCs w:val="28"/>
        </w:rPr>
        <w:t xml:space="preserve">Thomas A. Lewis, “Actions as the Ties That Bind: Love, Praxis, and Community in the Thought of Gustavo Gutierrez,” </w:t>
      </w:r>
      <w:r w:rsidRPr="000A45B0">
        <w:rPr>
          <w:rFonts w:asciiTheme="majorBidi" w:hAnsiTheme="majorBidi" w:cstheme="majorBidi"/>
          <w:i/>
          <w:iCs/>
          <w:sz w:val="28"/>
          <w:szCs w:val="28"/>
        </w:rPr>
        <w:t xml:space="preserve">Journal of Religious Ethics </w:t>
      </w:r>
      <w:r w:rsidRPr="000A45B0">
        <w:rPr>
          <w:rFonts w:asciiTheme="majorBidi" w:hAnsiTheme="majorBidi" w:cstheme="majorBidi"/>
          <w:sz w:val="28"/>
          <w:szCs w:val="28"/>
        </w:rPr>
        <w:t>33, no. 3 (2005): 539–567</w:t>
      </w:r>
      <w:r>
        <w:rPr>
          <w:rFonts w:asciiTheme="majorBidi" w:hAnsiTheme="majorBidi" w:cstheme="majorBidi"/>
          <w:sz w:val="28"/>
          <w:szCs w:val="28"/>
        </w:rPr>
        <w:t>.</w:t>
      </w:r>
    </w:p>
    <w:p w14:paraId="21548BD3"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Pr>
          <w:rFonts w:asciiTheme="majorBidi" w:hAnsiTheme="majorBidi" w:cstheme="majorBidi"/>
          <w:sz w:val="28"/>
          <w:szCs w:val="28"/>
        </w:rPr>
        <w:t>____.,</w:t>
      </w:r>
      <w:r w:rsidRPr="000A45B0">
        <w:rPr>
          <w:rFonts w:asciiTheme="majorBidi" w:hAnsiTheme="majorBidi" w:cstheme="majorBidi"/>
          <w:sz w:val="28"/>
          <w:szCs w:val="28"/>
        </w:rPr>
        <w:t xml:space="preserve"> “Frames of Comparison: Anthropology and Inheriting Traditional Practices”</w:t>
      </w:r>
      <w:r>
        <w:rPr>
          <w:rFonts w:asciiTheme="majorBidi" w:hAnsiTheme="majorBidi" w:cstheme="majorBidi"/>
          <w:sz w:val="28"/>
          <w:szCs w:val="28"/>
        </w:rPr>
        <w:t xml:space="preserve"> </w:t>
      </w:r>
      <w:r w:rsidRPr="000A45B0">
        <w:rPr>
          <w:rFonts w:asciiTheme="majorBidi" w:hAnsiTheme="majorBidi" w:cstheme="majorBidi"/>
          <w:sz w:val="28"/>
          <w:szCs w:val="28"/>
        </w:rPr>
        <w:t>(2005).</w:t>
      </w:r>
    </w:p>
    <w:p w14:paraId="4384E3DC"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sidRPr="000A45B0">
        <w:rPr>
          <w:rFonts w:asciiTheme="majorBidi" w:hAnsiTheme="majorBidi" w:cstheme="majorBidi"/>
          <w:sz w:val="28"/>
          <w:szCs w:val="28"/>
        </w:rPr>
        <w:t xml:space="preserve">Thomas A. Lewis, “Speaking of Habits: The Role of Language in Moving from Habit to Freedom,” </w:t>
      </w:r>
      <w:r w:rsidRPr="000A45B0">
        <w:rPr>
          <w:rFonts w:asciiTheme="majorBidi" w:hAnsiTheme="majorBidi" w:cstheme="majorBidi"/>
          <w:i/>
          <w:iCs/>
          <w:sz w:val="28"/>
          <w:szCs w:val="28"/>
        </w:rPr>
        <w:t xml:space="preserve">Owl of Minerva </w:t>
      </w:r>
      <w:r w:rsidRPr="000A45B0">
        <w:rPr>
          <w:rFonts w:asciiTheme="majorBidi" w:hAnsiTheme="majorBidi" w:cstheme="majorBidi"/>
          <w:sz w:val="28"/>
          <w:szCs w:val="28"/>
        </w:rPr>
        <w:t>39, no. 1–2 (2007–2008): 25–54</w:t>
      </w:r>
      <w:r>
        <w:rPr>
          <w:rFonts w:asciiTheme="majorBidi" w:hAnsiTheme="majorBidi" w:cstheme="majorBidi"/>
          <w:sz w:val="28"/>
          <w:szCs w:val="28"/>
        </w:rPr>
        <w:t>.</w:t>
      </w:r>
    </w:p>
    <w:p w14:paraId="5C265054"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Pr>
          <w:rFonts w:asciiTheme="majorBidi" w:hAnsiTheme="majorBidi" w:cstheme="majorBidi"/>
          <w:sz w:val="28"/>
          <w:szCs w:val="28"/>
        </w:rPr>
        <w:t xml:space="preserve">____., </w:t>
      </w:r>
      <w:r w:rsidRPr="000A45B0">
        <w:rPr>
          <w:rFonts w:asciiTheme="majorBidi" w:hAnsiTheme="majorBidi" w:cstheme="majorBidi"/>
          <w:i/>
          <w:iCs/>
          <w:sz w:val="28"/>
          <w:szCs w:val="28"/>
        </w:rPr>
        <w:t xml:space="preserve">Freedom and Tradition in Hegel: Reconsidering Anthropology, Ethics, and Religion </w:t>
      </w:r>
      <w:r w:rsidRPr="000A45B0">
        <w:rPr>
          <w:rFonts w:asciiTheme="majorBidi" w:hAnsiTheme="majorBidi" w:cstheme="majorBidi"/>
          <w:sz w:val="28"/>
          <w:szCs w:val="28"/>
        </w:rPr>
        <w:t>(Notre Dame: University of Notre Dame Press, 2005)</w:t>
      </w:r>
      <w:r>
        <w:rPr>
          <w:rFonts w:asciiTheme="majorBidi" w:hAnsiTheme="majorBidi" w:cstheme="majorBidi"/>
          <w:sz w:val="28"/>
          <w:szCs w:val="28"/>
        </w:rPr>
        <w:t>.</w:t>
      </w:r>
    </w:p>
    <w:p w14:paraId="44E48573" w14:textId="77777777" w:rsidR="00675253" w:rsidRPr="000A45B0" w:rsidRDefault="00675253" w:rsidP="00675253">
      <w:pPr>
        <w:pStyle w:val="ListParagraph"/>
        <w:numPr>
          <w:ilvl w:val="0"/>
          <w:numId w:val="4"/>
        </w:numPr>
        <w:jc w:val="both"/>
        <w:rPr>
          <w:rFonts w:asciiTheme="majorBidi" w:hAnsiTheme="majorBidi" w:cstheme="majorBidi"/>
          <w:sz w:val="28"/>
          <w:szCs w:val="28"/>
        </w:rPr>
      </w:pPr>
      <w:r w:rsidRPr="000A45B0">
        <w:rPr>
          <w:rFonts w:asciiTheme="majorBidi" w:hAnsiTheme="majorBidi" w:cstheme="majorBidi"/>
          <w:sz w:val="28"/>
          <w:szCs w:val="28"/>
        </w:rPr>
        <w:t xml:space="preserve">Thomas A. Lewis, </w:t>
      </w:r>
      <w:r w:rsidRPr="000A45B0">
        <w:rPr>
          <w:rFonts w:asciiTheme="majorBidi" w:hAnsiTheme="majorBidi" w:cstheme="majorBidi"/>
          <w:i/>
          <w:iCs/>
          <w:sz w:val="28"/>
          <w:szCs w:val="28"/>
        </w:rPr>
        <w:t>Religion, Modernity, and Politics in Hegel</w:t>
      </w:r>
      <w:r>
        <w:rPr>
          <w:rFonts w:asciiTheme="majorBidi" w:hAnsiTheme="majorBidi" w:cstheme="majorBidi"/>
          <w:i/>
          <w:iCs/>
          <w:sz w:val="28"/>
          <w:szCs w:val="28"/>
        </w:rPr>
        <w:t xml:space="preserve"> </w:t>
      </w:r>
      <w:r w:rsidRPr="000A45B0">
        <w:rPr>
          <w:rFonts w:asciiTheme="majorBidi" w:hAnsiTheme="majorBidi" w:cstheme="majorBidi"/>
          <w:sz w:val="28"/>
          <w:szCs w:val="28"/>
        </w:rPr>
        <w:t>(2011)</w:t>
      </w:r>
      <w:r>
        <w:rPr>
          <w:rFonts w:asciiTheme="majorBidi" w:hAnsiTheme="majorBidi" w:cstheme="majorBidi"/>
          <w:sz w:val="28"/>
          <w:szCs w:val="28"/>
        </w:rPr>
        <w:t>.</w:t>
      </w:r>
      <w:r w:rsidRPr="000A45B0">
        <w:rPr>
          <w:rFonts w:asciiTheme="majorBidi" w:hAnsiTheme="majorBidi" w:cstheme="majorBidi"/>
          <w:sz w:val="28"/>
          <w:szCs w:val="28"/>
        </w:rPr>
        <w:t xml:space="preserve"> </w:t>
      </w:r>
    </w:p>
    <w:p w14:paraId="0DE06BF1"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32" w:name="_Hlk10805393"/>
      <w:r w:rsidRPr="000A45B0">
        <w:rPr>
          <w:rFonts w:asciiTheme="majorBidi" w:hAnsiTheme="majorBidi" w:cstheme="majorBidi"/>
          <w:sz w:val="28"/>
          <w:szCs w:val="28"/>
        </w:rPr>
        <w:t xml:space="preserve">Twiss, Sumner B. “Four Paradigms in Teaching Comparative Religious Ethics.” In </w:t>
      </w:r>
      <w:r w:rsidRPr="000A45B0">
        <w:rPr>
          <w:rFonts w:asciiTheme="majorBidi" w:hAnsiTheme="majorBidi" w:cstheme="majorBidi"/>
          <w:i/>
          <w:iCs/>
          <w:sz w:val="28"/>
          <w:szCs w:val="28"/>
        </w:rPr>
        <w:t xml:space="preserve">Explorations in Global ethics: Comparative Religious Ethics and Interreligious Dialogue, </w:t>
      </w:r>
      <w:r w:rsidRPr="000A45B0">
        <w:rPr>
          <w:rFonts w:asciiTheme="majorBidi" w:hAnsiTheme="majorBidi" w:cstheme="majorBidi"/>
          <w:sz w:val="28"/>
          <w:szCs w:val="28"/>
        </w:rPr>
        <w:t xml:space="preserve">eds., Sumner B. Twiss and Bruce </w:t>
      </w:r>
      <w:proofErr w:type="spellStart"/>
      <w:r w:rsidRPr="000A45B0">
        <w:rPr>
          <w:rFonts w:asciiTheme="majorBidi" w:hAnsiTheme="majorBidi" w:cstheme="majorBidi"/>
          <w:sz w:val="28"/>
          <w:szCs w:val="28"/>
        </w:rPr>
        <w:t>Grelle</w:t>
      </w:r>
      <w:proofErr w:type="spellEnd"/>
      <w:r w:rsidRPr="000A45B0">
        <w:rPr>
          <w:rFonts w:asciiTheme="majorBidi" w:hAnsiTheme="majorBidi" w:cstheme="majorBidi"/>
          <w:sz w:val="28"/>
          <w:szCs w:val="28"/>
        </w:rPr>
        <w:t>, (</w:t>
      </w:r>
      <w:r w:rsidRPr="000A45B0">
        <w:rPr>
          <w:rFonts w:asciiTheme="majorBidi" w:hAnsiTheme="majorBidi" w:cstheme="majorBidi"/>
          <w:color w:val="000000"/>
          <w:sz w:val="28"/>
          <w:szCs w:val="28"/>
          <w:shd w:val="clear" w:color="auto" w:fill="FFFFFF"/>
        </w:rPr>
        <w:t>Boulder, Colo: Westview Press, 2000).</w:t>
      </w:r>
      <w:bookmarkEnd w:id="32"/>
    </w:p>
    <w:p w14:paraId="7599A3E3"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33" w:name="_Hlk10766633"/>
      <w:r>
        <w:rPr>
          <w:rFonts w:asciiTheme="majorBidi" w:hAnsiTheme="majorBidi" w:cstheme="majorBidi"/>
          <w:sz w:val="28"/>
          <w:szCs w:val="28"/>
        </w:rPr>
        <w:t xml:space="preserve">____., </w:t>
      </w:r>
      <w:r w:rsidRPr="000A45B0">
        <w:rPr>
          <w:rFonts w:asciiTheme="majorBidi" w:hAnsiTheme="majorBidi" w:cstheme="majorBidi"/>
          <w:sz w:val="28"/>
          <w:szCs w:val="28"/>
        </w:rPr>
        <w:t xml:space="preserve">"Comparison in Religious Ethics", in </w:t>
      </w:r>
      <w:r w:rsidRPr="000A45B0">
        <w:rPr>
          <w:rFonts w:asciiTheme="majorBidi" w:hAnsiTheme="majorBidi" w:cstheme="majorBidi"/>
          <w:i/>
          <w:iCs/>
          <w:sz w:val="28"/>
          <w:szCs w:val="28"/>
        </w:rPr>
        <w:t>The Blackwell Companion to Religious Ethics</w:t>
      </w:r>
      <w:r w:rsidRPr="000A45B0">
        <w:rPr>
          <w:rFonts w:asciiTheme="majorBidi" w:hAnsiTheme="majorBidi" w:cstheme="majorBidi"/>
          <w:sz w:val="28"/>
          <w:szCs w:val="28"/>
        </w:rPr>
        <w:t xml:space="preserve">, ed. William </w:t>
      </w:r>
      <w:proofErr w:type="spellStart"/>
      <w:r w:rsidRPr="000A45B0">
        <w:rPr>
          <w:rFonts w:asciiTheme="majorBidi" w:hAnsiTheme="majorBidi" w:cstheme="majorBidi"/>
          <w:sz w:val="28"/>
          <w:szCs w:val="28"/>
        </w:rPr>
        <w:t>Schwieker</w:t>
      </w:r>
      <w:proofErr w:type="spellEnd"/>
      <w:r w:rsidRPr="000A45B0">
        <w:rPr>
          <w:rFonts w:asciiTheme="majorBidi" w:hAnsiTheme="majorBidi" w:cstheme="majorBidi"/>
          <w:sz w:val="28"/>
          <w:szCs w:val="28"/>
        </w:rPr>
        <w:t>, (Malden, MA: Blackwell, 2005)</w:t>
      </w:r>
      <w:bookmarkEnd w:id="33"/>
      <w:r>
        <w:rPr>
          <w:rFonts w:asciiTheme="majorBidi" w:hAnsiTheme="majorBidi" w:cstheme="majorBidi"/>
          <w:sz w:val="28"/>
          <w:szCs w:val="28"/>
        </w:rPr>
        <w:t>.</w:t>
      </w:r>
    </w:p>
    <w:p w14:paraId="2231232B"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lang w:val="en-US"/>
        </w:rPr>
      </w:pPr>
      <w:r w:rsidRPr="000A45B0">
        <w:rPr>
          <w:rFonts w:asciiTheme="majorBidi" w:hAnsiTheme="majorBidi" w:cstheme="majorBidi"/>
          <w:sz w:val="28"/>
          <w:szCs w:val="28"/>
          <w:lang w:val="en-US"/>
        </w:rPr>
        <w:t>Weber</w:t>
      </w:r>
      <w:r>
        <w:rPr>
          <w:rFonts w:asciiTheme="majorBidi" w:hAnsiTheme="majorBidi" w:cstheme="majorBidi"/>
          <w:sz w:val="28"/>
          <w:szCs w:val="28"/>
          <w:lang w:val="en-US"/>
        </w:rPr>
        <w:t xml:space="preserve">, </w:t>
      </w:r>
      <w:r w:rsidRPr="000A45B0">
        <w:rPr>
          <w:rFonts w:asciiTheme="majorBidi" w:hAnsiTheme="majorBidi" w:cstheme="majorBidi"/>
          <w:sz w:val="28"/>
          <w:szCs w:val="28"/>
          <w:lang w:val="en-US"/>
        </w:rPr>
        <w:t xml:space="preserve">Max, </w:t>
      </w:r>
      <w:r w:rsidRPr="000A45B0">
        <w:rPr>
          <w:rFonts w:asciiTheme="majorBidi" w:hAnsiTheme="majorBidi" w:cstheme="majorBidi"/>
          <w:i/>
          <w:iCs/>
          <w:sz w:val="28"/>
          <w:szCs w:val="28"/>
          <w:lang w:val="en-US"/>
        </w:rPr>
        <w:t>The Sociology of Religion</w:t>
      </w:r>
      <w:r w:rsidRPr="000A45B0">
        <w:rPr>
          <w:rFonts w:asciiTheme="majorBidi" w:hAnsiTheme="majorBidi" w:cstheme="majorBidi"/>
          <w:sz w:val="28"/>
          <w:szCs w:val="28"/>
          <w:lang w:val="en-US"/>
        </w:rPr>
        <w:t>, (Boston: Beacon Press, 1993)</w:t>
      </w:r>
      <w:r>
        <w:rPr>
          <w:rFonts w:asciiTheme="majorBidi" w:hAnsiTheme="majorBidi" w:cstheme="majorBidi"/>
          <w:sz w:val="28"/>
          <w:szCs w:val="28"/>
          <w:lang w:val="en-US"/>
        </w:rPr>
        <w:t>.</w:t>
      </w:r>
    </w:p>
    <w:p w14:paraId="521EEB15" w14:textId="77777777" w:rsidR="00675253" w:rsidRPr="000A45B0" w:rsidRDefault="00675253" w:rsidP="00675253">
      <w:pPr>
        <w:pStyle w:val="ListParagraph"/>
        <w:numPr>
          <w:ilvl w:val="0"/>
          <w:numId w:val="4"/>
        </w:numPr>
        <w:spacing w:line="360" w:lineRule="auto"/>
        <w:jc w:val="both"/>
        <w:rPr>
          <w:rFonts w:asciiTheme="majorBidi" w:hAnsiTheme="majorBidi" w:cstheme="majorBidi"/>
          <w:sz w:val="28"/>
          <w:szCs w:val="28"/>
        </w:rPr>
      </w:pPr>
      <w:bookmarkStart w:id="34" w:name="_Hlk10771464"/>
      <w:r>
        <w:rPr>
          <w:rFonts w:asciiTheme="majorBidi" w:hAnsiTheme="majorBidi" w:cstheme="majorBidi"/>
          <w:sz w:val="28"/>
          <w:szCs w:val="28"/>
        </w:rPr>
        <w:t xml:space="preserve">____., </w:t>
      </w:r>
      <w:r w:rsidRPr="000A45B0">
        <w:rPr>
          <w:rFonts w:asciiTheme="majorBidi" w:hAnsiTheme="majorBidi" w:cstheme="majorBidi"/>
          <w:i/>
          <w:iCs/>
          <w:sz w:val="28"/>
          <w:szCs w:val="28"/>
        </w:rPr>
        <w:t>The Religion of India</w:t>
      </w:r>
      <w:r w:rsidRPr="000A45B0">
        <w:rPr>
          <w:rFonts w:asciiTheme="majorBidi" w:hAnsiTheme="majorBidi" w:cstheme="majorBidi"/>
          <w:sz w:val="28"/>
          <w:szCs w:val="28"/>
        </w:rPr>
        <w:t xml:space="preserve">, (New York: </w:t>
      </w:r>
      <w:proofErr w:type="gramStart"/>
      <w:r w:rsidRPr="000A45B0">
        <w:rPr>
          <w:rFonts w:asciiTheme="majorBidi" w:hAnsiTheme="majorBidi" w:cstheme="majorBidi"/>
          <w:sz w:val="28"/>
          <w:szCs w:val="28"/>
        </w:rPr>
        <w:t>the</w:t>
      </w:r>
      <w:proofErr w:type="gramEnd"/>
      <w:r w:rsidRPr="000A45B0">
        <w:rPr>
          <w:rFonts w:asciiTheme="majorBidi" w:hAnsiTheme="majorBidi" w:cstheme="majorBidi"/>
          <w:sz w:val="28"/>
          <w:szCs w:val="28"/>
        </w:rPr>
        <w:t xml:space="preserve"> Free Press, 1958</w:t>
      </w:r>
      <w:bookmarkEnd w:id="34"/>
      <w:r>
        <w:rPr>
          <w:rFonts w:asciiTheme="majorBidi" w:hAnsiTheme="majorBidi" w:cstheme="majorBidi"/>
          <w:sz w:val="28"/>
          <w:szCs w:val="28"/>
        </w:rPr>
        <w:t>).</w:t>
      </w:r>
    </w:p>
    <w:p w14:paraId="79FC41A6" w14:textId="77777777" w:rsidR="00675253" w:rsidRPr="00E17C2A" w:rsidRDefault="00675253" w:rsidP="00E17C2A">
      <w:pPr>
        <w:pStyle w:val="Write"/>
        <w:rPr>
          <w:b/>
          <w:bCs/>
          <w:lang w:bidi="ar-EG"/>
        </w:rPr>
      </w:pPr>
    </w:p>
    <w:p w14:paraId="65A43E53" w14:textId="77777777" w:rsidR="00036B75" w:rsidRPr="00E17C2A" w:rsidRDefault="00036B75" w:rsidP="00E17C2A">
      <w:pPr>
        <w:pStyle w:val="Write"/>
        <w:rPr>
          <w:lang w:bidi="ar-EG"/>
        </w:rPr>
      </w:pPr>
    </w:p>
    <w:sectPr w:rsidR="00036B75" w:rsidRPr="00E17C2A">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94994" w14:textId="77777777" w:rsidR="002B1DB2" w:rsidRDefault="002B1DB2" w:rsidP="00E92F0A">
      <w:pPr>
        <w:spacing w:after="0" w:line="240" w:lineRule="auto"/>
      </w:pPr>
      <w:r>
        <w:separator/>
      </w:r>
    </w:p>
  </w:endnote>
  <w:endnote w:type="continuationSeparator" w:id="0">
    <w:p w14:paraId="700618E8" w14:textId="77777777" w:rsidR="002B1DB2" w:rsidRDefault="002B1DB2" w:rsidP="00E92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lliard-Roman">
    <w:altName w:val="Yu Gothic"/>
    <w:panose1 w:val="00000000000000000000"/>
    <w:charset w:val="80"/>
    <w:family w:val="auto"/>
    <w:notTrueType/>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5217765"/>
      <w:docPartObj>
        <w:docPartGallery w:val="Page Numbers (Bottom of Page)"/>
        <w:docPartUnique/>
      </w:docPartObj>
    </w:sdtPr>
    <w:sdtEndPr>
      <w:rPr>
        <w:noProof/>
      </w:rPr>
    </w:sdtEndPr>
    <w:sdtContent>
      <w:p w14:paraId="0DE1A3E4" w14:textId="08E0BF85" w:rsidR="00DC28F4" w:rsidRDefault="00DC28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76508C" w14:textId="77777777" w:rsidR="00DC28F4" w:rsidRDefault="00DC2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F1C86" w14:textId="77777777" w:rsidR="002B1DB2" w:rsidRDefault="002B1DB2" w:rsidP="00E92F0A">
      <w:pPr>
        <w:spacing w:after="0" w:line="240" w:lineRule="auto"/>
      </w:pPr>
      <w:r>
        <w:separator/>
      </w:r>
    </w:p>
  </w:footnote>
  <w:footnote w:type="continuationSeparator" w:id="0">
    <w:p w14:paraId="73C886FE" w14:textId="77777777" w:rsidR="002B1DB2" w:rsidRDefault="002B1DB2" w:rsidP="00E92F0A">
      <w:pPr>
        <w:spacing w:after="0" w:line="240" w:lineRule="auto"/>
      </w:pPr>
      <w:r>
        <w:continuationSeparator/>
      </w:r>
    </w:p>
  </w:footnote>
  <w:footnote w:id="1">
    <w:p w14:paraId="7994EBB7" w14:textId="4D4578C1"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r w:rsidRPr="002A785D">
        <w:rPr>
          <w:rFonts w:asciiTheme="majorBidi" w:hAnsiTheme="majorBidi" w:cstheme="majorBidi"/>
          <w:lang w:val="en-US"/>
        </w:rPr>
        <w:t xml:space="preserve">Montesquieu, </w:t>
      </w:r>
      <w:r w:rsidRPr="002A785D">
        <w:rPr>
          <w:rFonts w:asciiTheme="majorBidi" w:hAnsiTheme="majorBidi" w:cstheme="majorBidi"/>
          <w:i/>
          <w:iCs/>
          <w:lang w:val="en-US"/>
        </w:rPr>
        <w:t>The Spirit of the Laws</w:t>
      </w:r>
      <w:r w:rsidRPr="002A785D">
        <w:rPr>
          <w:rFonts w:asciiTheme="majorBidi" w:hAnsiTheme="majorBidi" w:cstheme="majorBidi"/>
          <w:lang w:val="en-US"/>
        </w:rPr>
        <w:t>, (New York: Hafner, 1975).</w:t>
      </w:r>
    </w:p>
  </w:footnote>
  <w:footnote w:id="2">
    <w:p w14:paraId="770D66AA" w14:textId="00B7F8A3"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bookmarkStart w:id="0" w:name="_Hlk10760749"/>
      <w:r w:rsidRPr="002A785D">
        <w:rPr>
          <w:rFonts w:asciiTheme="majorBidi" w:hAnsiTheme="majorBidi" w:cstheme="majorBidi"/>
        </w:rPr>
        <w:t xml:space="preserve">David Hume, </w:t>
      </w:r>
      <w:r w:rsidRPr="002A785D">
        <w:rPr>
          <w:rFonts w:asciiTheme="majorBidi" w:hAnsiTheme="majorBidi" w:cstheme="majorBidi"/>
          <w:i/>
          <w:iCs/>
        </w:rPr>
        <w:t>A Treatise of Human Nature</w:t>
      </w:r>
      <w:r w:rsidRPr="002A785D">
        <w:rPr>
          <w:rFonts w:asciiTheme="majorBidi" w:hAnsiTheme="majorBidi" w:cstheme="majorBidi"/>
        </w:rPr>
        <w:t>, (Oxford: Oxford University Press, 1973).</w:t>
      </w:r>
      <w:bookmarkEnd w:id="0"/>
    </w:p>
  </w:footnote>
  <w:footnote w:id="3">
    <w:p w14:paraId="7BEEFC14" w14:textId="3018C17A"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Hume, </w:t>
      </w:r>
      <w:r w:rsidRPr="002A785D">
        <w:rPr>
          <w:rFonts w:asciiTheme="majorBidi" w:hAnsiTheme="majorBidi" w:cstheme="majorBidi"/>
          <w:i/>
          <w:iCs/>
        </w:rPr>
        <w:t>A Treatise of Human Nature</w:t>
      </w:r>
      <w:r w:rsidRPr="002A785D">
        <w:rPr>
          <w:rFonts w:asciiTheme="majorBidi" w:hAnsiTheme="majorBidi" w:cstheme="majorBidi"/>
        </w:rPr>
        <w:t>, p. 469.</w:t>
      </w:r>
    </w:p>
  </w:footnote>
  <w:footnote w:id="4">
    <w:p w14:paraId="3CA57091" w14:textId="274FD9E9"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Hume, </w:t>
      </w:r>
      <w:r w:rsidRPr="002A785D">
        <w:rPr>
          <w:rFonts w:asciiTheme="majorBidi" w:hAnsiTheme="majorBidi" w:cstheme="majorBidi"/>
          <w:i/>
          <w:iCs/>
        </w:rPr>
        <w:t>A Treatise of Human Nature</w:t>
      </w:r>
      <w:r w:rsidRPr="002A785D">
        <w:rPr>
          <w:rFonts w:asciiTheme="majorBidi" w:hAnsiTheme="majorBidi" w:cstheme="majorBidi"/>
        </w:rPr>
        <w:t>, p. 333.</w:t>
      </w:r>
    </w:p>
  </w:footnote>
  <w:footnote w:id="5">
    <w:p w14:paraId="59A005A3" w14:textId="2AAE5006"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Hume, </w:t>
      </w:r>
      <w:r w:rsidRPr="002A785D">
        <w:rPr>
          <w:rFonts w:asciiTheme="majorBidi" w:hAnsiTheme="majorBidi" w:cstheme="majorBidi"/>
          <w:i/>
          <w:iCs/>
        </w:rPr>
        <w:t>A Treatise of Human Nature</w:t>
      </w:r>
      <w:r w:rsidRPr="002A785D">
        <w:rPr>
          <w:rFonts w:asciiTheme="majorBidi" w:hAnsiTheme="majorBidi" w:cstheme="majorBidi"/>
        </w:rPr>
        <w:t>, p. 334.</w:t>
      </w:r>
    </w:p>
  </w:footnote>
  <w:footnote w:id="6">
    <w:p w14:paraId="2404952A" w14:textId="1B4FB4CB"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r w:rsidRPr="002A785D">
        <w:rPr>
          <w:rFonts w:asciiTheme="majorBidi" w:hAnsiTheme="majorBidi" w:cstheme="majorBidi"/>
          <w:lang w:val="en-US"/>
        </w:rPr>
        <w:t xml:space="preserve">Louis Schneider, </w:t>
      </w:r>
      <w:r w:rsidRPr="002A785D">
        <w:rPr>
          <w:rFonts w:asciiTheme="majorBidi" w:hAnsiTheme="majorBidi" w:cstheme="majorBidi"/>
          <w:i/>
          <w:iCs/>
          <w:lang w:val="en-US"/>
        </w:rPr>
        <w:t>The Scottish Moralists on Human Nature and Society</w:t>
      </w:r>
      <w:r w:rsidRPr="002A785D">
        <w:rPr>
          <w:rFonts w:asciiTheme="majorBidi" w:hAnsiTheme="majorBidi" w:cstheme="majorBidi"/>
          <w:lang w:val="en-US"/>
        </w:rPr>
        <w:t>, (Chicago: Chicago University Press, 1967).</w:t>
      </w:r>
    </w:p>
  </w:footnote>
  <w:footnote w:id="7">
    <w:p w14:paraId="0E670847" w14:textId="2A7BF946"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r w:rsidRPr="002A785D">
        <w:rPr>
          <w:rFonts w:asciiTheme="majorBidi" w:hAnsiTheme="majorBidi" w:cstheme="majorBidi"/>
          <w:lang w:val="en-US"/>
        </w:rPr>
        <w:t xml:space="preserve">Max Weber, </w:t>
      </w:r>
      <w:r w:rsidRPr="002A785D">
        <w:rPr>
          <w:rFonts w:asciiTheme="majorBidi" w:hAnsiTheme="majorBidi" w:cstheme="majorBidi"/>
          <w:i/>
          <w:iCs/>
          <w:lang w:val="en-US"/>
        </w:rPr>
        <w:t>The Sociology of Religion</w:t>
      </w:r>
      <w:r w:rsidRPr="002A785D">
        <w:rPr>
          <w:rFonts w:asciiTheme="majorBidi" w:hAnsiTheme="majorBidi" w:cstheme="majorBidi"/>
          <w:lang w:val="en-US"/>
        </w:rPr>
        <w:t>, (Boston: Beacon Press, 1993).</w:t>
      </w:r>
    </w:p>
  </w:footnote>
  <w:footnote w:id="8">
    <w:p w14:paraId="696D1236" w14:textId="2865DD52" w:rsidR="00DC28F4" w:rsidRPr="002A785D" w:rsidRDefault="00DC28F4" w:rsidP="00760E38">
      <w:pPr>
        <w:pStyle w:val="FootnoteText"/>
        <w:jc w:val="both"/>
        <w:rPr>
          <w:rFonts w:asciiTheme="majorBidi" w:hAnsiTheme="majorBidi" w:cstheme="majorBidi"/>
          <w:lang w:val="en-US"/>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r w:rsidRPr="002A785D">
        <w:rPr>
          <w:rFonts w:asciiTheme="majorBidi" w:hAnsiTheme="majorBidi" w:cstheme="majorBidi"/>
          <w:lang w:val="en-US"/>
        </w:rPr>
        <w:t xml:space="preserve">Emile Durkheim, </w:t>
      </w:r>
      <w:r w:rsidRPr="002A785D">
        <w:rPr>
          <w:rFonts w:asciiTheme="majorBidi" w:hAnsiTheme="majorBidi" w:cstheme="majorBidi"/>
          <w:i/>
          <w:iCs/>
          <w:lang w:val="en-US"/>
        </w:rPr>
        <w:t>The Elementary Forms of Religious Life</w:t>
      </w:r>
      <w:r w:rsidRPr="002A785D">
        <w:rPr>
          <w:rFonts w:asciiTheme="majorBidi" w:hAnsiTheme="majorBidi" w:cstheme="majorBidi"/>
          <w:lang w:val="en-US"/>
        </w:rPr>
        <w:t>, (Oxford: Oxford University Press, 2008)</w:t>
      </w:r>
      <w:r w:rsidR="00001232" w:rsidRPr="002A785D">
        <w:rPr>
          <w:rFonts w:asciiTheme="majorBidi" w:hAnsiTheme="majorBidi" w:cstheme="majorBidi"/>
          <w:lang w:val="en-US"/>
        </w:rPr>
        <w:t>.</w:t>
      </w:r>
    </w:p>
    <w:p w14:paraId="05948457" w14:textId="4798AF09" w:rsidR="00DC28F4" w:rsidRPr="002A785D" w:rsidRDefault="00DC28F4" w:rsidP="00760E38">
      <w:pPr>
        <w:pStyle w:val="FootnoteText"/>
        <w:jc w:val="both"/>
        <w:rPr>
          <w:rFonts w:asciiTheme="majorBidi" w:hAnsiTheme="majorBidi" w:cstheme="majorBidi"/>
          <w:lang w:val="en-US"/>
        </w:rPr>
      </w:pPr>
    </w:p>
  </w:footnote>
  <w:footnote w:id="9">
    <w:p w14:paraId="22E8A0ED" w14:textId="7A24E36C"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Mary Gregor and Jens </w:t>
      </w:r>
      <w:proofErr w:type="spellStart"/>
      <w:r w:rsidRPr="002A785D">
        <w:rPr>
          <w:rFonts w:asciiTheme="majorBidi" w:hAnsiTheme="majorBidi" w:cstheme="majorBidi"/>
        </w:rPr>
        <w:t>Timmermann</w:t>
      </w:r>
      <w:proofErr w:type="spellEnd"/>
      <w:r w:rsidRPr="002A785D">
        <w:rPr>
          <w:rFonts w:asciiTheme="majorBidi" w:hAnsiTheme="majorBidi" w:cstheme="majorBidi"/>
        </w:rPr>
        <w:t xml:space="preserve">, trans., </w:t>
      </w:r>
      <w:r w:rsidRPr="002A785D">
        <w:rPr>
          <w:rFonts w:asciiTheme="majorBidi" w:hAnsiTheme="majorBidi" w:cstheme="majorBidi"/>
          <w:i/>
          <w:iCs/>
        </w:rPr>
        <w:t>Immanuel Kant: Groundwork of the Metaphysics of Morals: A German-English Edition</w:t>
      </w:r>
      <w:r w:rsidRPr="002A785D">
        <w:rPr>
          <w:rFonts w:asciiTheme="majorBidi" w:hAnsiTheme="majorBidi" w:cstheme="majorBidi"/>
        </w:rPr>
        <w:t>, (Cambridge: Cambridge University Press, 2012).</w:t>
      </w:r>
    </w:p>
  </w:footnote>
  <w:footnote w:id="10">
    <w:p w14:paraId="5D8AF1BC" w14:textId="5CB120AA"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Kant</w:t>
      </w:r>
      <w:r w:rsidRPr="002A785D">
        <w:rPr>
          <w:rFonts w:asciiTheme="majorBidi" w:hAnsiTheme="majorBidi" w:cstheme="majorBidi"/>
          <w:i/>
          <w:iCs/>
        </w:rPr>
        <w:t>, Groundwork of the Metaphysics of Morals</w:t>
      </w:r>
      <w:r w:rsidRPr="002A785D">
        <w:rPr>
          <w:rFonts w:asciiTheme="majorBidi" w:hAnsiTheme="majorBidi" w:cstheme="majorBidi"/>
        </w:rPr>
        <w:t>, pp. 88-94.</w:t>
      </w:r>
    </w:p>
  </w:footnote>
  <w:footnote w:id="11">
    <w:p w14:paraId="0968DD51" w14:textId="6DDC3369"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r w:rsidRPr="002A785D">
        <w:rPr>
          <w:rFonts w:asciiTheme="majorBidi" w:hAnsiTheme="majorBidi" w:cstheme="majorBidi"/>
          <w:lang w:val="en-US"/>
        </w:rPr>
        <w:t xml:space="preserve">Kant, </w:t>
      </w:r>
      <w:r w:rsidRPr="002A785D">
        <w:rPr>
          <w:rFonts w:asciiTheme="majorBidi" w:hAnsiTheme="majorBidi" w:cstheme="majorBidi"/>
          <w:i/>
          <w:iCs/>
          <w:lang w:val="en-US"/>
        </w:rPr>
        <w:t>Critique of Practical Reason</w:t>
      </w:r>
      <w:r w:rsidRPr="002A785D">
        <w:rPr>
          <w:rFonts w:asciiTheme="majorBidi" w:hAnsiTheme="majorBidi" w:cstheme="majorBidi"/>
          <w:lang w:val="en-US"/>
        </w:rPr>
        <w:t xml:space="preserve">, (Indianapolis: </w:t>
      </w:r>
      <w:proofErr w:type="spellStart"/>
      <w:r w:rsidRPr="002A785D">
        <w:rPr>
          <w:rFonts w:asciiTheme="majorBidi" w:hAnsiTheme="majorBidi" w:cstheme="majorBidi"/>
          <w:lang w:val="en-US"/>
        </w:rPr>
        <w:t>Bobbs</w:t>
      </w:r>
      <w:proofErr w:type="spellEnd"/>
      <w:r w:rsidRPr="002A785D">
        <w:rPr>
          <w:rFonts w:asciiTheme="majorBidi" w:hAnsiTheme="majorBidi" w:cstheme="majorBidi"/>
          <w:lang w:val="en-US"/>
        </w:rPr>
        <w:t xml:space="preserve"> </w:t>
      </w:r>
      <w:proofErr w:type="spellStart"/>
      <w:r w:rsidRPr="002A785D">
        <w:rPr>
          <w:rFonts w:asciiTheme="majorBidi" w:hAnsiTheme="majorBidi" w:cstheme="majorBidi"/>
          <w:lang w:val="en-US"/>
        </w:rPr>
        <w:t>Merril</w:t>
      </w:r>
      <w:proofErr w:type="spellEnd"/>
      <w:r w:rsidRPr="002A785D">
        <w:rPr>
          <w:rFonts w:asciiTheme="majorBidi" w:hAnsiTheme="majorBidi" w:cstheme="majorBidi"/>
          <w:lang w:val="en-US"/>
        </w:rPr>
        <w:t>, 1956), pp.</w:t>
      </w:r>
      <w:r w:rsidRPr="002A785D">
        <w:rPr>
          <w:rFonts w:asciiTheme="majorBidi" w:hAnsiTheme="majorBidi" w:cstheme="majorBidi"/>
        </w:rPr>
        <w:t>117-36.</w:t>
      </w:r>
    </w:p>
  </w:footnote>
  <w:footnote w:id="12">
    <w:p w14:paraId="7D0E75A1" w14:textId="651D33C4"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See Lovin and Reynolds, </w:t>
      </w:r>
      <w:r w:rsidRPr="002A785D">
        <w:rPr>
          <w:rFonts w:asciiTheme="majorBidi" w:hAnsiTheme="majorBidi" w:cstheme="majorBidi"/>
          <w:i/>
          <w:iCs/>
        </w:rPr>
        <w:t>Cosmogony and Ethical Order</w:t>
      </w:r>
      <w:r w:rsidRPr="002A785D">
        <w:rPr>
          <w:rFonts w:asciiTheme="majorBidi" w:hAnsiTheme="majorBidi" w:cstheme="majorBidi"/>
        </w:rPr>
        <w:t>, pp.8-11.</w:t>
      </w:r>
    </w:p>
  </w:footnote>
  <w:footnote w:id="13">
    <w:p w14:paraId="52DA0BDB" w14:textId="77777777"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Durkheim, </w:t>
      </w:r>
      <w:r w:rsidRPr="002A785D">
        <w:rPr>
          <w:rFonts w:asciiTheme="majorBidi" w:hAnsiTheme="majorBidi" w:cstheme="majorBidi"/>
          <w:i/>
          <w:iCs/>
        </w:rPr>
        <w:t>The Elementary Forms of the Religious Life</w:t>
      </w:r>
      <w:r w:rsidRPr="002A785D">
        <w:rPr>
          <w:rFonts w:asciiTheme="majorBidi" w:hAnsiTheme="majorBidi" w:cstheme="majorBidi"/>
        </w:rPr>
        <w:t>, trans. J. W. Swain, (London: George Allen &amp; Unwin, 1915).</w:t>
      </w:r>
    </w:p>
    <w:p w14:paraId="5F780766" w14:textId="71FAC0E3" w:rsidR="00DC28F4" w:rsidRPr="002A785D" w:rsidRDefault="00DC28F4" w:rsidP="00760E38">
      <w:pPr>
        <w:pStyle w:val="FootnoteText"/>
        <w:jc w:val="both"/>
        <w:rPr>
          <w:rFonts w:asciiTheme="majorBidi" w:hAnsiTheme="majorBidi" w:cstheme="majorBidi"/>
        </w:rPr>
      </w:pPr>
    </w:p>
  </w:footnote>
  <w:footnote w:id="14">
    <w:p w14:paraId="6270A6C7" w14:textId="7D0B7C52" w:rsidR="00DC28F4" w:rsidRPr="002A785D" w:rsidRDefault="00DC28F4" w:rsidP="00760E38">
      <w:pPr>
        <w:pStyle w:val="FootnoteText"/>
        <w:jc w:val="both"/>
        <w:rPr>
          <w:rFonts w:asciiTheme="majorBidi" w:hAnsiTheme="majorBidi" w:cstheme="majorBidi"/>
          <w:lang w:val="en-US"/>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bookmarkStart w:id="1" w:name="_Hlk10761546"/>
      <w:r w:rsidRPr="002A785D">
        <w:rPr>
          <w:rFonts w:asciiTheme="majorBidi" w:hAnsiTheme="majorBidi" w:cstheme="majorBidi"/>
          <w:lang w:val="en-US"/>
        </w:rPr>
        <w:t xml:space="preserve">Max Weber, </w:t>
      </w:r>
      <w:r w:rsidRPr="002A785D">
        <w:rPr>
          <w:rFonts w:asciiTheme="majorBidi" w:hAnsiTheme="majorBidi" w:cstheme="majorBidi"/>
          <w:i/>
          <w:iCs/>
          <w:lang w:val="en-US"/>
        </w:rPr>
        <w:t>The Sociology of Religion</w:t>
      </w:r>
      <w:r w:rsidRPr="002A785D">
        <w:rPr>
          <w:rFonts w:asciiTheme="majorBidi" w:hAnsiTheme="majorBidi" w:cstheme="majorBidi"/>
          <w:lang w:val="en-US"/>
        </w:rPr>
        <w:t>, (Boston: Beacon Press, 1993)</w:t>
      </w:r>
      <w:bookmarkEnd w:id="1"/>
      <w:r w:rsidRPr="002A785D">
        <w:rPr>
          <w:rFonts w:asciiTheme="majorBidi" w:hAnsiTheme="majorBidi" w:cstheme="majorBidi"/>
          <w:lang w:val="en-US"/>
        </w:rPr>
        <w:t>.</w:t>
      </w:r>
    </w:p>
  </w:footnote>
  <w:footnote w:id="15">
    <w:p w14:paraId="1BD0B8CB" w14:textId="197A1E59"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Sumner B. Twiss, "Comparison in Religious Ethics", in </w:t>
      </w:r>
      <w:r w:rsidRPr="002A785D">
        <w:rPr>
          <w:rFonts w:asciiTheme="majorBidi" w:hAnsiTheme="majorBidi" w:cstheme="majorBidi"/>
          <w:i/>
          <w:iCs/>
        </w:rPr>
        <w:t>The Blackwell Companion to Religious Ethics</w:t>
      </w:r>
      <w:r w:rsidRPr="002A785D">
        <w:rPr>
          <w:rFonts w:asciiTheme="majorBidi" w:hAnsiTheme="majorBidi" w:cstheme="majorBidi"/>
        </w:rPr>
        <w:t xml:space="preserve">, ed. William </w:t>
      </w:r>
      <w:proofErr w:type="spellStart"/>
      <w:r w:rsidRPr="002A785D">
        <w:rPr>
          <w:rFonts w:asciiTheme="majorBidi" w:hAnsiTheme="majorBidi" w:cstheme="majorBidi"/>
        </w:rPr>
        <w:t>Schwieker</w:t>
      </w:r>
      <w:proofErr w:type="spellEnd"/>
      <w:r w:rsidRPr="002A785D">
        <w:rPr>
          <w:rFonts w:asciiTheme="majorBidi" w:hAnsiTheme="majorBidi" w:cstheme="majorBidi"/>
        </w:rPr>
        <w:t>, (Malden, MA: Blackwell, 2005), p. 148</w:t>
      </w:r>
      <w:r w:rsidR="00C40AD1" w:rsidRPr="002A785D">
        <w:rPr>
          <w:rFonts w:asciiTheme="majorBidi" w:hAnsiTheme="majorBidi" w:cstheme="majorBidi"/>
        </w:rPr>
        <w:t>.</w:t>
      </w:r>
    </w:p>
  </w:footnote>
  <w:footnote w:id="16">
    <w:p w14:paraId="14332238" w14:textId="7FF7C96F" w:rsidR="00DC28F4" w:rsidRPr="002A785D" w:rsidRDefault="00DC28F4" w:rsidP="00760E38">
      <w:pPr>
        <w:jc w:val="both"/>
        <w:rPr>
          <w:rFonts w:asciiTheme="majorBidi" w:hAnsiTheme="majorBidi" w:cstheme="majorBidi"/>
          <w:sz w:val="20"/>
          <w:szCs w:val="20"/>
        </w:rPr>
      </w:pPr>
      <w:r w:rsidRPr="002A785D">
        <w:rPr>
          <w:rStyle w:val="FootnoteReference"/>
          <w:rFonts w:asciiTheme="majorBidi" w:hAnsiTheme="majorBidi" w:cstheme="majorBidi"/>
          <w:sz w:val="20"/>
          <w:szCs w:val="20"/>
        </w:rPr>
        <w:footnoteRef/>
      </w:r>
      <w:r w:rsidRPr="002A785D">
        <w:rPr>
          <w:rFonts w:asciiTheme="majorBidi" w:hAnsiTheme="majorBidi" w:cstheme="majorBidi"/>
          <w:sz w:val="20"/>
          <w:szCs w:val="20"/>
        </w:rPr>
        <w:t xml:space="preserve"> Brandt, </w:t>
      </w:r>
      <w:r w:rsidRPr="002A785D">
        <w:rPr>
          <w:rFonts w:asciiTheme="majorBidi" w:hAnsiTheme="majorBidi" w:cstheme="majorBidi"/>
          <w:i/>
          <w:iCs/>
          <w:sz w:val="20"/>
          <w:szCs w:val="20"/>
        </w:rPr>
        <w:t>Hopi Ethics</w:t>
      </w:r>
      <w:r w:rsidRPr="002A785D">
        <w:rPr>
          <w:rFonts w:asciiTheme="majorBidi" w:hAnsiTheme="majorBidi" w:cstheme="majorBidi"/>
          <w:sz w:val="20"/>
          <w:szCs w:val="20"/>
        </w:rPr>
        <w:t>, (Chicago: University of Chicago Press, 1954).</w:t>
      </w:r>
    </w:p>
  </w:footnote>
  <w:footnote w:id="17">
    <w:p w14:paraId="478A559F" w14:textId="3976F82C"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Ladd, </w:t>
      </w:r>
      <w:r w:rsidRPr="002A785D">
        <w:rPr>
          <w:rFonts w:asciiTheme="majorBidi" w:hAnsiTheme="majorBidi" w:cstheme="majorBidi"/>
          <w:i/>
          <w:iCs/>
        </w:rPr>
        <w:t>The Structure of a Moral Code: A Philosophical Analysis of Ethical Discourse Applied to the Ethics of the Navaho Indians</w:t>
      </w:r>
      <w:r w:rsidRPr="002A785D">
        <w:rPr>
          <w:rFonts w:asciiTheme="majorBidi" w:hAnsiTheme="majorBidi" w:cstheme="majorBidi"/>
        </w:rPr>
        <w:t>, (Cambridge, MA: Harvard University Press, 1957).</w:t>
      </w:r>
    </w:p>
  </w:footnote>
  <w:footnote w:id="18">
    <w:p w14:paraId="4989DFB9" w14:textId="7E72B368"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Twiss, "Comparison in Religious Ethics", p. 149.</w:t>
      </w:r>
    </w:p>
  </w:footnote>
  <w:footnote w:id="19">
    <w:p w14:paraId="7E00366B" w14:textId="7B8B265F"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Twiss, "Comparison in Religious Ethics", p. 149.</w:t>
      </w:r>
    </w:p>
  </w:footnote>
  <w:footnote w:id="20">
    <w:p w14:paraId="708BF64E" w14:textId="4C16F8BA"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Malinowski</w:t>
      </w:r>
      <w:r w:rsidRPr="002A785D">
        <w:rPr>
          <w:rFonts w:asciiTheme="majorBidi" w:hAnsiTheme="majorBidi" w:cstheme="majorBidi"/>
          <w:i/>
          <w:iCs/>
        </w:rPr>
        <w:t>, Magic, Science and Religion and Other Essays,</w:t>
      </w:r>
      <w:r w:rsidRPr="002A785D">
        <w:rPr>
          <w:rFonts w:asciiTheme="majorBidi" w:hAnsiTheme="majorBidi" w:cstheme="majorBidi"/>
        </w:rPr>
        <w:t xml:space="preserve"> (New York: Free Press, 1948).</w:t>
      </w:r>
    </w:p>
  </w:footnote>
  <w:footnote w:id="21">
    <w:p w14:paraId="06E37666" w14:textId="2B713138"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Twiss, "Comparison in Religious Ethics", p. 149.</w:t>
      </w:r>
    </w:p>
  </w:footnote>
  <w:footnote w:id="22">
    <w:p w14:paraId="6F57F9C9" w14:textId="29CEB746"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Reynolds, </w:t>
      </w:r>
      <w:r w:rsidRPr="002A785D">
        <w:rPr>
          <w:rFonts w:asciiTheme="majorBidi" w:hAnsiTheme="majorBidi" w:cstheme="majorBidi"/>
          <w:i/>
          <w:iCs/>
        </w:rPr>
        <w:t>Cosmogony and Ethical Order</w:t>
      </w:r>
      <w:r w:rsidRPr="002A785D">
        <w:rPr>
          <w:rFonts w:asciiTheme="majorBidi" w:hAnsiTheme="majorBidi" w:cstheme="majorBidi"/>
        </w:rPr>
        <w:t>, p.12.</w:t>
      </w:r>
    </w:p>
  </w:footnote>
  <w:footnote w:id="23">
    <w:p w14:paraId="4A097F08" w14:textId="7C066ED5"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Green, </w:t>
      </w:r>
      <w:r w:rsidRPr="002A785D">
        <w:rPr>
          <w:rFonts w:asciiTheme="majorBidi" w:hAnsiTheme="majorBidi" w:cstheme="majorBidi"/>
          <w:i/>
          <w:iCs/>
        </w:rPr>
        <w:t xml:space="preserve">Religious Reason, </w:t>
      </w:r>
      <w:r w:rsidRPr="002A785D">
        <w:rPr>
          <w:rFonts w:asciiTheme="majorBidi" w:hAnsiTheme="majorBidi" w:cstheme="majorBidi"/>
        </w:rPr>
        <w:t>p.109.</w:t>
      </w:r>
    </w:p>
  </w:footnote>
  <w:footnote w:id="24">
    <w:p w14:paraId="768CE9E1" w14:textId="47B57A69"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Green, </w:t>
      </w:r>
      <w:r w:rsidRPr="002A785D">
        <w:rPr>
          <w:rFonts w:asciiTheme="majorBidi" w:hAnsiTheme="majorBidi" w:cstheme="majorBidi"/>
          <w:i/>
          <w:iCs/>
        </w:rPr>
        <w:t xml:space="preserve">Religious Reason, </w:t>
      </w:r>
      <w:r w:rsidRPr="002A785D">
        <w:rPr>
          <w:rFonts w:asciiTheme="majorBidi" w:hAnsiTheme="majorBidi" w:cstheme="majorBidi"/>
        </w:rPr>
        <w:t>pp. 201-46.</w:t>
      </w:r>
    </w:p>
  </w:footnote>
  <w:footnote w:id="25">
    <w:p w14:paraId="2858FB8A" w14:textId="7FFDA29F"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See for example: Weber, </w:t>
      </w:r>
      <w:r w:rsidRPr="002A785D">
        <w:rPr>
          <w:rFonts w:asciiTheme="majorBidi" w:hAnsiTheme="majorBidi" w:cstheme="majorBidi"/>
          <w:i/>
          <w:iCs/>
        </w:rPr>
        <w:t>The Religion of India</w:t>
      </w:r>
      <w:r w:rsidRPr="002A785D">
        <w:rPr>
          <w:rFonts w:asciiTheme="majorBidi" w:hAnsiTheme="majorBidi" w:cstheme="majorBidi"/>
        </w:rPr>
        <w:t>, (New York: The Free Press, 1958), pp.180-230.</w:t>
      </w:r>
    </w:p>
  </w:footnote>
  <w:footnote w:id="26">
    <w:p w14:paraId="77CF7F6A" w14:textId="2D98D9A4"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Ronald Green, “Review of David Little and Sumner B. Twiss, Comparative Religious Ethics”, </w:t>
      </w:r>
      <w:r w:rsidRPr="002A785D">
        <w:rPr>
          <w:rFonts w:asciiTheme="majorBidi" w:hAnsiTheme="majorBidi" w:cstheme="majorBidi"/>
          <w:i/>
          <w:iCs/>
        </w:rPr>
        <w:t xml:space="preserve">Journal of Religion </w:t>
      </w:r>
      <w:r w:rsidRPr="002A785D">
        <w:rPr>
          <w:rFonts w:asciiTheme="majorBidi" w:hAnsiTheme="majorBidi" w:cstheme="majorBidi"/>
        </w:rPr>
        <w:t>61: (1981), p.112.</w:t>
      </w:r>
    </w:p>
  </w:footnote>
  <w:footnote w:id="27">
    <w:p w14:paraId="4D795BA5" w14:textId="7616E545"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Frank Reynolds, “Contrasting Modes of Action: A Comparative Study of Buddhist and Christian Ethics.” </w:t>
      </w:r>
      <w:r w:rsidRPr="002A785D">
        <w:rPr>
          <w:rFonts w:asciiTheme="majorBidi" w:hAnsiTheme="majorBidi" w:cstheme="majorBidi"/>
          <w:i/>
          <w:iCs/>
        </w:rPr>
        <w:t>History of Religions</w:t>
      </w:r>
      <w:r w:rsidRPr="002A785D">
        <w:rPr>
          <w:rFonts w:asciiTheme="majorBidi" w:hAnsiTheme="majorBidi" w:cstheme="majorBidi"/>
        </w:rPr>
        <w:t xml:space="preserve"> 20 (1986).</w:t>
      </w:r>
    </w:p>
  </w:footnote>
  <w:footnote w:id="28">
    <w:p w14:paraId="1344348C" w14:textId="583CB95A" w:rsidR="00DC28F4" w:rsidRPr="002A785D" w:rsidRDefault="00DC28F4" w:rsidP="00760E38">
      <w:pPr>
        <w:pStyle w:val="FootnoteText"/>
        <w:jc w:val="both"/>
        <w:rPr>
          <w:rFonts w:asciiTheme="majorBidi" w:hAnsiTheme="majorBidi" w:cstheme="majorBidi"/>
          <w:rtl/>
          <w:lang w:bidi="ar-EG"/>
        </w:rPr>
      </w:pPr>
      <w:r w:rsidRPr="002A785D">
        <w:rPr>
          <w:rStyle w:val="FootnoteReference"/>
          <w:rFonts w:asciiTheme="majorBidi" w:hAnsiTheme="majorBidi" w:cstheme="majorBidi"/>
        </w:rPr>
        <w:footnoteRef/>
      </w:r>
      <w:r w:rsidRPr="002A785D">
        <w:rPr>
          <w:rFonts w:asciiTheme="majorBidi" w:hAnsiTheme="majorBidi" w:cstheme="majorBidi"/>
        </w:rPr>
        <w:t xml:space="preserve"> Green, </w:t>
      </w:r>
      <w:r w:rsidRPr="002A785D">
        <w:rPr>
          <w:rFonts w:asciiTheme="majorBidi" w:hAnsiTheme="majorBidi" w:cstheme="majorBidi"/>
          <w:i/>
          <w:iCs/>
        </w:rPr>
        <w:t xml:space="preserve">Religious Reason, </w:t>
      </w:r>
      <w:r w:rsidRPr="002A785D">
        <w:rPr>
          <w:rFonts w:asciiTheme="majorBidi" w:hAnsiTheme="majorBidi" w:cstheme="majorBidi"/>
        </w:rPr>
        <w:t>p.</w:t>
      </w:r>
      <w:r w:rsidRPr="002A785D">
        <w:rPr>
          <w:rFonts w:asciiTheme="majorBidi" w:hAnsiTheme="majorBidi" w:cstheme="majorBidi"/>
          <w:i/>
          <w:iCs/>
        </w:rPr>
        <w:t xml:space="preserve"> </w:t>
      </w:r>
      <w:r w:rsidRPr="002A785D">
        <w:rPr>
          <w:rFonts w:asciiTheme="majorBidi" w:hAnsiTheme="majorBidi" w:cstheme="majorBidi"/>
        </w:rPr>
        <w:t>216.</w:t>
      </w:r>
    </w:p>
  </w:footnote>
  <w:footnote w:id="29">
    <w:p w14:paraId="486010F7" w14:textId="682B9FCB" w:rsidR="00DC28F4" w:rsidRPr="002A785D" w:rsidRDefault="00DC28F4" w:rsidP="00760E38">
      <w:pPr>
        <w:pStyle w:val="FootnoteText"/>
        <w:jc w:val="both"/>
        <w:rPr>
          <w:rFonts w:asciiTheme="majorBidi" w:hAnsiTheme="majorBidi" w:cstheme="majorBidi"/>
          <w:lang w:val="en-US"/>
        </w:rPr>
      </w:pPr>
      <w:r w:rsidRPr="002A785D">
        <w:rPr>
          <w:rStyle w:val="FootnoteReference"/>
          <w:rFonts w:asciiTheme="majorBidi" w:hAnsiTheme="majorBidi" w:cstheme="majorBidi"/>
        </w:rPr>
        <w:footnoteRef/>
      </w:r>
      <w:r w:rsidRPr="002A785D">
        <w:rPr>
          <w:rFonts w:asciiTheme="majorBidi" w:hAnsiTheme="majorBidi" w:cstheme="majorBidi"/>
        </w:rPr>
        <w:t xml:space="preserve"> See the essays by </w:t>
      </w:r>
      <w:proofErr w:type="gramStart"/>
      <w:r w:rsidRPr="002A785D">
        <w:rPr>
          <w:rFonts w:asciiTheme="majorBidi" w:hAnsiTheme="majorBidi" w:cstheme="majorBidi"/>
        </w:rPr>
        <w:t xml:space="preserve">Knight,  </w:t>
      </w:r>
      <w:proofErr w:type="spellStart"/>
      <w:r w:rsidRPr="002A785D">
        <w:rPr>
          <w:rFonts w:asciiTheme="majorBidi" w:hAnsiTheme="majorBidi" w:cstheme="majorBidi"/>
        </w:rPr>
        <w:t>Urkhalter</w:t>
      </w:r>
      <w:proofErr w:type="spellEnd"/>
      <w:proofErr w:type="gramEnd"/>
      <w:r w:rsidRPr="002A785D">
        <w:rPr>
          <w:rFonts w:asciiTheme="majorBidi" w:hAnsiTheme="majorBidi" w:cstheme="majorBidi"/>
        </w:rPr>
        <w:t xml:space="preserve">, Warren, </w:t>
      </w:r>
      <w:proofErr w:type="spellStart"/>
      <w:r w:rsidRPr="002A785D">
        <w:rPr>
          <w:rFonts w:asciiTheme="majorBidi" w:hAnsiTheme="majorBidi" w:cstheme="majorBidi"/>
        </w:rPr>
        <w:t>Yearley</w:t>
      </w:r>
      <w:proofErr w:type="spellEnd"/>
      <w:r w:rsidRPr="002A785D">
        <w:rPr>
          <w:rFonts w:asciiTheme="majorBidi" w:hAnsiTheme="majorBidi" w:cstheme="majorBidi"/>
        </w:rPr>
        <w:t>, and Sturm.</w:t>
      </w:r>
    </w:p>
  </w:footnote>
  <w:footnote w:id="30">
    <w:p w14:paraId="3E0E413C" w14:textId="51C7FF1D"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Alan </w:t>
      </w:r>
      <w:proofErr w:type="spellStart"/>
      <w:r w:rsidRPr="002A785D">
        <w:rPr>
          <w:rFonts w:asciiTheme="majorBidi" w:hAnsiTheme="majorBidi" w:cstheme="majorBidi"/>
        </w:rPr>
        <w:t>Donagan</w:t>
      </w:r>
      <w:proofErr w:type="spellEnd"/>
      <w:r w:rsidRPr="002A785D">
        <w:rPr>
          <w:rFonts w:asciiTheme="majorBidi" w:hAnsiTheme="majorBidi" w:cstheme="majorBidi"/>
        </w:rPr>
        <w:t xml:space="preserve">, </w:t>
      </w:r>
      <w:r w:rsidRPr="002A785D">
        <w:rPr>
          <w:rFonts w:asciiTheme="majorBidi" w:hAnsiTheme="majorBidi" w:cstheme="majorBidi"/>
          <w:i/>
          <w:iCs/>
        </w:rPr>
        <w:t>The Theory of Morality</w:t>
      </w:r>
      <w:r w:rsidRPr="002A785D">
        <w:rPr>
          <w:rFonts w:asciiTheme="majorBidi" w:hAnsiTheme="majorBidi" w:cstheme="majorBidi"/>
        </w:rPr>
        <w:t>, (Chicago: Chicago University Press, 1977), pp. 28-29, 32-36.</w:t>
      </w:r>
    </w:p>
  </w:footnote>
  <w:footnote w:id="31">
    <w:p w14:paraId="47EC5E57" w14:textId="6597096D"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Green, </w:t>
      </w:r>
      <w:r w:rsidRPr="002A785D">
        <w:rPr>
          <w:rFonts w:asciiTheme="majorBidi" w:hAnsiTheme="majorBidi" w:cstheme="majorBidi"/>
          <w:i/>
          <w:iCs/>
        </w:rPr>
        <w:t xml:space="preserve">Religious Reason, </w:t>
      </w:r>
      <w:r w:rsidRPr="002A785D">
        <w:rPr>
          <w:rFonts w:asciiTheme="majorBidi" w:hAnsiTheme="majorBidi" w:cstheme="majorBidi"/>
        </w:rPr>
        <w:t>p.121.</w:t>
      </w:r>
    </w:p>
  </w:footnote>
  <w:footnote w:id="32">
    <w:p w14:paraId="770A0C0E" w14:textId="3E83DB95"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Religious Order</w:t>
      </w:r>
      <w:r w:rsidRPr="002A785D">
        <w:rPr>
          <w:rFonts w:asciiTheme="majorBidi" w:hAnsiTheme="majorBidi" w:cstheme="majorBidi"/>
        </w:rPr>
        <w:t>, p.14.</w:t>
      </w:r>
    </w:p>
  </w:footnote>
  <w:footnote w:id="33">
    <w:p w14:paraId="3A148443" w14:textId="699E27AF" w:rsidR="00DC28F4" w:rsidRPr="002A785D" w:rsidRDefault="00DC28F4" w:rsidP="00760E38">
      <w:pPr>
        <w:pStyle w:val="FootnoteText"/>
        <w:jc w:val="both"/>
        <w:rPr>
          <w:rFonts w:asciiTheme="majorBidi" w:hAnsiTheme="majorBidi" w:cstheme="majorBidi"/>
          <w:rtl/>
          <w:lang w:bidi="ar-EG"/>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Religious Order</w:t>
      </w:r>
      <w:r w:rsidRPr="002A785D">
        <w:rPr>
          <w:rFonts w:asciiTheme="majorBidi" w:hAnsiTheme="majorBidi" w:cstheme="majorBidi"/>
        </w:rPr>
        <w:t>, p.14.</w:t>
      </w:r>
    </w:p>
  </w:footnote>
  <w:footnote w:id="34">
    <w:p w14:paraId="0E7715EA" w14:textId="4BE9FFD6" w:rsidR="00DC28F4" w:rsidRPr="002A785D" w:rsidRDefault="00DC28F4" w:rsidP="00760E38">
      <w:pPr>
        <w:pStyle w:val="FootnoteText"/>
        <w:jc w:val="both"/>
        <w:rPr>
          <w:rFonts w:asciiTheme="majorBidi" w:hAnsiTheme="majorBidi" w:cstheme="majorBidi"/>
          <w:rtl/>
          <w:lang w:bidi="ar-EG"/>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Religious Order</w:t>
      </w:r>
      <w:r w:rsidRPr="002A785D">
        <w:rPr>
          <w:rFonts w:asciiTheme="majorBidi" w:hAnsiTheme="majorBidi" w:cstheme="majorBidi"/>
        </w:rPr>
        <w:t>, pp. 14-15.</w:t>
      </w:r>
    </w:p>
  </w:footnote>
  <w:footnote w:id="35">
    <w:p w14:paraId="4963D0E8" w14:textId="1808DD6A" w:rsidR="00DC28F4" w:rsidRPr="002A785D" w:rsidRDefault="00DC28F4" w:rsidP="00760E38">
      <w:pPr>
        <w:pStyle w:val="FootnoteText"/>
        <w:jc w:val="both"/>
        <w:rPr>
          <w:rFonts w:asciiTheme="majorBidi" w:hAnsiTheme="majorBidi" w:cstheme="majorBidi"/>
          <w:rtl/>
          <w:lang w:bidi="ar-EG"/>
        </w:rPr>
      </w:pPr>
      <w:r w:rsidRPr="002A785D">
        <w:rPr>
          <w:rStyle w:val="FootnoteReference"/>
          <w:rFonts w:asciiTheme="majorBidi" w:hAnsiTheme="majorBidi" w:cstheme="majorBidi"/>
        </w:rPr>
        <w:footnoteRef/>
      </w:r>
      <w:r w:rsidRPr="002A785D">
        <w:rPr>
          <w:rFonts w:asciiTheme="majorBidi" w:hAnsiTheme="majorBidi" w:cstheme="majorBidi"/>
        </w:rPr>
        <w:t xml:space="preserve"> Little and Twiss, </w:t>
      </w:r>
      <w:r w:rsidRPr="002A785D">
        <w:rPr>
          <w:rFonts w:asciiTheme="majorBidi" w:hAnsiTheme="majorBidi" w:cstheme="majorBidi"/>
          <w:i/>
          <w:iCs/>
        </w:rPr>
        <w:t>Comparative Religious Ethics: A New Method</w:t>
      </w:r>
      <w:r w:rsidRPr="002A785D">
        <w:rPr>
          <w:rFonts w:asciiTheme="majorBidi" w:hAnsiTheme="majorBidi" w:cstheme="majorBidi"/>
        </w:rPr>
        <w:t>, p. 27.</w:t>
      </w:r>
    </w:p>
  </w:footnote>
  <w:footnote w:id="36">
    <w:p w14:paraId="39D9AD01" w14:textId="3DEAC1C3"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Ethical Order</w:t>
      </w:r>
      <w:r w:rsidRPr="002A785D">
        <w:rPr>
          <w:rFonts w:asciiTheme="majorBidi" w:hAnsiTheme="majorBidi" w:cstheme="majorBidi"/>
        </w:rPr>
        <w:t>, p.15.</w:t>
      </w:r>
    </w:p>
  </w:footnote>
  <w:footnote w:id="37">
    <w:p w14:paraId="4DACA188" w14:textId="1A292BC4"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Ethical Order</w:t>
      </w:r>
      <w:r w:rsidRPr="002A785D">
        <w:rPr>
          <w:rFonts w:asciiTheme="majorBidi" w:hAnsiTheme="majorBidi" w:cstheme="majorBidi"/>
        </w:rPr>
        <w:t>, p.15.</w:t>
      </w:r>
    </w:p>
  </w:footnote>
  <w:footnote w:id="38">
    <w:p w14:paraId="704F2076" w14:textId="1891CDC0"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Ethical Order</w:t>
      </w:r>
      <w:r w:rsidRPr="002A785D">
        <w:rPr>
          <w:rFonts w:asciiTheme="majorBidi" w:hAnsiTheme="majorBidi" w:cstheme="majorBidi"/>
        </w:rPr>
        <w:t>, pp.15-16.</w:t>
      </w:r>
    </w:p>
    <w:p w14:paraId="35B7CA97" w14:textId="4AB3D715" w:rsidR="00DC28F4" w:rsidRPr="002A785D" w:rsidRDefault="00DC28F4" w:rsidP="00760E38">
      <w:pPr>
        <w:pStyle w:val="FootnoteText"/>
        <w:jc w:val="both"/>
        <w:rPr>
          <w:rFonts w:asciiTheme="majorBidi" w:hAnsiTheme="majorBidi" w:cstheme="majorBidi"/>
        </w:rPr>
      </w:pPr>
    </w:p>
  </w:footnote>
  <w:footnote w:id="39">
    <w:p w14:paraId="059B8DF7" w14:textId="764C2714"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Ethical Order</w:t>
      </w:r>
      <w:r w:rsidRPr="002A785D">
        <w:rPr>
          <w:rFonts w:asciiTheme="majorBidi" w:hAnsiTheme="majorBidi" w:cstheme="majorBidi"/>
        </w:rPr>
        <w:t>, p.16.</w:t>
      </w:r>
    </w:p>
  </w:footnote>
  <w:footnote w:id="40">
    <w:p w14:paraId="1FB88C52" w14:textId="392F9A0B"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See Steven </w:t>
      </w:r>
      <w:proofErr w:type="spellStart"/>
      <w:r w:rsidRPr="002A785D">
        <w:rPr>
          <w:rFonts w:asciiTheme="majorBidi" w:hAnsiTheme="majorBidi" w:cstheme="majorBidi"/>
        </w:rPr>
        <w:t>Lukes</w:t>
      </w:r>
      <w:proofErr w:type="spellEnd"/>
      <w:r w:rsidRPr="002A785D">
        <w:rPr>
          <w:rFonts w:asciiTheme="majorBidi" w:hAnsiTheme="majorBidi" w:cstheme="majorBidi"/>
        </w:rPr>
        <w:t xml:space="preserve">, "Some Problems about Rationality", in </w:t>
      </w:r>
      <w:r w:rsidRPr="002A785D">
        <w:rPr>
          <w:rFonts w:asciiTheme="majorBidi" w:hAnsiTheme="majorBidi" w:cstheme="majorBidi"/>
          <w:i/>
          <w:iCs/>
        </w:rPr>
        <w:t>Rationality</w:t>
      </w:r>
      <w:r w:rsidRPr="002A785D">
        <w:rPr>
          <w:rFonts w:asciiTheme="majorBidi" w:hAnsiTheme="majorBidi" w:cstheme="majorBidi"/>
        </w:rPr>
        <w:t>, ed., Bryan R. Wilson, (Oxford: Basil Blackwell, 1970), p. 207.</w:t>
      </w:r>
    </w:p>
  </w:footnote>
  <w:footnote w:id="41">
    <w:p w14:paraId="2D0D13AE" w14:textId="1C575006"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Weber, the Sociology of Religion, p. 216.</w:t>
      </w:r>
    </w:p>
  </w:footnote>
  <w:footnote w:id="42">
    <w:p w14:paraId="177A5F45" w14:textId="43189DCE"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bookmarkStart w:id="4" w:name="_Hlk10776783"/>
      <w:r w:rsidRPr="002A785D">
        <w:rPr>
          <w:rFonts w:asciiTheme="majorBidi" w:hAnsiTheme="majorBidi" w:cstheme="majorBidi"/>
        </w:rPr>
        <w:t xml:space="preserve">Emile Durkheim, </w:t>
      </w:r>
      <w:r w:rsidRPr="002A785D">
        <w:rPr>
          <w:rFonts w:asciiTheme="majorBidi" w:hAnsiTheme="majorBidi" w:cstheme="majorBidi"/>
          <w:i/>
          <w:iCs/>
        </w:rPr>
        <w:t>The Moral Education</w:t>
      </w:r>
      <w:r w:rsidRPr="002A785D">
        <w:rPr>
          <w:rFonts w:asciiTheme="majorBidi" w:hAnsiTheme="majorBidi" w:cstheme="majorBidi"/>
        </w:rPr>
        <w:t>, (New York, the Free Press, 1961), p</w:t>
      </w:r>
      <w:bookmarkEnd w:id="4"/>
      <w:r w:rsidRPr="002A785D">
        <w:rPr>
          <w:rFonts w:asciiTheme="majorBidi" w:hAnsiTheme="majorBidi" w:cstheme="majorBidi"/>
        </w:rPr>
        <w:t>. 116.</w:t>
      </w:r>
    </w:p>
  </w:footnote>
  <w:footnote w:id="43">
    <w:p w14:paraId="0F465F58" w14:textId="7CF24DA5" w:rsidR="00394270" w:rsidRPr="002A785D" w:rsidRDefault="00394270"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Little and Twiss, </w:t>
      </w:r>
      <w:r w:rsidRPr="002A785D">
        <w:rPr>
          <w:rFonts w:asciiTheme="majorBidi" w:hAnsiTheme="majorBidi" w:cstheme="majorBidi"/>
          <w:i/>
          <w:iCs/>
        </w:rPr>
        <w:t>Comparative Religious Ethics: A New Method</w:t>
      </w:r>
      <w:r w:rsidRPr="002A785D">
        <w:rPr>
          <w:rFonts w:asciiTheme="majorBidi" w:hAnsiTheme="majorBidi" w:cstheme="majorBidi"/>
        </w:rPr>
        <w:t>, p.99.</w:t>
      </w:r>
    </w:p>
  </w:footnote>
  <w:footnote w:id="44">
    <w:p w14:paraId="3B4A6227" w14:textId="099B551D" w:rsidR="00394270" w:rsidRPr="002A785D" w:rsidRDefault="00394270"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Little and Twiss, </w:t>
      </w:r>
      <w:r w:rsidRPr="002A785D">
        <w:rPr>
          <w:rFonts w:asciiTheme="majorBidi" w:hAnsiTheme="majorBidi" w:cstheme="majorBidi"/>
          <w:i/>
          <w:iCs/>
        </w:rPr>
        <w:t>Comparative Religious Ethics: A New Method</w:t>
      </w:r>
      <w:r w:rsidRPr="002A785D">
        <w:rPr>
          <w:rFonts w:asciiTheme="majorBidi" w:hAnsiTheme="majorBidi" w:cstheme="majorBidi"/>
        </w:rPr>
        <w:t>, p. 114.</w:t>
      </w:r>
    </w:p>
  </w:footnote>
  <w:footnote w:id="45">
    <w:p w14:paraId="2CBFE721" w14:textId="117BC11E" w:rsidR="00F4424A" w:rsidRPr="002A785D" w:rsidRDefault="00F4424A"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Stout, “Weber’s Progeny, Once Removed.” </w:t>
      </w:r>
      <w:r w:rsidRPr="002A785D">
        <w:rPr>
          <w:rFonts w:asciiTheme="majorBidi" w:hAnsiTheme="majorBidi" w:cstheme="majorBidi"/>
          <w:i/>
          <w:iCs/>
        </w:rPr>
        <w:t xml:space="preserve">Religious Studies Review </w:t>
      </w:r>
      <w:r w:rsidRPr="002A785D">
        <w:rPr>
          <w:rFonts w:asciiTheme="majorBidi" w:hAnsiTheme="majorBidi" w:cstheme="majorBidi"/>
        </w:rPr>
        <w:t>6 (1980), p. 292.</w:t>
      </w:r>
    </w:p>
  </w:footnote>
  <w:footnote w:id="46">
    <w:p w14:paraId="4A66B3C8" w14:textId="2FA487ED" w:rsidR="0002080F" w:rsidRPr="002A785D" w:rsidRDefault="0002080F"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Little, “The Present State of Study of Comparative Religious Ethics”, </w:t>
      </w:r>
      <w:r w:rsidRPr="002A785D">
        <w:rPr>
          <w:rFonts w:asciiTheme="majorBidi" w:hAnsiTheme="majorBidi" w:cstheme="majorBidi"/>
          <w:i/>
          <w:iCs/>
        </w:rPr>
        <w:t xml:space="preserve">Journal of Religious Ethics </w:t>
      </w:r>
      <w:r w:rsidRPr="002A785D">
        <w:rPr>
          <w:rFonts w:asciiTheme="majorBidi" w:hAnsiTheme="majorBidi" w:cstheme="majorBidi"/>
        </w:rPr>
        <w:t>9 (1981), p. 219.</w:t>
      </w:r>
    </w:p>
  </w:footnote>
  <w:footnote w:id="47">
    <w:p w14:paraId="59EB54FF" w14:textId="67D8BE3C" w:rsidR="00402804" w:rsidRPr="002A785D" w:rsidRDefault="0040280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Little and Twiss, </w:t>
      </w:r>
      <w:r w:rsidRPr="002A785D">
        <w:rPr>
          <w:rFonts w:asciiTheme="majorBidi" w:hAnsiTheme="majorBidi" w:cstheme="majorBidi"/>
          <w:i/>
          <w:iCs/>
        </w:rPr>
        <w:t>Comparative Religious Ethics: A New Method</w:t>
      </w:r>
      <w:r w:rsidRPr="002A785D">
        <w:rPr>
          <w:rFonts w:asciiTheme="majorBidi" w:hAnsiTheme="majorBidi" w:cstheme="majorBidi"/>
        </w:rPr>
        <w:t>, p. 114.</w:t>
      </w:r>
    </w:p>
  </w:footnote>
  <w:footnote w:id="48">
    <w:p w14:paraId="0B9AC9BF" w14:textId="63386A6C" w:rsidR="00AE6D1A" w:rsidRPr="002A785D" w:rsidRDefault="00AE6D1A"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Stout, “Weber’s Progeny, Once Removed.” </w:t>
      </w:r>
      <w:r w:rsidRPr="002A785D">
        <w:rPr>
          <w:rFonts w:asciiTheme="majorBidi" w:hAnsiTheme="majorBidi" w:cstheme="majorBidi"/>
          <w:i/>
          <w:iCs/>
        </w:rPr>
        <w:t xml:space="preserve">Religious Studies Review </w:t>
      </w:r>
      <w:r w:rsidRPr="002A785D">
        <w:rPr>
          <w:rFonts w:asciiTheme="majorBidi" w:hAnsiTheme="majorBidi" w:cstheme="majorBidi"/>
        </w:rPr>
        <w:t>6(1980), p. 292.</w:t>
      </w:r>
    </w:p>
  </w:footnote>
  <w:footnote w:id="49">
    <w:p w14:paraId="636C163F" w14:textId="4815BE2A" w:rsidR="00AE6D1A" w:rsidRPr="002A785D" w:rsidRDefault="00AE6D1A"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Little, “The Present State of </w:t>
      </w:r>
      <w:r w:rsidRPr="002A785D">
        <w:rPr>
          <w:rFonts w:asciiTheme="majorBidi" w:hAnsiTheme="majorBidi" w:cstheme="majorBidi"/>
          <w:lang w:val="en-US"/>
        </w:rPr>
        <w:t xml:space="preserve">the </w:t>
      </w:r>
      <w:r w:rsidRPr="002A785D">
        <w:rPr>
          <w:rFonts w:asciiTheme="majorBidi" w:hAnsiTheme="majorBidi" w:cstheme="majorBidi"/>
        </w:rPr>
        <w:t xml:space="preserve">Study of Comparative Religious Ethics”, </w:t>
      </w:r>
      <w:r w:rsidRPr="002A785D">
        <w:rPr>
          <w:rFonts w:asciiTheme="majorBidi" w:hAnsiTheme="majorBidi" w:cstheme="majorBidi"/>
          <w:i/>
          <w:iCs/>
        </w:rPr>
        <w:t xml:space="preserve">Journal of Religious Ethics </w:t>
      </w:r>
      <w:r w:rsidRPr="002A785D">
        <w:rPr>
          <w:rFonts w:asciiTheme="majorBidi" w:hAnsiTheme="majorBidi" w:cstheme="majorBidi"/>
        </w:rPr>
        <w:t>9 (1981), p. 219.</w:t>
      </w:r>
    </w:p>
  </w:footnote>
  <w:footnote w:id="50">
    <w:p w14:paraId="16FA5E58" w14:textId="699176C7" w:rsidR="00AB46E0" w:rsidRPr="002A785D" w:rsidRDefault="00AB46E0"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Ethical Order</w:t>
      </w:r>
      <w:r w:rsidRPr="002A785D">
        <w:rPr>
          <w:rFonts w:asciiTheme="majorBidi" w:hAnsiTheme="majorBidi" w:cstheme="majorBidi"/>
        </w:rPr>
        <w:t>, p.17.</w:t>
      </w:r>
    </w:p>
  </w:footnote>
  <w:footnote w:id="51">
    <w:p w14:paraId="78EC3EFC" w14:textId="2B0EB517" w:rsidR="00EA613C" w:rsidRPr="002A785D" w:rsidRDefault="00EA613C" w:rsidP="00176EF0">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See </w:t>
      </w:r>
      <w:proofErr w:type="spellStart"/>
      <w:r w:rsidRPr="002A785D">
        <w:rPr>
          <w:rFonts w:asciiTheme="majorBidi" w:hAnsiTheme="majorBidi" w:cstheme="majorBidi"/>
        </w:rPr>
        <w:t>Arhtur</w:t>
      </w:r>
      <w:proofErr w:type="spellEnd"/>
      <w:r w:rsidRPr="002A785D">
        <w:rPr>
          <w:rFonts w:asciiTheme="majorBidi" w:hAnsiTheme="majorBidi" w:cstheme="majorBidi"/>
        </w:rPr>
        <w:t xml:space="preserve"> W.H. Adkins, "Ethics and the breakdown of the cosmogony in ancient Greece", in </w:t>
      </w:r>
      <w:r w:rsidRPr="002A785D">
        <w:rPr>
          <w:rFonts w:asciiTheme="majorBidi" w:hAnsiTheme="majorBidi" w:cstheme="majorBidi"/>
          <w:i/>
          <w:iCs/>
        </w:rPr>
        <w:t>Cosmogony and Ethical Order: New Studies in Comparative Ethics</w:t>
      </w:r>
      <w:r w:rsidRPr="002A785D">
        <w:rPr>
          <w:rFonts w:asciiTheme="majorBidi" w:hAnsiTheme="majorBidi" w:cstheme="majorBidi"/>
        </w:rPr>
        <w:t>, eds. Robin W. Lovin and Frank E. Reynolds, (Chicago: University of Chicago Press, 1985).</w:t>
      </w:r>
    </w:p>
  </w:footnote>
  <w:footnote w:id="52">
    <w:p w14:paraId="7A7CB076" w14:textId="06A3F6C2" w:rsidR="00382504" w:rsidRPr="002A785D" w:rsidRDefault="0038250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See Robin Lovin, "Cosmogony, Contrivance, and Ethical Order", in </w:t>
      </w:r>
      <w:r w:rsidRPr="002A785D">
        <w:rPr>
          <w:rFonts w:asciiTheme="majorBidi" w:hAnsiTheme="majorBidi" w:cstheme="majorBidi"/>
          <w:i/>
          <w:iCs/>
        </w:rPr>
        <w:t>Cosmogony and Ethical Order: New Studies in Comparative Ethics</w:t>
      </w:r>
      <w:r w:rsidRPr="002A785D">
        <w:rPr>
          <w:rFonts w:asciiTheme="majorBidi" w:hAnsiTheme="majorBidi" w:cstheme="majorBidi"/>
        </w:rPr>
        <w:t>, eds. Robin W. Lovin and Frank E. Reynolds, (Chicago: University of Chicago Press, 1985).</w:t>
      </w:r>
    </w:p>
  </w:footnote>
  <w:footnote w:id="53">
    <w:p w14:paraId="2DC89669" w14:textId="61EAC54C" w:rsidR="00B21C57" w:rsidRPr="002A785D" w:rsidRDefault="00B21C57"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Ethical Order</w:t>
      </w:r>
      <w:r w:rsidRPr="002A785D">
        <w:rPr>
          <w:rFonts w:asciiTheme="majorBidi" w:hAnsiTheme="majorBidi" w:cstheme="majorBidi"/>
        </w:rPr>
        <w:t>, pp. 17-18.</w:t>
      </w:r>
    </w:p>
  </w:footnote>
  <w:footnote w:id="54">
    <w:p w14:paraId="5EB23C2E" w14:textId="0DB0648E" w:rsidR="0081349A" w:rsidRPr="002A785D" w:rsidRDefault="0081349A"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Twiss, "Comparison in Religious Ethics", p. 150.</w:t>
      </w:r>
    </w:p>
  </w:footnote>
  <w:footnote w:id="55">
    <w:p w14:paraId="30890C6C" w14:textId="4631871B" w:rsidR="008F2835" w:rsidRPr="002A785D" w:rsidRDefault="008F2835"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Ethical Order</w:t>
      </w:r>
      <w:r w:rsidRPr="002A785D">
        <w:rPr>
          <w:rFonts w:asciiTheme="majorBidi" w:hAnsiTheme="majorBidi" w:cstheme="majorBidi"/>
        </w:rPr>
        <w:t>, p. 20</w:t>
      </w:r>
      <w:r w:rsidR="00E27CB7" w:rsidRPr="002A785D">
        <w:rPr>
          <w:rFonts w:asciiTheme="majorBidi" w:hAnsiTheme="majorBidi" w:cstheme="majorBidi"/>
        </w:rPr>
        <w:t>.</w:t>
      </w:r>
    </w:p>
  </w:footnote>
  <w:footnote w:id="56">
    <w:p w14:paraId="5DF75437" w14:textId="3037461E" w:rsidR="00E27CB7" w:rsidRPr="002A785D" w:rsidRDefault="00E27CB7"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Ethical Order</w:t>
      </w:r>
      <w:r w:rsidRPr="002A785D">
        <w:rPr>
          <w:rFonts w:asciiTheme="majorBidi" w:hAnsiTheme="majorBidi" w:cstheme="majorBidi"/>
        </w:rPr>
        <w:t>, p. 10.</w:t>
      </w:r>
    </w:p>
  </w:footnote>
  <w:footnote w:id="57">
    <w:p w14:paraId="65BF0E69" w14:textId="05CB60B4" w:rsidR="002A0488" w:rsidRPr="002A785D" w:rsidRDefault="002A0488"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Ethical Order</w:t>
      </w:r>
      <w:r w:rsidRPr="002A785D">
        <w:rPr>
          <w:rFonts w:asciiTheme="majorBidi" w:hAnsiTheme="majorBidi" w:cstheme="majorBidi"/>
        </w:rPr>
        <w:t>, p. 20.</w:t>
      </w:r>
    </w:p>
  </w:footnote>
  <w:footnote w:id="58">
    <w:p w14:paraId="5AF29B62" w14:textId="1F3E5FE4" w:rsidR="005824A6" w:rsidRPr="002A785D" w:rsidRDefault="005824A6"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Lovin and Reynold, </w:t>
      </w:r>
      <w:r w:rsidRPr="002A785D">
        <w:rPr>
          <w:rFonts w:asciiTheme="majorBidi" w:hAnsiTheme="majorBidi" w:cstheme="majorBidi"/>
          <w:i/>
          <w:iCs/>
        </w:rPr>
        <w:t>Cosmogony and Ethical Order</w:t>
      </w:r>
      <w:r w:rsidRPr="002A785D">
        <w:rPr>
          <w:rFonts w:asciiTheme="majorBidi" w:hAnsiTheme="majorBidi" w:cstheme="majorBidi"/>
        </w:rPr>
        <w:t>, pp 21-27.</w:t>
      </w:r>
    </w:p>
  </w:footnote>
  <w:footnote w:id="59">
    <w:p w14:paraId="6A125B6D" w14:textId="3490D2C5" w:rsidR="00AE2B33" w:rsidRPr="002A785D" w:rsidRDefault="00AE2B33"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bookmarkStart w:id="6" w:name="_Hlk10782963"/>
      <w:r w:rsidRPr="002A785D">
        <w:rPr>
          <w:rFonts w:asciiTheme="majorBidi" w:hAnsiTheme="majorBidi" w:cstheme="majorBidi"/>
        </w:rPr>
        <w:t>Twiss, "Comparison in Religious Ethics",</w:t>
      </w:r>
      <w:bookmarkEnd w:id="6"/>
      <w:r w:rsidRPr="002A785D">
        <w:rPr>
          <w:rFonts w:asciiTheme="majorBidi" w:hAnsiTheme="majorBidi" w:cstheme="majorBidi"/>
        </w:rPr>
        <w:t xml:space="preserve"> p. 150.</w:t>
      </w:r>
    </w:p>
  </w:footnote>
  <w:footnote w:id="60">
    <w:p w14:paraId="2B529CD4" w14:textId="1D2F7D7D" w:rsidR="00AE2B33" w:rsidRPr="002A785D" w:rsidRDefault="00AE2B33"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Twiss, "Comparison in Religious Ethics",</w:t>
      </w:r>
      <w:r w:rsidR="00D0414E" w:rsidRPr="002A785D">
        <w:rPr>
          <w:rFonts w:asciiTheme="majorBidi" w:hAnsiTheme="majorBidi" w:cstheme="majorBidi"/>
        </w:rPr>
        <w:t xml:space="preserve"> p.150.</w:t>
      </w:r>
    </w:p>
  </w:footnote>
  <w:footnote w:id="61">
    <w:p w14:paraId="273F80F6" w14:textId="39E87AA5" w:rsidR="00591D91" w:rsidRPr="002A785D" w:rsidRDefault="00591D91"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proofErr w:type="spellStart"/>
      <w:r w:rsidRPr="002A785D">
        <w:rPr>
          <w:rFonts w:asciiTheme="majorBidi" w:hAnsiTheme="majorBidi" w:cstheme="majorBidi"/>
        </w:rPr>
        <w:t>Bucar</w:t>
      </w:r>
      <w:proofErr w:type="spellEnd"/>
      <w:r w:rsidRPr="002A785D">
        <w:rPr>
          <w:rFonts w:asciiTheme="majorBidi" w:hAnsiTheme="majorBidi" w:cstheme="majorBidi"/>
        </w:rPr>
        <w:t xml:space="preserve"> and Stalnaker, eds., </w:t>
      </w:r>
      <w:r w:rsidRPr="002A785D">
        <w:rPr>
          <w:rFonts w:asciiTheme="majorBidi" w:hAnsiTheme="majorBidi" w:cstheme="majorBidi"/>
          <w:i/>
          <w:iCs/>
        </w:rPr>
        <w:t>Religious Ethics in a Time of Globalism: Shaping a Third Wave of Comparative Analysis</w:t>
      </w:r>
      <w:r w:rsidRPr="002A785D">
        <w:rPr>
          <w:rFonts w:asciiTheme="majorBidi" w:hAnsiTheme="majorBidi" w:cstheme="majorBidi"/>
        </w:rPr>
        <w:t>, (London: Palgrave Macmillan, 2012).</w:t>
      </w:r>
    </w:p>
  </w:footnote>
  <w:footnote w:id="62">
    <w:p w14:paraId="3CD6E45C" w14:textId="4DD64822" w:rsidR="008E527D" w:rsidRPr="002A785D" w:rsidRDefault="008E527D"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Bruce </w:t>
      </w:r>
      <w:proofErr w:type="spellStart"/>
      <w:r w:rsidRPr="002A785D">
        <w:rPr>
          <w:rFonts w:asciiTheme="majorBidi" w:hAnsiTheme="majorBidi" w:cstheme="majorBidi"/>
        </w:rPr>
        <w:t>Grelle</w:t>
      </w:r>
      <w:proofErr w:type="spellEnd"/>
      <w:r w:rsidRPr="002A785D">
        <w:rPr>
          <w:rFonts w:asciiTheme="majorBidi" w:hAnsiTheme="majorBidi" w:cstheme="majorBidi"/>
        </w:rPr>
        <w:t xml:space="preserve">, “Book Review of Religious Ethics in A Time of Globalism: Shaping A Third Wave of Comparative Analysis”, </w:t>
      </w:r>
      <w:r w:rsidRPr="002A785D">
        <w:rPr>
          <w:rFonts w:asciiTheme="majorBidi" w:hAnsiTheme="majorBidi" w:cstheme="majorBidi"/>
          <w:i/>
          <w:iCs/>
        </w:rPr>
        <w:t>Religious Studies Review</w:t>
      </w:r>
      <w:r w:rsidRPr="002A785D">
        <w:rPr>
          <w:rFonts w:asciiTheme="majorBidi" w:hAnsiTheme="majorBidi" w:cstheme="majorBidi"/>
        </w:rPr>
        <w:t xml:space="preserve"> 42 (2016), p.198.</w:t>
      </w:r>
    </w:p>
  </w:footnote>
  <w:footnote w:id="63">
    <w:p w14:paraId="78CA02C1" w14:textId="7981695F" w:rsidR="001C5765" w:rsidRPr="002A785D" w:rsidRDefault="001C5765"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proofErr w:type="spellStart"/>
      <w:r w:rsidRPr="002A785D">
        <w:rPr>
          <w:rFonts w:asciiTheme="majorBidi" w:hAnsiTheme="majorBidi" w:cstheme="majorBidi"/>
        </w:rPr>
        <w:t>Bucar</w:t>
      </w:r>
      <w:proofErr w:type="spellEnd"/>
      <w:r w:rsidRPr="002A785D">
        <w:rPr>
          <w:rFonts w:asciiTheme="majorBidi" w:hAnsiTheme="majorBidi" w:cstheme="majorBidi"/>
        </w:rPr>
        <w:t xml:space="preserve"> and Stalnaker, </w:t>
      </w:r>
      <w:r w:rsidR="00490007" w:rsidRPr="002A785D">
        <w:rPr>
          <w:rFonts w:asciiTheme="majorBidi" w:hAnsiTheme="majorBidi" w:cstheme="majorBidi"/>
          <w:i/>
          <w:iCs/>
        </w:rPr>
        <w:t>Religious Ethics in a Time of Globalism</w:t>
      </w:r>
      <w:r w:rsidRPr="002A785D">
        <w:rPr>
          <w:rFonts w:asciiTheme="majorBidi" w:hAnsiTheme="majorBidi" w:cstheme="majorBidi"/>
        </w:rPr>
        <w:t>,</w:t>
      </w:r>
      <w:r w:rsidR="00490007" w:rsidRPr="002A785D">
        <w:rPr>
          <w:rFonts w:asciiTheme="majorBidi" w:hAnsiTheme="majorBidi" w:cstheme="majorBidi"/>
        </w:rPr>
        <w:t xml:space="preserve"> p.</w:t>
      </w:r>
      <w:r w:rsidRPr="002A785D">
        <w:rPr>
          <w:rFonts w:asciiTheme="majorBidi" w:hAnsiTheme="majorBidi" w:cstheme="majorBidi"/>
        </w:rPr>
        <w:t xml:space="preserve"> 6</w:t>
      </w:r>
      <w:r w:rsidR="00490007" w:rsidRPr="002A785D">
        <w:rPr>
          <w:rFonts w:asciiTheme="majorBidi" w:hAnsiTheme="majorBidi" w:cstheme="majorBidi"/>
        </w:rPr>
        <w:t>.</w:t>
      </w:r>
    </w:p>
  </w:footnote>
  <w:footnote w:id="64">
    <w:p w14:paraId="29E4F488" w14:textId="3BF2D614" w:rsidR="00867AE5" w:rsidRPr="002A785D" w:rsidRDefault="00867AE5"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proofErr w:type="spellStart"/>
      <w:r w:rsidRPr="002A785D">
        <w:rPr>
          <w:rFonts w:asciiTheme="majorBidi" w:hAnsiTheme="majorBidi" w:cstheme="majorBidi"/>
        </w:rPr>
        <w:t>Bucar</w:t>
      </w:r>
      <w:proofErr w:type="spellEnd"/>
      <w:r w:rsidRPr="002A785D">
        <w:rPr>
          <w:rFonts w:asciiTheme="majorBidi" w:hAnsiTheme="majorBidi" w:cstheme="majorBidi"/>
        </w:rPr>
        <w:t xml:space="preserve"> and Stalnaker, </w:t>
      </w:r>
      <w:r w:rsidRPr="002A785D">
        <w:rPr>
          <w:rFonts w:asciiTheme="majorBidi" w:hAnsiTheme="majorBidi" w:cstheme="majorBidi"/>
          <w:i/>
          <w:iCs/>
        </w:rPr>
        <w:t>Religious Ethics in a Time of Globalism</w:t>
      </w:r>
      <w:r w:rsidRPr="002A785D">
        <w:rPr>
          <w:rFonts w:asciiTheme="majorBidi" w:hAnsiTheme="majorBidi" w:cstheme="majorBidi"/>
        </w:rPr>
        <w:t>, p. 6.</w:t>
      </w:r>
    </w:p>
  </w:footnote>
  <w:footnote w:id="65">
    <w:p w14:paraId="283949D8" w14:textId="39A3E1B2" w:rsidR="00DC28F4" w:rsidRPr="002A785D" w:rsidRDefault="00DC28F4" w:rsidP="00760E38">
      <w:pPr>
        <w:pStyle w:val="FootnoteText"/>
        <w:jc w:val="both"/>
        <w:rPr>
          <w:rFonts w:asciiTheme="majorBidi" w:hAnsiTheme="majorBidi" w:cstheme="majorBidi"/>
          <w:i/>
          <w:iCs/>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r w:rsidR="00760E38" w:rsidRPr="002A785D">
        <w:rPr>
          <w:rFonts w:asciiTheme="majorBidi" w:hAnsiTheme="majorBidi" w:cstheme="majorBidi"/>
        </w:rPr>
        <w:t xml:space="preserve">Jonathan W. </w:t>
      </w:r>
      <w:proofErr w:type="spellStart"/>
      <w:r w:rsidR="00760E38" w:rsidRPr="002A785D">
        <w:rPr>
          <w:rFonts w:asciiTheme="majorBidi" w:hAnsiTheme="majorBidi" w:cstheme="majorBidi"/>
        </w:rPr>
        <w:t>Schofer</w:t>
      </w:r>
      <w:proofErr w:type="spellEnd"/>
      <w:r w:rsidR="00760E38" w:rsidRPr="002A785D">
        <w:rPr>
          <w:rFonts w:asciiTheme="majorBidi" w:hAnsiTheme="majorBidi" w:cstheme="majorBidi"/>
          <w:i/>
          <w:iCs/>
        </w:rPr>
        <w:t xml:space="preserve">, </w:t>
      </w:r>
      <w:r w:rsidRPr="002A785D">
        <w:rPr>
          <w:rFonts w:asciiTheme="majorBidi" w:hAnsiTheme="majorBidi" w:cstheme="majorBidi"/>
          <w:i/>
          <w:iCs/>
        </w:rPr>
        <w:t xml:space="preserve">Confronting Vulnerability: The Body and the Divine in Rabbinic Ethics </w:t>
      </w:r>
      <w:r w:rsidRPr="002A785D">
        <w:rPr>
          <w:rFonts w:asciiTheme="majorBidi" w:hAnsiTheme="majorBidi" w:cstheme="majorBidi"/>
        </w:rPr>
        <w:t>(Chicago:</w:t>
      </w:r>
      <w:r w:rsidR="00760E38" w:rsidRPr="002A785D">
        <w:rPr>
          <w:rFonts w:asciiTheme="majorBidi" w:hAnsiTheme="majorBidi" w:cstheme="majorBidi"/>
        </w:rPr>
        <w:t xml:space="preserve"> </w:t>
      </w:r>
      <w:r w:rsidRPr="002A785D">
        <w:rPr>
          <w:rFonts w:asciiTheme="majorBidi" w:hAnsiTheme="majorBidi" w:cstheme="majorBidi"/>
        </w:rPr>
        <w:t>University of Chicago Press,</w:t>
      </w:r>
      <w:r w:rsidRPr="002A785D">
        <w:rPr>
          <w:rFonts w:asciiTheme="majorBidi" w:hAnsiTheme="majorBidi" w:cstheme="majorBidi"/>
          <w:i/>
          <w:iCs/>
        </w:rPr>
        <w:t xml:space="preserve"> </w:t>
      </w:r>
      <w:r w:rsidRPr="002A785D">
        <w:rPr>
          <w:rFonts w:asciiTheme="majorBidi" w:hAnsiTheme="majorBidi" w:cstheme="majorBidi"/>
        </w:rPr>
        <w:t>2010)</w:t>
      </w:r>
      <w:r w:rsidR="00087309" w:rsidRPr="002A785D">
        <w:rPr>
          <w:rFonts w:asciiTheme="majorBidi" w:hAnsiTheme="majorBidi" w:cstheme="majorBidi"/>
        </w:rPr>
        <w:t xml:space="preserve">; “Embodiment and Virtue in a Comparative Perspective,” </w:t>
      </w:r>
      <w:r w:rsidR="00087309" w:rsidRPr="002A785D">
        <w:rPr>
          <w:rFonts w:asciiTheme="majorBidi" w:hAnsiTheme="majorBidi" w:cstheme="majorBidi"/>
          <w:i/>
          <w:iCs/>
        </w:rPr>
        <w:t xml:space="preserve">Journal of Religious Ethics </w:t>
      </w:r>
      <w:r w:rsidR="00087309" w:rsidRPr="002A785D">
        <w:rPr>
          <w:rFonts w:asciiTheme="majorBidi" w:hAnsiTheme="majorBidi" w:cstheme="majorBidi"/>
        </w:rPr>
        <w:t>35, no. 4 (2007):715–728.</w:t>
      </w:r>
    </w:p>
  </w:footnote>
  <w:footnote w:id="66">
    <w:p w14:paraId="07DD8F90" w14:textId="0692E6F1" w:rsidR="00DC28F4" w:rsidRPr="002A785D" w:rsidRDefault="00DC28F4" w:rsidP="00087309">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r w:rsidR="00087309" w:rsidRPr="002A785D">
        <w:rPr>
          <w:rFonts w:asciiTheme="majorBidi" w:hAnsiTheme="majorBidi" w:cstheme="majorBidi"/>
        </w:rPr>
        <w:t xml:space="preserve">Elizabeth M. </w:t>
      </w:r>
      <w:proofErr w:type="spellStart"/>
      <w:r w:rsidR="00087309" w:rsidRPr="002A785D">
        <w:rPr>
          <w:rFonts w:asciiTheme="majorBidi" w:hAnsiTheme="majorBidi" w:cstheme="majorBidi"/>
        </w:rPr>
        <w:t>Bucar</w:t>
      </w:r>
      <w:proofErr w:type="spellEnd"/>
      <w:r w:rsidR="00087309" w:rsidRPr="002A785D">
        <w:rPr>
          <w:rFonts w:asciiTheme="majorBidi" w:hAnsiTheme="majorBidi" w:cstheme="majorBidi"/>
        </w:rPr>
        <w:t xml:space="preserve">, </w:t>
      </w:r>
      <w:r w:rsidRPr="002A785D">
        <w:rPr>
          <w:rFonts w:asciiTheme="majorBidi" w:hAnsiTheme="majorBidi" w:cstheme="majorBidi"/>
        </w:rPr>
        <w:t>“Performance Beyond the Pulpit: Presenting Disorderly Bodies in Public Spaces,</w:t>
      </w:r>
      <w:r w:rsidR="00087309" w:rsidRPr="002A785D">
        <w:rPr>
          <w:rFonts w:asciiTheme="majorBidi" w:hAnsiTheme="majorBidi" w:cstheme="majorBidi"/>
        </w:rPr>
        <w:t>”</w:t>
      </w:r>
      <w:r w:rsidRPr="002A785D">
        <w:rPr>
          <w:rFonts w:asciiTheme="majorBidi" w:hAnsiTheme="majorBidi" w:cstheme="majorBidi"/>
        </w:rPr>
        <w:t xml:space="preserve"> in </w:t>
      </w:r>
      <w:r w:rsidRPr="002A785D">
        <w:rPr>
          <w:rFonts w:asciiTheme="majorBidi" w:hAnsiTheme="majorBidi" w:cstheme="majorBidi"/>
          <w:i/>
          <w:iCs/>
        </w:rPr>
        <w:t xml:space="preserve">Creative </w:t>
      </w:r>
      <w:r w:rsidR="00087309" w:rsidRPr="002A785D">
        <w:rPr>
          <w:rFonts w:asciiTheme="majorBidi" w:hAnsiTheme="majorBidi" w:cstheme="majorBidi"/>
          <w:i/>
          <w:iCs/>
        </w:rPr>
        <w:t>Conformity: The</w:t>
      </w:r>
      <w:r w:rsidRPr="002A785D">
        <w:rPr>
          <w:rFonts w:asciiTheme="majorBidi" w:hAnsiTheme="majorBidi" w:cstheme="majorBidi"/>
          <w:i/>
          <w:iCs/>
        </w:rPr>
        <w:t xml:space="preserve"> Feminist Politics of U.S. Catholic and Iranian </w:t>
      </w:r>
      <w:proofErr w:type="spellStart"/>
      <w:r w:rsidRPr="002A785D">
        <w:rPr>
          <w:rFonts w:asciiTheme="majorBidi" w:hAnsiTheme="majorBidi" w:cstheme="majorBidi"/>
          <w:i/>
          <w:iCs/>
        </w:rPr>
        <w:t>Shii</w:t>
      </w:r>
      <w:proofErr w:type="spellEnd"/>
      <w:r w:rsidRPr="002A785D">
        <w:rPr>
          <w:rFonts w:asciiTheme="majorBidi" w:hAnsiTheme="majorBidi" w:cstheme="majorBidi"/>
        </w:rPr>
        <w:t xml:space="preserve"> </w:t>
      </w:r>
      <w:r w:rsidRPr="002A785D">
        <w:rPr>
          <w:rFonts w:asciiTheme="majorBidi" w:hAnsiTheme="majorBidi" w:cstheme="majorBidi"/>
          <w:i/>
          <w:iCs/>
        </w:rPr>
        <w:t xml:space="preserve">Women </w:t>
      </w:r>
      <w:r w:rsidRPr="002A785D">
        <w:rPr>
          <w:rFonts w:asciiTheme="majorBidi" w:hAnsiTheme="majorBidi" w:cstheme="majorBidi"/>
        </w:rPr>
        <w:t>(Washington, DC: Georgetown University Press, 2011).</w:t>
      </w:r>
    </w:p>
  </w:footnote>
  <w:footnote w:id="67">
    <w:p w14:paraId="59D94D5F" w14:textId="2120A57B" w:rsidR="00DC28F4" w:rsidRPr="002A785D" w:rsidRDefault="00DC28F4" w:rsidP="00160D09">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r w:rsidR="00160D09" w:rsidRPr="002A785D">
        <w:rPr>
          <w:rFonts w:asciiTheme="majorBidi" w:hAnsiTheme="majorBidi" w:cstheme="majorBidi"/>
        </w:rPr>
        <w:t xml:space="preserve">Grace Y. Kao, </w:t>
      </w:r>
      <w:r w:rsidRPr="002A785D">
        <w:rPr>
          <w:rFonts w:asciiTheme="majorBidi" w:hAnsiTheme="majorBidi" w:cstheme="majorBidi"/>
        </w:rPr>
        <w:t xml:space="preserve">“From Human Rights to Animal Rights?”, in </w:t>
      </w:r>
      <w:r w:rsidRPr="002A785D">
        <w:rPr>
          <w:rFonts w:asciiTheme="majorBidi" w:hAnsiTheme="majorBidi" w:cstheme="majorBidi"/>
          <w:i/>
          <w:iCs/>
        </w:rPr>
        <w:t>Religion</w:t>
      </w:r>
      <w:r w:rsidRPr="002A785D">
        <w:rPr>
          <w:rFonts w:asciiTheme="majorBidi" w:hAnsiTheme="majorBidi" w:cstheme="majorBidi"/>
        </w:rPr>
        <w:t xml:space="preserve"> </w:t>
      </w:r>
      <w:r w:rsidRPr="002A785D">
        <w:rPr>
          <w:rFonts w:asciiTheme="majorBidi" w:hAnsiTheme="majorBidi" w:cstheme="majorBidi"/>
          <w:i/>
          <w:iCs/>
        </w:rPr>
        <w:t>and Public Policy: Human Rights, Conflict, and Ethics</w:t>
      </w:r>
      <w:r w:rsidRPr="002A785D">
        <w:rPr>
          <w:rFonts w:asciiTheme="majorBidi" w:hAnsiTheme="majorBidi" w:cstheme="majorBidi"/>
        </w:rPr>
        <w:t>, eds. David Little, Rodney Peterson, and Sumner Twiss (New York: Cambridge University Press, 2015)</w:t>
      </w:r>
      <w:r w:rsidR="00160D09" w:rsidRPr="002A785D">
        <w:rPr>
          <w:rFonts w:asciiTheme="majorBidi" w:hAnsiTheme="majorBidi" w:cstheme="majorBidi"/>
        </w:rPr>
        <w:t xml:space="preserve">; Consistency in Ecofeminist Ethics: Contextual Moral Vegetarianism and Abortion,” </w:t>
      </w:r>
      <w:r w:rsidR="00160D09" w:rsidRPr="002A785D">
        <w:rPr>
          <w:rFonts w:asciiTheme="majorBidi" w:hAnsiTheme="majorBidi" w:cstheme="majorBidi"/>
          <w:i/>
          <w:iCs/>
        </w:rPr>
        <w:t xml:space="preserve">International Journal of the Humanities </w:t>
      </w:r>
      <w:r w:rsidR="00160D09" w:rsidRPr="002A785D">
        <w:rPr>
          <w:rFonts w:asciiTheme="majorBidi" w:hAnsiTheme="majorBidi" w:cstheme="majorBidi"/>
        </w:rPr>
        <w:t>3, no. 11 (2005/2006): 11–21.</w:t>
      </w:r>
    </w:p>
  </w:footnote>
  <w:footnote w:id="68">
    <w:p w14:paraId="693DA170" w14:textId="14E4F2A0" w:rsidR="002F392C" w:rsidRPr="002A785D" w:rsidRDefault="002F392C" w:rsidP="00240E14">
      <w:pPr>
        <w:pStyle w:val="FootnoteText"/>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r w:rsidRPr="002F392C">
        <w:rPr>
          <w:rFonts w:asciiTheme="majorBidi" w:hAnsiTheme="majorBidi" w:cstheme="majorBidi"/>
        </w:rPr>
        <w:t xml:space="preserve">Elizabeth M. </w:t>
      </w:r>
      <w:proofErr w:type="spellStart"/>
      <w:r w:rsidRPr="002F392C">
        <w:rPr>
          <w:rFonts w:asciiTheme="majorBidi" w:hAnsiTheme="majorBidi" w:cstheme="majorBidi"/>
        </w:rPr>
        <w:t>Bucar</w:t>
      </w:r>
      <w:proofErr w:type="spellEnd"/>
      <w:r w:rsidRPr="002F392C">
        <w:rPr>
          <w:rFonts w:asciiTheme="majorBidi" w:hAnsiTheme="majorBidi" w:cstheme="majorBidi"/>
        </w:rPr>
        <w:t>, “</w:t>
      </w:r>
      <w:proofErr w:type="spellStart"/>
      <w:r w:rsidRPr="002F392C">
        <w:rPr>
          <w:rFonts w:asciiTheme="majorBidi" w:hAnsiTheme="majorBidi" w:cstheme="majorBidi"/>
        </w:rPr>
        <w:t>Dianomy</w:t>
      </w:r>
      <w:proofErr w:type="spellEnd"/>
      <w:r w:rsidRPr="002F392C">
        <w:rPr>
          <w:rFonts w:asciiTheme="majorBidi" w:hAnsiTheme="majorBidi" w:cstheme="majorBidi"/>
        </w:rPr>
        <w:t xml:space="preserve">: Understanding Religious Women’s Moral Agency as Creative Conformity,” </w:t>
      </w:r>
      <w:r w:rsidRPr="002F392C">
        <w:rPr>
          <w:rFonts w:asciiTheme="majorBidi" w:hAnsiTheme="majorBidi" w:cstheme="majorBidi"/>
          <w:i/>
          <w:iCs/>
        </w:rPr>
        <w:t xml:space="preserve">Journal of American Academy of Religions </w:t>
      </w:r>
      <w:r w:rsidRPr="002F392C">
        <w:rPr>
          <w:rFonts w:asciiTheme="majorBidi" w:hAnsiTheme="majorBidi" w:cstheme="majorBidi"/>
        </w:rPr>
        <w:t>78, no. 3 (2010): 662–686</w:t>
      </w:r>
      <w:r w:rsidRPr="002A785D">
        <w:rPr>
          <w:rFonts w:asciiTheme="majorBidi" w:hAnsiTheme="majorBidi" w:cstheme="majorBidi"/>
        </w:rPr>
        <w:t xml:space="preserve">; </w:t>
      </w:r>
      <w:r w:rsidRPr="002F392C">
        <w:rPr>
          <w:rFonts w:asciiTheme="majorBidi" w:hAnsiTheme="majorBidi" w:cstheme="majorBidi"/>
        </w:rPr>
        <w:t xml:space="preserve">Elizabeth M. </w:t>
      </w:r>
      <w:proofErr w:type="spellStart"/>
      <w:r w:rsidRPr="002F392C">
        <w:rPr>
          <w:rFonts w:asciiTheme="majorBidi" w:hAnsiTheme="majorBidi" w:cstheme="majorBidi"/>
        </w:rPr>
        <w:t>Bucar</w:t>
      </w:r>
      <w:proofErr w:type="spellEnd"/>
      <w:r w:rsidRPr="002F392C">
        <w:rPr>
          <w:rFonts w:asciiTheme="majorBidi" w:hAnsiTheme="majorBidi" w:cstheme="majorBidi"/>
        </w:rPr>
        <w:t>, “Speaking of Motherhood: The Epideictic Rhetoric of John Paul</w:t>
      </w:r>
      <w:r w:rsidRPr="002F392C">
        <w:rPr>
          <w:rFonts w:asciiTheme="majorBidi" w:hAnsiTheme="majorBidi" w:cstheme="majorBidi"/>
          <w:i/>
          <w:iCs/>
        </w:rPr>
        <w:t xml:space="preserve"> </w:t>
      </w:r>
      <w:r w:rsidRPr="002F392C">
        <w:rPr>
          <w:rFonts w:asciiTheme="majorBidi" w:hAnsiTheme="majorBidi" w:cstheme="majorBidi"/>
        </w:rPr>
        <w:t xml:space="preserve">II and Ayatollah Khomeini,” </w:t>
      </w:r>
      <w:r w:rsidRPr="002F392C">
        <w:rPr>
          <w:rFonts w:asciiTheme="majorBidi" w:hAnsiTheme="majorBidi" w:cstheme="majorBidi"/>
          <w:i/>
          <w:iCs/>
        </w:rPr>
        <w:t xml:space="preserve">Journal of the Society of Christian Ethics </w:t>
      </w:r>
      <w:r w:rsidRPr="002F392C">
        <w:rPr>
          <w:rFonts w:asciiTheme="majorBidi" w:hAnsiTheme="majorBidi" w:cstheme="majorBidi"/>
        </w:rPr>
        <w:t>26, no. 2 (2006): 93–123</w:t>
      </w:r>
      <w:r w:rsidRPr="002A785D">
        <w:rPr>
          <w:rFonts w:asciiTheme="majorBidi" w:hAnsiTheme="majorBidi" w:cstheme="majorBidi"/>
        </w:rPr>
        <w:t>.</w:t>
      </w:r>
    </w:p>
  </w:footnote>
  <w:footnote w:id="69">
    <w:p w14:paraId="3735E200" w14:textId="6AD691B1" w:rsidR="00240E14" w:rsidRPr="002A785D" w:rsidRDefault="00240E14" w:rsidP="00240E14">
      <w:pPr>
        <w:pStyle w:val="FootnoteText"/>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Grace Y. Kao, and Irene Oh, “Sexing Comparative Ethics:</w:t>
      </w:r>
      <w:r w:rsidRPr="002A785D">
        <w:rPr>
          <w:rFonts w:asciiTheme="majorBidi" w:hAnsiTheme="majorBidi" w:cstheme="majorBidi"/>
          <w:i/>
          <w:iCs/>
        </w:rPr>
        <w:t xml:space="preserve"> </w:t>
      </w:r>
      <w:r w:rsidRPr="002A785D">
        <w:rPr>
          <w:rFonts w:asciiTheme="majorBidi" w:hAnsiTheme="majorBidi" w:cstheme="majorBidi"/>
        </w:rPr>
        <w:t xml:space="preserve">Bringing Forth Feminist and Gendered Perspectives,” </w:t>
      </w:r>
      <w:r w:rsidRPr="002A785D">
        <w:rPr>
          <w:rFonts w:asciiTheme="majorBidi" w:hAnsiTheme="majorBidi" w:cstheme="majorBidi"/>
          <w:i/>
          <w:iCs/>
        </w:rPr>
        <w:t xml:space="preserve">Journal of Religious Ethics </w:t>
      </w:r>
      <w:r w:rsidRPr="002A785D">
        <w:rPr>
          <w:rFonts w:asciiTheme="majorBidi" w:hAnsiTheme="majorBidi" w:cstheme="majorBidi"/>
        </w:rPr>
        <w:t>38, no. 4 (2010): 654–659.</w:t>
      </w:r>
    </w:p>
  </w:footnote>
  <w:footnote w:id="70">
    <w:p w14:paraId="3BAC8E89" w14:textId="4746E7EA" w:rsidR="00B66D26" w:rsidRPr="002A785D" w:rsidRDefault="00B66D26" w:rsidP="00B66D26">
      <w:pPr>
        <w:pStyle w:val="FootnoteText"/>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Grace Y. Kao, “Prospects</w:t>
      </w:r>
      <w:r w:rsidRPr="002A785D">
        <w:rPr>
          <w:rFonts w:asciiTheme="majorBidi" w:hAnsiTheme="majorBidi" w:cstheme="majorBidi"/>
          <w:i/>
          <w:iCs/>
        </w:rPr>
        <w:t xml:space="preserve"> </w:t>
      </w:r>
      <w:r w:rsidRPr="002A785D">
        <w:rPr>
          <w:rFonts w:asciiTheme="majorBidi" w:hAnsiTheme="majorBidi" w:cstheme="majorBidi"/>
        </w:rPr>
        <w:t xml:space="preserve">for Developing Asian American Christian Ethics,” </w:t>
      </w:r>
      <w:r w:rsidRPr="002A785D">
        <w:rPr>
          <w:rFonts w:asciiTheme="majorBidi" w:hAnsiTheme="majorBidi" w:cstheme="majorBidi"/>
          <w:i/>
          <w:iCs/>
        </w:rPr>
        <w:t xml:space="preserve">Society of Asia North American Christian Studies </w:t>
      </w:r>
      <w:r w:rsidRPr="002A785D">
        <w:rPr>
          <w:rFonts w:asciiTheme="majorBidi" w:hAnsiTheme="majorBidi" w:cstheme="majorBidi"/>
        </w:rPr>
        <w:t>3 (2011): 91–102.</w:t>
      </w:r>
    </w:p>
  </w:footnote>
  <w:footnote w:id="71">
    <w:p w14:paraId="3AF80ACF" w14:textId="4069AF00" w:rsidR="007E50F3" w:rsidRPr="002A785D" w:rsidRDefault="007E50F3" w:rsidP="007E50F3">
      <w:pPr>
        <w:pStyle w:val="FootnoteText"/>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Erin Cline, “Female Spirit Mediums and Religious Authority in Contemporary South-eastern China,” </w:t>
      </w:r>
      <w:r w:rsidRPr="002A785D">
        <w:rPr>
          <w:rFonts w:asciiTheme="majorBidi" w:hAnsiTheme="majorBidi" w:cstheme="majorBidi"/>
          <w:i/>
          <w:iCs/>
        </w:rPr>
        <w:t xml:space="preserve">Modern China </w:t>
      </w:r>
      <w:r w:rsidRPr="002A785D">
        <w:rPr>
          <w:rFonts w:asciiTheme="majorBidi" w:hAnsiTheme="majorBidi" w:cstheme="majorBidi"/>
        </w:rPr>
        <w:t>36, no. 5 (2010): 520–555.</w:t>
      </w:r>
    </w:p>
  </w:footnote>
  <w:footnote w:id="72">
    <w:p w14:paraId="4F5972B7" w14:textId="276DFEB7" w:rsidR="00AB25BA" w:rsidRPr="002A785D" w:rsidRDefault="00AB25BA" w:rsidP="00AB25BA">
      <w:pPr>
        <w:pStyle w:val="FootnoteText"/>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r w:rsidRPr="00AB25BA">
        <w:rPr>
          <w:rFonts w:asciiTheme="majorBidi" w:hAnsiTheme="majorBidi" w:cstheme="majorBidi"/>
        </w:rPr>
        <w:t xml:space="preserve">Elizabeth M. </w:t>
      </w:r>
      <w:proofErr w:type="spellStart"/>
      <w:r w:rsidRPr="00AB25BA">
        <w:rPr>
          <w:rFonts w:asciiTheme="majorBidi" w:hAnsiTheme="majorBidi" w:cstheme="majorBidi"/>
        </w:rPr>
        <w:t>Bucar</w:t>
      </w:r>
      <w:proofErr w:type="spellEnd"/>
      <w:r w:rsidRPr="00AB25BA">
        <w:rPr>
          <w:rFonts w:asciiTheme="majorBidi" w:hAnsiTheme="majorBidi" w:cstheme="majorBidi"/>
        </w:rPr>
        <w:t xml:space="preserve">, </w:t>
      </w:r>
      <w:r w:rsidRPr="002A785D">
        <w:rPr>
          <w:rFonts w:asciiTheme="majorBidi" w:hAnsiTheme="majorBidi" w:cstheme="majorBidi"/>
        </w:rPr>
        <w:t>“</w:t>
      </w:r>
      <w:r w:rsidRPr="00AB25BA">
        <w:rPr>
          <w:rFonts w:asciiTheme="majorBidi" w:hAnsiTheme="majorBidi" w:cstheme="majorBidi"/>
        </w:rPr>
        <w:t xml:space="preserve">Scripture, Sacred Law, and Hermeneutics: Exploring Gendered Meanings in Textual Records,” in </w:t>
      </w:r>
      <w:r w:rsidRPr="00AB25BA">
        <w:rPr>
          <w:rFonts w:asciiTheme="majorBidi" w:hAnsiTheme="majorBidi" w:cstheme="majorBidi"/>
          <w:i/>
          <w:iCs/>
        </w:rPr>
        <w:t>Creative Conformity</w:t>
      </w:r>
      <w:r w:rsidRPr="00AB25BA">
        <w:rPr>
          <w:rFonts w:asciiTheme="majorBidi" w:hAnsiTheme="majorBidi" w:cstheme="majorBidi"/>
        </w:rPr>
        <w:t xml:space="preserve">; Elizabeth M. </w:t>
      </w:r>
      <w:proofErr w:type="spellStart"/>
      <w:r w:rsidRPr="00AB25BA">
        <w:rPr>
          <w:rFonts w:asciiTheme="majorBidi" w:hAnsiTheme="majorBidi" w:cstheme="majorBidi"/>
        </w:rPr>
        <w:t>Bucar</w:t>
      </w:r>
      <w:proofErr w:type="spellEnd"/>
      <w:r w:rsidRPr="00AB25BA">
        <w:rPr>
          <w:rFonts w:asciiTheme="majorBidi" w:hAnsiTheme="majorBidi" w:cstheme="majorBidi"/>
        </w:rPr>
        <w:t xml:space="preserve">, </w:t>
      </w:r>
      <w:r w:rsidRPr="002A785D">
        <w:rPr>
          <w:rFonts w:asciiTheme="majorBidi" w:hAnsiTheme="majorBidi" w:cstheme="majorBidi"/>
        </w:rPr>
        <w:t>“</w:t>
      </w:r>
      <w:r w:rsidRPr="00AB25BA">
        <w:rPr>
          <w:rFonts w:asciiTheme="majorBidi" w:hAnsiTheme="majorBidi" w:cstheme="majorBidi"/>
        </w:rPr>
        <w:t>Ethical Genre in the Digital Age: The Case of Reading Weblogs in Tehran,</w:t>
      </w:r>
      <w:r w:rsidRPr="002A785D">
        <w:rPr>
          <w:rFonts w:asciiTheme="majorBidi" w:hAnsiTheme="majorBidi" w:cstheme="majorBidi"/>
        </w:rPr>
        <w:t xml:space="preserve">” </w:t>
      </w:r>
      <w:r w:rsidRPr="00AB25BA">
        <w:rPr>
          <w:rFonts w:asciiTheme="majorBidi" w:hAnsiTheme="majorBidi" w:cstheme="majorBidi"/>
          <w:i/>
          <w:iCs/>
        </w:rPr>
        <w:t>Journal of the Society of</w:t>
      </w:r>
      <w:r w:rsidRPr="00AB25BA">
        <w:rPr>
          <w:rFonts w:asciiTheme="majorBidi" w:hAnsiTheme="majorBidi" w:cstheme="majorBidi"/>
        </w:rPr>
        <w:t xml:space="preserve"> Christian Ethics 29, no. 2 (2009): 141–156</w:t>
      </w:r>
      <w:r w:rsidRPr="002A785D">
        <w:rPr>
          <w:rFonts w:asciiTheme="majorBidi" w:hAnsiTheme="majorBidi" w:cstheme="majorBidi"/>
        </w:rPr>
        <w:t>.</w:t>
      </w:r>
    </w:p>
  </w:footnote>
  <w:footnote w:id="73">
    <w:p w14:paraId="7F50C994" w14:textId="3C59CEA0" w:rsidR="00D92788" w:rsidRPr="002A785D" w:rsidRDefault="00D92788" w:rsidP="00D92788">
      <w:pPr>
        <w:pStyle w:val="FootnoteText"/>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r w:rsidRPr="00D92788">
        <w:rPr>
          <w:rFonts w:asciiTheme="majorBidi" w:hAnsiTheme="majorBidi" w:cstheme="majorBidi"/>
        </w:rPr>
        <w:t xml:space="preserve">Jonathan W. </w:t>
      </w:r>
      <w:proofErr w:type="spellStart"/>
      <w:r w:rsidRPr="00D92788">
        <w:rPr>
          <w:rFonts w:asciiTheme="majorBidi" w:hAnsiTheme="majorBidi" w:cstheme="majorBidi"/>
        </w:rPr>
        <w:t>Schofer</w:t>
      </w:r>
      <w:proofErr w:type="spellEnd"/>
      <w:r w:rsidRPr="00D92788">
        <w:rPr>
          <w:rFonts w:asciiTheme="majorBidi" w:hAnsiTheme="majorBidi" w:cstheme="majorBidi"/>
        </w:rPr>
        <w:t xml:space="preserve">, </w:t>
      </w:r>
      <w:r w:rsidRPr="00D92788">
        <w:rPr>
          <w:rFonts w:asciiTheme="majorBidi" w:hAnsiTheme="majorBidi" w:cstheme="majorBidi"/>
          <w:i/>
          <w:iCs/>
        </w:rPr>
        <w:t xml:space="preserve">The Making of a Sage: A Study in Rabbinic Ethics </w:t>
      </w:r>
      <w:r w:rsidRPr="00D92788">
        <w:rPr>
          <w:rFonts w:asciiTheme="majorBidi" w:hAnsiTheme="majorBidi" w:cstheme="majorBidi"/>
        </w:rPr>
        <w:t xml:space="preserve">(Madison: University of Wisconsin Press, 2004); Jonathan W. </w:t>
      </w:r>
      <w:proofErr w:type="spellStart"/>
      <w:r w:rsidRPr="00D92788">
        <w:rPr>
          <w:rFonts w:asciiTheme="majorBidi" w:hAnsiTheme="majorBidi" w:cstheme="majorBidi"/>
        </w:rPr>
        <w:t>Schofer</w:t>
      </w:r>
      <w:proofErr w:type="spellEnd"/>
      <w:r w:rsidRPr="00D92788">
        <w:rPr>
          <w:rFonts w:asciiTheme="majorBidi" w:hAnsiTheme="majorBidi" w:cstheme="majorBidi"/>
        </w:rPr>
        <w:t xml:space="preserve">, </w:t>
      </w:r>
      <w:r w:rsidRPr="002A785D">
        <w:rPr>
          <w:rFonts w:asciiTheme="majorBidi" w:hAnsiTheme="majorBidi" w:cstheme="majorBidi"/>
        </w:rPr>
        <w:t>“</w:t>
      </w:r>
      <w:r w:rsidRPr="00D92788">
        <w:rPr>
          <w:rFonts w:asciiTheme="majorBidi" w:hAnsiTheme="majorBidi" w:cstheme="majorBidi"/>
        </w:rPr>
        <w:t xml:space="preserve">The Redaction of Desire: Structure and Editing of Rabbinic Teachings Concerning </w:t>
      </w:r>
      <w:proofErr w:type="spellStart"/>
      <w:r w:rsidRPr="00D92788">
        <w:rPr>
          <w:rFonts w:asciiTheme="majorBidi" w:hAnsiTheme="majorBidi" w:cstheme="majorBidi"/>
          <w:i/>
          <w:iCs/>
        </w:rPr>
        <w:t>Yeser</w:t>
      </w:r>
      <w:proofErr w:type="spellEnd"/>
      <w:r w:rsidRPr="00D92788">
        <w:rPr>
          <w:rFonts w:asciiTheme="majorBidi" w:hAnsiTheme="majorBidi" w:cstheme="majorBidi"/>
          <w:i/>
          <w:iCs/>
        </w:rPr>
        <w:t xml:space="preserve"> </w:t>
      </w:r>
      <w:r w:rsidRPr="00D92788">
        <w:rPr>
          <w:rFonts w:asciiTheme="majorBidi" w:hAnsiTheme="majorBidi" w:cstheme="majorBidi"/>
        </w:rPr>
        <w:t>(Inclination),</w:t>
      </w:r>
      <w:r w:rsidRPr="002A785D">
        <w:rPr>
          <w:rFonts w:asciiTheme="majorBidi" w:hAnsiTheme="majorBidi" w:cstheme="majorBidi"/>
        </w:rPr>
        <w:t>”</w:t>
      </w:r>
      <w:r w:rsidRPr="00D92788">
        <w:rPr>
          <w:rFonts w:asciiTheme="majorBidi" w:hAnsiTheme="majorBidi" w:cstheme="majorBidi"/>
        </w:rPr>
        <w:t xml:space="preserve"> </w:t>
      </w:r>
      <w:r w:rsidRPr="00D92788">
        <w:rPr>
          <w:rFonts w:asciiTheme="majorBidi" w:hAnsiTheme="majorBidi" w:cstheme="majorBidi"/>
          <w:i/>
          <w:iCs/>
        </w:rPr>
        <w:t xml:space="preserve">Journal of Jewish Thought and Philosophy </w:t>
      </w:r>
      <w:r w:rsidRPr="00D92788">
        <w:rPr>
          <w:rFonts w:asciiTheme="majorBidi" w:hAnsiTheme="majorBidi" w:cstheme="majorBidi"/>
        </w:rPr>
        <w:t>12, no. 1 (2003): 19–53.</w:t>
      </w:r>
    </w:p>
  </w:footnote>
  <w:footnote w:id="74">
    <w:p w14:paraId="64B76C5C" w14:textId="77777777"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proofErr w:type="spellStart"/>
      <w:r w:rsidRPr="002A785D">
        <w:rPr>
          <w:rFonts w:asciiTheme="majorBidi" w:hAnsiTheme="majorBidi" w:cstheme="majorBidi"/>
        </w:rPr>
        <w:t>Schofer</w:t>
      </w:r>
      <w:proofErr w:type="spellEnd"/>
      <w:r w:rsidRPr="002A785D">
        <w:rPr>
          <w:rFonts w:asciiTheme="majorBidi" w:hAnsiTheme="majorBidi" w:cstheme="majorBidi"/>
        </w:rPr>
        <w:t xml:space="preserve">, “Self, Subject, and Chosen Subjection”; </w:t>
      </w:r>
      <w:proofErr w:type="spellStart"/>
      <w:r w:rsidRPr="002A785D">
        <w:rPr>
          <w:rFonts w:asciiTheme="majorBidi" w:hAnsiTheme="majorBidi" w:cstheme="majorBidi"/>
        </w:rPr>
        <w:t>Schofer</w:t>
      </w:r>
      <w:proofErr w:type="spellEnd"/>
      <w:r w:rsidRPr="002A785D">
        <w:rPr>
          <w:rFonts w:asciiTheme="majorBidi" w:hAnsiTheme="majorBidi" w:cstheme="majorBidi"/>
        </w:rPr>
        <w:t xml:space="preserve">, </w:t>
      </w:r>
      <w:r w:rsidRPr="002A785D">
        <w:rPr>
          <w:rFonts w:asciiTheme="majorBidi" w:hAnsiTheme="majorBidi" w:cstheme="majorBidi"/>
          <w:i/>
          <w:iCs/>
        </w:rPr>
        <w:t>The Making of a Sage</w:t>
      </w:r>
      <w:r w:rsidRPr="002A785D">
        <w:rPr>
          <w:rFonts w:asciiTheme="majorBidi" w:hAnsiTheme="majorBidi" w:cstheme="majorBidi"/>
        </w:rPr>
        <w:t xml:space="preserve">; Aaron Stalnaker, </w:t>
      </w:r>
      <w:r w:rsidRPr="002A785D">
        <w:rPr>
          <w:rFonts w:asciiTheme="majorBidi" w:hAnsiTheme="majorBidi" w:cstheme="majorBidi"/>
          <w:i/>
          <w:iCs/>
        </w:rPr>
        <w:t>Overcoming Our</w:t>
      </w:r>
      <w:r w:rsidRPr="002A785D">
        <w:rPr>
          <w:rFonts w:asciiTheme="majorBidi" w:hAnsiTheme="majorBidi" w:cstheme="majorBidi"/>
        </w:rPr>
        <w:t xml:space="preserve"> </w:t>
      </w:r>
      <w:r w:rsidRPr="002A785D">
        <w:rPr>
          <w:rFonts w:asciiTheme="majorBidi" w:hAnsiTheme="majorBidi" w:cstheme="majorBidi"/>
          <w:i/>
          <w:iCs/>
        </w:rPr>
        <w:t xml:space="preserve">Evil: Human Nature and Spiritual Exercises in </w:t>
      </w:r>
      <w:proofErr w:type="spellStart"/>
      <w:r w:rsidRPr="002A785D">
        <w:rPr>
          <w:rFonts w:asciiTheme="majorBidi" w:hAnsiTheme="majorBidi" w:cstheme="majorBidi"/>
          <w:i/>
          <w:iCs/>
        </w:rPr>
        <w:t>Xunzi</w:t>
      </w:r>
      <w:proofErr w:type="spellEnd"/>
      <w:r w:rsidRPr="002A785D">
        <w:rPr>
          <w:rFonts w:asciiTheme="majorBidi" w:hAnsiTheme="majorBidi" w:cstheme="majorBidi"/>
          <w:i/>
          <w:iCs/>
        </w:rPr>
        <w:t xml:space="preserve"> and Augustine</w:t>
      </w:r>
      <w:r w:rsidRPr="002A785D">
        <w:rPr>
          <w:rFonts w:asciiTheme="majorBidi" w:hAnsiTheme="majorBidi" w:cstheme="majorBidi"/>
        </w:rPr>
        <w:t xml:space="preserve"> (Georgetown University Press, 2006).</w:t>
      </w:r>
    </w:p>
  </w:footnote>
  <w:footnote w:id="75">
    <w:p w14:paraId="6BC4E3D5" w14:textId="77777777"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Aaron Stalnaker, “Virtue as Mastery in Early Confucianism,” </w:t>
      </w:r>
      <w:r w:rsidRPr="002A785D">
        <w:rPr>
          <w:rFonts w:asciiTheme="majorBidi" w:hAnsiTheme="majorBidi" w:cstheme="majorBidi"/>
          <w:i/>
          <w:iCs/>
        </w:rPr>
        <w:t xml:space="preserve">Journal of Religious Ethics </w:t>
      </w:r>
      <w:r w:rsidRPr="002A785D">
        <w:rPr>
          <w:rFonts w:asciiTheme="majorBidi" w:hAnsiTheme="majorBidi" w:cstheme="majorBidi"/>
        </w:rPr>
        <w:t xml:space="preserve">38, no. 3 (2010): 404–428; Aaron Stalnaker, “Spiritual Exercises and the Grace of God: Paradoxes of Personal Formation in Augustine,” </w:t>
      </w:r>
      <w:r w:rsidRPr="002A785D">
        <w:rPr>
          <w:rFonts w:asciiTheme="majorBidi" w:hAnsiTheme="majorBidi" w:cstheme="majorBidi"/>
          <w:i/>
          <w:iCs/>
        </w:rPr>
        <w:t>Journal of</w:t>
      </w:r>
      <w:r w:rsidRPr="002A785D">
        <w:rPr>
          <w:rFonts w:asciiTheme="majorBidi" w:hAnsiTheme="majorBidi" w:cstheme="majorBidi"/>
        </w:rPr>
        <w:t xml:space="preserve"> </w:t>
      </w:r>
      <w:r w:rsidRPr="002A785D">
        <w:rPr>
          <w:rFonts w:asciiTheme="majorBidi" w:hAnsiTheme="majorBidi" w:cstheme="majorBidi"/>
          <w:i/>
          <w:iCs/>
        </w:rPr>
        <w:t xml:space="preserve">the Society of Christian Ethics </w:t>
      </w:r>
      <w:r w:rsidRPr="002A785D">
        <w:rPr>
          <w:rFonts w:asciiTheme="majorBidi" w:hAnsiTheme="majorBidi" w:cstheme="majorBidi"/>
        </w:rPr>
        <w:t>24, no. 2 (2004): 137–170.</w:t>
      </w:r>
    </w:p>
  </w:footnote>
  <w:footnote w:id="76">
    <w:p w14:paraId="7B654295" w14:textId="77777777"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Erin Cline, “Nameless Virtues and Restrained Speech in the Analects” in </w:t>
      </w:r>
      <w:r w:rsidRPr="002A785D">
        <w:rPr>
          <w:rFonts w:asciiTheme="majorBidi" w:hAnsiTheme="majorBidi" w:cstheme="majorBidi"/>
          <w:i/>
          <w:iCs/>
        </w:rPr>
        <w:t>International</w:t>
      </w:r>
      <w:r w:rsidRPr="002A785D">
        <w:rPr>
          <w:rFonts w:asciiTheme="majorBidi" w:hAnsiTheme="majorBidi" w:cstheme="majorBidi"/>
        </w:rPr>
        <w:t xml:space="preserve"> </w:t>
      </w:r>
      <w:r w:rsidRPr="002A785D">
        <w:rPr>
          <w:rFonts w:asciiTheme="majorBidi" w:hAnsiTheme="majorBidi" w:cstheme="majorBidi"/>
          <w:i/>
          <w:iCs/>
        </w:rPr>
        <w:t xml:space="preserve">Philosophical Quarterly </w:t>
      </w:r>
      <w:r w:rsidRPr="002A785D">
        <w:rPr>
          <w:rFonts w:asciiTheme="majorBidi" w:hAnsiTheme="majorBidi" w:cstheme="majorBidi"/>
        </w:rPr>
        <w:t xml:space="preserve">49, no. 1 (2009): 53–69; Erin Cline, “The Way, the Right, and the Good,” </w:t>
      </w:r>
      <w:r w:rsidRPr="002A785D">
        <w:rPr>
          <w:rFonts w:asciiTheme="majorBidi" w:hAnsiTheme="majorBidi" w:cstheme="majorBidi"/>
          <w:i/>
          <w:iCs/>
        </w:rPr>
        <w:t xml:space="preserve">Journal of Religious Ethics </w:t>
      </w:r>
      <w:r w:rsidRPr="002A785D">
        <w:rPr>
          <w:rFonts w:asciiTheme="majorBidi" w:hAnsiTheme="majorBidi" w:cstheme="majorBidi"/>
        </w:rPr>
        <w:t xml:space="preserve">37, no. 1 (2009): 107–129; Erin Cline, “Autonomy or Appropriateness? Contrasting Selves in The Democracy of the Dead” </w:t>
      </w:r>
      <w:r w:rsidRPr="002A785D">
        <w:rPr>
          <w:rFonts w:asciiTheme="majorBidi" w:hAnsiTheme="majorBidi" w:cstheme="majorBidi"/>
          <w:i/>
          <w:iCs/>
        </w:rPr>
        <w:t>Southwest Philosophy</w:t>
      </w:r>
      <w:r w:rsidRPr="002A785D">
        <w:rPr>
          <w:rFonts w:asciiTheme="majorBidi" w:hAnsiTheme="majorBidi" w:cstheme="majorBidi"/>
        </w:rPr>
        <w:t xml:space="preserve"> </w:t>
      </w:r>
      <w:r w:rsidRPr="002A785D">
        <w:rPr>
          <w:rFonts w:asciiTheme="majorBidi" w:hAnsiTheme="majorBidi" w:cstheme="majorBidi"/>
          <w:i/>
          <w:iCs/>
        </w:rPr>
        <w:t xml:space="preserve">Review </w:t>
      </w:r>
      <w:r w:rsidRPr="002A785D">
        <w:rPr>
          <w:rFonts w:asciiTheme="majorBidi" w:hAnsiTheme="majorBidi" w:cstheme="majorBidi"/>
        </w:rPr>
        <w:t>19, no. 1 (2003): 179–187.</w:t>
      </w:r>
    </w:p>
  </w:footnote>
  <w:footnote w:id="77">
    <w:p w14:paraId="76B85705" w14:textId="77777777" w:rsidR="00DC28F4" w:rsidRPr="002A785D" w:rsidRDefault="00DC28F4" w:rsidP="00760E38">
      <w:pPr>
        <w:pStyle w:val="FootnoteText"/>
        <w:jc w:val="both"/>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Irene Oh, “The Performativity of Motherhood: Embodying Theology and Political Agency,” </w:t>
      </w:r>
      <w:r w:rsidRPr="002A785D">
        <w:rPr>
          <w:rFonts w:asciiTheme="majorBidi" w:hAnsiTheme="majorBidi" w:cstheme="majorBidi"/>
          <w:i/>
          <w:iCs/>
        </w:rPr>
        <w:t xml:space="preserve">Journal of the Society of Christian Ethics </w:t>
      </w:r>
      <w:r w:rsidRPr="002A785D">
        <w:rPr>
          <w:rFonts w:asciiTheme="majorBidi" w:hAnsiTheme="majorBidi" w:cstheme="majorBidi"/>
        </w:rPr>
        <w:t>29, no. 2 (2009): 3–17.</w:t>
      </w:r>
    </w:p>
  </w:footnote>
  <w:footnote w:id="78">
    <w:p w14:paraId="086EA050" w14:textId="0AA30159" w:rsidR="007C45C4" w:rsidRPr="002A785D" w:rsidRDefault="007C45C4" w:rsidP="007C45C4">
      <w:pPr>
        <w:pStyle w:val="FootnoteText"/>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proofErr w:type="spellStart"/>
      <w:r w:rsidR="00DD0DA1" w:rsidRPr="002A785D">
        <w:rPr>
          <w:rFonts w:asciiTheme="majorBidi" w:hAnsiTheme="majorBidi" w:cstheme="majorBidi"/>
        </w:rPr>
        <w:t>Bucar</w:t>
      </w:r>
      <w:proofErr w:type="spellEnd"/>
      <w:r w:rsidR="00DD0DA1" w:rsidRPr="002A785D">
        <w:rPr>
          <w:rFonts w:asciiTheme="majorBidi" w:hAnsiTheme="majorBidi" w:cstheme="majorBidi"/>
        </w:rPr>
        <w:t xml:space="preserve"> and Stalnaker, </w:t>
      </w:r>
      <w:r w:rsidR="00DD0DA1" w:rsidRPr="002A785D">
        <w:rPr>
          <w:rFonts w:asciiTheme="majorBidi" w:hAnsiTheme="majorBidi" w:cstheme="majorBidi"/>
          <w:i/>
          <w:iCs/>
        </w:rPr>
        <w:t>Religious Ethics in a Time of Globalism</w:t>
      </w:r>
      <w:r w:rsidR="00DD0DA1" w:rsidRPr="002A785D">
        <w:rPr>
          <w:rFonts w:asciiTheme="majorBidi" w:hAnsiTheme="majorBidi" w:cstheme="majorBidi"/>
        </w:rPr>
        <w:t>, p. 7.</w:t>
      </w:r>
    </w:p>
  </w:footnote>
  <w:footnote w:id="79">
    <w:p w14:paraId="33A0A495" w14:textId="70F875BF" w:rsidR="00B752DF" w:rsidRPr="002A785D" w:rsidRDefault="00B752DF" w:rsidP="00B752DF">
      <w:pPr>
        <w:pStyle w:val="FootnoteText"/>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proofErr w:type="spellStart"/>
      <w:r w:rsidR="00DD0DA1" w:rsidRPr="002A785D">
        <w:rPr>
          <w:rFonts w:asciiTheme="majorBidi" w:hAnsiTheme="majorBidi" w:cstheme="majorBidi"/>
        </w:rPr>
        <w:t>Bucar</w:t>
      </w:r>
      <w:proofErr w:type="spellEnd"/>
      <w:r w:rsidR="00DD0DA1" w:rsidRPr="002A785D">
        <w:rPr>
          <w:rFonts w:asciiTheme="majorBidi" w:hAnsiTheme="majorBidi" w:cstheme="majorBidi"/>
        </w:rPr>
        <w:t xml:space="preserve"> and Stalnaker, </w:t>
      </w:r>
      <w:r w:rsidR="00DD0DA1" w:rsidRPr="002A785D">
        <w:rPr>
          <w:rFonts w:asciiTheme="majorBidi" w:hAnsiTheme="majorBidi" w:cstheme="majorBidi"/>
          <w:i/>
          <w:iCs/>
        </w:rPr>
        <w:t>Religious Ethics in a Time of Globalism</w:t>
      </w:r>
      <w:r w:rsidR="00DD0DA1" w:rsidRPr="002A785D">
        <w:rPr>
          <w:rFonts w:asciiTheme="majorBidi" w:hAnsiTheme="majorBidi" w:cstheme="majorBidi"/>
        </w:rPr>
        <w:t>, p. 9.</w:t>
      </w:r>
    </w:p>
  </w:footnote>
  <w:footnote w:id="80">
    <w:p w14:paraId="114F6245" w14:textId="2927A6CA" w:rsidR="00B752DF" w:rsidRPr="002A785D" w:rsidRDefault="00B752DF" w:rsidP="00B752DF">
      <w:pPr>
        <w:pStyle w:val="FootnoteText"/>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proofErr w:type="spellStart"/>
      <w:r w:rsidR="00717C54" w:rsidRPr="002A785D">
        <w:rPr>
          <w:rFonts w:asciiTheme="majorBidi" w:hAnsiTheme="majorBidi" w:cstheme="majorBidi"/>
        </w:rPr>
        <w:t>Bucar</w:t>
      </w:r>
      <w:proofErr w:type="spellEnd"/>
      <w:r w:rsidR="00717C54" w:rsidRPr="002A785D">
        <w:rPr>
          <w:rFonts w:asciiTheme="majorBidi" w:hAnsiTheme="majorBidi" w:cstheme="majorBidi"/>
        </w:rPr>
        <w:t xml:space="preserve"> and Stalnaker, </w:t>
      </w:r>
      <w:r w:rsidR="00717C54" w:rsidRPr="002A785D">
        <w:rPr>
          <w:rFonts w:asciiTheme="majorBidi" w:hAnsiTheme="majorBidi" w:cstheme="majorBidi"/>
          <w:i/>
          <w:iCs/>
        </w:rPr>
        <w:t>Religious Ethics in a Time of Globalism</w:t>
      </w:r>
      <w:r w:rsidR="00717C54" w:rsidRPr="002A785D">
        <w:rPr>
          <w:rFonts w:asciiTheme="majorBidi" w:hAnsiTheme="majorBidi" w:cstheme="majorBidi"/>
        </w:rPr>
        <w:t>, p. 10.</w:t>
      </w:r>
    </w:p>
  </w:footnote>
  <w:footnote w:id="81">
    <w:p w14:paraId="15A16960" w14:textId="53BF3BA0" w:rsidR="00D710DA" w:rsidRPr="002A785D" w:rsidRDefault="00D710DA" w:rsidP="00D710DA">
      <w:pPr>
        <w:pStyle w:val="FootnoteText"/>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w:t>
      </w:r>
      <w:proofErr w:type="spellStart"/>
      <w:r w:rsidR="00717C54" w:rsidRPr="002A785D">
        <w:rPr>
          <w:rFonts w:asciiTheme="majorBidi" w:hAnsiTheme="majorBidi" w:cstheme="majorBidi"/>
        </w:rPr>
        <w:t>Bucar</w:t>
      </w:r>
      <w:proofErr w:type="spellEnd"/>
      <w:r w:rsidR="00717C54" w:rsidRPr="002A785D">
        <w:rPr>
          <w:rFonts w:asciiTheme="majorBidi" w:hAnsiTheme="majorBidi" w:cstheme="majorBidi"/>
        </w:rPr>
        <w:t xml:space="preserve"> and Stalnaker, </w:t>
      </w:r>
      <w:r w:rsidR="00717C54" w:rsidRPr="002A785D">
        <w:rPr>
          <w:rFonts w:asciiTheme="majorBidi" w:hAnsiTheme="majorBidi" w:cstheme="majorBidi"/>
          <w:i/>
          <w:iCs/>
        </w:rPr>
        <w:t>Religious Ethics in a Time of Globalism</w:t>
      </w:r>
      <w:r w:rsidR="00717C54" w:rsidRPr="002A785D">
        <w:rPr>
          <w:rFonts w:asciiTheme="majorBidi" w:hAnsiTheme="majorBidi" w:cstheme="majorBidi"/>
        </w:rPr>
        <w:t>, p. 10.</w:t>
      </w:r>
    </w:p>
  </w:footnote>
  <w:footnote w:id="82">
    <w:p w14:paraId="35EA5BF8" w14:textId="7BCE8538" w:rsidR="00FD6731" w:rsidRPr="002A785D" w:rsidRDefault="00FD6731" w:rsidP="00173617">
      <w:pPr>
        <w:pStyle w:val="FootnoteText"/>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See </w:t>
      </w:r>
      <w:r w:rsidR="00173617" w:rsidRPr="002A785D">
        <w:rPr>
          <w:rFonts w:asciiTheme="majorBidi" w:hAnsiTheme="majorBidi" w:cstheme="majorBidi"/>
        </w:rPr>
        <w:t xml:space="preserve">John P. Reeder Jr, “Religious Ethics as a Field and Discipline,” </w:t>
      </w:r>
      <w:r w:rsidR="00173617" w:rsidRPr="002A785D">
        <w:rPr>
          <w:rFonts w:asciiTheme="majorBidi" w:hAnsiTheme="majorBidi" w:cstheme="majorBidi"/>
          <w:i/>
          <w:iCs/>
        </w:rPr>
        <w:t>The Journal of Religious Ethics</w:t>
      </w:r>
      <w:r w:rsidR="00173617" w:rsidRPr="002A785D">
        <w:rPr>
          <w:rFonts w:asciiTheme="majorBidi" w:hAnsiTheme="majorBidi" w:cstheme="majorBidi"/>
        </w:rPr>
        <w:t xml:space="preserve"> (1978); </w:t>
      </w:r>
      <w:proofErr w:type="spellStart"/>
      <w:r w:rsidR="00BA7E33" w:rsidRPr="002A785D">
        <w:rPr>
          <w:rFonts w:asciiTheme="majorBidi" w:hAnsiTheme="majorBidi" w:cstheme="majorBidi"/>
        </w:rPr>
        <w:t>Bucar</w:t>
      </w:r>
      <w:proofErr w:type="spellEnd"/>
      <w:r w:rsidR="00BA7E33" w:rsidRPr="002A785D">
        <w:rPr>
          <w:rFonts w:asciiTheme="majorBidi" w:hAnsiTheme="majorBidi" w:cstheme="majorBidi"/>
        </w:rPr>
        <w:t xml:space="preserve"> and Stalnaker, </w:t>
      </w:r>
      <w:r w:rsidR="00BA7E33" w:rsidRPr="002A785D">
        <w:rPr>
          <w:rFonts w:asciiTheme="majorBidi" w:hAnsiTheme="majorBidi" w:cstheme="majorBidi"/>
          <w:i/>
          <w:iCs/>
        </w:rPr>
        <w:t>Religious Ethics in a Time of Globalism</w:t>
      </w:r>
      <w:r w:rsidR="00BA7E33" w:rsidRPr="002A785D">
        <w:rPr>
          <w:rFonts w:asciiTheme="majorBidi" w:hAnsiTheme="majorBidi" w:cstheme="majorBidi"/>
        </w:rPr>
        <w:t>, pp 12-15.</w:t>
      </w:r>
    </w:p>
  </w:footnote>
  <w:footnote w:id="83">
    <w:p w14:paraId="593B49CE" w14:textId="1060DBC4" w:rsidR="00001232" w:rsidRPr="002A785D" w:rsidRDefault="00001232" w:rsidP="00001232">
      <w:pPr>
        <w:pStyle w:val="FootnoteText"/>
        <w:rPr>
          <w:rFonts w:asciiTheme="majorBidi" w:hAnsiTheme="majorBidi" w:cstheme="majorBidi"/>
        </w:rPr>
      </w:pPr>
      <w:r w:rsidRPr="002A785D">
        <w:rPr>
          <w:rStyle w:val="FootnoteReference"/>
          <w:rFonts w:asciiTheme="majorBidi" w:hAnsiTheme="majorBidi" w:cstheme="majorBidi"/>
        </w:rPr>
        <w:footnoteRef/>
      </w:r>
      <w:r w:rsidRPr="002A785D">
        <w:rPr>
          <w:rFonts w:asciiTheme="majorBidi" w:hAnsiTheme="majorBidi" w:cstheme="majorBidi"/>
        </w:rPr>
        <w:t xml:space="preserve"> Twiss, Sumner B. “Four Paradigms in Teaching Comparative Religious Ethics.” In </w:t>
      </w:r>
      <w:r w:rsidRPr="002A785D">
        <w:rPr>
          <w:rFonts w:asciiTheme="majorBidi" w:hAnsiTheme="majorBidi" w:cstheme="majorBidi"/>
          <w:i/>
          <w:iCs/>
        </w:rPr>
        <w:t xml:space="preserve">Explorations in Global ethics: Comparative Religious Ethics and Interreligious Dialogue, </w:t>
      </w:r>
      <w:r w:rsidRPr="002A785D">
        <w:rPr>
          <w:rFonts w:asciiTheme="majorBidi" w:hAnsiTheme="majorBidi" w:cstheme="majorBidi"/>
        </w:rPr>
        <w:t xml:space="preserve">eds., Sumner B. Twiss and Bruce </w:t>
      </w:r>
      <w:proofErr w:type="spellStart"/>
      <w:r w:rsidRPr="002A785D">
        <w:rPr>
          <w:rFonts w:asciiTheme="majorBidi" w:hAnsiTheme="majorBidi" w:cstheme="majorBidi"/>
        </w:rPr>
        <w:t>Grelle</w:t>
      </w:r>
      <w:proofErr w:type="spellEnd"/>
      <w:r w:rsidRPr="002A785D">
        <w:rPr>
          <w:rFonts w:asciiTheme="majorBidi" w:hAnsiTheme="majorBidi" w:cstheme="majorBidi"/>
        </w:rPr>
        <w:t>, (Boulder, Colo: Westview Press, 2000).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60D78"/>
    <w:multiLevelType w:val="hybridMultilevel"/>
    <w:tmpl w:val="F2CAD7C0"/>
    <w:lvl w:ilvl="0" w:tplc="E58CE61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C46174"/>
    <w:multiLevelType w:val="hybridMultilevel"/>
    <w:tmpl w:val="0BE001D2"/>
    <w:lvl w:ilvl="0" w:tplc="38F67D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984EF0"/>
    <w:multiLevelType w:val="multilevel"/>
    <w:tmpl w:val="32BA9704"/>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597449C"/>
    <w:multiLevelType w:val="multilevel"/>
    <w:tmpl w:val="8968C2F0"/>
    <w:styleLink w:val="WWOutlineListStyle2"/>
    <w:lvl w:ilvl="0">
      <w:start w:val="3"/>
      <w:numFmt w:val="decimal"/>
      <w:pStyle w:val="Heading1"/>
      <w:lvlText w:val="%1."/>
      <w:lvlJc w:val="left"/>
      <w:rPr>
        <w:rFonts w:ascii="Times New Roman" w:eastAsia="Times New Roman" w:hAnsi="Times New Roman" w:cs="Times New Roman"/>
        <w:b w:val="0"/>
        <w:i w:val="0"/>
        <w:strike w:val="0"/>
        <w:dstrike w:val="0"/>
        <w:color w:val="000000"/>
        <w:position w:val="0"/>
        <w:sz w:val="32"/>
        <w:szCs w:val="32"/>
        <w:u w:val="none" w:color="000000"/>
        <w:shd w:val="clear" w:color="auto" w:fill="auto"/>
        <w:vertAlign w:val="baseli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582D7E71"/>
    <w:multiLevelType w:val="hybridMultilevel"/>
    <w:tmpl w:val="78ACCB50"/>
    <w:lvl w:ilvl="0" w:tplc="3ADC77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EB7"/>
    <w:rsid w:val="00000A94"/>
    <w:rsid w:val="00001232"/>
    <w:rsid w:val="0000755E"/>
    <w:rsid w:val="00010663"/>
    <w:rsid w:val="00012691"/>
    <w:rsid w:val="0001728F"/>
    <w:rsid w:val="0002080F"/>
    <w:rsid w:val="00036B75"/>
    <w:rsid w:val="000533E3"/>
    <w:rsid w:val="00054FF9"/>
    <w:rsid w:val="00070F14"/>
    <w:rsid w:val="00073307"/>
    <w:rsid w:val="00080409"/>
    <w:rsid w:val="000821F3"/>
    <w:rsid w:val="000855EE"/>
    <w:rsid w:val="00087309"/>
    <w:rsid w:val="00093578"/>
    <w:rsid w:val="00094B56"/>
    <w:rsid w:val="00097196"/>
    <w:rsid w:val="00097570"/>
    <w:rsid w:val="000A3BCA"/>
    <w:rsid w:val="000A40FB"/>
    <w:rsid w:val="000C5693"/>
    <w:rsid w:val="000D1F46"/>
    <w:rsid w:val="000D49A1"/>
    <w:rsid w:val="000E413E"/>
    <w:rsid w:val="000F5B9E"/>
    <w:rsid w:val="00100274"/>
    <w:rsid w:val="00102CA2"/>
    <w:rsid w:val="00116387"/>
    <w:rsid w:val="00117E36"/>
    <w:rsid w:val="0012092E"/>
    <w:rsid w:val="00122EA5"/>
    <w:rsid w:val="0013196E"/>
    <w:rsid w:val="00142F70"/>
    <w:rsid w:val="00145808"/>
    <w:rsid w:val="0015160B"/>
    <w:rsid w:val="001538AC"/>
    <w:rsid w:val="00156F7D"/>
    <w:rsid w:val="00160D09"/>
    <w:rsid w:val="00163C99"/>
    <w:rsid w:val="0017119D"/>
    <w:rsid w:val="00173617"/>
    <w:rsid w:val="00176EF0"/>
    <w:rsid w:val="00180869"/>
    <w:rsid w:val="0018262B"/>
    <w:rsid w:val="00183ACD"/>
    <w:rsid w:val="001874B1"/>
    <w:rsid w:val="00190AF0"/>
    <w:rsid w:val="001A1B33"/>
    <w:rsid w:val="001A1F99"/>
    <w:rsid w:val="001A7596"/>
    <w:rsid w:val="001C5765"/>
    <w:rsid w:val="001D634A"/>
    <w:rsid w:val="001D7134"/>
    <w:rsid w:val="001E3C89"/>
    <w:rsid w:val="001F17F9"/>
    <w:rsid w:val="00202FC8"/>
    <w:rsid w:val="002167F2"/>
    <w:rsid w:val="00235CD0"/>
    <w:rsid w:val="00240E14"/>
    <w:rsid w:val="00247615"/>
    <w:rsid w:val="00250BA1"/>
    <w:rsid w:val="002533A3"/>
    <w:rsid w:val="0025558E"/>
    <w:rsid w:val="00256BD8"/>
    <w:rsid w:val="00262DF7"/>
    <w:rsid w:val="0027412E"/>
    <w:rsid w:val="00277325"/>
    <w:rsid w:val="00294570"/>
    <w:rsid w:val="002A0488"/>
    <w:rsid w:val="002A785D"/>
    <w:rsid w:val="002B0C7F"/>
    <w:rsid w:val="002B1DB2"/>
    <w:rsid w:val="002C588B"/>
    <w:rsid w:val="002E7727"/>
    <w:rsid w:val="002F392C"/>
    <w:rsid w:val="002F3CEF"/>
    <w:rsid w:val="002F6FFA"/>
    <w:rsid w:val="00304843"/>
    <w:rsid w:val="0030522B"/>
    <w:rsid w:val="003153BD"/>
    <w:rsid w:val="00324426"/>
    <w:rsid w:val="00342767"/>
    <w:rsid w:val="003432BC"/>
    <w:rsid w:val="00351EC8"/>
    <w:rsid w:val="00357ED2"/>
    <w:rsid w:val="003666E8"/>
    <w:rsid w:val="003669C4"/>
    <w:rsid w:val="00367344"/>
    <w:rsid w:val="003707D8"/>
    <w:rsid w:val="00382504"/>
    <w:rsid w:val="0038381E"/>
    <w:rsid w:val="00391A01"/>
    <w:rsid w:val="00394270"/>
    <w:rsid w:val="003A11C5"/>
    <w:rsid w:val="003B4C25"/>
    <w:rsid w:val="003C17DF"/>
    <w:rsid w:val="003C637D"/>
    <w:rsid w:val="003D3C5F"/>
    <w:rsid w:val="003D6B57"/>
    <w:rsid w:val="003E1670"/>
    <w:rsid w:val="003E2000"/>
    <w:rsid w:val="003E4904"/>
    <w:rsid w:val="004003C9"/>
    <w:rsid w:val="0040080C"/>
    <w:rsid w:val="00402804"/>
    <w:rsid w:val="00405F3D"/>
    <w:rsid w:val="00406AA9"/>
    <w:rsid w:val="004077FF"/>
    <w:rsid w:val="00413DBC"/>
    <w:rsid w:val="004312CE"/>
    <w:rsid w:val="004448FF"/>
    <w:rsid w:val="00447789"/>
    <w:rsid w:val="004712CA"/>
    <w:rsid w:val="0047608A"/>
    <w:rsid w:val="004770F7"/>
    <w:rsid w:val="00482B7C"/>
    <w:rsid w:val="00490007"/>
    <w:rsid w:val="00490193"/>
    <w:rsid w:val="00495599"/>
    <w:rsid w:val="004A1BD0"/>
    <w:rsid w:val="004A34DE"/>
    <w:rsid w:val="004B712C"/>
    <w:rsid w:val="004B7592"/>
    <w:rsid w:val="004C4D9B"/>
    <w:rsid w:val="004D42C4"/>
    <w:rsid w:val="004E5E7D"/>
    <w:rsid w:val="004F4CAA"/>
    <w:rsid w:val="00511B60"/>
    <w:rsid w:val="00513C8E"/>
    <w:rsid w:val="00524BF7"/>
    <w:rsid w:val="00526704"/>
    <w:rsid w:val="0053332B"/>
    <w:rsid w:val="00541BCB"/>
    <w:rsid w:val="00546007"/>
    <w:rsid w:val="00547FD0"/>
    <w:rsid w:val="0055279D"/>
    <w:rsid w:val="00553698"/>
    <w:rsid w:val="00553824"/>
    <w:rsid w:val="00570AF4"/>
    <w:rsid w:val="00571431"/>
    <w:rsid w:val="005732A9"/>
    <w:rsid w:val="00580D69"/>
    <w:rsid w:val="00582223"/>
    <w:rsid w:val="005824A6"/>
    <w:rsid w:val="00591D91"/>
    <w:rsid w:val="005A5677"/>
    <w:rsid w:val="005C0B86"/>
    <w:rsid w:val="005C13ED"/>
    <w:rsid w:val="005C6189"/>
    <w:rsid w:val="005D1624"/>
    <w:rsid w:val="005D3933"/>
    <w:rsid w:val="005E4C70"/>
    <w:rsid w:val="005F2EAF"/>
    <w:rsid w:val="00600153"/>
    <w:rsid w:val="00602014"/>
    <w:rsid w:val="006102B0"/>
    <w:rsid w:val="00610A95"/>
    <w:rsid w:val="00623A08"/>
    <w:rsid w:val="00624C47"/>
    <w:rsid w:val="00633459"/>
    <w:rsid w:val="00641EEB"/>
    <w:rsid w:val="006508F7"/>
    <w:rsid w:val="00675253"/>
    <w:rsid w:val="006755BD"/>
    <w:rsid w:val="00686711"/>
    <w:rsid w:val="006869F2"/>
    <w:rsid w:val="0069506A"/>
    <w:rsid w:val="006B7DFE"/>
    <w:rsid w:val="006C33A1"/>
    <w:rsid w:val="006E0268"/>
    <w:rsid w:val="006E44E5"/>
    <w:rsid w:val="006F15A3"/>
    <w:rsid w:val="006F181F"/>
    <w:rsid w:val="006F25C2"/>
    <w:rsid w:val="0070241C"/>
    <w:rsid w:val="007037D1"/>
    <w:rsid w:val="00703AD4"/>
    <w:rsid w:val="0070696F"/>
    <w:rsid w:val="00717C54"/>
    <w:rsid w:val="007234B1"/>
    <w:rsid w:val="00724155"/>
    <w:rsid w:val="007442A4"/>
    <w:rsid w:val="0074633D"/>
    <w:rsid w:val="00760E38"/>
    <w:rsid w:val="00766227"/>
    <w:rsid w:val="007722CA"/>
    <w:rsid w:val="00772978"/>
    <w:rsid w:val="007752ED"/>
    <w:rsid w:val="00780E01"/>
    <w:rsid w:val="00781858"/>
    <w:rsid w:val="0078393D"/>
    <w:rsid w:val="00791053"/>
    <w:rsid w:val="00793A60"/>
    <w:rsid w:val="0079401C"/>
    <w:rsid w:val="007B7873"/>
    <w:rsid w:val="007C3F21"/>
    <w:rsid w:val="007C45C4"/>
    <w:rsid w:val="007D3BC1"/>
    <w:rsid w:val="007E50F3"/>
    <w:rsid w:val="007F6142"/>
    <w:rsid w:val="00805A76"/>
    <w:rsid w:val="008115E8"/>
    <w:rsid w:val="0081349A"/>
    <w:rsid w:val="00816AB8"/>
    <w:rsid w:val="0082110C"/>
    <w:rsid w:val="00827825"/>
    <w:rsid w:val="00844884"/>
    <w:rsid w:val="008614E7"/>
    <w:rsid w:val="008635E0"/>
    <w:rsid w:val="00863E40"/>
    <w:rsid w:val="008654DF"/>
    <w:rsid w:val="00867AE5"/>
    <w:rsid w:val="00874E0A"/>
    <w:rsid w:val="00892136"/>
    <w:rsid w:val="008A01A4"/>
    <w:rsid w:val="008C462C"/>
    <w:rsid w:val="008D34F4"/>
    <w:rsid w:val="008D3EAE"/>
    <w:rsid w:val="008E527D"/>
    <w:rsid w:val="008E5C42"/>
    <w:rsid w:val="008F2835"/>
    <w:rsid w:val="008F5BC8"/>
    <w:rsid w:val="00904A2C"/>
    <w:rsid w:val="009140EE"/>
    <w:rsid w:val="00917EB7"/>
    <w:rsid w:val="0093513D"/>
    <w:rsid w:val="00940406"/>
    <w:rsid w:val="009414C2"/>
    <w:rsid w:val="00965B6A"/>
    <w:rsid w:val="00973A1A"/>
    <w:rsid w:val="009744B3"/>
    <w:rsid w:val="0097608A"/>
    <w:rsid w:val="009843D5"/>
    <w:rsid w:val="00991270"/>
    <w:rsid w:val="00997675"/>
    <w:rsid w:val="009A0A7A"/>
    <w:rsid w:val="009A1C79"/>
    <w:rsid w:val="009A3804"/>
    <w:rsid w:val="009B1423"/>
    <w:rsid w:val="009B1885"/>
    <w:rsid w:val="009B22CA"/>
    <w:rsid w:val="009B2A78"/>
    <w:rsid w:val="009C736A"/>
    <w:rsid w:val="009D0E58"/>
    <w:rsid w:val="009D17F0"/>
    <w:rsid w:val="009D670B"/>
    <w:rsid w:val="009E16AC"/>
    <w:rsid w:val="009E3334"/>
    <w:rsid w:val="009F056C"/>
    <w:rsid w:val="00A22278"/>
    <w:rsid w:val="00A26AED"/>
    <w:rsid w:val="00A333CC"/>
    <w:rsid w:val="00A421EC"/>
    <w:rsid w:val="00A43A9E"/>
    <w:rsid w:val="00A652A1"/>
    <w:rsid w:val="00A7437B"/>
    <w:rsid w:val="00A7555A"/>
    <w:rsid w:val="00A81C99"/>
    <w:rsid w:val="00A8226A"/>
    <w:rsid w:val="00A87D93"/>
    <w:rsid w:val="00AB25BA"/>
    <w:rsid w:val="00AB46E0"/>
    <w:rsid w:val="00AC566F"/>
    <w:rsid w:val="00AC5BDA"/>
    <w:rsid w:val="00AE0BBA"/>
    <w:rsid w:val="00AE1F4E"/>
    <w:rsid w:val="00AE2B33"/>
    <w:rsid w:val="00AE6D1A"/>
    <w:rsid w:val="00AF6DCC"/>
    <w:rsid w:val="00B07ED9"/>
    <w:rsid w:val="00B21C57"/>
    <w:rsid w:val="00B3033B"/>
    <w:rsid w:val="00B33EE8"/>
    <w:rsid w:val="00B3406A"/>
    <w:rsid w:val="00B4431D"/>
    <w:rsid w:val="00B52BB0"/>
    <w:rsid w:val="00B57921"/>
    <w:rsid w:val="00B64596"/>
    <w:rsid w:val="00B649D9"/>
    <w:rsid w:val="00B66D26"/>
    <w:rsid w:val="00B66E45"/>
    <w:rsid w:val="00B7259A"/>
    <w:rsid w:val="00B752DF"/>
    <w:rsid w:val="00B90A3D"/>
    <w:rsid w:val="00B96D11"/>
    <w:rsid w:val="00BA274C"/>
    <w:rsid w:val="00BA32C9"/>
    <w:rsid w:val="00BA7E33"/>
    <w:rsid w:val="00BB0067"/>
    <w:rsid w:val="00BD160D"/>
    <w:rsid w:val="00BD17A7"/>
    <w:rsid w:val="00BD3DA3"/>
    <w:rsid w:val="00BD41FD"/>
    <w:rsid w:val="00BD549A"/>
    <w:rsid w:val="00BD6A9B"/>
    <w:rsid w:val="00BE06D3"/>
    <w:rsid w:val="00BE2E08"/>
    <w:rsid w:val="00BF2343"/>
    <w:rsid w:val="00BF369E"/>
    <w:rsid w:val="00BF3904"/>
    <w:rsid w:val="00BF6319"/>
    <w:rsid w:val="00C1118B"/>
    <w:rsid w:val="00C21A14"/>
    <w:rsid w:val="00C31709"/>
    <w:rsid w:val="00C40AD1"/>
    <w:rsid w:val="00C42E25"/>
    <w:rsid w:val="00C633B7"/>
    <w:rsid w:val="00C63F0C"/>
    <w:rsid w:val="00C67343"/>
    <w:rsid w:val="00C71F79"/>
    <w:rsid w:val="00C76EA4"/>
    <w:rsid w:val="00C83771"/>
    <w:rsid w:val="00C85EF1"/>
    <w:rsid w:val="00C87CF2"/>
    <w:rsid w:val="00C90075"/>
    <w:rsid w:val="00C91F69"/>
    <w:rsid w:val="00C92B23"/>
    <w:rsid w:val="00C933A4"/>
    <w:rsid w:val="00C95FD8"/>
    <w:rsid w:val="00CA259B"/>
    <w:rsid w:val="00CC0FCD"/>
    <w:rsid w:val="00CC2F93"/>
    <w:rsid w:val="00CD215D"/>
    <w:rsid w:val="00CE2D86"/>
    <w:rsid w:val="00CF11B8"/>
    <w:rsid w:val="00D0044E"/>
    <w:rsid w:val="00D0414E"/>
    <w:rsid w:val="00D05344"/>
    <w:rsid w:val="00D155C8"/>
    <w:rsid w:val="00D2320C"/>
    <w:rsid w:val="00D2483E"/>
    <w:rsid w:val="00D27254"/>
    <w:rsid w:val="00D41115"/>
    <w:rsid w:val="00D529CB"/>
    <w:rsid w:val="00D53E15"/>
    <w:rsid w:val="00D710DA"/>
    <w:rsid w:val="00D761FC"/>
    <w:rsid w:val="00D812AC"/>
    <w:rsid w:val="00D82388"/>
    <w:rsid w:val="00D92788"/>
    <w:rsid w:val="00DA0224"/>
    <w:rsid w:val="00DA1A1B"/>
    <w:rsid w:val="00DA6CC3"/>
    <w:rsid w:val="00DB46E0"/>
    <w:rsid w:val="00DB6A35"/>
    <w:rsid w:val="00DC28F4"/>
    <w:rsid w:val="00DD0DA1"/>
    <w:rsid w:val="00DD19C9"/>
    <w:rsid w:val="00DE2231"/>
    <w:rsid w:val="00DE23AD"/>
    <w:rsid w:val="00DE362C"/>
    <w:rsid w:val="00DF10D6"/>
    <w:rsid w:val="00DF3A27"/>
    <w:rsid w:val="00E01C43"/>
    <w:rsid w:val="00E16CD7"/>
    <w:rsid w:val="00E17C2A"/>
    <w:rsid w:val="00E252B0"/>
    <w:rsid w:val="00E27CB7"/>
    <w:rsid w:val="00E45E4E"/>
    <w:rsid w:val="00E515B6"/>
    <w:rsid w:val="00E54457"/>
    <w:rsid w:val="00E63C85"/>
    <w:rsid w:val="00E66200"/>
    <w:rsid w:val="00E673CE"/>
    <w:rsid w:val="00E7162D"/>
    <w:rsid w:val="00E73492"/>
    <w:rsid w:val="00E73961"/>
    <w:rsid w:val="00E76181"/>
    <w:rsid w:val="00E81E29"/>
    <w:rsid w:val="00E82A3F"/>
    <w:rsid w:val="00E91013"/>
    <w:rsid w:val="00E92F0A"/>
    <w:rsid w:val="00E93258"/>
    <w:rsid w:val="00E959DF"/>
    <w:rsid w:val="00E960FD"/>
    <w:rsid w:val="00EA0C4A"/>
    <w:rsid w:val="00EA613C"/>
    <w:rsid w:val="00EA7623"/>
    <w:rsid w:val="00EC34F4"/>
    <w:rsid w:val="00EC518B"/>
    <w:rsid w:val="00EC5203"/>
    <w:rsid w:val="00EE5C64"/>
    <w:rsid w:val="00F0029F"/>
    <w:rsid w:val="00F024BB"/>
    <w:rsid w:val="00F03268"/>
    <w:rsid w:val="00F103EA"/>
    <w:rsid w:val="00F14F69"/>
    <w:rsid w:val="00F42E9E"/>
    <w:rsid w:val="00F4424A"/>
    <w:rsid w:val="00F47683"/>
    <w:rsid w:val="00F50AC4"/>
    <w:rsid w:val="00F53336"/>
    <w:rsid w:val="00F54C7E"/>
    <w:rsid w:val="00F56C85"/>
    <w:rsid w:val="00F6594C"/>
    <w:rsid w:val="00F701A5"/>
    <w:rsid w:val="00F72655"/>
    <w:rsid w:val="00F7376E"/>
    <w:rsid w:val="00F751A5"/>
    <w:rsid w:val="00F85740"/>
    <w:rsid w:val="00F86313"/>
    <w:rsid w:val="00F94403"/>
    <w:rsid w:val="00F96D8C"/>
    <w:rsid w:val="00FA1BEB"/>
    <w:rsid w:val="00FA573B"/>
    <w:rsid w:val="00FA6B9A"/>
    <w:rsid w:val="00FB6100"/>
    <w:rsid w:val="00FC231D"/>
    <w:rsid w:val="00FD27D1"/>
    <w:rsid w:val="00FD416B"/>
    <w:rsid w:val="00FD67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138F7"/>
  <w15:chartTrackingRefBased/>
  <w15:docId w15:val="{59045B4B-CC2E-46DA-BF08-98BD24045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8115E8"/>
    <w:pPr>
      <w:keepNext/>
      <w:keepLines/>
      <w:numPr>
        <w:numId w:val="1"/>
      </w:numPr>
      <w:suppressAutoHyphens/>
      <w:autoSpaceDN w:val="0"/>
      <w:spacing w:after="0" w:line="251" w:lineRule="auto"/>
      <w:jc w:val="center"/>
      <w:textAlignment w:val="baseline"/>
      <w:outlineLvl w:val="0"/>
    </w:pPr>
    <w:rPr>
      <w:rFonts w:ascii="Times New Roman" w:eastAsia="Times New Roman" w:hAnsi="Times New Roman" w:cs="Times New Roman"/>
      <w:color w:val="000000"/>
      <w:sz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rite">
    <w:name w:val="Write"/>
    <w:basedOn w:val="Normal"/>
    <w:link w:val="WriteChar"/>
    <w:qFormat/>
    <w:rsid w:val="00624C47"/>
    <w:pPr>
      <w:spacing w:line="360" w:lineRule="auto"/>
      <w:jc w:val="both"/>
    </w:pPr>
    <w:rPr>
      <w:rFonts w:asciiTheme="majorBidi" w:hAnsiTheme="majorBidi" w:cstheme="majorBidi"/>
      <w:sz w:val="28"/>
      <w:szCs w:val="28"/>
    </w:rPr>
  </w:style>
  <w:style w:type="character" w:customStyle="1" w:styleId="Heading1Char">
    <w:name w:val="Heading 1 Char"/>
    <w:basedOn w:val="DefaultParagraphFont"/>
    <w:link w:val="Heading1"/>
    <w:uiPriority w:val="9"/>
    <w:rsid w:val="008115E8"/>
    <w:rPr>
      <w:rFonts w:ascii="Times New Roman" w:eastAsia="Times New Roman" w:hAnsi="Times New Roman" w:cs="Times New Roman"/>
      <w:color w:val="000000"/>
      <w:sz w:val="36"/>
      <w:lang w:eastAsia="en-GB"/>
    </w:rPr>
  </w:style>
  <w:style w:type="character" w:customStyle="1" w:styleId="WriteChar">
    <w:name w:val="Write Char"/>
    <w:basedOn w:val="DefaultParagraphFont"/>
    <w:link w:val="Write"/>
    <w:rsid w:val="00624C47"/>
    <w:rPr>
      <w:rFonts w:asciiTheme="majorBidi" w:hAnsiTheme="majorBidi" w:cstheme="majorBidi"/>
      <w:sz w:val="28"/>
      <w:szCs w:val="28"/>
    </w:rPr>
  </w:style>
  <w:style w:type="numbering" w:customStyle="1" w:styleId="WWOutlineListStyle2">
    <w:name w:val="WW_OutlineListStyle_2"/>
    <w:basedOn w:val="NoList"/>
    <w:rsid w:val="008115E8"/>
    <w:pPr>
      <w:numPr>
        <w:numId w:val="1"/>
      </w:numPr>
    </w:pPr>
  </w:style>
  <w:style w:type="paragraph" w:customStyle="1" w:styleId="defaultwriting">
    <w:name w:val="default writing"/>
    <w:basedOn w:val="Normal"/>
    <w:link w:val="defaultwritingChar"/>
    <w:qFormat/>
    <w:rsid w:val="00262DF7"/>
    <w:pPr>
      <w:autoSpaceDE w:val="0"/>
      <w:autoSpaceDN w:val="0"/>
      <w:adjustRightInd w:val="0"/>
      <w:spacing w:after="0" w:line="240" w:lineRule="auto"/>
    </w:pPr>
    <w:rPr>
      <w:rFonts w:asciiTheme="majorBidi" w:eastAsia="Galliard-Roman" w:hAnsiTheme="majorBidi" w:cstheme="majorBidi"/>
      <w:color w:val="231F20"/>
      <w:sz w:val="28"/>
      <w:szCs w:val="28"/>
    </w:rPr>
  </w:style>
  <w:style w:type="character" w:customStyle="1" w:styleId="defaultwritingChar">
    <w:name w:val="default writing Char"/>
    <w:basedOn w:val="DefaultParagraphFont"/>
    <w:link w:val="defaultwriting"/>
    <w:rsid w:val="00262DF7"/>
    <w:rPr>
      <w:rFonts w:asciiTheme="majorBidi" w:eastAsia="Galliard-Roman" w:hAnsiTheme="majorBidi" w:cstheme="majorBidi"/>
      <w:color w:val="231F20"/>
      <w:sz w:val="28"/>
      <w:szCs w:val="28"/>
    </w:rPr>
  </w:style>
  <w:style w:type="paragraph" w:styleId="BalloonText">
    <w:name w:val="Balloon Text"/>
    <w:basedOn w:val="Normal"/>
    <w:link w:val="BalloonTextChar"/>
    <w:uiPriority w:val="99"/>
    <w:semiHidden/>
    <w:unhideWhenUsed/>
    <w:rsid w:val="000D1F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F46"/>
    <w:rPr>
      <w:rFonts w:ascii="Segoe UI" w:hAnsi="Segoe UI" w:cs="Segoe UI"/>
      <w:sz w:val="18"/>
      <w:szCs w:val="18"/>
    </w:rPr>
  </w:style>
  <w:style w:type="paragraph" w:styleId="EndnoteText">
    <w:name w:val="endnote text"/>
    <w:basedOn w:val="Normal"/>
    <w:link w:val="EndnoteTextChar"/>
    <w:uiPriority w:val="99"/>
    <w:semiHidden/>
    <w:unhideWhenUsed/>
    <w:rsid w:val="00E92F0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92F0A"/>
    <w:rPr>
      <w:sz w:val="20"/>
      <w:szCs w:val="20"/>
    </w:rPr>
  </w:style>
  <w:style w:type="character" w:styleId="EndnoteReference">
    <w:name w:val="endnote reference"/>
    <w:basedOn w:val="DefaultParagraphFont"/>
    <w:uiPriority w:val="99"/>
    <w:semiHidden/>
    <w:unhideWhenUsed/>
    <w:rsid w:val="00E92F0A"/>
    <w:rPr>
      <w:vertAlign w:val="superscript"/>
    </w:rPr>
  </w:style>
  <w:style w:type="paragraph" w:styleId="FootnoteText">
    <w:name w:val="footnote text"/>
    <w:basedOn w:val="Normal"/>
    <w:link w:val="FootnoteTextChar"/>
    <w:uiPriority w:val="99"/>
    <w:semiHidden/>
    <w:unhideWhenUsed/>
    <w:rsid w:val="004D42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42C4"/>
    <w:rPr>
      <w:sz w:val="20"/>
      <w:szCs w:val="20"/>
    </w:rPr>
  </w:style>
  <w:style w:type="character" w:styleId="FootnoteReference">
    <w:name w:val="footnote reference"/>
    <w:basedOn w:val="DefaultParagraphFont"/>
    <w:uiPriority w:val="99"/>
    <w:semiHidden/>
    <w:unhideWhenUsed/>
    <w:rsid w:val="004D42C4"/>
    <w:rPr>
      <w:vertAlign w:val="superscript"/>
    </w:rPr>
  </w:style>
  <w:style w:type="paragraph" w:styleId="ListParagraph">
    <w:name w:val="List Paragraph"/>
    <w:basedOn w:val="Normal"/>
    <w:uiPriority w:val="34"/>
    <w:qFormat/>
    <w:rsid w:val="0074633D"/>
    <w:pPr>
      <w:ind w:left="720"/>
      <w:contextualSpacing/>
    </w:pPr>
  </w:style>
  <w:style w:type="paragraph" w:styleId="Header">
    <w:name w:val="header"/>
    <w:basedOn w:val="Normal"/>
    <w:link w:val="HeaderChar"/>
    <w:uiPriority w:val="99"/>
    <w:unhideWhenUsed/>
    <w:rsid w:val="00744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2A4"/>
  </w:style>
  <w:style w:type="paragraph" w:styleId="Footer">
    <w:name w:val="footer"/>
    <w:basedOn w:val="Normal"/>
    <w:link w:val="FooterChar"/>
    <w:uiPriority w:val="99"/>
    <w:unhideWhenUsed/>
    <w:rsid w:val="00744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413824">
      <w:bodyDiv w:val="1"/>
      <w:marLeft w:val="0"/>
      <w:marRight w:val="0"/>
      <w:marTop w:val="0"/>
      <w:marBottom w:val="0"/>
      <w:divBdr>
        <w:top w:val="none" w:sz="0" w:space="0" w:color="auto"/>
        <w:left w:val="none" w:sz="0" w:space="0" w:color="auto"/>
        <w:bottom w:val="none" w:sz="0" w:space="0" w:color="auto"/>
        <w:right w:val="none" w:sz="0" w:space="0" w:color="auto"/>
      </w:divBdr>
    </w:div>
    <w:div w:id="190179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A92AC-ECA0-462B-8368-D717F9C03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3297</TotalTime>
  <Pages>31</Pages>
  <Words>7054</Words>
  <Characters>40209</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dc:creator>
  <cp:keywords/>
  <dc:description/>
  <cp:lastModifiedBy>Ahmed</cp:lastModifiedBy>
  <cp:revision>139</cp:revision>
  <dcterms:created xsi:type="dcterms:W3CDTF">2019-05-19T22:05:00Z</dcterms:created>
  <dcterms:modified xsi:type="dcterms:W3CDTF">2019-06-07T12:29:00Z</dcterms:modified>
</cp:coreProperties>
</file>