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vAlign w:val="center"/>
          </w:tcPr>
          <w:p>
            <w:pPr>
              <w:jc w:val="both"/>
              <w:rPr>
                <w:rFonts w:hint="default" w:ascii="Arial" w:hAnsi="Arial" w:eastAsia="宋体" w:cs="Arial"/>
                <w:sz w:val="22"/>
                <w:szCs w:val="22"/>
                <w:lang w:val="en-US" w:eastAsia="zh-CN"/>
              </w:rPr>
            </w:pPr>
            <w:r>
              <w:rPr>
                <w:rFonts w:hint="eastAsia" w:ascii="Arial" w:hAnsi="Arial" w:eastAsia="宋体" w:cs="Arial"/>
                <w:sz w:val="22"/>
                <w:szCs w:val="22"/>
                <w:lang w:val="en-US" w:eastAsia="zh-CN"/>
              </w:rPr>
              <w:t>YU,HONGLIANG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vAlign w:val="center"/>
          </w:tcPr>
          <w:p>
            <w:pPr>
              <w:jc w:val="both"/>
              <w:rPr>
                <w:rFonts w:hint="default" w:ascii="Arial" w:hAnsi="Arial" w:cs="Arial"/>
                <w:sz w:val="22"/>
                <w:szCs w:val="22"/>
              </w:rPr>
            </w:pPr>
            <w:r>
              <w:rPr>
                <w:rFonts w:hint="default" w:ascii="Arial" w:hAnsi="Arial" w:cs="Arial"/>
                <w:sz w:val="22"/>
                <w:szCs w:val="22"/>
              </w:rPr>
              <w:t>Wales Institute of Science and Art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475"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vAlign w:val="center"/>
          </w:tcPr>
          <w:p>
            <w:pPr>
              <w:jc w:val="both"/>
              <w:rPr>
                <w:rFonts w:hint="default" w:ascii="Arial" w:hAnsi="Arial" w:eastAsia="宋体" w:cs="Arial"/>
                <w:sz w:val="22"/>
                <w:szCs w:val="22"/>
                <w:lang w:val="en-US" w:eastAsia="zh-CN"/>
              </w:rPr>
            </w:pPr>
            <w:r>
              <w:rPr>
                <w:rFonts w:hint="eastAsia" w:ascii="Arial" w:hAnsi="Arial" w:eastAsia="宋体" w:cs="Arial"/>
                <w:sz w:val="22"/>
                <w:szCs w:val="22"/>
                <w:lang w:val="en-US" w:eastAsia="zh-CN"/>
              </w:rPr>
              <w:t>Swansea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45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vAlign w:val="center"/>
          </w:tcPr>
          <w:p>
            <w:pPr>
              <w:jc w:val="both"/>
              <w:rPr>
                <w:rFonts w:ascii="Arial" w:hAnsi="Arial" w:cs="Arial"/>
                <w:sz w:val="22"/>
                <w:szCs w:val="22"/>
              </w:rPr>
            </w:pPr>
            <w:bookmarkStart w:id="0" w:name="OLE_LINK1"/>
            <w:r>
              <w:rPr>
                <w:rFonts w:hint="eastAsia" w:ascii="Arial" w:hAnsi="Arial" w:cs="Arial"/>
                <w:sz w:val="22"/>
                <w:szCs w:val="22"/>
              </w:rPr>
              <w:t>2213409</w:t>
            </w:r>
            <w:bookmarkEnd w:id="0"/>
            <w:r>
              <w:rPr>
                <w:rFonts w:hint="eastAsia" w:ascii="Arial" w:hAnsi="Arial" w:cs="Arial"/>
                <w:sz w:val="22"/>
                <w:szCs w:val="22"/>
              </w:rPr>
              <w:t>@student.uwtsd.ac.uk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45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vAlign w:val="center"/>
          </w:tcPr>
          <w:p>
            <w:pPr>
              <w:jc w:val="both"/>
              <w:rPr>
                <w:rFonts w:hint="default" w:ascii="Arial" w:hAnsi="Arial" w:eastAsia="宋体" w:cs="Arial"/>
                <w:sz w:val="22"/>
                <w:szCs w:val="22"/>
                <w:lang w:val="en-US" w:eastAsia="zh-CN"/>
              </w:rPr>
            </w:pPr>
            <w:r>
              <w:rPr>
                <w:rFonts w:hint="eastAsia" w:ascii="Arial" w:hAnsi="Arial" w:eastAsia="宋体" w:cs="Arial"/>
                <w:sz w:val="22"/>
                <w:szCs w:val="22"/>
                <w:lang w:val="en-US" w:eastAsia="zh-CN"/>
              </w:rPr>
              <w:t>+8613902444372</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vAlign w:val="center"/>
          </w:tcPr>
          <w:p>
            <w:pPr>
              <w:jc w:val="both"/>
              <w:rPr>
                <w:rFonts w:ascii="Arial" w:hAnsi="Arial" w:cs="Arial"/>
                <w:sz w:val="22"/>
                <w:szCs w:val="22"/>
              </w:rPr>
            </w:pPr>
            <w:r>
              <w:rPr>
                <w:rFonts w:hint="eastAsia" w:ascii="Arial" w:hAnsi="Arial" w:cs="Arial"/>
                <w:sz w:val="22"/>
                <w:szCs w:val="22"/>
              </w:rPr>
              <w:t>2213409</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vAlign w:val="center"/>
          </w:tcPr>
          <w:p>
            <w:pPr>
              <w:jc w:val="both"/>
              <w:rPr>
                <w:rFonts w:ascii="Arial" w:hAnsi="Arial" w:cs="Arial"/>
                <w:sz w:val="22"/>
                <w:szCs w:val="22"/>
              </w:rPr>
            </w:pPr>
            <w:r>
              <w:rPr>
                <w:rFonts w:hint="eastAsia" w:ascii="Arial" w:hAnsi="Arial" w:cs="Arial"/>
                <w:sz w:val="22"/>
                <w:szCs w:val="22"/>
              </w:rPr>
              <w:t>MSC Master of Science</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vAlign w:val="center"/>
          </w:tcPr>
          <w:p>
            <w:pPr>
              <w:jc w:val="both"/>
              <w:rPr>
                <w:rFonts w:ascii="Arial" w:hAnsi="Arial" w:cs="Arial"/>
                <w:sz w:val="22"/>
                <w:szCs w:val="22"/>
              </w:rPr>
            </w:pPr>
            <w:r>
              <w:rPr>
                <w:rFonts w:hint="eastAsia" w:ascii="Arial" w:hAnsi="Arial" w:eastAsia="宋体" w:cs="Arial"/>
                <w:sz w:val="22"/>
                <w:szCs w:val="22"/>
                <w:lang w:val="en-US" w:eastAsia="zh-CN"/>
              </w:rPr>
              <w:t>Terry Walcott</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r>
              <w:rPr>
                <w:rFonts w:hint="eastAsia" w:ascii="Arial" w:hAnsi="Arial" w:eastAsia="宋体" w:cs="Arial"/>
                <w:sz w:val="22"/>
                <w:szCs w:val="22"/>
                <w:lang w:val="en-US" w:eastAsia="zh-CN"/>
              </w:rPr>
              <w:t>23/02/2023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color w:val="auto"/>
                <w:sz w:val="22"/>
                <w:szCs w:val="22"/>
              </w:rPr>
            </w:pPr>
            <w:r>
              <w:rPr>
                <w:rFonts w:ascii="Arial" w:hAnsi="Arial" w:cs="Arial"/>
                <w:color w:val="auto"/>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rPr>
                <w:color w:val="auto"/>
              </w:rPr>
              <w:fldChar w:fldCharType="begin"/>
            </w:r>
            <w:r>
              <w:rPr>
                <w:color w:val="auto"/>
              </w:rPr>
              <w:instrText xml:space="preserve"> HYPERLINK "file:///C:\\Users\\c.lohmann-hancock\\AppData\\Local\\Microsoft\\Windows\\INetCache\\REICoP-17-20-v3-Final.pdf" </w:instrText>
            </w:r>
            <w:r>
              <w:rPr>
                <w:color w:val="auto"/>
              </w:rP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color w:val="auto"/>
                <w:sz w:val="22"/>
                <w:szCs w:val="22"/>
              </w:rPr>
            </w:pPr>
          </w:p>
        </w:tc>
        <w:sdt>
          <w:sdtPr>
            <w:rPr>
              <w:rFonts w:ascii="Arial" w:hAnsi="Arial" w:cs="Arial"/>
              <w:b/>
              <w:bCs/>
              <w:color w:val="auto"/>
              <w:sz w:val="22"/>
              <w:szCs w:val="22"/>
            </w:rPr>
            <w:id w:val="1578479508"/>
            <w14:checkbox>
              <w14:checked w14:val="1"/>
              <w14:checkedState w14:val="2612" w14:font="MS Gothic"/>
              <w14:uncheckedState w14:val="2610" w14:font="MS Gothic"/>
            </w14:checkbox>
          </w:sdtPr>
          <w:sdtEndPr>
            <w:rPr>
              <w:rFonts w:ascii="Arial" w:hAnsi="Arial" w:cs="Arial"/>
              <w:b/>
              <w:bCs/>
              <w:color w:val="auto"/>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color w:val="auto"/>
                    <w:sz w:val="22"/>
                    <w:szCs w:val="22"/>
                  </w:rPr>
                </w:pPr>
                <w:r>
                  <w:rPr>
                    <w:rFonts w:hint="eastAsia" w:ascii="MS Gothic" w:hAnsi="MS Gothic" w:eastAsia="MS Gothic" w:cs="Arial"/>
                    <w:b/>
                    <w:bCs/>
                    <w:color w:val="auto"/>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color w:val="auto"/>
                <w:sz w:val="22"/>
                <w:szCs w:val="22"/>
              </w:rPr>
            </w:pPr>
            <w:r>
              <w:rPr>
                <w:rFonts w:ascii="Arial" w:hAnsi="Arial" w:cs="Arial"/>
                <w:color w:val="auto"/>
                <w:sz w:val="22"/>
                <w:szCs w:val="22"/>
              </w:rPr>
              <w:t>2</w:t>
            </w:r>
          </w:p>
        </w:tc>
        <w:tc>
          <w:tcPr>
            <w:tcW w:w="8784" w:type="dxa"/>
          </w:tcPr>
          <w:p>
            <w:pPr>
              <w:autoSpaceDE w:val="0"/>
              <w:autoSpaceDN w:val="0"/>
              <w:adjustRightInd w:val="0"/>
              <w:rPr>
                <w:rFonts w:ascii="Arial" w:hAnsi="Arial" w:cs="Arial"/>
                <w:b/>
                <w:bCs/>
                <w:i/>
                <w:color w:val="auto"/>
                <w:sz w:val="22"/>
                <w:szCs w:val="22"/>
              </w:rPr>
            </w:pPr>
          </w:p>
          <w:p>
            <w:pPr>
              <w:autoSpaceDE w:val="0"/>
              <w:autoSpaceDN w:val="0"/>
              <w:adjustRightInd w:val="0"/>
              <w:rPr>
                <w:rFonts w:ascii="Arial" w:hAnsi="Arial" w:cs="Arial"/>
                <w:b/>
                <w:bCs/>
                <w:color w:val="auto"/>
                <w:sz w:val="22"/>
                <w:szCs w:val="22"/>
              </w:rPr>
            </w:pPr>
            <w:r>
              <w:rPr>
                <w:rFonts w:ascii="Arial" w:hAnsi="Arial" w:cs="Arial"/>
                <w:b/>
                <w:bCs/>
                <w:color w:val="auto"/>
                <w:sz w:val="22"/>
                <w:szCs w:val="22"/>
              </w:rPr>
              <w:t>UWTSD Research Data Management Policy</w:t>
            </w:r>
          </w:p>
        </w:tc>
        <w:tc>
          <w:tcPr>
            <w:tcW w:w="1134" w:type="dxa"/>
            <w:shd w:val="clear" w:color="auto" w:fill="BEBEBE" w:themeFill="background1" w:themeFillShade="BF"/>
          </w:tcPr>
          <w:sdt>
            <w:sdtPr>
              <w:rPr>
                <w:rFonts w:ascii="Arial" w:hAnsi="Arial" w:cs="Arial"/>
                <w:b/>
                <w:bCs/>
                <w:color w:val="auto"/>
                <w:sz w:val="22"/>
                <w:szCs w:val="22"/>
              </w:rPr>
              <w:id w:val="-2040961117"/>
              <w14:checkbox>
                <w14:checked w14:val="1"/>
                <w14:checkedState w14:val="2612" w14:font="MS Gothic"/>
                <w14:uncheckedState w14:val="2610" w14:font="MS Gothic"/>
              </w14:checkbox>
            </w:sdtPr>
            <w:sdtEndPr>
              <w:rPr>
                <w:rFonts w:ascii="Arial" w:hAnsi="Arial" w:cs="Arial"/>
                <w:b/>
                <w:bCs/>
                <w:color w:val="auto"/>
                <w:sz w:val="22"/>
                <w:szCs w:val="22"/>
              </w:rPr>
            </w:sdtEndPr>
            <w:sdtContent>
              <w:p>
                <w:pPr>
                  <w:autoSpaceDE w:val="0"/>
                  <w:autoSpaceDN w:val="0"/>
                  <w:adjustRightInd w:val="0"/>
                  <w:jc w:val="center"/>
                  <w:rPr>
                    <w:rFonts w:ascii="Arial" w:hAnsi="Arial" w:cs="Arial"/>
                    <w:b/>
                    <w:bCs/>
                    <w:i/>
                    <w:color w:val="auto"/>
                    <w:sz w:val="22"/>
                    <w:szCs w:val="22"/>
                  </w:rPr>
                </w:pPr>
                <w:r>
                  <w:rPr>
                    <w:rFonts w:hint="eastAsia" w:ascii="MS Gothic" w:hAnsi="MS Gothic" w:eastAsia="MS Gothic" w:cs="Arial"/>
                    <w:b/>
                    <w:bCs/>
                    <w:color w:val="auto"/>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44"/>
        <w:gridCol w:w="2484"/>
        <w:gridCol w:w="2484"/>
        <w:gridCol w:w="262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rPr>
              <w:t>Research on attack and defence algorithms for adversarial samples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bookmarkStart w:id="1" w:name="OLE_LINK5"/>
            <w:r>
              <w:rPr>
                <w:rFonts w:hint="eastAsia" w:ascii="Arial" w:hAnsi="Arial" w:eastAsia="宋体" w:cs="Arial"/>
                <w:sz w:val="22"/>
                <w:szCs w:val="22"/>
                <w:lang w:val="en-US" w:eastAsia="zh-CN"/>
              </w:rPr>
              <w:t>23/02/2023</w:t>
            </w:r>
            <w:bookmarkEnd w:id="1"/>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eastAsia="宋体" w:cs="Arial"/>
                <w:sz w:val="22"/>
                <w:szCs w:val="22"/>
                <w:lang w:val="en-US" w:eastAsia="zh-CN"/>
              </w:rPr>
              <w:t>24/04/2023</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p>
          <w:p>
            <w:pPr>
              <w:rPr>
                <w:rFonts w:ascii="Arial" w:hAnsi="Arial" w:cs="Arial"/>
              </w:rPr>
            </w:pPr>
            <w:r>
              <w:rPr>
                <w:rFonts w:ascii="Arial" w:hAnsi="Arial" w:cs="Arial"/>
              </w:rPr>
              <w:t>This project aims at the problem that neural networks are vulnerable to adversarial sample attacks and have security risks, and studies neural network adversarial defence techniques. Through adversarial training and provable robustness calculation techniques, it achieves the goal of increasing the cost of generating adversarial samples as much as possible and reducing the success rate of attacking neural networks with adversarial samples while maintaining the performance of neural networks to meet requirements, thereby promoting the application of neural networks in security fields.</w:t>
            </w: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p>
          <w:p>
            <w:pPr>
              <w:rPr>
                <w:rFonts w:ascii="Arial" w:hAnsi="Arial" w:cs="Arial"/>
              </w:rPr>
            </w:pPr>
            <w:r>
              <w:rPr>
                <w:rFonts w:ascii="Arial" w:hAnsi="Arial" w:cs="Arial"/>
              </w:rPr>
              <w:t>This research focuses on neural network adversarial defense algorithm research. By deeply studying the effectiveness of adversarial training in improving neural network robustness, designing new types of adversarial training algorithms, and using provable robustness calculation methods to replace existing heuristic-based robustness calculation methods, it achieves robustness improvement for neural networks. The research content mainly includes the following aspects</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p>
          <w:p>
            <w:pPr>
              <w:rPr>
                <w:rFonts w:ascii="Arial" w:hAnsi="Arial" w:cs="Arial"/>
              </w:rPr>
            </w:pPr>
            <w:r>
              <w:rPr>
                <w:rFonts w:ascii="Arial" w:hAnsi="Arial" w:cs="Arial"/>
              </w:rPr>
              <w:t>Understand the underlying mechanisms: Investigate the causes and mechanisms behind adversarial attacks and how they can evade detection and cause misclassifications in machine learning models.</w:t>
            </w:r>
          </w:p>
          <w:p>
            <w:pPr>
              <w:rPr>
                <w:rFonts w:ascii="Arial" w:hAnsi="Arial" w:cs="Arial"/>
              </w:rPr>
            </w:pPr>
            <w:r>
              <w:rPr>
                <w:rFonts w:ascii="Arial" w:hAnsi="Arial" w:cs="Arial"/>
              </w:rPr>
              <w:t>Develop effective defense strategies: Develop new and more effective adversarial defense strategies and algorithms to protect machine learning models against a wide range of adversarial attacks.</w:t>
            </w: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rPr>
                <w:rFonts w:ascii="Arial" w:hAnsi="Arial" w:cs="Arial"/>
              </w:rPr>
            </w:pPr>
            <w:r>
              <w:rPr>
                <w:rFonts w:ascii="Arial" w:hAnsi="Arial" w:cs="Arial"/>
              </w:rPr>
              <w:t>These advanced adversarial examples can be specifically designed to bypass existing defense mechanisms, making it challenging for even sophisticated algorithms to detect and mitigate them.</w:t>
            </w:r>
          </w:p>
          <w:p>
            <w:pPr>
              <w:pStyle w:val="31"/>
              <w:shd w:val="clear" w:color="auto" w:fill="FFFFFF"/>
              <w:spacing w:before="0" w:beforeAutospacing="0" w:after="30" w:afterAutospacing="0" w:line="315" w:lineRule="atLeast"/>
              <w:rPr>
                <w:rFonts w:ascii="Arial" w:hAnsi="Arial" w:cs="Arial"/>
                <w:sz w:val="22"/>
                <w:szCs w:val="22"/>
              </w:rPr>
            </w:pPr>
            <w:r>
              <w:rPr>
                <w:rFonts w:ascii="Arial" w:hAnsi="Arial" w:eastAsia="Times New Roman" w:cs="Arial"/>
                <w:sz w:val="20"/>
                <w:szCs w:val="20"/>
                <w:lang w:val="en-GB" w:eastAsia="en-US"/>
              </w:rPr>
              <w:t>The adversarial defense algorithm can defend most adversarial samples.</w:t>
            </w: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color w:val="auto"/>
                <w:sz w:val="22"/>
                <w:szCs w:val="22"/>
              </w:rPr>
            </w:pPr>
            <w:r>
              <w:rPr>
                <w:rFonts w:ascii="Arial" w:hAnsi="Arial" w:cs="Arial"/>
                <w:b/>
                <w:color w:val="auto"/>
                <w:sz w:val="22"/>
                <w:szCs w:val="22"/>
              </w:rPr>
              <w:t>Proposed methods (maximum 600 words)</w:t>
            </w:r>
          </w:p>
          <w:p>
            <w:pPr>
              <w:rPr>
                <w:rFonts w:ascii="Arial" w:hAnsi="Arial" w:cs="Arial"/>
                <w:color w:val="auto"/>
                <w:sz w:val="22"/>
                <w:szCs w:val="22"/>
              </w:rPr>
            </w:pPr>
            <w:r>
              <w:rPr>
                <w:rFonts w:ascii="Arial" w:hAnsi="Arial" w:cs="Arial"/>
                <w:color w:val="auto"/>
                <w:sz w:val="22"/>
                <w:szCs w:val="22"/>
              </w:rPr>
              <w:t xml:space="preserve">Provide a brief summary of all the methods that </w:t>
            </w:r>
            <w:r>
              <w:rPr>
                <w:rFonts w:ascii="Arial" w:hAnsi="Arial" w:cs="Arial"/>
                <w:b/>
                <w:color w:val="auto"/>
                <w:sz w:val="22"/>
                <w:szCs w:val="22"/>
              </w:rPr>
              <w:t>may</w:t>
            </w:r>
            <w:r>
              <w:rPr>
                <w:rFonts w:ascii="Arial" w:hAnsi="Arial" w:cs="Arial"/>
                <w:color w:val="auto"/>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color w:val="auto"/>
                <w:sz w:val="22"/>
                <w:szCs w:val="22"/>
              </w:rPr>
            </w:pPr>
            <w:r>
              <w:rPr>
                <w:rFonts w:ascii="Arial" w:hAnsi="Arial" w:cs="Arial"/>
                <w:b/>
                <w:color w:val="auto"/>
                <w:sz w:val="22"/>
                <w:szCs w:val="22"/>
              </w:rPr>
              <w:t>Location of research activity</w:t>
            </w:r>
          </w:p>
          <w:p>
            <w:pPr>
              <w:rPr>
                <w:rFonts w:ascii="Arial" w:hAnsi="Arial" w:cs="Arial"/>
                <w:color w:val="auto"/>
                <w:sz w:val="22"/>
                <w:szCs w:val="22"/>
              </w:rPr>
            </w:pPr>
            <w:r>
              <w:rPr>
                <w:rFonts w:ascii="Arial" w:hAnsi="Arial" w:cs="Arial"/>
                <w:color w:val="auto"/>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color w:val="auto"/>
                <w:sz w:val="22"/>
                <w:szCs w:val="22"/>
              </w:rPr>
            </w:pPr>
          </w:p>
          <w:p>
            <w:pPr>
              <w:rPr>
                <w:rFonts w:ascii="Arial" w:hAnsi="Arial" w:cs="Arial"/>
                <w:color w:val="auto"/>
                <w:sz w:val="22"/>
                <w:szCs w:val="22"/>
              </w:rPr>
            </w:pPr>
          </w:p>
          <w:p>
            <w:pPr>
              <w:rPr>
                <w:rFonts w:ascii="Arial" w:hAnsi="Arial" w:cs="Arial"/>
                <w:b/>
                <w:color w:val="auto"/>
                <w:sz w:val="22"/>
                <w:szCs w:val="22"/>
              </w:rPr>
            </w:pPr>
            <w:r>
              <w:rPr>
                <w:rFonts w:ascii="Arial" w:hAnsi="Arial" w:cs="Arial"/>
                <w:color w:val="auto"/>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color w:val="auto"/>
                <w:sz w:val="22"/>
                <w:szCs w:val="22"/>
              </w:rPr>
            </w:pPr>
            <w:r>
              <w:rPr>
                <w:rFonts w:ascii="Arial" w:hAnsi="Arial" w:cs="Arial"/>
                <w:b/>
                <w:color w:val="auto"/>
                <w:sz w:val="22"/>
                <w:szCs w:val="22"/>
              </w:rPr>
              <w:t>Research activity outside of the UK</w:t>
            </w:r>
          </w:p>
          <w:p>
            <w:pPr>
              <w:autoSpaceDE w:val="0"/>
              <w:autoSpaceDN w:val="0"/>
              <w:adjustRightInd w:val="0"/>
              <w:rPr>
                <w:rFonts w:ascii="Arial" w:hAnsi="Arial" w:cs="Arial"/>
                <w:color w:val="auto"/>
                <w:sz w:val="22"/>
                <w:szCs w:val="22"/>
              </w:rPr>
            </w:pPr>
            <w:r>
              <w:rPr>
                <w:rFonts w:ascii="Arial" w:hAnsi="Arial" w:cs="Arial"/>
                <w:color w:val="auto"/>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hint="eastAsia" w:ascii="Arial" w:hAnsi="Arial" w:eastAsia="宋体" w:cs="Arial"/>
                <w:sz w:val="22"/>
                <w:szCs w:val="22"/>
                <w:lang w:val="en-US" w:eastAsia="zh-CN"/>
              </w:rPr>
            </w:pPr>
            <w:r>
              <w:rPr>
                <w:rFonts w:hint="eastAsia" w:ascii="Arial" w:hAnsi="Arial" w:cs="Arial"/>
                <w:sz w:val="22"/>
                <w:szCs w:val="22"/>
              </w:rPr>
              <w:t>No participants</w:t>
            </w:r>
            <w:r>
              <w:rPr>
                <w:rFonts w:hint="eastAsia" w:ascii="Arial" w:hAnsi="Arial" w:eastAsia="宋体" w:cs="Arial"/>
                <w:sz w:val="22"/>
                <w:szCs w:val="22"/>
                <w:lang w:val="en-US" w:eastAsia="zh-CN"/>
              </w:rPr>
              <w:t>.</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r>
              <w:rPr>
                <w:rFonts w:hint="eastAsia" w:ascii="Arial" w:hAnsi="Arial" w:cs="Arial"/>
                <w:sz w:val="22"/>
                <w:szCs w:val="22"/>
              </w:rPr>
              <w:t>Legal Implications: Schools that use machine learning models are subject to legal implications if they fail to protect their systems against adversarial attacks. This could result in legal action, fines, or reputational damage.</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bookmarkStart w:id="2" w:name="OLE_LINK2"/>
            <w:r>
              <w:rPr>
                <w:rFonts w:hint="eastAsia" w:ascii="Arial" w:hAnsi="Arial" w:cs="Arial"/>
                <w:sz w:val="22"/>
                <w:szCs w:val="22"/>
              </w:rPr>
              <w:t>We use open-source datasets and models.</w:t>
            </w:r>
            <w:bookmarkEnd w:id="2"/>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r>
              <w:rPr>
                <w:rFonts w:hint="eastAsia" w:ascii="Arial" w:hAnsi="Arial" w:cs="Arial"/>
                <w:sz w:val="22"/>
                <w:szCs w:val="22"/>
              </w:rPr>
              <w:t>Legal Implications: Schools that use machine learning models are subject to legal implications if they fail to protect their systems against adversarial attacks. This could result in legal action, fines, or reputational damage.</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r>
              <w:rPr>
                <w:rFonts w:hint="eastAsia" w:ascii="Arial" w:hAnsi="Arial" w:cs="Arial"/>
                <w:sz w:val="22"/>
                <w:szCs w:val="22"/>
              </w:rPr>
              <w:t>We use open-source datasets and models.</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hint="eastAsia" w:ascii="Arial" w:hAnsi="Arial" w:cs="Arial"/>
                <w:sz w:val="22"/>
                <w:szCs w:val="22"/>
              </w:rPr>
              <w:t>No participants</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hint="eastAsia" w:ascii="Arial" w:hAnsi="Arial" w:cs="Arial"/>
                <w:sz w:val="22"/>
                <w:szCs w:val="22"/>
              </w:rPr>
              <w:t>No participants</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sz w:val="22"/>
                  <w:szCs w:val="22"/>
                </w:rPr>
                <w:id w:val="229278396"/>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sz w:val="22"/>
                  <w:szCs w:val="22"/>
                </w:rPr>
                <w:id w:val="229278396"/>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p>
          <w:p>
            <w:pPr>
              <w:rPr>
                <w:rFonts w:hint="eastAsia" w:ascii="Arial" w:hAnsi="Arial" w:cs="Arial"/>
                <w:sz w:val="22"/>
                <w:szCs w:val="22"/>
              </w:rPr>
            </w:pPr>
            <w:r>
              <w:rPr>
                <w:rFonts w:hint="eastAsia" w:ascii="Arial" w:hAnsi="Arial" w:cs="Arial"/>
                <w:sz w:val="22"/>
                <w:szCs w:val="22"/>
              </w:rPr>
              <w:t>Data Encryption: All sensitive data is encrypted using industry-standard encryption algorithms, ensuring that it cannot be accessed by unauthorized parties.</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Password Protection: We use strong password policies and multi-factor authentication to protect against unauthorized access to our systems and data.</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Anonymization and Pseudonymization: We use anonymization and pseudonymization techniques to ensure that any personal data is protected and cannot be traced back to an individual.</w:t>
            </w:r>
          </w:p>
          <w:p>
            <w:pPr>
              <w:rPr>
                <w:rFonts w:hint="eastAsia" w:ascii="Arial" w:hAnsi="Arial" w:cs="Arial"/>
                <w:sz w:val="22"/>
                <w:szCs w:val="22"/>
              </w:rPr>
            </w:pPr>
          </w:p>
          <w:p>
            <w:pPr>
              <w:rPr>
                <w:rFonts w:ascii="Arial" w:hAnsi="Arial" w:cs="Arial"/>
                <w:sz w:val="22"/>
                <w:szCs w:val="22"/>
              </w:rPr>
            </w:pPr>
            <w:r>
              <w:rPr>
                <w:rFonts w:hint="eastAsia" w:ascii="Arial" w:hAnsi="Arial" w:cs="Arial"/>
                <w:sz w:val="22"/>
                <w:szCs w:val="22"/>
              </w:rPr>
              <w:t>Backup Procedures: We have implemented regular backup procedures to ensure that all data is backed up and can be restored in the event of a system failure or data loss.</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YU,HONGLIANG</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hint="default" w:ascii="Arial" w:hAnsi="Arial" w:eastAsia="宋体" w:cs="Arial"/>
                <w:sz w:val="22"/>
                <w:szCs w:val="22"/>
                <w:lang w:val="en-US" w:eastAsia="zh-CN"/>
              </w:rPr>
            </w:pPr>
            <w:bookmarkStart w:id="3" w:name="OLE_LINK3"/>
            <w:r>
              <w:rPr>
                <w:rFonts w:hint="eastAsia" w:ascii="Arial" w:hAnsi="Arial" w:eastAsia="宋体" w:cs="Arial"/>
                <w:sz w:val="22"/>
                <w:szCs w:val="22"/>
                <w:lang w:val="en-US" w:eastAsia="zh-CN"/>
              </w:rPr>
              <w:t>YU,HONGLIANG</w:t>
            </w:r>
          </w:p>
          <w:bookmarkEnd w:id="3"/>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hint="eastAsia" w:ascii="Arial" w:hAnsi="Arial" w:cs="Arial"/>
                <w:sz w:val="22"/>
                <w:szCs w:val="22"/>
              </w:rPr>
            </w:pPr>
            <w:r>
              <w:rPr>
                <w:rFonts w:hint="eastAsia" w:ascii="Arial" w:hAnsi="Arial" w:cs="Arial"/>
                <w:sz w:val="22"/>
                <w:szCs w:val="22"/>
              </w:rPr>
              <w:t>Storage Location: All data will be stored on secure servers located in a data center that meets industry-standard security and compliance requirements.</w:t>
            </w:r>
          </w:p>
          <w:p>
            <w:pPr>
              <w:autoSpaceDE w:val="0"/>
              <w:autoSpaceDN w:val="0"/>
              <w:adjustRightInd w:val="0"/>
              <w:rPr>
                <w:rFonts w:hint="eastAsia" w:ascii="Arial" w:hAnsi="Arial" w:cs="Arial"/>
                <w:sz w:val="22"/>
                <w:szCs w:val="22"/>
              </w:rPr>
            </w:pPr>
          </w:p>
          <w:p>
            <w:pPr>
              <w:autoSpaceDE w:val="0"/>
              <w:autoSpaceDN w:val="0"/>
              <w:adjustRightInd w:val="0"/>
              <w:rPr>
                <w:rFonts w:hint="eastAsia" w:ascii="Arial" w:hAnsi="Arial" w:cs="Arial"/>
                <w:sz w:val="22"/>
                <w:szCs w:val="22"/>
              </w:rPr>
            </w:pPr>
            <w:r>
              <w:rPr>
                <w:rFonts w:hint="eastAsia" w:ascii="Arial" w:hAnsi="Arial" w:cs="Arial"/>
                <w:sz w:val="22"/>
                <w:szCs w:val="22"/>
              </w:rPr>
              <w:t>Security Measures: We have implemented several security measures to protect the data, including firewalls, intrusion detection and prevention systems, and access controls to ensure that only authorized personnel have access to the data.</w:t>
            </w:r>
          </w:p>
          <w:p>
            <w:pPr>
              <w:autoSpaceDE w:val="0"/>
              <w:autoSpaceDN w:val="0"/>
              <w:adjustRightInd w:val="0"/>
              <w:rPr>
                <w:rFonts w:hint="eastAsia" w:ascii="Arial" w:hAnsi="Arial" w:cs="Arial"/>
                <w:sz w:val="22"/>
                <w:szCs w:val="22"/>
              </w:rPr>
            </w:pPr>
          </w:p>
          <w:p>
            <w:pPr>
              <w:autoSpaceDE w:val="0"/>
              <w:autoSpaceDN w:val="0"/>
              <w:adjustRightInd w:val="0"/>
              <w:rPr>
                <w:rFonts w:ascii="Arial" w:hAnsi="Arial" w:cs="Arial"/>
                <w:sz w:val="22"/>
                <w:szCs w:val="22"/>
              </w:rPr>
            </w:pPr>
            <w:r>
              <w:rPr>
                <w:rFonts w:hint="eastAsia" w:ascii="Arial" w:hAnsi="Arial" w:cs="Arial"/>
                <w:sz w:val="22"/>
                <w:szCs w:val="22"/>
              </w:rPr>
              <w:t>Data Retention: Data will be stored for as long as necessary to fulfill the purposes for which it was collected, and in compliance with any legal or regulatory requirements. Once data is no longer needed, it will be securely deleted or anonymized.</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hint="eastAsia" w:ascii="Arial" w:hAnsi="Arial" w:eastAsia="宋体" w:cs="Arial"/>
                <w:sz w:val="22"/>
                <w:szCs w:val="22"/>
                <w:lang w:val="en-US" w:eastAsia="zh-CN"/>
              </w:rPr>
              <w:t>I</w:t>
            </w:r>
            <w:r>
              <w:rPr>
                <w:rFonts w:hint="eastAsia" w:ascii="Arial" w:hAnsi="Arial" w:cs="Arial"/>
                <w:sz w:val="22"/>
                <w:szCs w:val="22"/>
              </w:rPr>
              <w:t xml:space="preserve"> plan to store our research data in a research data repository. This will allow us to store and share our data with other researchers and collaborators, while also ensuring that our data is properly curated, preserved, and accessible in the long term.</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68"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autoSpaceDE w:val="0"/>
              <w:autoSpaceDN w:val="0"/>
              <w:adjustRightInd w:val="0"/>
              <w:jc w:val="both"/>
              <w:rPr>
                <w:rFonts w:ascii="Arial" w:hAnsi="Arial" w:cs="Arial"/>
                <w:sz w:val="22"/>
                <w:szCs w:val="22"/>
              </w:rPr>
            </w:pPr>
            <w:r>
              <w:rPr>
                <w:rFonts w:hint="eastAsia" w:ascii="Arial" w:hAnsi="Arial" w:eastAsia="宋体" w:cs="Arial"/>
                <w:sz w:val="22"/>
                <w:szCs w:val="22"/>
                <w:lang w:val="en-US" w:eastAsia="zh-CN"/>
              </w:rPr>
              <w:t>YU,HONGLIANG</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hint="default" w:ascii="Arial" w:hAnsi="Arial" w:eastAsia="宋体" w:cs="Arial"/>
                <w:sz w:val="22"/>
                <w:szCs w:val="22"/>
                <w:lang w:val="en-US" w:eastAsia="zh-CN"/>
              </w:rPr>
            </w:pPr>
            <w:r>
              <w:rPr>
                <w:rFonts w:hint="eastAsia" w:ascii="Arial" w:hAnsi="Arial" w:eastAsia="宋体" w:cs="Arial"/>
                <w:sz w:val="22"/>
                <w:szCs w:val="22"/>
                <w:lang w:val="en-US" w:eastAsia="zh-CN"/>
              </w:rPr>
              <w:t>12/04/2023</w:t>
            </w: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hint="default" w:ascii="Arial" w:hAnsi="Arial" w:eastAsia="宋体" w:cs="Arial"/>
                <w:lang w:val="en-US" w:eastAsia="zh-CN"/>
              </w:rPr>
            </w:pPr>
            <w:bookmarkStart w:id="4" w:name="OLE_LINK4"/>
            <w:r>
              <w:rPr>
                <w:rFonts w:hint="eastAsia" w:ascii="Arial" w:hAnsi="Arial" w:eastAsia="宋体" w:cs="Arial"/>
                <w:lang w:val="en-US" w:eastAsia="zh-CN"/>
              </w:rPr>
              <w:t>Terry Walcott</w:t>
            </w:r>
            <w:bookmarkEnd w:id="4"/>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bookmarkStart w:id="5" w:name="_GoBack"/>
                <w:bookmarkEnd w:id="5"/>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center"/>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p>
    <w:p>
      <w:pPr>
        <w:tabs>
          <w:tab w:val="left" w:pos="5103"/>
        </w:tabs>
        <w:jc w:val="both"/>
        <w:rPr>
          <w:rFonts w:ascii="Arial" w:hAnsi="Arial" w:cs="Arial"/>
          <w:bCs/>
        </w:rPr>
      </w:pPr>
      <w:r>
        <w:rPr>
          <w:rFonts w:ascii="Arial" w:hAnsi="Arial" w:cs="Arial"/>
          <w:bCs/>
        </w:rPr>
        <w:t>If you have answered no to all questions in F then sections G and I do not need to be completed.  .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rPr>
      </w:pP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0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 w:name="commondata" w:val="eyJoZGlkIjoiMWI5MjI5Nzg5OWJmZjNhYjA1YmY4ZTIzMTlmYmRjNzcifQ=="/>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5E64828"/>
    <w:rsid w:val="0F1862C4"/>
    <w:rsid w:val="138A62D2"/>
    <w:rsid w:val="1A07072A"/>
    <w:rsid w:val="1D297BD2"/>
    <w:rsid w:val="21822C95"/>
    <w:rsid w:val="23E3616D"/>
    <w:rsid w:val="24040A23"/>
    <w:rsid w:val="27A05B2F"/>
    <w:rsid w:val="2BE87C39"/>
    <w:rsid w:val="3F7E5F41"/>
    <w:rsid w:val="49251129"/>
    <w:rsid w:val="4B5B36A9"/>
    <w:rsid w:val="4B9754A2"/>
    <w:rsid w:val="4D3932D8"/>
    <w:rsid w:val="4F6E0F0B"/>
    <w:rsid w:val="57592C33"/>
    <w:rsid w:val="59846EA4"/>
    <w:rsid w:val="5CFA58B8"/>
    <w:rsid w:val="60EF068D"/>
    <w:rsid w:val="67674868"/>
    <w:rsid w:val="6A4663F4"/>
    <w:rsid w:val="6C6030C1"/>
    <w:rsid w:val="6C6849F4"/>
    <w:rsid w:val="743E4EFE"/>
    <w:rsid w:val="7A9B4618"/>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uiPriority w:val="99"/>
    <w:rPr>
      <w:rFonts w:ascii="Tahoma" w:hAnsi="Tahoma" w:cs="Tahoma"/>
      <w:sz w:val="16"/>
      <w:szCs w:val="16"/>
    </w:rPr>
  </w:style>
  <w:style w:type="paragraph" w:styleId="6">
    <w:name w:val="footer"/>
    <w:basedOn w:val="1"/>
    <w:link w:val="25"/>
    <w:uiPriority w:val="99"/>
    <w:pPr>
      <w:tabs>
        <w:tab w:val="center" w:pos="4513"/>
        <w:tab w:val="right" w:pos="9026"/>
      </w:tabs>
    </w:pPr>
  </w:style>
  <w:style w:type="paragraph" w:styleId="7">
    <w:name w:val="header"/>
    <w:basedOn w:val="1"/>
    <w:link w:val="24"/>
    <w:semiHidden/>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uiPriority w:val="99"/>
    <w:rPr>
      <w:b/>
      <w:bCs/>
    </w:rPr>
  </w:style>
  <w:style w:type="table" w:styleId="12">
    <w:name w:val="Table Grid"/>
    <w:basedOn w:val="11"/>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uiPriority w:val="99"/>
  </w:style>
  <w:style w:type="character" w:styleId="16">
    <w:name w:val="FollowedHyperlink"/>
    <w:semiHidden/>
    <w:qFormat/>
    <w:uiPriority w:val="99"/>
    <w:rPr>
      <w:color w:val="800080"/>
      <w:u w:val="single"/>
    </w:rPr>
  </w:style>
  <w:style w:type="character" w:styleId="17">
    <w:name w:val="Hyperlink"/>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8"/>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5"/>
    <w:semiHidden/>
    <w:uiPriority w:val="99"/>
    <w:rPr>
      <w:sz w:val="2"/>
      <w:szCs w:val="2"/>
      <w:lang w:eastAsia="en-US"/>
    </w:rPr>
  </w:style>
  <w:style w:type="character" w:customStyle="1" w:styleId="24">
    <w:name w:val="Header Char"/>
    <w:link w:val="7"/>
    <w:semiHidden/>
    <w:uiPriority w:val="99"/>
    <w:rPr>
      <w:lang w:eastAsia="en-US"/>
    </w:rPr>
  </w:style>
  <w:style w:type="character" w:customStyle="1" w:styleId="25">
    <w:name w:val="Footer Char"/>
    <w:link w:val="6"/>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4"/>
    <w:semiHidden/>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paragraph" w:customStyle="1" w:styleId="31">
    <w:name w:val="src"/>
    <w:basedOn w:val="1"/>
    <w:qFormat/>
    <w:uiPriority w:val="0"/>
    <w:pPr>
      <w:spacing w:before="100" w:beforeAutospacing="1" w:after="100" w:afterAutospacing="1"/>
    </w:pPr>
    <w:rPr>
      <w:rFonts w:ascii="宋体" w:hAnsi="宋体" w:eastAsia="宋体" w:cs="宋体"/>
      <w:sz w:val="24"/>
      <w:szCs w:val="24"/>
      <w:lang w:val="en-US" w:eastAsia="zh-CN"/>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64ABFEDE-715A-47EF-A460-83602644F2E2}">
  <ds:schemaRefs/>
</ds:datastoreItem>
</file>

<file path=customXml/itemProps3.xml><?xml version="1.0" encoding="utf-8"?>
<ds:datastoreItem xmlns:ds="http://schemas.openxmlformats.org/officeDocument/2006/customXml" ds:itemID="{E00A8E8C-47B5-4B8F-BA9B-8E5866143434}">
  <ds:schemaRefs/>
</ds:datastoreItem>
</file>

<file path=customXml/itemProps4.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15</Pages>
  <Words>5519</Words>
  <Characters>29628</Characters>
  <Lines>236</Lines>
  <Paragraphs>66</Paragraphs>
  <TotalTime>4</TotalTime>
  <ScaleCrop>false</ScaleCrop>
  <LinksUpToDate>false</LinksUpToDate>
  <CharactersWithSpaces>34540</CharactersWithSpaces>
  <Application>WPS Office_11.1.0.14036_F1E327BC-269C-435d-A152-05C5408002CA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2020-10-28T17:00:00Z</dcterms:created>
  <dc:creator>Kevin Brice</dc:creator>
  <cp:lastModifiedBy>XYY</cp:lastModifiedBy>
  <cp:lastPrinted>2016-10-24T12:21:00Z</cp:lastPrinted>
  <dcterms:modified xsi:type="dcterms:W3CDTF">2023-04-12T15:37:07Z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2052-11.1.0.14036</vt:lpwstr>
  </property>
  <property fmtid="{D5CDD505-2E9C-101B-9397-08002B2CF9AE}" pid="4" name="ICV">
    <vt:lpwstr>24FB1BC780C645FD8B9FF46C3B3C2FB4_12</vt:lpwstr>
  </property>
</Properties>
</file>