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3EE67C" w14:textId="77777777" w:rsidR="00D34FED" w:rsidRPr="00CC3F85" w:rsidRDefault="00ED219C">
      <w:pPr>
        <w:rPr>
          <w:color w:val="000000" w:themeColor="text1"/>
        </w:rPr>
      </w:pPr>
      <w:r w:rsidRPr="00CC3F85">
        <w:rPr>
          <w:color w:val="000000" w:themeColor="text1"/>
        </w:rPr>
        <w:t xml:space="preserve">                                                      </w:t>
      </w:r>
    </w:p>
    <w:p w14:paraId="06B7B1A3" w14:textId="77777777" w:rsidR="00BC6FAF" w:rsidRPr="002F386D" w:rsidRDefault="00BC6FAF" w:rsidP="00BC6FAF">
      <w:pPr>
        <w:pStyle w:val="Title"/>
        <w:rPr>
          <w:b/>
          <w:bCs/>
          <w:color w:val="000000" w:themeColor="text1"/>
          <w:sz w:val="24"/>
          <w:szCs w:val="24"/>
          <w:highlight w:val="yellow"/>
        </w:rPr>
      </w:pPr>
      <w:r w:rsidRPr="002F386D">
        <w:rPr>
          <w:b/>
          <w:bCs/>
          <w:noProof/>
          <w:color w:val="000000" w:themeColor="text1"/>
          <w:sz w:val="24"/>
          <w:szCs w:val="24"/>
          <w:highlight w:val="yellow"/>
        </w:rPr>
        <w:drawing>
          <wp:inline distT="0" distB="0" distL="0" distR="0" wp14:anchorId="697D13D7" wp14:editId="7E6F0275">
            <wp:extent cx="2366863" cy="1059815"/>
            <wp:effectExtent l="0" t="0" r="0" b="0"/>
            <wp:docPr id="5" name="Picture 4" descr="A close-up of a sign&#10;&#10;AI-generated content may be incorrect.">
              <a:extLst xmlns:a="http://schemas.openxmlformats.org/drawingml/2006/main">
                <a:ext uri="{FF2B5EF4-FFF2-40B4-BE49-F238E27FC236}">
                  <a16:creationId xmlns:a16="http://schemas.microsoft.com/office/drawing/2014/main" id="{9D2D4917-FEEE-7849-1128-6AF6C9561CC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close-up of a sign&#10;&#10;AI-generated content may be incorrect.">
                      <a:extLst>
                        <a:ext uri="{FF2B5EF4-FFF2-40B4-BE49-F238E27FC236}">
                          <a16:creationId xmlns:a16="http://schemas.microsoft.com/office/drawing/2014/main" id="{9D2D4917-FEEE-7849-1128-6AF6C9561CCE}"/>
                        </a:ext>
                      </a:extLst>
                    </pic:cNvPr>
                    <pic:cNvPicPr>
                      <a:picLocks noChangeAspect="1"/>
                    </pic:cNvPicPr>
                  </pic:nvPicPr>
                  <pic:blipFill>
                    <a:blip r:embed="rId8">
                      <a:extLst>
                        <a:ext uri="{28A0092B-C50C-407E-A947-70E740481C1C}">
                          <a14:useLocalDpi xmlns:a14="http://schemas.microsoft.com/office/drawing/2010/main" val="0"/>
                        </a:ext>
                      </a:extLst>
                    </a:blip>
                    <a:srcRect r="595" b="-1"/>
                    <a:stretch>
                      <a:fillRect/>
                    </a:stretch>
                  </pic:blipFill>
                  <pic:spPr bwMode="auto">
                    <a:xfrm>
                      <a:off x="0" y="0"/>
                      <a:ext cx="2600593" cy="1164473"/>
                    </a:xfrm>
                    <a:prstGeom prst="rect">
                      <a:avLst/>
                    </a:prstGeom>
                    <a:noFill/>
                  </pic:spPr>
                </pic:pic>
              </a:graphicData>
            </a:graphic>
          </wp:inline>
        </w:drawing>
      </w:r>
    </w:p>
    <w:p w14:paraId="50267CE6" w14:textId="77777777" w:rsidR="00BC6FAF" w:rsidRPr="002F386D" w:rsidRDefault="00BC6FAF" w:rsidP="00BC6FAF">
      <w:pPr>
        <w:pStyle w:val="Title"/>
        <w:rPr>
          <w:b/>
          <w:bCs/>
          <w:color w:val="000000" w:themeColor="text1"/>
          <w:sz w:val="24"/>
          <w:szCs w:val="24"/>
          <w:highlight w:val="yellow"/>
        </w:rPr>
      </w:pPr>
    </w:p>
    <w:p w14:paraId="6F9276B8" w14:textId="77777777" w:rsidR="00BC6FAF" w:rsidRPr="002F386D" w:rsidRDefault="00BC6FAF" w:rsidP="00BC6FAF">
      <w:pPr>
        <w:pStyle w:val="Title"/>
        <w:jc w:val="center"/>
        <w:rPr>
          <w:b/>
          <w:bCs/>
          <w:color w:val="000000" w:themeColor="text1"/>
          <w:sz w:val="32"/>
          <w:szCs w:val="32"/>
          <w:highlight w:val="yellow"/>
        </w:rPr>
      </w:pPr>
    </w:p>
    <w:p w14:paraId="6625258A" w14:textId="77777777" w:rsidR="00BC6FAF" w:rsidRPr="00BC6FAF" w:rsidRDefault="00BC6FAF" w:rsidP="00BC6FAF">
      <w:pPr>
        <w:pStyle w:val="p1"/>
        <w:jc w:val="center"/>
        <w:rPr>
          <w:sz w:val="44"/>
          <w:szCs w:val="44"/>
        </w:rPr>
      </w:pPr>
      <w:r w:rsidRPr="00BC6FAF">
        <w:rPr>
          <w:b/>
          <w:bCs/>
          <w:sz w:val="44"/>
          <w:szCs w:val="44"/>
        </w:rPr>
        <w:t>Psychology in Health and Social Care</w:t>
      </w:r>
    </w:p>
    <w:p w14:paraId="3A1E0FAD" w14:textId="39B41960" w:rsidR="00BC6FAF" w:rsidRPr="00BC6FAF" w:rsidRDefault="00BC6FAF" w:rsidP="00BC6FAF">
      <w:pPr>
        <w:pStyle w:val="p1"/>
        <w:jc w:val="center"/>
        <w:rPr>
          <w:sz w:val="44"/>
          <w:szCs w:val="44"/>
        </w:rPr>
      </w:pPr>
      <w:r w:rsidRPr="00BC6FAF">
        <w:rPr>
          <w:b/>
          <w:bCs/>
          <w:sz w:val="44"/>
          <w:szCs w:val="44"/>
        </w:rPr>
        <w:t>LCHS4010</w:t>
      </w:r>
    </w:p>
    <w:p w14:paraId="31E28BE0" w14:textId="77777777" w:rsidR="00BC6FAF" w:rsidRPr="002F386D" w:rsidRDefault="00BC6FAF" w:rsidP="00BC6FAF">
      <w:pPr>
        <w:spacing w:line="360" w:lineRule="auto"/>
        <w:rPr>
          <w:highlight w:val="yellow"/>
        </w:rPr>
      </w:pPr>
    </w:p>
    <w:p w14:paraId="5B1CEDF6" w14:textId="77777777" w:rsidR="00BC6FAF" w:rsidRPr="00905AEB" w:rsidRDefault="00BC6FAF" w:rsidP="00BC6FAF">
      <w:pPr>
        <w:spacing w:line="360" w:lineRule="auto"/>
        <w:jc w:val="center"/>
        <w:rPr>
          <w:rFonts w:ascii="Arial" w:hAnsi="Arial" w:cs="Arial"/>
          <w:b/>
          <w:bCs/>
          <w:sz w:val="32"/>
          <w:szCs w:val="32"/>
        </w:rPr>
      </w:pPr>
      <w:r w:rsidRPr="00905AEB">
        <w:rPr>
          <w:rFonts w:ascii="Arial" w:hAnsi="Arial" w:cs="Arial"/>
          <w:b/>
          <w:bCs/>
          <w:sz w:val="32"/>
          <w:szCs w:val="32"/>
        </w:rPr>
        <w:t>Assignment 2</w:t>
      </w:r>
    </w:p>
    <w:p w14:paraId="470A93F8" w14:textId="77777777" w:rsidR="00A04E3A" w:rsidRPr="00905AEB" w:rsidRDefault="00A04E3A" w:rsidP="00A04E3A">
      <w:pPr>
        <w:jc w:val="center"/>
        <w:rPr>
          <w:rFonts w:ascii="Arial" w:hAnsi="Arial" w:cs="Arial"/>
          <w:b/>
          <w:bCs/>
          <w:color w:val="000000"/>
          <w:sz w:val="32"/>
          <w:szCs w:val="32"/>
        </w:rPr>
      </w:pPr>
    </w:p>
    <w:p w14:paraId="76EDCD49" w14:textId="7009E7B2" w:rsidR="00A04E3A" w:rsidRPr="00905AEB" w:rsidRDefault="00A04E3A" w:rsidP="00A04E3A">
      <w:pPr>
        <w:jc w:val="center"/>
        <w:rPr>
          <w:rFonts w:ascii="Arial" w:hAnsi="Arial" w:cs="Arial"/>
          <w:b/>
          <w:bCs/>
          <w:color w:val="000000"/>
          <w:sz w:val="32"/>
          <w:szCs w:val="32"/>
        </w:rPr>
      </w:pPr>
      <w:r w:rsidRPr="00905AEB">
        <w:rPr>
          <w:rFonts w:ascii="Arial" w:hAnsi="Arial" w:cs="Arial"/>
          <w:b/>
          <w:bCs/>
          <w:color w:val="000000"/>
          <w:sz w:val="32"/>
          <w:szCs w:val="32"/>
        </w:rPr>
        <w:t>Applying Psychological Theories to Dementia Care within Residential Care Homes</w:t>
      </w:r>
    </w:p>
    <w:p w14:paraId="78F570E2" w14:textId="77777777" w:rsidR="00BC6FAF" w:rsidRPr="002F386D" w:rsidRDefault="00BC6FAF" w:rsidP="00BC6FAF">
      <w:pPr>
        <w:spacing w:line="360" w:lineRule="auto"/>
        <w:rPr>
          <w:b/>
          <w:bCs/>
          <w:highlight w:val="yellow"/>
          <w:u w:val="single"/>
        </w:rPr>
      </w:pPr>
    </w:p>
    <w:p w14:paraId="7AF896EB" w14:textId="77777777" w:rsidR="00BC6FAF" w:rsidRPr="002F386D" w:rsidRDefault="00BC6FAF" w:rsidP="00BC6FAF">
      <w:pPr>
        <w:rPr>
          <w:b/>
          <w:bCs/>
          <w:color w:val="000000" w:themeColor="text1"/>
          <w:highlight w:val="yellow"/>
          <w:u w:val="single"/>
        </w:rPr>
      </w:pPr>
    </w:p>
    <w:p w14:paraId="2DC2A923" w14:textId="77777777" w:rsidR="00BC6FAF" w:rsidRPr="002F386D" w:rsidRDefault="00BC6FAF" w:rsidP="00BC6FAF">
      <w:pPr>
        <w:rPr>
          <w:b/>
          <w:bCs/>
          <w:color w:val="000000" w:themeColor="text1"/>
          <w:highlight w:val="yellow"/>
          <w:u w:val="single"/>
        </w:rPr>
      </w:pPr>
    </w:p>
    <w:p w14:paraId="1FDF6F9F" w14:textId="77777777" w:rsidR="00BC6FAF" w:rsidRPr="002F386D" w:rsidRDefault="00BC6FAF" w:rsidP="00BC6FAF">
      <w:pPr>
        <w:rPr>
          <w:b/>
          <w:bCs/>
          <w:color w:val="000000" w:themeColor="text1"/>
          <w:highlight w:val="yellow"/>
          <w:u w:val="single"/>
        </w:rPr>
      </w:pPr>
    </w:p>
    <w:p w14:paraId="59C9DA50" w14:textId="77777777" w:rsidR="00BC6FAF" w:rsidRPr="002F386D" w:rsidRDefault="00BC6FAF" w:rsidP="00BC6FAF">
      <w:pPr>
        <w:rPr>
          <w:b/>
          <w:bCs/>
          <w:color w:val="000000" w:themeColor="text1"/>
          <w:highlight w:val="yellow"/>
          <w:u w:val="single"/>
        </w:rPr>
      </w:pPr>
    </w:p>
    <w:p w14:paraId="2FC907B4" w14:textId="77777777" w:rsidR="00BC6FAF" w:rsidRPr="002F386D" w:rsidRDefault="00BC6FAF" w:rsidP="00BC6FAF">
      <w:pPr>
        <w:rPr>
          <w:b/>
          <w:bCs/>
          <w:color w:val="000000" w:themeColor="text1"/>
          <w:highlight w:val="yellow"/>
          <w:u w:val="single"/>
        </w:rPr>
      </w:pPr>
    </w:p>
    <w:p w14:paraId="4E3959A9" w14:textId="77777777" w:rsidR="00BC6FAF" w:rsidRPr="002F386D" w:rsidRDefault="00BC6FAF" w:rsidP="00BC6FAF">
      <w:pPr>
        <w:rPr>
          <w:b/>
          <w:bCs/>
          <w:color w:val="000000" w:themeColor="text1"/>
          <w:highlight w:val="yellow"/>
          <w:u w:val="single"/>
        </w:rPr>
      </w:pPr>
    </w:p>
    <w:p w14:paraId="093176FF" w14:textId="77777777" w:rsidR="00BC6FAF" w:rsidRPr="002F386D" w:rsidRDefault="00BC6FAF" w:rsidP="00BC6FAF">
      <w:pPr>
        <w:rPr>
          <w:b/>
          <w:bCs/>
          <w:color w:val="000000" w:themeColor="text1"/>
          <w:highlight w:val="yellow"/>
          <w:u w:val="single"/>
        </w:rPr>
      </w:pPr>
    </w:p>
    <w:p w14:paraId="49AEDCDE" w14:textId="77777777" w:rsidR="00BC6FAF" w:rsidRDefault="00BC6FAF" w:rsidP="00BC6FAF">
      <w:pPr>
        <w:rPr>
          <w:b/>
          <w:bCs/>
          <w:color w:val="000000" w:themeColor="text1"/>
        </w:rPr>
      </w:pPr>
    </w:p>
    <w:p w14:paraId="545C0E62" w14:textId="77777777" w:rsidR="00BC6FAF" w:rsidRDefault="00BC6FAF" w:rsidP="00BC6FAF">
      <w:pPr>
        <w:rPr>
          <w:b/>
          <w:bCs/>
          <w:color w:val="000000" w:themeColor="text1"/>
        </w:rPr>
      </w:pPr>
    </w:p>
    <w:p w14:paraId="6AA0A85B" w14:textId="77777777" w:rsidR="00BC6FAF" w:rsidRDefault="00BC6FAF" w:rsidP="00BC6FAF">
      <w:pPr>
        <w:rPr>
          <w:b/>
          <w:bCs/>
          <w:color w:val="000000" w:themeColor="text1"/>
        </w:rPr>
      </w:pPr>
    </w:p>
    <w:p w14:paraId="30679456" w14:textId="77777777" w:rsidR="00BC6FAF" w:rsidRDefault="00BC6FAF" w:rsidP="00BC6FAF">
      <w:pPr>
        <w:rPr>
          <w:b/>
          <w:bCs/>
          <w:color w:val="000000" w:themeColor="text1"/>
        </w:rPr>
      </w:pPr>
    </w:p>
    <w:p w14:paraId="10B26297" w14:textId="77777777" w:rsidR="00BC6FAF" w:rsidRDefault="00BC6FAF" w:rsidP="00BC6FAF">
      <w:pPr>
        <w:rPr>
          <w:b/>
          <w:bCs/>
          <w:color w:val="000000" w:themeColor="text1"/>
        </w:rPr>
      </w:pPr>
    </w:p>
    <w:p w14:paraId="267CE8F0" w14:textId="77777777" w:rsidR="00BC6FAF" w:rsidRDefault="00BC6FAF" w:rsidP="00BC6FAF">
      <w:pPr>
        <w:rPr>
          <w:b/>
          <w:bCs/>
          <w:color w:val="000000" w:themeColor="text1"/>
        </w:rPr>
      </w:pPr>
    </w:p>
    <w:p w14:paraId="066CF6AF" w14:textId="77777777" w:rsidR="004D4F2E" w:rsidRDefault="004D4F2E" w:rsidP="00BC6FAF">
      <w:pPr>
        <w:spacing w:line="360" w:lineRule="auto"/>
        <w:rPr>
          <w:b/>
          <w:bCs/>
          <w:color w:val="000000" w:themeColor="text1"/>
        </w:rPr>
      </w:pPr>
    </w:p>
    <w:p w14:paraId="41767FB6" w14:textId="77777777" w:rsidR="004D4F2E" w:rsidRDefault="004D4F2E" w:rsidP="00BC6FAF">
      <w:pPr>
        <w:spacing w:line="360" w:lineRule="auto"/>
        <w:rPr>
          <w:b/>
          <w:bCs/>
          <w:color w:val="000000" w:themeColor="text1"/>
        </w:rPr>
      </w:pPr>
    </w:p>
    <w:p w14:paraId="21010DDD" w14:textId="0D830BD7" w:rsidR="00BC6FAF" w:rsidRPr="00905AEB" w:rsidRDefault="00BC6FAF" w:rsidP="00BC6FAF">
      <w:pPr>
        <w:spacing w:line="360" w:lineRule="auto"/>
        <w:rPr>
          <w:rFonts w:ascii="Arial" w:hAnsi="Arial" w:cs="Arial"/>
          <w:b/>
          <w:bCs/>
          <w:color w:val="000000" w:themeColor="text1"/>
          <w:sz w:val="22"/>
          <w:szCs w:val="22"/>
        </w:rPr>
      </w:pPr>
      <w:r w:rsidRPr="00905AEB">
        <w:rPr>
          <w:rFonts w:ascii="Arial" w:hAnsi="Arial" w:cs="Arial"/>
          <w:b/>
          <w:bCs/>
          <w:color w:val="000000" w:themeColor="text1"/>
          <w:sz w:val="22"/>
          <w:szCs w:val="22"/>
        </w:rPr>
        <w:t xml:space="preserve">Name of Student: </w:t>
      </w:r>
      <w:r w:rsidRPr="00905AEB">
        <w:rPr>
          <w:rFonts w:ascii="Arial" w:hAnsi="Arial" w:cs="Arial"/>
          <w:color w:val="000000" w:themeColor="text1"/>
          <w:sz w:val="22"/>
          <w:szCs w:val="22"/>
        </w:rPr>
        <w:t>Yuliia Silman</w:t>
      </w:r>
    </w:p>
    <w:p w14:paraId="407DA67C" w14:textId="77777777" w:rsidR="00BC6FAF" w:rsidRPr="00905AEB" w:rsidRDefault="00BC6FAF" w:rsidP="00BC6FAF">
      <w:pPr>
        <w:spacing w:line="360" w:lineRule="auto"/>
        <w:rPr>
          <w:rFonts w:ascii="Arial" w:hAnsi="Arial" w:cs="Arial"/>
          <w:b/>
          <w:bCs/>
          <w:color w:val="000000" w:themeColor="text1"/>
          <w:sz w:val="22"/>
          <w:szCs w:val="22"/>
          <w:lang w:val="en-US"/>
        </w:rPr>
      </w:pPr>
      <w:r w:rsidRPr="00905AEB">
        <w:rPr>
          <w:rFonts w:ascii="Arial" w:hAnsi="Arial" w:cs="Arial"/>
          <w:b/>
          <w:bCs/>
          <w:color w:val="000000" w:themeColor="text1"/>
          <w:sz w:val="22"/>
          <w:szCs w:val="22"/>
        </w:rPr>
        <w:t xml:space="preserve">I.D. Number: </w:t>
      </w:r>
      <w:r w:rsidRPr="00905AEB">
        <w:rPr>
          <w:rFonts w:ascii="Arial" w:hAnsi="Arial" w:cs="Arial"/>
          <w:color w:val="000000" w:themeColor="text1"/>
          <w:sz w:val="22"/>
          <w:szCs w:val="22"/>
          <w:lang w:val="en-US"/>
        </w:rPr>
        <w:t>2431446</w:t>
      </w:r>
    </w:p>
    <w:p w14:paraId="2F68BCAA" w14:textId="71ECCDCA" w:rsidR="00BC6FAF" w:rsidRPr="00905AEB" w:rsidRDefault="00BC6FAF" w:rsidP="00BC6FAF">
      <w:pPr>
        <w:spacing w:line="360" w:lineRule="auto"/>
        <w:rPr>
          <w:rFonts w:ascii="Arial" w:hAnsi="Arial" w:cs="Arial"/>
          <w:b/>
          <w:bCs/>
          <w:color w:val="000000" w:themeColor="text1"/>
          <w:sz w:val="22"/>
          <w:szCs w:val="22"/>
        </w:rPr>
      </w:pPr>
      <w:r w:rsidRPr="00905AEB">
        <w:rPr>
          <w:rFonts w:ascii="Arial" w:hAnsi="Arial" w:cs="Arial"/>
          <w:b/>
          <w:bCs/>
          <w:color w:val="000000" w:themeColor="text1"/>
          <w:sz w:val="22"/>
          <w:szCs w:val="22"/>
          <w:lang w:val="en-US"/>
        </w:rPr>
        <w:t xml:space="preserve">Lecturer’s Name: </w:t>
      </w:r>
      <w:r w:rsidRPr="00905AEB">
        <w:rPr>
          <w:rFonts w:ascii="Arial" w:hAnsi="Arial" w:cs="Arial"/>
          <w:color w:val="000000" w:themeColor="text1"/>
          <w:sz w:val="22"/>
          <w:szCs w:val="22"/>
          <w:lang w:val="en-US"/>
        </w:rPr>
        <w:t>Farah Wiita</w:t>
      </w:r>
    </w:p>
    <w:p w14:paraId="601A8286" w14:textId="77777777" w:rsidR="00BC6FAF" w:rsidRPr="00905AEB" w:rsidRDefault="00BC6FAF" w:rsidP="00BC6FAF">
      <w:pPr>
        <w:rPr>
          <w:rFonts w:ascii="Arial" w:hAnsi="Arial" w:cs="Arial"/>
          <w:b/>
          <w:bCs/>
          <w:color w:val="000000" w:themeColor="text1"/>
          <w:sz w:val="22"/>
          <w:szCs w:val="22"/>
          <w:highlight w:val="yellow"/>
          <w:u w:val="single"/>
        </w:rPr>
      </w:pPr>
    </w:p>
    <w:p w14:paraId="740E346E" w14:textId="77777777" w:rsidR="00BC6FAF" w:rsidRPr="00905AEB" w:rsidRDefault="00BC6FAF" w:rsidP="00BC6FAF">
      <w:pPr>
        <w:rPr>
          <w:rFonts w:ascii="Arial" w:hAnsi="Arial" w:cs="Arial"/>
          <w:b/>
          <w:bCs/>
          <w:color w:val="000000" w:themeColor="text1"/>
          <w:sz w:val="22"/>
          <w:szCs w:val="22"/>
          <w:highlight w:val="yellow"/>
          <w:u w:val="single"/>
        </w:rPr>
      </w:pPr>
    </w:p>
    <w:p w14:paraId="5FFE536C" w14:textId="77777777" w:rsidR="00BC6FAF" w:rsidRPr="00905AEB" w:rsidRDefault="00BC6FAF" w:rsidP="00BC6FAF">
      <w:pPr>
        <w:rPr>
          <w:rFonts w:ascii="Arial" w:hAnsi="Arial" w:cs="Arial"/>
          <w:color w:val="000000" w:themeColor="text1"/>
          <w:sz w:val="22"/>
          <w:szCs w:val="22"/>
          <w:highlight w:val="yellow"/>
        </w:rPr>
      </w:pPr>
    </w:p>
    <w:p w14:paraId="3AD352FE" w14:textId="77777777" w:rsidR="00BC6FAF" w:rsidRPr="00905AEB" w:rsidRDefault="00BC6FAF" w:rsidP="00BC6FAF">
      <w:pPr>
        <w:rPr>
          <w:rFonts w:ascii="Arial" w:hAnsi="Arial" w:cs="Arial"/>
          <w:b/>
          <w:bCs/>
          <w:color w:val="000000"/>
          <w:sz w:val="22"/>
          <w:szCs w:val="22"/>
        </w:rPr>
      </w:pPr>
      <w:r w:rsidRPr="00905AEB">
        <w:rPr>
          <w:rFonts w:ascii="Arial" w:hAnsi="Arial" w:cs="Arial"/>
          <w:b/>
          <w:bCs/>
          <w:color w:val="000000"/>
          <w:sz w:val="22"/>
          <w:szCs w:val="22"/>
        </w:rPr>
        <w:t>Acknowledgement of AI Use:</w:t>
      </w:r>
    </w:p>
    <w:p w14:paraId="58239E4F" w14:textId="77777777" w:rsidR="00BC6FAF" w:rsidRPr="00905AEB" w:rsidRDefault="00BC6FAF" w:rsidP="00BC6FAF">
      <w:pPr>
        <w:rPr>
          <w:rFonts w:ascii="Arial" w:hAnsi="Arial" w:cs="Arial"/>
          <w:color w:val="000000"/>
          <w:sz w:val="22"/>
          <w:szCs w:val="22"/>
        </w:rPr>
      </w:pPr>
      <w:r w:rsidRPr="00905AEB">
        <w:rPr>
          <w:rFonts w:ascii="Arial" w:hAnsi="Arial" w:cs="Arial"/>
          <w:color w:val="000000"/>
          <w:sz w:val="22"/>
          <w:szCs w:val="22"/>
        </w:rPr>
        <w:t>I confirm that I have used Grammarly (</w:t>
      </w:r>
      <w:hyperlink r:id="rId9" w:history="1">
        <w:r w:rsidRPr="00905AEB">
          <w:rPr>
            <w:rStyle w:val="Hyperlink"/>
            <w:rFonts w:ascii="Arial" w:hAnsi="Arial" w:cs="Arial"/>
            <w:sz w:val="22"/>
            <w:szCs w:val="22"/>
          </w:rPr>
          <w:t>https://www.grammarly.com/</w:t>
        </w:r>
      </w:hyperlink>
      <w:r w:rsidRPr="00905AEB">
        <w:rPr>
          <w:rFonts w:ascii="Arial" w:hAnsi="Arial" w:cs="Arial"/>
          <w:color w:val="000000"/>
          <w:sz w:val="22"/>
          <w:szCs w:val="22"/>
        </w:rPr>
        <w:t>) to support and proofread my work.</w:t>
      </w:r>
    </w:p>
    <w:sdt>
      <w:sdtPr>
        <w:rPr>
          <w:rFonts w:ascii="Arial" w:eastAsia="Times New Roman" w:hAnsi="Arial" w:cs="Arial"/>
          <w:b w:val="0"/>
          <w:bCs w:val="0"/>
          <w:color w:val="auto"/>
          <w:sz w:val="24"/>
          <w:szCs w:val="24"/>
          <w:lang w:val="en-GB" w:eastAsia="en-GB"/>
        </w:rPr>
        <w:id w:val="384144808"/>
        <w:docPartObj>
          <w:docPartGallery w:val="Table of Contents"/>
          <w:docPartUnique/>
        </w:docPartObj>
      </w:sdtPr>
      <w:sdtEndPr>
        <w:rPr>
          <w:rFonts w:ascii="Times New Roman" w:hAnsi="Times New Roman" w:cs="Times New Roman"/>
          <w:b/>
          <w:bCs/>
          <w:noProof/>
        </w:rPr>
      </w:sdtEndPr>
      <w:sdtContent>
        <w:p w14:paraId="2DE10272" w14:textId="16769E0A" w:rsidR="00905AEB" w:rsidRPr="00905AEB" w:rsidRDefault="00905AEB">
          <w:pPr>
            <w:pStyle w:val="TOCHeading"/>
            <w:rPr>
              <w:rFonts w:ascii="Arial" w:hAnsi="Arial" w:cs="Arial"/>
              <w:b w:val="0"/>
              <w:bCs w:val="0"/>
            </w:rPr>
          </w:pPr>
          <w:r w:rsidRPr="00905AEB">
            <w:rPr>
              <w:rFonts w:ascii="Arial" w:hAnsi="Arial" w:cs="Arial"/>
              <w:b w:val="0"/>
              <w:bCs w:val="0"/>
            </w:rPr>
            <w:t>Table of Contents</w:t>
          </w:r>
        </w:p>
        <w:p w14:paraId="35C70F2A" w14:textId="0941CF9E" w:rsidR="00905AEB" w:rsidRPr="00905AEB" w:rsidRDefault="00905AEB">
          <w:pPr>
            <w:pStyle w:val="TOC1"/>
            <w:tabs>
              <w:tab w:val="right" w:leader="dot" w:pos="9019"/>
            </w:tabs>
            <w:rPr>
              <w:rFonts w:ascii="Arial" w:eastAsiaTheme="minorEastAsia" w:hAnsi="Arial" w:cs="Arial"/>
              <w:b w:val="0"/>
              <w:bCs w:val="0"/>
              <w:i w:val="0"/>
              <w:iCs w:val="0"/>
              <w:noProof/>
              <w:kern w:val="2"/>
              <w14:ligatures w14:val="standardContextual"/>
            </w:rPr>
          </w:pPr>
          <w:r w:rsidRPr="00905AEB">
            <w:rPr>
              <w:rFonts w:ascii="Arial" w:hAnsi="Arial" w:cs="Arial"/>
              <w:b w:val="0"/>
              <w:bCs w:val="0"/>
              <w:i w:val="0"/>
              <w:iCs w:val="0"/>
            </w:rPr>
            <w:fldChar w:fldCharType="begin"/>
          </w:r>
          <w:r w:rsidRPr="00905AEB">
            <w:rPr>
              <w:rFonts w:ascii="Arial" w:hAnsi="Arial" w:cs="Arial"/>
              <w:b w:val="0"/>
              <w:bCs w:val="0"/>
              <w:i w:val="0"/>
              <w:iCs w:val="0"/>
            </w:rPr>
            <w:instrText xml:space="preserve"> TOC \o "1-3" \h \z \u </w:instrText>
          </w:r>
          <w:r w:rsidRPr="00905AEB">
            <w:rPr>
              <w:rFonts w:ascii="Arial" w:hAnsi="Arial" w:cs="Arial"/>
              <w:b w:val="0"/>
              <w:bCs w:val="0"/>
              <w:i w:val="0"/>
              <w:iCs w:val="0"/>
            </w:rPr>
            <w:fldChar w:fldCharType="separate"/>
          </w:r>
          <w:hyperlink w:anchor="_Toc216990426" w:history="1">
            <w:r w:rsidRPr="00905AEB">
              <w:rPr>
                <w:rStyle w:val="Hyperlink"/>
                <w:rFonts w:ascii="Arial" w:hAnsi="Arial" w:cs="Arial"/>
                <w:b w:val="0"/>
                <w:bCs w:val="0"/>
                <w:i w:val="0"/>
                <w:iCs w:val="0"/>
                <w:noProof/>
              </w:rPr>
              <w:t>Introduction</w:t>
            </w:r>
            <w:r w:rsidRPr="00905AEB">
              <w:rPr>
                <w:rFonts w:ascii="Arial" w:hAnsi="Arial" w:cs="Arial"/>
                <w:b w:val="0"/>
                <w:bCs w:val="0"/>
                <w:i w:val="0"/>
                <w:iCs w:val="0"/>
                <w:noProof/>
                <w:webHidden/>
              </w:rPr>
              <w:tab/>
            </w:r>
            <w:r w:rsidRPr="00905AEB">
              <w:rPr>
                <w:rFonts w:ascii="Arial" w:hAnsi="Arial" w:cs="Arial"/>
                <w:b w:val="0"/>
                <w:bCs w:val="0"/>
                <w:i w:val="0"/>
                <w:iCs w:val="0"/>
                <w:noProof/>
                <w:webHidden/>
              </w:rPr>
              <w:fldChar w:fldCharType="begin"/>
            </w:r>
            <w:r w:rsidRPr="00905AEB">
              <w:rPr>
                <w:rFonts w:ascii="Arial" w:hAnsi="Arial" w:cs="Arial"/>
                <w:b w:val="0"/>
                <w:bCs w:val="0"/>
                <w:i w:val="0"/>
                <w:iCs w:val="0"/>
                <w:noProof/>
                <w:webHidden/>
              </w:rPr>
              <w:instrText xml:space="preserve"> PAGEREF _Toc216990426 \h </w:instrText>
            </w:r>
            <w:r w:rsidRPr="00905AEB">
              <w:rPr>
                <w:rFonts w:ascii="Arial" w:hAnsi="Arial" w:cs="Arial"/>
                <w:b w:val="0"/>
                <w:bCs w:val="0"/>
                <w:i w:val="0"/>
                <w:iCs w:val="0"/>
                <w:noProof/>
                <w:webHidden/>
              </w:rPr>
            </w:r>
            <w:r w:rsidRPr="00905AEB">
              <w:rPr>
                <w:rFonts w:ascii="Arial" w:hAnsi="Arial" w:cs="Arial"/>
                <w:b w:val="0"/>
                <w:bCs w:val="0"/>
                <w:i w:val="0"/>
                <w:iCs w:val="0"/>
                <w:noProof/>
                <w:webHidden/>
              </w:rPr>
              <w:fldChar w:fldCharType="separate"/>
            </w:r>
            <w:r w:rsidRPr="00905AEB">
              <w:rPr>
                <w:rFonts w:ascii="Arial" w:hAnsi="Arial" w:cs="Arial"/>
                <w:b w:val="0"/>
                <w:bCs w:val="0"/>
                <w:i w:val="0"/>
                <w:iCs w:val="0"/>
                <w:noProof/>
                <w:webHidden/>
              </w:rPr>
              <w:t>3</w:t>
            </w:r>
            <w:r w:rsidRPr="00905AEB">
              <w:rPr>
                <w:rFonts w:ascii="Arial" w:hAnsi="Arial" w:cs="Arial"/>
                <w:b w:val="0"/>
                <w:bCs w:val="0"/>
                <w:i w:val="0"/>
                <w:iCs w:val="0"/>
                <w:noProof/>
                <w:webHidden/>
              </w:rPr>
              <w:fldChar w:fldCharType="end"/>
            </w:r>
          </w:hyperlink>
        </w:p>
        <w:p w14:paraId="309D976C" w14:textId="4AD4FD36" w:rsidR="00905AEB" w:rsidRPr="00905AEB" w:rsidRDefault="00905AEB">
          <w:pPr>
            <w:pStyle w:val="TOC1"/>
            <w:tabs>
              <w:tab w:val="right" w:leader="dot" w:pos="9019"/>
            </w:tabs>
            <w:rPr>
              <w:rFonts w:ascii="Arial" w:eastAsiaTheme="minorEastAsia" w:hAnsi="Arial" w:cs="Arial"/>
              <w:b w:val="0"/>
              <w:bCs w:val="0"/>
              <w:i w:val="0"/>
              <w:iCs w:val="0"/>
              <w:noProof/>
              <w:kern w:val="2"/>
              <w14:ligatures w14:val="standardContextual"/>
            </w:rPr>
          </w:pPr>
          <w:hyperlink w:anchor="_Toc216990427" w:history="1">
            <w:r w:rsidRPr="00905AEB">
              <w:rPr>
                <w:rStyle w:val="Hyperlink"/>
                <w:rFonts w:ascii="Arial" w:hAnsi="Arial" w:cs="Arial"/>
                <w:b w:val="0"/>
                <w:bCs w:val="0"/>
                <w:i w:val="0"/>
                <w:iCs w:val="0"/>
                <w:noProof/>
              </w:rPr>
              <w:t>Theory 1: Self-Efficacy Theory (Bandura)</w:t>
            </w:r>
            <w:r w:rsidRPr="00905AEB">
              <w:rPr>
                <w:rFonts w:ascii="Arial" w:hAnsi="Arial" w:cs="Arial"/>
                <w:b w:val="0"/>
                <w:bCs w:val="0"/>
                <w:i w:val="0"/>
                <w:iCs w:val="0"/>
                <w:noProof/>
                <w:webHidden/>
              </w:rPr>
              <w:tab/>
            </w:r>
            <w:r w:rsidRPr="00905AEB">
              <w:rPr>
                <w:rFonts w:ascii="Arial" w:hAnsi="Arial" w:cs="Arial"/>
                <w:b w:val="0"/>
                <w:bCs w:val="0"/>
                <w:i w:val="0"/>
                <w:iCs w:val="0"/>
                <w:noProof/>
                <w:webHidden/>
              </w:rPr>
              <w:fldChar w:fldCharType="begin"/>
            </w:r>
            <w:r w:rsidRPr="00905AEB">
              <w:rPr>
                <w:rFonts w:ascii="Arial" w:hAnsi="Arial" w:cs="Arial"/>
                <w:b w:val="0"/>
                <w:bCs w:val="0"/>
                <w:i w:val="0"/>
                <w:iCs w:val="0"/>
                <w:noProof/>
                <w:webHidden/>
              </w:rPr>
              <w:instrText xml:space="preserve"> PAGEREF _Toc216990427 \h </w:instrText>
            </w:r>
            <w:r w:rsidRPr="00905AEB">
              <w:rPr>
                <w:rFonts w:ascii="Arial" w:hAnsi="Arial" w:cs="Arial"/>
                <w:b w:val="0"/>
                <w:bCs w:val="0"/>
                <w:i w:val="0"/>
                <w:iCs w:val="0"/>
                <w:noProof/>
                <w:webHidden/>
              </w:rPr>
            </w:r>
            <w:r w:rsidRPr="00905AEB">
              <w:rPr>
                <w:rFonts w:ascii="Arial" w:hAnsi="Arial" w:cs="Arial"/>
                <w:b w:val="0"/>
                <w:bCs w:val="0"/>
                <w:i w:val="0"/>
                <w:iCs w:val="0"/>
                <w:noProof/>
                <w:webHidden/>
              </w:rPr>
              <w:fldChar w:fldCharType="separate"/>
            </w:r>
            <w:r w:rsidRPr="00905AEB">
              <w:rPr>
                <w:rFonts w:ascii="Arial" w:hAnsi="Arial" w:cs="Arial"/>
                <w:b w:val="0"/>
                <w:bCs w:val="0"/>
                <w:i w:val="0"/>
                <w:iCs w:val="0"/>
                <w:noProof/>
                <w:webHidden/>
              </w:rPr>
              <w:t>3</w:t>
            </w:r>
            <w:r w:rsidRPr="00905AEB">
              <w:rPr>
                <w:rFonts w:ascii="Arial" w:hAnsi="Arial" w:cs="Arial"/>
                <w:b w:val="0"/>
                <w:bCs w:val="0"/>
                <w:i w:val="0"/>
                <w:iCs w:val="0"/>
                <w:noProof/>
                <w:webHidden/>
              </w:rPr>
              <w:fldChar w:fldCharType="end"/>
            </w:r>
          </w:hyperlink>
        </w:p>
        <w:p w14:paraId="28C6E9EB" w14:textId="284D91F6" w:rsidR="00905AEB" w:rsidRPr="00905AEB" w:rsidRDefault="00905AEB">
          <w:pPr>
            <w:pStyle w:val="TOC1"/>
            <w:tabs>
              <w:tab w:val="right" w:leader="dot" w:pos="9019"/>
            </w:tabs>
            <w:rPr>
              <w:rFonts w:ascii="Arial" w:eastAsiaTheme="minorEastAsia" w:hAnsi="Arial" w:cs="Arial"/>
              <w:b w:val="0"/>
              <w:bCs w:val="0"/>
              <w:i w:val="0"/>
              <w:iCs w:val="0"/>
              <w:noProof/>
              <w:kern w:val="2"/>
              <w14:ligatures w14:val="standardContextual"/>
            </w:rPr>
          </w:pPr>
          <w:hyperlink w:anchor="_Toc216990428" w:history="1">
            <w:r w:rsidRPr="00905AEB">
              <w:rPr>
                <w:rStyle w:val="Hyperlink"/>
                <w:rFonts w:ascii="Arial" w:hAnsi="Arial" w:cs="Arial"/>
                <w:b w:val="0"/>
                <w:bCs w:val="0"/>
                <w:i w:val="0"/>
                <w:iCs w:val="0"/>
                <w:noProof/>
              </w:rPr>
              <w:t>Theory 2: Behaviourism (Behaviourist Approach)</w:t>
            </w:r>
            <w:r w:rsidRPr="00905AEB">
              <w:rPr>
                <w:rFonts w:ascii="Arial" w:hAnsi="Arial" w:cs="Arial"/>
                <w:b w:val="0"/>
                <w:bCs w:val="0"/>
                <w:i w:val="0"/>
                <w:iCs w:val="0"/>
                <w:noProof/>
                <w:webHidden/>
              </w:rPr>
              <w:tab/>
            </w:r>
            <w:r w:rsidRPr="00905AEB">
              <w:rPr>
                <w:rFonts w:ascii="Arial" w:hAnsi="Arial" w:cs="Arial"/>
                <w:b w:val="0"/>
                <w:bCs w:val="0"/>
                <w:i w:val="0"/>
                <w:iCs w:val="0"/>
                <w:noProof/>
                <w:webHidden/>
              </w:rPr>
              <w:fldChar w:fldCharType="begin"/>
            </w:r>
            <w:r w:rsidRPr="00905AEB">
              <w:rPr>
                <w:rFonts w:ascii="Arial" w:hAnsi="Arial" w:cs="Arial"/>
                <w:b w:val="0"/>
                <w:bCs w:val="0"/>
                <w:i w:val="0"/>
                <w:iCs w:val="0"/>
                <w:noProof/>
                <w:webHidden/>
              </w:rPr>
              <w:instrText xml:space="preserve"> PAGEREF _Toc216990428 \h </w:instrText>
            </w:r>
            <w:r w:rsidRPr="00905AEB">
              <w:rPr>
                <w:rFonts w:ascii="Arial" w:hAnsi="Arial" w:cs="Arial"/>
                <w:b w:val="0"/>
                <w:bCs w:val="0"/>
                <w:i w:val="0"/>
                <w:iCs w:val="0"/>
                <w:noProof/>
                <w:webHidden/>
              </w:rPr>
            </w:r>
            <w:r w:rsidRPr="00905AEB">
              <w:rPr>
                <w:rFonts w:ascii="Arial" w:hAnsi="Arial" w:cs="Arial"/>
                <w:b w:val="0"/>
                <w:bCs w:val="0"/>
                <w:i w:val="0"/>
                <w:iCs w:val="0"/>
                <w:noProof/>
                <w:webHidden/>
              </w:rPr>
              <w:fldChar w:fldCharType="separate"/>
            </w:r>
            <w:r w:rsidRPr="00905AEB">
              <w:rPr>
                <w:rFonts w:ascii="Arial" w:hAnsi="Arial" w:cs="Arial"/>
                <w:b w:val="0"/>
                <w:bCs w:val="0"/>
                <w:i w:val="0"/>
                <w:iCs w:val="0"/>
                <w:noProof/>
                <w:webHidden/>
              </w:rPr>
              <w:t>5</w:t>
            </w:r>
            <w:r w:rsidRPr="00905AEB">
              <w:rPr>
                <w:rFonts w:ascii="Arial" w:hAnsi="Arial" w:cs="Arial"/>
                <w:b w:val="0"/>
                <w:bCs w:val="0"/>
                <w:i w:val="0"/>
                <w:iCs w:val="0"/>
                <w:noProof/>
                <w:webHidden/>
              </w:rPr>
              <w:fldChar w:fldCharType="end"/>
            </w:r>
          </w:hyperlink>
        </w:p>
        <w:p w14:paraId="7208B47C" w14:textId="13490D89" w:rsidR="00905AEB" w:rsidRPr="00905AEB" w:rsidRDefault="00905AEB">
          <w:pPr>
            <w:pStyle w:val="TOC1"/>
            <w:tabs>
              <w:tab w:val="right" w:leader="dot" w:pos="9019"/>
            </w:tabs>
            <w:rPr>
              <w:rFonts w:ascii="Arial" w:eastAsiaTheme="minorEastAsia" w:hAnsi="Arial" w:cs="Arial"/>
              <w:b w:val="0"/>
              <w:bCs w:val="0"/>
              <w:i w:val="0"/>
              <w:iCs w:val="0"/>
              <w:noProof/>
              <w:kern w:val="2"/>
              <w14:ligatures w14:val="standardContextual"/>
            </w:rPr>
          </w:pPr>
          <w:hyperlink w:anchor="_Toc216990429" w:history="1">
            <w:r w:rsidRPr="00905AEB">
              <w:rPr>
                <w:rStyle w:val="Hyperlink"/>
                <w:rFonts w:ascii="Arial" w:hAnsi="Arial" w:cs="Arial"/>
                <w:b w:val="0"/>
                <w:bCs w:val="0"/>
                <w:i w:val="0"/>
                <w:iCs w:val="0"/>
                <w:noProof/>
              </w:rPr>
              <w:t>Conclusion</w:t>
            </w:r>
            <w:r w:rsidRPr="00905AEB">
              <w:rPr>
                <w:rFonts w:ascii="Arial" w:hAnsi="Arial" w:cs="Arial"/>
                <w:b w:val="0"/>
                <w:bCs w:val="0"/>
                <w:i w:val="0"/>
                <w:iCs w:val="0"/>
                <w:noProof/>
                <w:webHidden/>
              </w:rPr>
              <w:tab/>
            </w:r>
            <w:r w:rsidRPr="00905AEB">
              <w:rPr>
                <w:rFonts w:ascii="Arial" w:hAnsi="Arial" w:cs="Arial"/>
                <w:b w:val="0"/>
                <w:bCs w:val="0"/>
                <w:i w:val="0"/>
                <w:iCs w:val="0"/>
                <w:noProof/>
                <w:webHidden/>
              </w:rPr>
              <w:fldChar w:fldCharType="begin"/>
            </w:r>
            <w:r w:rsidRPr="00905AEB">
              <w:rPr>
                <w:rFonts w:ascii="Arial" w:hAnsi="Arial" w:cs="Arial"/>
                <w:b w:val="0"/>
                <w:bCs w:val="0"/>
                <w:i w:val="0"/>
                <w:iCs w:val="0"/>
                <w:noProof/>
                <w:webHidden/>
              </w:rPr>
              <w:instrText xml:space="preserve"> PAGEREF _Toc216990429 \h </w:instrText>
            </w:r>
            <w:r w:rsidRPr="00905AEB">
              <w:rPr>
                <w:rFonts w:ascii="Arial" w:hAnsi="Arial" w:cs="Arial"/>
                <w:b w:val="0"/>
                <w:bCs w:val="0"/>
                <w:i w:val="0"/>
                <w:iCs w:val="0"/>
                <w:noProof/>
                <w:webHidden/>
              </w:rPr>
            </w:r>
            <w:r w:rsidRPr="00905AEB">
              <w:rPr>
                <w:rFonts w:ascii="Arial" w:hAnsi="Arial" w:cs="Arial"/>
                <w:b w:val="0"/>
                <w:bCs w:val="0"/>
                <w:i w:val="0"/>
                <w:iCs w:val="0"/>
                <w:noProof/>
                <w:webHidden/>
              </w:rPr>
              <w:fldChar w:fldCharType="separate"/>
            </w:r>
            <w:r w:rsidRPr="00905AEB">
              <w:rPr>
                <w:rFonts w:ascii="Arial" w:hAnsi="Arial" w:cs="Arial"/>
                <w:b w:val="0"/>
                <w:bCs w:val="0"/>
                <w:i w:val="0"/>
                <w:iCs w:val="0"/>
                <w:noProof/>
                <w:webHidden/>
              </w:rPr>
              <w:t>6</w:t>
            </w:r>
            <w:r w:rsidRPr="00905AEB">
              <w:rPr>
                <w:rFonts w:ascii="Arial" w:hAnsi="Arial" w:cs="Arial"/>
                <w:b w:val="0"/>
                <w:bCs w:val="0"/>
                <w:i w:val="0"/>
                <w:iCs w:val="0"/>
                <w:noProof/>
                <w:webHidden/>
              </w:rPr>
              <w:fldChar w:fldCharType="end"/>
            </w:r>
          </w:hyperlink>
        </w:p>
        <w:p w14:paraId="5300EA43" w14:textId="5B8EFA88" w:rsidR="00905AEB" w:rsidRPr="00905AEB" w:rsidRDefault="00905AEB">
          <w:pPr>
            <w:pStyle w:val="TOC1"/>
            <w:tabs>
              <w:tab w:val="right" w:leader="dot" w:pos="9019"/>
            </w:tabs>
            <w:rPr>
              <w:rFonts w:ascii="Arial" w:eastAsiaTheme="minorEastAsia" w:hAnsi="Arial" w:cs="Arial"/>
              <w:b w:val="0"/>
              <w:bCs w:val="0"/>
              <w:i w:val="0"/>
              <w:iCs w:val="0"/>
              <w:noProof/>
              <w:kern w:val="2"/>
              <w14:ligatures w14:val="standardContextual"/>
            </w:rPr>
          </w:pPr>
          <w:hyperlink w:anchor="_Toc216990430" w:history="1">
            <w:r w:rsidRPr="00905AEB">
              <w:rPr>
                <w:rStyle w:val="Hyperlink"/>
                <w:rFonts w:ascii="Arial" w:hAnsi="Arial" w:cs="Arial"/>
                <w:b w:val="0"/>
                <w:bCs w:val="0"/>
                <w:i w:val="0"/>
                <w:iCs w:val="0"/>
                <w:noProof/>
              </w:rPr>
              <w:t>Reference list</w:t>
            </w:r>
            <w:r w:rsidRPr="00905AEB">
              <w:rPr>
                <w:rFonts w:ascii="Arial" w:hAnsi="Arial" w:cs="Arial"/>
                <w:b w:val="0"/>
                <w:bCs w:val="0"/>
                <w:i w:val="0"/>
                <w:iCs w:val="0"/>
                <w:noProof/>
                <w:webHidden/>
              </w:rPr>
              <w:tab/>
            </w:r>
            <w:r w:rsidRPr="00905AEB">
              <w:rPr>
                <w:rFonts w:ascii="Arial" w:hAnsi="Arial" w:cs="Arial"/>
                <w:b w:val="0"/>
                <w:bCs w:val="0"/>
                <w:i w:val="0"/>
                <w:iCs w:val="0"/>
                <w:noProof/>
                <w:webHidden/>
              </w:rPr>
              <w:fldChar w:fldCharType="begin"/>
            </w:r>
            <w:r w:rsidRPr="00905AEB">
              <w:rPr>
                <w:rFonts w:ascii="Arial" w:hAnsi="Arial" w:cs="Arial"/>
                <w:b w:val="0"/>
                <w:bCs w:val="0"/>
                <w:i w:val="0"/>
                <w:iCs w:val="0"/>
                <w:noProof/>
                <w:webHidden/>
              </w:rPr>
              <w:instrText xml:space="preserve"> PAGEREF _Toc216990430 \h </w:instrText>
            </w:r>
            <w:r w:rsidRPr="00905AEB">
              <w:rPr>
                <w:rFonts w:ascii="Arial" w:hAnsi="Arial" w:cs="Arial"/>
                <w:b w:val="0"/>
                <w:bCs w:val="0"/>
                <w:i w:val="0"/>
                <w:iCs w:val="0"/>
                <w:noProof/>
                <w:webHidden/>
              </w:rPr>
            </w:r>
            <w:r w:rsidRPr="00905AEB">
              <w:rPr>
                <w:rFonts w:ascii="Arial" w:hAnsi="Arial" w:cs="Arial"/>
                <w:b w:val="0"/>
                <w:bCs w:val="0"/>
                <w:i w:val="0"/>
                <w:iCs w:val="0"/>
                <w:noProof/>
                <w:webHidden/>
              </w:rPr>
              <w:fldChar w:fldCharType="separate"/>
            </w:r>
            <w:r w:rsidRPr="00905AEB">
              <w:rPr>
                <w:rFonts w:ascii="Arial" w:hAnsi="Arial" w:cs="Arial"/>
                <w:b w:val="0"/>
                <w:bCs w:val="0"/>
                <w:i w:val="0"/>
                <w:iCs w:val="0"/>
                <w:noProof/>
                <w:webHidden/>
              </w:rPr>
              <w:t>8</w:t>
            </w:r>
            <w:r w:rsidRPr="00905AEB">
              <w:rPr>
                <w:rFonts w:ascii="Arial" w:hAnsi="Arial" w:cs="Arial"/>
                <w:b w:val="0"/>
                <w:bCs w:val="0"/>
                <w:i w:val="0"/>
                <w:iCs w:val="0"/>
                <w:noProof/>
                <w:webHidden/>
              </w:rPr>
              <w:fldChar w:fldCharType="end"/>
            </w:r>
          </w:hyperlink>
        </w:p>
        <w:p w14:paraId="2C278A02" w14:textId="6527F7DC" w:rsidR="00905AEB" w:rsidRDefault="00905AEB">
          <w:r w:rsidRPr="00905AEB">
            <w:rPr>
              <w:rFonts w:ascii="Arial" w:hAnsi="Arial" w:cs="Arial"/>
              <w:noProof/>
            </w:rPr>
            <w:fldChar w:fldCharType="end"/>
          </w:r>
        </w:p>
      </w:sdtContent>
    </w:sdt>
    <w:p w14:paraId="76F2C18B" w14:textId="77777777" w:rsidR="00D34FED" w:rsidRPr="00CC3F85" w:rsidRDefault="00D34FED">
      <w:pPr>
        <w:rPr>
          <w:b/>
          <w:bCs/>
          <w:color w:val="000000" w:themeColor="text1"/>
          <w:u w:val="single"/>
        </w:rPr>
      </w:pPr>
    </w:p>
    <w:p w14:paraId="59F7EE8D" w14:textId="77777777" w:rsidR="00D34FED" w:rsidRPr="00CC3F85" w:rsidRDefault="00D34FED">
      <w:pPr>
        <w:rPr>
          <w:b/>
          <w:bCs/>
          <w:color w:val="000000" w:themeColor="text1"/>
          <w:u w:val="single"/>
        </w:rPr>
      </w:pPr>
    </w:p>
    <w:p w14:paraId="17877735" w14:textId="77777777" w:rsidR="00D34FED" w:rsidRPr="00CC3F85" w:rsidRDefault="00D34FED">
      <w:pPr>
        <w:rPr>
          <w:b/>
          <w:bCs/>
          <w:color w:val="000000" w:themeColor="text1"/>
          <w:u w:val="single"/>
        </w:rPr>
      </w:pPr>
    </w:p>
    <w:p w14:paraId="1BD56AA6" w14:textId="77777777" w:rsidR="00D34FED" w:rsidRPr="00CC3F85" w:rsidRDefault="00D34FED">
      <w:pPr>
        <w:pStyle w:val="Title"/>
        <w:rPr>
          <w:rFonts w:eastAsia="Verdana"/>
          <w:color w:val="000000" w:themeColor="text1"/>
          <w:sz w:val="24"/>
          <w:szCs w:val="24"/>
        </w:rPr>
      </w:pPr>
    </w:p>
    <w:p w14:paraId="656927C3" w14:textId="07205E10" w:rsidR="00D34FED" w:rsidRPr="00CC3F85" w:rsidRDefault="00D34FED">
      <w:pPr>
        <w:pStyle w:val="Title"/>
        <w:rPr>
          <w:rFonts w:eastAsia="Verdana"/>
          <w:color w:val="000000" w:themeColor="text1"/>
          <w:sz w:val="24"/>
          <w:szCs w:val="24"/>
        </w:rPr>
      </w:pPr>
    </w:p>
    <w:p w14:paraId="0E274C4B" w14:textId="77777777" w:rsidR="00D34FED" w:rsidRPr="00CC3F85" w:rsidRDefault="00D34FED">
      <w:pPr>
        <w:pStyle w:val="Title"/>
        <w:rPr>
          <w:rFonts w:eastAsia="Verdana"/>
          <w:color w:val="000000" w:themeColor="text1"/>
          <w:sz w:val="24"/>
          <w:szCs w:val="24"/>
        </w:rPr>
      </w:pPr>
    </w:p>
    <w:p w14:paraId="14A694AB" w14:textId="77777777" w:rsidR="00D34FED" w:rsidRPr="00CC3F85" w:rsidRDefault="00D34FED">
      <w:pPr>
        <w:pStyle w:val="Title"/>
        <w:rPr>
          <w:rFonts w:eastAsia="Verdana"/>
          <w:color w:val="000000" w:themeColor="text1"/>
          <w:sz w:val="24"/>
          <w:szCs w:val="24"/>
        </w:rPr>
      </w:pPr>
    </w:p>
    <w:p w14:paraId="55A2192B" w14:textId="77777777" w:rsidR="00D34FED" w:rsidRPr="00CC3F85" w:rsidRDefault="00D34FED">
      <w:pPr>
        <w:pStyle w:val="Title"/>
        <w:rPr>
          <w:rFonts w:eastAsia="Verdana"/>
          <w:color w:val="000000" w:themeColor="text1"/>
          <w:sz w:val="24"/>
          <w:szCs w:val="24"/>
        </w:rPr>
      </w:pPr>
    </w:p>
    <w:p w14:paraId="46AC778A" w14:textId="77777777" w:rsidR="00D34FED" w:rsidRPr="00CC3F85" w:rsidRDefault="00D34FED">
      <w:pPr>
        <w:pStyle w:val="Title"/>
        <w:rPr>
          <w:rFonts w:eastAsia="Verdana"/>
          <w:color w:val="000000" w:themeColor="text1"/>
          <w:sz w:val="24"/>
          <w:szCs w:val="24"/>
        </w:rPr>
      </w:pPr>
    </w:p>
    <w:p w14:paraId="6172B8B4" w14:textId="77777777" w:rsidR="00D34FED" w:rsidRPr="00CC3F85" w:rsidRDefault="00D34FED">
      <w:pPr>
        <w:pStyle w:val="Title"/>
        <w:rPr>
          <w:rFonts w:eastAsia="Verdana"/>
          <w:color w:val="000000" w:themeColor="text1"/>
          <w:sz w:val="24"/>
          <w:szCs w:val="24"/>
        </w:rPr>
      </w:pPr>
    </w:p>
    <w:p w14:paraId="0924CDDA" w14:textId="77777777" w:rsidR="00D34FED" w:rsidRPr="00CC3F85" w:rsidRDefault="00D34FED">
      <w:pPr>
        <w:pStyle w:val="Title"/>
        <w:rPr>
          <w:rFonts w:eastAsia="Verdana"/>
          <w:color w:val="000000" w:themeColor="text1"/>
          <w:sz w:val="24"/>
          <w:szCs w:val="24"/>
        </w:rPr>
      </w:pPr>
    </w:p>
    <w:p w14:paraId="63F9CC5B" w14:textId="77777777" w:rsidR="00D34FED" w:rsidRPr="00CC3F85" w:rsidRDefault="00D34FED">
      <w:pPr>
        <w:pStyle w:val="Title"/>
        <w:rPr>
          <w:rFonts w:eastAsia="Verdana"/>
          <w:color w:val="000000" w:themeColor="text1"/>
          <w:sz w:val="24"/>
          <w:szCs w:val="24"/>
        </w:rPr>
      </w:pPr>
    </w:p>
    <w:p w14:paraId="0121A6B0" w14:textId="77777777" w:rsidR="00D34FED" w:rsidRPr="00CC3F85" w:rsidRDefault="00D34FED">
      <w:pPr>
        <w:pStyle w:val="Title"/>
        <w:rPr>
          <w:rFonts w:eastAsia="Verdana"/>
          <w:color w:val="000000" w:themeColor="text1"/>
          <w:sz w:val="24"/>
          <w:szCs w:val="24"/>
        </w:rPr>
      </w:pPr>
    </w:p>
    <w:p w14:paraId="0304696F" w14:textId="77777777" w:rsidR="00D34FED" w:rsidRPr="00CC3F85" w:rsidRDefault="00D34FED">
      <w:pPr>
        <w:pStyle w:val="Title"/>
        <w:rPr>
          <w:rFonts w:eastAsia="Verdana"/>
          <w:color w:val="000000" w:themeColor="text1"/>
          <w:sz w:val="24"/>
          <w:szCs w:val="24"/>
        </w:rPr>
      </w:pPr>
    </w:p>
    <w:p w14:paraId="5B4D8357" w14:textId="77777777" w:rsidR="00D34FED" w:rsidRPr="00CC3F85" w:rsidRDefault="00D34FED">
      <w:pPr>
        <w:pStyle w:val="Title"/>
        <w:rPr>
          <w:rFonts w:eastAsia="Verdana"/>
          <w:color w:val="000000" w:themeColor="text1"/>
          <w:sz w:val="24"/>
          <w:szCs w:val="24"/>
        </w:rPr>
      </w:pPr>
    </w:p>
    <w:p w14:paraId="47B498E6" w14:textId="77777777" w:rsidR="00D34FED" w:rsidRPr="00CC3F85" w:rsidRDefault="00D34FED">
      <w:pPr>
        <w:pStyle w:val="Title"/>
        <w:rPr>
          <w:rFonts w:eastAsia="Verdana"/>
          <w:color w:val="000000" w:themeColor="text1"/>
          <w:sz w:val="24"/>
          <w:szCs w:val="24"/>
        </w:rPr>
      </w:pPr>
    </w:p>
    <w:p w14:paraId="765A9D8C" w14:textId="77777777" w:rsidR="00D34FED" w:rsidRPr="00CC3F85" w:rsidRDefault="00D34FED">
      <w:pPr>
        <w:pStyle w:val="Title"/>
        <w:rPr>
          <w:rFonts w:eastAsia="Verdana"/>
          <w:color w:val="000000" w:themeColor="text1"/>
          <w:sz w:val="24"/>
          <w:szCs w:val="24"/>
        </w:rPr>
      </w:pPr>
    </w:p>
    <w:p w14:paraId="0D5AF694" w14:textId="77777777" w:rsidR="00D34FED" w:rsidRPr="00CC3F85" w:rsidRDefault="00D34FED">
      <w:pPr>
        <w:pStyle w:val="Title"/>
        <w:rPr>
          <w:rFonts w:eastAsia="Verdana"/>
          <w:color w:val="000000" w:themeColor="text1"/>
          <w:sz w:val="24"/>
          <w:szCs w:val="24"/>
        </w:rPr>
      </w:pPr>
    </w:p>
    <w:p w14:paraId="75B242D6" w14:textId="77777777" w:rsidR="00D34FED" w:rsidRPr="00CC3F85" w:rsidRDefault="00D34FED">
      <w:pPr>
        <w:pStyle w:val="Title"/>
        <w:rPr>
          <w:rFonts w:eastAsia="Verdana"/>
          <w:color w:val="000000" w:themeColor="text1"/>
          <w:sz w:val="24"/>
          <w:szCs w:val="24"/>
        </w:rPr>
      </w:pPr>
    </w:p>
    <w:p w14:paraId="52BAF8FD" w14:textId="77777777" w:rsidR="00D34FED" w:rsidRPr="00CC3F85" w:rsidRDefault="00D34FED">
      <w:pPr>
        <w:pStyle w:val="Title"/>
        <w:rPr>
          <w:rFonts w:eastAsia="Verdana"/>
          <w:color w:val="000000" w:themeColor="text1"/>
          <w:sz w:val="24"/>
          <w:szCs w:val="24"/>
        </w:rPr>
      </w:pPr>
    </w:p>
    <w:p w14:paraId="69EED54E" w14:textId="77777777" w:rsidR="00D34FED" w:rsidRPr="00CC3F85" w:rsidRDefault="00D34FED">
      <w:pPr>
        <w:pStyle w:val="Title"/>
        <w:rPr>
          <w:rFonts w:eastAsia="Verdana"/>
          <w:color w:val="000000" w:themeColor="text1"/>
          <w:sz w:val="24"/>
          <w:szCs w:val="24"/>
        </w:rPr>
      </w:pPr>
    </w:p>
    <w:p w14:paraId="0A79F18C" w14:textId="77777777" w:rsidR="00D34FED" w:rsidRPr="00CC3F85" w:rsidRDefault="00D34FED">
      <w:pPr>
        <w:pStyle w:val="Title"/>
        <w:rPr>
          <w:rFonts w:eastAsia="Verdana"/>
          <w:color w:val="000000" w:themeColor="text1"/>
          <w:sz w:val="24"/>
          <w:szCs w:val="24"/>
        </w:rPr>
      </w:pPr>
    </w:p>
    <w:p w14:paraId="03344408" w14:textId="77777777" w:rsidR="00D34FED" w:rsidRPr="00CC3F85" w:rsidRDefault="00D34FED">
      <w:pPr>
        <w:pStyle w:val="Title"/>
        <w:rPr>
          <w:rFonts w:eastAsia="Verdana"/>
          <w:color w:val="000000" w:themeColor="text1"/>
          <w:sz w:val="24"/>
          <w:szCs w:val="24"/>
        </w:rPr>
      </w:pPr>
    </w:p>
    <w:p w14:paraId="072294EB" w14:textId="77777777" w:rsidR="00D34FED" w:rsidRPr="00CC3F85" w:rsidRDefault="00D34FED">
      <w:pPr>
        <w:pStyle w:val="Title"/>
        <w:rPr>
          <w:rFonts w:eastAsia="Verdana"/>
          <w:color w:val="000000" w:themeColor="text1"/>
          <w:sz w:val="24"/>
          <w:szCs w:val="24"/>
        </w:rPr>
      </w:pPr>
    </w:p>
    <w:p w14:paraId="54B79CB7" w14:textId="77777777" w:rsidR="00D34FED" w:rsidRPr="00CC3F85" w:rsidRDefault="00D34FED">
      <w:pPr>
        <w:pStyle w:val="Title"/>
        <w:rPr>
          <w:rFonts w:eastAsia="Verdana"/>
          <w:color w:val="000000" w:themeColor="text1"/>
          <w:sz w:val="24"/>
          <w:szCs w:val="24"/>
        </w:rPr>
      </w:pPr>
    </w:p>
    <w:p w14:paraId="230402CC" w14:textId="77777777" w:rsidR="00D34FED" w:rsidRPr="00CC3F85" w:rsidRDefault="00D34FED">
      <w:pPr>
        <w:pStyle w:val="Title"/>
        <w:rPr>
          <w:rFonts w:eastAsia="Verdana"/>
          <w:color w:val="000000" w:themeColor="text1"/>
          <w:sz w:val="24"/>
          <w:szCs w:val="24"/>
        </w:rPr>
      </w:pPr>
    </w:p>
    <w:p w14:paraId="17906093" w14:textId="77777777" w:rsidR="006B67F9" w:rsidRDefault="006B67F9" w:rsidP="006B67F9">
      <w:pPr>
        <w:rPr>
          <w:b/>
          <w:bCs/>
        </w:rPr>
      </w:pPr>
    </w:p>
    <w:p w14:paraId="595810BB" w14:textId="77777777" w:rsidR="006B67F9" w:rsidRDefault="006B67F9" w:rsidP="006B67F9">
      <w:pPr>
        <w:rPr>
          <w:b/>
          <w:bCs/>
        </w:rPr>
      </w:pPr>
    </w:p>
    <w:p w14:paraId="272B6CE9" w14:textId="77777777" w:rsidR="006B67F9" w:rsidRDefault="006B67F9" w:rsidP="006B67F9">
      <w:pPr>
        <w:rPr>
          <w:b/>
          <w:bCs/>
        </w:rPr>
      </w:pPr>
    </w:p>
    <w:p w14:paraId="7299D26E" w14:textId="77777777" w:rsidR="006B67F9" w:rsidRDefault="006B67F9" w:rsidP="006B67F9">
      <w:pPr>
        <w:rPr>
          <w:b/>
          <w:bCs/>
        </w:rPr>
      </w:pPr>
    </w:p>
    <w:p w14:paraId="09F63991" w14:textId="77777777" w:rsidR="006B67F9" w:rsidRDefault="006B67F9" w:rsidP="006B67F9">
      <w:pPr>
        <w:rPr>
          <w:b/>
          <w:bCs/>
        </w:rPr>
      </w:pPr>
    </w:p>
    <w:p w14:paraId="33678B51" w14:textId="77777777" w:rsidR="006B67F9" w:rsidRDefault="006B67F9" w:rsidP="006B67F9">
      <w:pPr>
        <w:rPr>
          <w:b/>
          <w:bCs/>
        </w:rPr>
      </w:pPr>
    </w:p>
    <w:p w14:paraId="59AB7234" w14:textId="33F09318" w:rsidR="0031004B" w:rsidRPr="00905AEB" w:rsidRDefault="006B67F9" w:rsidP="00905AEB">
      <w:pPr>
        <w:pStyle w:val="Heading1"/>
        <w:rPr>
          <w:sz w:val="32"/>
          <w:szCs w:val="32"/>
        </w:rPr>
      </w:pPr>
      <w:bookmarkStart w:id="0" w:name="_Toc216990426"/>
      <w:r w:rsidRPr="00905AEB">
        <w:rPr>
          <w:sz w:val="32"/>
          <w:szCs w:val="32"/>
        </w:rPr>
        <w:lastRenderedPageBreak/>
        <w:t>Introduction</w:t>
      </w:r>
      <w:bookmarkEnd w:id="0"/>
    </w:p>
    <w:p w14:paraId="24CA5CC4" w14:textId="55B5A74D" w:rsidR="0031004B" w:rsidRPr="00905AEB" w:rsidRDefault="0031004B" w:rsidP="00905AEB">
      <w:pPr>
        <w:spacing w:line="360" w:lineRule="auto"/>
        <w:jc w:val="both"/>
        <w:rPr>
          <w:rFonts w:ascii="Arial" w:hAnsi="Arial" w:cs="Arial"/>
          <w:color w:val="000000"/>
          <w:sz w:val="22"/>
          <w:szCs w:val="22"/>
        </w:rPr>
      </w:pPr>
      <w:r w:rsidRPr="00905AEB">
        <w:rPr>
          <w:rFonts w:ascii="Arial" w:hAnsi="Arial" w:cs="Arial"/>
          <w:color w:val="000000"/>
          <w:sz w:val="22"/>
          <w:szCs w:val="22"/>
        </w:rPr>
        <w:t xml:space="preserve">Dementia is a progressive condition associated with cognitive decline, as well as highly prevalent behavioural and psychological symptoms. Agitation is commonly experienced by people with dementia and is often persistent and distressing, significantly affecting wellbeing and quality of life. </w:t>
      </w:r>
      <w:r w:rsidR="004D4F2E" w:rsidRPr="00905AEB">
        <w:rPr>
          <w:rFonts w:ascii="Arial" w:hAnsi="Arial" w:cs="Arial"/>
          <w:color w:val="000000"/>
          <w:sz w:val="22"/>
          <w:szCs w:val="22"/>
        </w:rPr>
        <w:t>As life expectancy rises, dementia prevalence increases globally</w:t>
      </w:r>
      <w:r w:rsidRPr="00905AEB">
        <w:rPr>
          <w:rFonts w:ascii="Arial" w:hAnsi="Arial" w:cs="Arial"/>
          <w:color w:val="000000"/>
          <w:sz w:val="22"/>
          <w:szCs w:val="22"/>
        </w:rPr>
        <w:t>, leading to a growing number of older adults requiring long-term care and support within residential care homes. These settings play a crucial role in supporting individuals with complex needs. However, dementia care presents complex challenges for health and social care professionals, particularly in managing behavioural and psychological symptoms, maintaining person-centred care. Effective dementia care, therefore, relies heavily on non-pharmacological and psychosocial approaches, emphasising the importance of informed and theory-guided practice within care home environments (Livingston et al., 20</w:t>
      </w:r>
      <w:r w:rsidR="006A0B89" w:rsidRPr="00905AEB">
        <w:rPr>
          <w:rFonts w:ascii="Arial" w:hAnsi="Arial" w:cs="Arial"/>
          <w:color w:val="000000"/>
          <w:sz w:val="22"/>
          <w:szCs w:val="22"/>
        </w:rPr>
        <w:t>14</w:t>
      </w:r>
      <w:r w:rsidRPr="00905AEB">
        <w:rPr>
          <w:rFonts w:ascii="Arial" w:hAnsi="Arial" w:cs="Arial"/>
          <w:color w:val="000000"/>
          <w:sz w:val="22"/>
          <w:szCs w:val="22"/>
        </w:rPr>
        <w:t>).</w:t>
      </w:r>
    </w:p>
    <w:p w14:paraId="5A6FA61C" w14:textId="34E008E5" w:rsidR="00A34563" w:rsidRPr="00905AEB" w:rsidRDefault="00A34563" w:rsidP="00905AEB">
      <w:pPr>
        <w:spacing w:line="360" w:lineRule="auto"/>
        <w:jc w:val="both"/>
        <w:rPr>
          <w:rFonts w:ascii="Arial" w:hAnsi="Arial" w:cs="Arial"/>
          <w:color w:val="000000"/>
          <w:sz w:val="22"/>
          <w:szCs w:val="22"/>
        </w:rPr>
      </w:pPr>
      <w:r w:rsidRPr="00905AEB">
        <w:rPr>
          <w:rFonts w:ascii="Arial" w:hAnsi="Arial" w:cs="Arial"/>
          <w:color w:val="000000"/>
          <w:sz w:val="22"/>
          <w:szCs w:val="22"/>
        </w:rPr>
        <w:t>This report focuses on a residential care home that provides long-term support for adults aged 65 and older living with dementia. Within this setting, care assistants and nursing staff deliver daily support, assisting residents with daily routines, personal care, and social engagement. Professionals in this setting must balance organisational requirements with person-centred approaches. To develop effective and sustainable dementia care practices, it is important to understand how care environments and staff responses shape residents’ experiences.</w:t>
      </w:r>
    </w:p>
    <w:p w14:paraId="1095BD83" w14:textId="57A439DE" w:rsidR="004C65B8" w:rsidRPr="00905AEB" w:rsidRDefault="004C65B8" w:rsidP="00905AEB">
      <w:pPr>
        <w:spacing w:line="360" w:lineRule="auto"/>
        <w:jc w:val="both"/>
        <w:rPr>
          <w:rFonts w:ascii="Arial" w:hAnsi="Arial" w:cs="Arial"/>
          <w:color w:val="000000"/>
          <w:sz w:val="22"/>
          <w:szCs w:val="22"/>
        </w:rPr>
      </w:pPr>
      <w:r w:rsidRPr="00905AEB">
        <w:rPr>
          <w:rFonts w:ascii="Arial" w:hAnsi="Arial" w:cs="Arial"/>
          <w:color w:val="000000"/>
          <w:sz w:val="22"/>
          <w:szCs w:val="22"/>
        </w:rPr>
        <w:t xml:space="preserve">This report explores how psychological theories can enhance dementia care practices within residential homes for adults aged 65 and over. Two theoretical approaches are examined: Self-Efficacy Theory and </w:t>
      </w:r>
      <w:r w:rsidR="00876B00" w:rsidRPr="00905AEB">
        <w:rPr>
          <w:rFonts w:ascii="Arial" w:hAnsi="Arial" w:cs="Arial"/>
          <w:color w:val="000000"/>
          <w:sz w:val="22"/>
          <w:szCs w:val="22"/>
        </w:rPr>
        <w:t xml:space="preserve">behaviourist-based approaches grounded in </w:t>
      </w:r>
      <w:r w:rsidR="005E1BD3" w:rsidRPr="00905AEB">
        <w:rPr>
          <w:rFonts w:ascii="Arial" w:hAnsi="Arial" w:cs="Arial"/>
          <w:color w:val="000000"/>
          <w:sz w:val="22"/>
          <w:szCs w:val="22"/>
        </w:rPr>
        <w:t>B</w:t>
      </w:r>
      <w:r w:rsidR="00876B00" w:rsidRPr="00905AEB">
        <w:rPr>
          <w:rFonts w:ascii="Arial" w:hAnsi="Arial" w:cs="Arial"/>
          <w:color w:val="000000"/>
          <w:sz w:val="22"/>
          <w:szCs w:val="22"/>
        </w:rPr>
        <w:t>ehaviourism</w:t>
      </w:r>
      <w:r w:rsidRPr="00905AEB">
        <w:rPr>
          <w:rFonts w:ascii="Arial" w:hAnsi="Arial" w:cs="Arial"/>
          <w:color w:val="000000"/>
          <w:sz w:val="22"/>
          <w:szCs w:val="22"/>
        </w:rPr>
        <w:t xml:space="preserve">. The report discusses the influence of these theories on staff actions, care routines, and the care environment, </w:t>
      </w:r>
      <w:r w:rsidR="00DB464A" w:rsidRPr="00905AEB">
        <w:rPr>
          <w:rFonts w:ascii="Arial" w:hAnsi="Arial" w:cs="Arial"/>
          <w:color w:val="000000"/>
          <w:sz w:val="22"/>
          <w:szCs w:val="22"/>
        </w:rPr>
        <w:t>and</w:t>
      </w:r>
      <w:r w:rsidRPr="00905AEB">
        <w:rPr>
          <w:rFonts w:ascii="Arial" w:hAnsi="Arial" w:cs="Arial"/>
          <w:color w:val="000000"/>
          <w:sz w:val="22"/>
          <w:szCs w:val="22"/>
        </w:rPr>
        <w:t xml:space="preserve"> their impact on the behaviour</w:t>
      </w:r>
      <w:r w:rsidR="00DB464A" w:rsidRPr="00905AEB">
        <w:rPr>
          <w:rFonts w:ascii="Arial" w:hAnsi="Arial" w:cs="Arial"/>
          <w:color w:val="000000"/>
          <w:sz w:val="22"/>
          <w:szCs w:val="22"/>
        </w:rPr>
        <w:t xml:space="preserve"> and </w:t>
      </w:r>
      <w:r w:rsidRPr="00905AEB">
        <w:rPr>
          <w:rFonts w:ascii="Arial" w:hAnsi="Arial" w:cs="Arial"/>
          <w:color w:val="000000"/>
          <w:sz w:val="22"/>
          <w:szCs w:val="22"/>
        </w:rPr>
        <w:t>engagement of individuals living with dementia. It presents the principal concepts of each theory, evaluates their strengths and limitations in the context of dementia care, and demonstrates their application within care home settings. Furthermore, the report examines the interaction between biological changes associated with dementia and environmental factors, highlighting the importance of theory-based, person-centred care.</w:t>
      </w:r>
    </w:p>
    <w:p w14:paraId="1FFE8A1C" w14:textId="14DB1FAF" w:rsidR="00F611B5" w:rsidRPr="00905AEB" w:rsidRDefault="00F611B5" w:rsidP="00905AEB">
      <w:pPr>
        <w:pStyle w:val="Heading1"/>
        <w:rPr>
          <w:sz w:val="32"/>
          <w:szCs w:val="32"/>
        </w:rPr>
      </w:pPr>
      <w:bookmarkStart w:id="1" w:name="_Toc216990427"/>
      <w:r w:rsidRPr="00905AEB">
        <w:rPr>
          <w:sz w:val="32"/>
          <w:szCs w:val="32"/>
        </w:rPr>
        <w:t>Theory 1: Self-Efficacy Theory (Bandura)</w:t>
      </w:r>
      <w:bookmarkEnd w:id="1"/>
    </w:p>
    <w:p w14:paraId="33A6BB36" w14:textId="630732AA" w:rsidR="0039287D" w:rsidRPr="00905AEB" w:rsidRDefault="0039287D" w:rsidP="00905AEB">
      <w:pPr>
        <w:spacing w:line="360" w:lineRule="auto"/>
        <w:jc w:val="both"/>
        <w:rPr>
          <w:rFonts w:ascii="Arial" w:hAnsi="Arial" w:cs="Arial"/>
          <w:color w:val="000000"/>
          <w:sz w:val="22"/>
          <w:szCs w:val="22"/>
        </w:rPr>
      </w:pPr>
      <w:r w:rsidRPr="00905AEB">
        <w:rPr>
          <w:rFonts w:ascii="Arial" w:hAnsi="Arial" w:cs="Arial"/>
          <w:color w:val="000000"/>
          <w:sz w:val="22"/>
          <w:szCs w:val="22"/>
        </w:rPr>
        <w:t>Self-Efficacy Theory explains how individuals’ beliefs regarding their ability to perform specific tasks influence their motivation, persistence, emotional responses, and behaviours in challenging situations (Bandura, 19</w:t>
      </w:r>
      <w:r w:rsidR="002A748D" w:rsidRPr="00905AEB">
        <w:rPr>
          <w:rFonts w:ascii="Arial" w:hAnsi="Arial" w:cs="Arial"/>
          <w:color w:val="000000"/>
          <w:sz w:val="22"/>
          <w:szCs w:val="22"/>
        </w:rPr>
        <w:t xml:space="preserve">86, </w:t>
      </w:r>
      <w:r w:rsidR="00E11455" w:rsidRPr="00905AEB">
        <w:rPr>
          <w:rFonts w:ascii="Arial" w:hAnsi="Arial" w:cs="Arial"/>
          <w:color w:val="000000"/>
          <w:sz w:val="22"/>
          <w:szCs w:val="22"/>
        </w:rPr>
        <w:t>quoted</w:t>
      </w:r>
      <w:r w:rsidR="002A748D" w:rsidRPr="00905AEB">
        <w:rPr>
          <w:rFonts w:ascii="Arial" w:hAnsi="Arial" w:cs="Arial"/>
          <w:color w:val="000000"/>
          <w:sz w:val="22"/>
          <w:szCs w:val="22"/>
        </w:rPr>
        <w:t xml:space="preserve"> in </w:t>
      </w:r>
      <w:r w:rsidR="00D86336" w:rsidRPr="00905AEB">
        <w:rPr>
          <w:rFonts w:ascii="Arial" w:hAnsi="Arial" w:cs="Arial"/>
          <w:color w:val="000000"/>
          <w:sz w:val="22"/>
          <w:szCs w:val="22"/>
        </w:rPr>
        <w:t>Butler</w:t>
      </w:r>
      <w:r w:rsidR="002A748D" w:rsidRPr="00905AEB">
        <w:rPr>
          <w:rFonts w:ascii="Arial" w:hAnsi="Arial" w:cs="Arial"/>
          <w:color w:val="000000"/>
          <w:sz w:val="22"/>
          <w:szCs w:val="22"/>
        </w:rPr>
        <w:t>, 19</w:t>
      </w:r>
      <w:r w:rsidR="00D86336" w:rsidRPr="00905AEB">
        <w:rPr>
          <w:rFonts w:ascii="Arial" w:hAnsi="Arial" w:cs="Arial"/>
          <w:color w:val="000000"/>
          <w:sz w:val="22"/>
          <w:szCs w:val="22"/>
        </w:rPr>
        <w:t>98</w:t>
      </w:r>
      <w:r w:rsidRPr="00905AEB">
        <w:rPr>
          <w:rFonts w:ascii="Arial" w:hAnsi="Arial" w:cs="Arial"/>
          <w:color w:val="000000"/>
          <w:sz w:val="22"/>
          <w:szCs w:val="22"/>
        </w:rPr>
        <w:t xml:space="preserve">). Self-efficacy is task-specific and develops through personal achievements, vicarious experiences, social encouragement, and the regulation of emotional and physiological states. This theoretical framework is particularly relevant in dementia care within residential settings, where both residents and staff </w:t>
      </w:r>
      <w:r w:rsidRPr="00905AEB">
        <w:rPr>
          <w:rFonts w:ascii="Arial" w:hAnsi="Arial" w:cs="Arial"/>
          <w:color w:val="000000"/>
          <w:sz w:val="22"/>
          <w:szCs w:val="22"/>
        </w:rPr>
        <w:lastRenderedPageBreak/>
        <w:t xml:space="preserve">face persistent challenges and emotionally tense situations. In contrast to general confidence, self-efficacy is shaped by direct experiences, observation of others, feedback, and emotional or physical conditions </w:t>
      </w:r>
      <w:r w:rsidR="00D86336" w:rsidRPr="00905AEB">
        <w:rPr>
          <w:rFonts w:ascii="Arial" w:hAnsi="Arial" w:cs="Arial"/>
          <w:color w:val="000000"/>
          <w:sz w:val="22"/>
          <w:szCs w:val="22"/>
        </w:rPr>
        <w:t xml:space="preserve">(Bandura, 1986, </w:t>
      </w:r>
      <w:r w:rsidR="00E11455" w:rsidRPr="00905AEB">
        <w:rPr>
          <w:rFonts w:ascii="Arial" w:hAnsi="Arial" w:cs="Arial"/>
          <w:color w:val="000000"/>
          <w:sz w:val="22"/>
          <w:szCs w:val="22"/>
        </w:rPr>
        <w:t>quoted</w:t>
      </w:r>
      <w:r w:rsidR="00D86336" w:rsidRPr="00905AEB">
        <w:rPr>
          <w:rFonts w:ascii="Arial" w:hAnsi="Arial" w:cs="Arial"/>
          <w:color w:val="000000"/>
          <w:sz w:val="22"/>
          <w:szCs w:val="22"/>
        </w:rPr>
        <w:t xml:space="preserve"> in Butler, 1998).</w:t>
      </w:r>
    </w:p>
    <w:p w14:paraId="35CADE6D" w14:textId="373CD803" w:rsidR="005C4BE8" w:rsidRPr="00905AEB" w:rsidRDefault="005C4BE8" w:rsidP="00905AEB">
      <w:pPr>
        <w:spacing w:line="360" w:lineRule="auto"/>
        <w:jc w:val="both"/>
        <w:rPr>
          <w:rFonts w:ascii="Arial" w:hAnsi="Arial" w:cs="Arial"/>
          <w:color w:val="000000"/>
          <w:sz w:val="22"/>
          <w:szCs w:val="22"/>
        </w:rPr>
      </w:pPr>
      <w:r w:rsidRPr="005C4BE8">
        <w:rPr>
          <w:rFonts w:ascii="Arial" w:hAnsi="Arial" w:cs="Arial"/>
          <w:color w:val="000000"/>
          <w:sz w:val="22"/>
          <w:szCs w:val="22"/>
        </w:rPr>
        <w:t xml:space="preserve">Staff self-efficacy is a critical factor in care home settings. When staff possess confidence in managing distress, agitation, or resistance, they are more likely to engage proactively with residents, consistently implement non-pharmacological interventions, and persist in challenging situations. </w:t>
      </w:r>
      <w:r w:rsidR="001C5119" w:rsidRPr="00905AEB">
        <w:rPr>
          <w:rFonts w:ascii="Arial" w:hAnsi="Arial" w:cs="Arial"/>
          <w:color w:val="000000"/>
          <w:sz w:val="22"/>
          <w:szCs w:val="22"/>
        </w:rPr>
        <w:t>In contrast,</w:t>
      </w:r>
      <w:r w:rsidRPr="005C4BE8">
        <w:rPr>
          <w:rFonts w:ascii="Arial" w:hAnsi="Arial" w:cs="Arial"/>
          <w:color w:val="000000"/>
          <w:sz w:val="22"/>
          <w:szCs w:val="22"/>
        </w:rPr>
        <w:t xml:space="preserve"> low self-efficacy may result in avoidance, rigid adherence to routines, or reliance on restrictive practices. Research indicates that care staff competence significantly influences approaches to dementia care and responses to challenging behaviours (Coates and Fossey, 2019). </w:t>
      </w:r>
    </w:p>
    <w:p w14:paraId="308818EB" w14:textId="77777777" w:rsidR="00E33FCF" w:rsidRPr="00905AEB" w:rsidRDefault="00E33FCF" w:rsidP="00905AEB">
      <w:pPr>
        <w:spacing w:line="360" w:lineRule="auto"/>
        <w:jc w:val="both"/>
        <w:rPr>
          <w:rFonts w:ascii="Arial" w:hAnsi="Arial" w:cs="Arial"/>
          <w:color w:val="000000"/>
          <w:sz w:val="22"/>
          <w:szCs w:val="22"/>
        </w:rPr>
      </w:pPr>
      <w:r w:rsidRPr="00905AEB">
        <w:rPr>
          <w:rFonts w:ascii="Arial" w:hAnsi="Arial" w:cs="Arial"/>
          <w:color w:val="000000"/>
          <w:sz w:val="22"/>
          <w:szCs w:val="22"/>
        </w:rPr>
        <w:t>Self-efficacy is also essential for individuals with dementia, especially in the early to moderate stages. While cognitive decline can reduce independence, supportive care helps residents succeed in daily activities. For example, Olsen et al. (2015) found that nursing home residents with dementia reported greater confidence and engagement after participating in structured physical activity. These results suggest that enabling successful experiences can strengthen residents’ perceived abilities. Although these findings should be interpreted with caution, they indicate that focusing on residents’ strengths may increase participation and well-being.</w:t>
      </w:r>
    </w:p>
    <w:p w14:paraId="405B094F" w14:textId="48F0C7E5" w:rsidR="00E33FCF" w:rsidRPr="00905AEB" w:rsidRDefault="00E33FCF" w:rsidP="00905AEB">
      <w:pPr>
        <w:spacing w:line="360" w:lineRule="auto"/>
        <w:jc w:val="both"/>
        <w:rPr>
          <w:rFonts w:ascii="Arial" w:hAnsi="Arial" w:cs="Arial"/>
          <w:color w:val="000000"/>
          <w:sz w:val="22"/>
          <w:szCs w:val="22"/>
        </w:rPr>
      </w:pPr>
      <w:r w:rsidRPr="00E33FCF">
        <w:rPr>
          <w:rFonts w:ascii="Arial" w:hAnsi="Arial" w:cs="Arial"/>
          <w:color w:val="000000"/>
          <w:sz w:val="22"/>
          <w:szCs w:val="22"/>
        </w:rPr>
        <w:t xml:space="preserve">Recent studies continue to demonstrate the significance of self-efficacy in dementia care. Schou-Juul et al. (2024) found that healthcare professionals increased their ethical self-efficacy following participation in a structured dementia-focused program, suggesting that staff confidence in managing complex care situations can be enhanced. Additional research involving caregivers indicates that self-efficacy is associated with more effective coping strategies and sustained engagement in dementia care, highlighting its influence on care-related </w:t>
      </w:r>
      <w:r w:rsidRPr="00905AEB">
        <w:rPr>
          <w:rFonts w:ascii="Arial" w:hAnsi="Arial" w:cs="Arial"/>
          <w:color w:val="000000"/>
          <w:sz w:val="22"/>
          <w:szCs w:val="22"/>
        </w:rPr>
        <w:t>behaviours</w:t>
      </w:r>
      <w:r w:rsidRPr="00E33FCF">
        <w:rPr>
          <w:rFonts w:ascii="Arial" w:hAnsi="Arial" w:cs="Arial"/>
          <w:color w:val="000000"/>
          <w:sz w:val="22"/>
          <w:szCs w:val="22"/>
        </w:rPr>
        <w:t xml:space="preserve"> (Dal Pizzol et al., 2025). While some studies focus on family caregivers, these core concepts are also relevant to professional care environments.</w:t>
      </w:r>
    </w:p>
    <w:p w14:paraId="1481CA35" w14:textId="6F4DB891" w:rsidR="00297D54" w:rsidRPr="00905AEB" w:rsidRDefault="0068758D" w:rsidP="00905AEB">
      <w:pPr>
        <w:spacing w:line="360" w:lineRule="auto"/>
        <w:jc w:val="both"/>
        <w:rPr>
          <w:rFonts w:ascii="Arial" w:hAnsi="Arial" w:cs="Arial"/>
          <w:color w:val="000000"/>
          <w:sz w:val="22"/>
          <w:szCs w:val="22"/>
          <w:lang w:val="uk-UA"/>
        </w:rPr>
      </w:pPr>
      <w:r w:rsidRPr="0068758D">
        <w:rPr>
          <w:rFonts w:ascii="Arial" w:hAnsi="Arial" w:cs="Arial"/>
          <w:color w:val="000000"/>
          <w:sz w:val="22"/>
          <w:szCs w:val="22"/>
        </w:rPr>
        <w:t xml:space="preserve">Self-Efficacy Theory provides a useful framework for staff training and support. Opportunities for skill development, observation of effective practices, and constructive feedback can enhance staff self-efficacy </w:t>
      </w:r>
      <w:r w:rsidR="00D86336" w:rsidRPr="00905AEB">
        <w:rPr>
          <w:rFonts w:ascii="Arial" w:hAnsi="Arial" w:cs="Arial"/>
          <w:color w:val="000000"/>
          <w:sz w:val="22"/>
          <w:szCs w:val="22"/>
        </w:rPr>
        <w:t xml:space="preserve">(Bandura, 1986, </w:t>
      </w:r>
      <w:r w:rsidR="00E11455" w:rsidRPr="00905AEB">
        <w:rPr>
          <w:rFonts w:ascii="Arial" w:hAnsi="Arial" w:cs="Arial"/>
          <w:color w:val="000000"/>
          <w:sz w:val="22"/>
          <w:szCs w:val="22"/>
        </w:rPr>
        <w:t>quoted</w:t>
      </w:r>
      <w:r w:rsidR="00D86336" w:rsidRPr="00905AEB">
        <w:rPr>
          <w:rFonts w:ascii="Arial" w:hAnsi="Arial" w:cs="Arial"/>
          <w:color w:val="000000"/>
          <w:sz w:val="22"/>
          <w:szCs w:val="22"/>
        </w:rPr>
        <w:t xml:space="preserve"> in Butler, 1998). </w:t>
      </w:r>
      <w:r w:rsidR="00297D54" w:rsidRPr="00905AEB">
        <w:rPr>
          <w:rFonts w:ascii="Arial" w:hAnsi="Arial" w:cs="Arial"/>
          <w:color w:val="000000"/>
          <w:sz w:val="22"/>
          <w:szCs w:val="22"/>
        </w:rPr>
        <w:t>This supports the effectiveness of</w:t>
      </w:r>
      <w:r w:rsidR="004421B1" w:rsidRPr="00905AEB">
        <w:rPr>
          <w:rFonts w:ascii="Arial" w:hAnsi="Arial" w:cs="Arial"/>
          <w:color w:val="000000"/>
          <w:sz w:val="22"/>
          <w:szCs w:val="22"/>
        </w:rPr>
        <w:t xml:space="preserve"> </w:t>
      </w:r>
      <w:r w:rsidR="00297D54" w:rsidRPr="00905AEB">
        <w:rPr>
          <w:rFonts w:ascii="Arial" w:hAnsi="Arial" w:cs="Arial"/>
          <w:color w:val="000000"/>
          <w:sz w:val="22"/>
          <w:szCs w:val="22"/>
        </w:rPr>
        <w:t>training approach, which focuses on observable practice rather than information only. However, this approach presents certain limitations within dementia care. As dementia advances, residents' cognitive impairment may limit their capacity to accurately evaluate their own ability</w:t>
      </w:r>
      <w:r w:rsidR="006003F6" w:rsidRPr="00905AEB">
        <w:rPr>
          <w:rFonts w:ascii="Arial" w:hAnsi="Arial" w:cs="Arial"/>
          <w:color w:val="000000"/>
          <w:sz w:val="22"/>
          <w:szCs w:val="22"/>
        </w:rPr>
        <w:t xml:space="preserve"> (Livingston et al., 2014)</w:t>
      </w:r>
      <w:r w:rsidR="00297D54" w:rsidRPr="00905AEB">
        <w:rPr>
          <w:rFonts w:ascii="Arial" w:hAnsi="Arial" w:cs="Arial"/>
          <w:color w:val="000000"/>
          <w:sz w:val="22"/>
          <w:szCs w:val="22"/>
        </w:rPr>
        <w:t>. Additionally, staff self-efficacy may be influenced by organisational factors including staffing levels, time pressures, and organi</w:t>
      </w:r>
      <w:r w:rsidR="00B840CA" w:rsidRPr="00905AEB">
        <w:rPr>
          <w:rFonts w:ascii="Arial" w:hAnsi="Arial" w:cs="Arial"/>
          <w:color w:val="000000"/>
          <w:sz w:val="22"/>
          <w:szCs w:val="22"/>
        </w:rPr>
        <w:t>s</w:t>
      </w:r>
      <w:r w:rsidR="00297D54" w:rsidRPr="00905AEB">
        <w:rPr>
          <w:rFonts w:ascii="Arial" w:hAnsi="Arial" w:cs="Arial"/>
          <w:color w:val="000000"/>
          <w:sz w:val="22"/>
          <w:szCs w:val="22"/>
        </w:rPr>
        <w:t>ational culture</w:t>
      </w:r>
      <w:r w:rsidR="006003F6" w:rsidRPr="00905AEB">
        <w:rPr>
          <w:rFonts w:ascii="Arial" w:hAnsi="Arial" w:cs="Arial"/>
          <w:color w:val="000000"/>
          <w:sz w:val="22"/>
          <w:szCs w:val="22"/>
        </w:rPr>
        <w:t xml:space="preserve"> (Coates and Fossey, 2019)</w:t>
      </w:r>
      <w:r w:rsidR="00297D54" w:rsidRPr="00905AEB">
        <w:rPr>
          <w:rFonts w:ascii="Arial" w:hAnsi="Arial" w:cs="Arial"/>
          <w:color w:val="000000"/>
          <w:sz w:val="22"/>
          <w:szCs w:val="22"/>
        </w:rPr>
        <w:t>. Therefore, applying Self-Efficacy Theory in dementia care requires consideration of both staff beliefs and the broader care environment.</w:t>
      </w:r>
    </w:p>
    <w:p w14:paraId="0C221ED2" w14:textId="08E124CB" w:rsidR="008C5F10" w:rsidRPr="00905AEB" w:rsidRDefault="008C5F10" w:rsidP="00905AEB">
      <w:pPr>
        <w:pStyle w:val="Heading1"/>
        <w:rPr>
          <w:sz w:val="32"/>
          <w:szCs w:val="32"/>
        </w:rPr>
      </w:pPr>
      <w:bookmarkStart w:id="2" w:name="_Toc216990428"/>
      <w:r w:rsidRPr="00905AEB">
        <w:rPr>
          <w:sz w:val="32"/>
          <w:szCs w:val="32"/>
        </w:rPr>
        <w:lastRenderedPageBreak/>
        <w:t>Theory 2: Behaviourism (Behaviourist Approach)</w:t>
      </w:r>
      <w:bookmarkEnd w:id="2"/>
    </w:p>
    <w:p w14:paraId="2F69C897" w14:textId="2EC44F0B" w:rsidR="00DF0219" w:rsidRPr="00905AEB" w:rsidRDefault="00DF0219" w:rsidP="00905AEB">
      <w:pPr>
        <w:spacing w:line="360" w:lineRule="auto"/>
        <w:jc w:val="both"/>
        <w:rPr>
          <w:rFonts w:ascii="Arial" w:hAnsi="Arial" w:cs="Arial"/>
          <w:color w:val="000000"/>
          <w:sz w:val="22"/>
          <w:szCs w:val="22"/>
        </w:rPr>
      </w:pPr>
      <w:r w:rsidRPr="00905AEB">
        <w:rPr>
          <w:rFonts w:ascii="Arial" w:hAnsi="Arial" w:cs="Arial"/>
          <w:color w:val="000000"/>
          <w:sz w:val="22"/>
          <w:szCs w:val="22"/>
        </w:rPr>
        <w:t>Behaviourism is a psychological approach that interprets human behaviour as a function of environmental stimuli, conditioning, and reinforcement, emphasising observable and measurable actions rather than internal cognitive processes (Moore, 2011). Developed by the theorists Watson and Skinner, behaviourism proposes that individuals obtain and maintain behaviours through interactions with their environment, particularly through rewards, punishments, and repeated experiences. This framework is particularly relevant in dementia care within residential settings, where cognitive decline often impairs insight, reasoning, and verbal communication.</w:t>
      </w:r>
    </w:p>
    <w:p w14:paraId="08411C1B" w14:textId="71A29F05" w:rsidR="00DF0219" w:rsidRPr="00905AEB" w:rsidRDefault="00DF0219" w:rsidP="00905AEB">
      <w:pPr>
        <w:spacing w:line="360" w:lineRule="auto"/>
        <w:jc w:val="both"/>
        <w:rPr>
          <w:rFonts w:ascii="Arial" w:hAnsi="Arial" w:cs="Arial"/>
          <w:color w:val="000000"/>
          <w:sz w:val="22"/>
          <w:szCs w:val="22"/>
        </w:rPr>
      </w:pPr>
      <w:r w:rsidRPr="00905AEB">
        <w:rPr>
          <w:rFonts w:ascii="Arial" w:hAnsi="Arial" w:cs="Arial"/>
          <w:color w:val="000000"/>
          <w:sz w:val="22"/>
          <w:szCs w:val="22"/>
        </w:rPr>
        <w:t>Within care homes for adults aged 65 and over, behaviourist principles assist staff in understanding and managing symptoms of dementia, including agitation, resistance to care, and withdrawal. Instead of interpreting these behaviours as intentional acts or direct manifestations of illness, behaviourism conceptualises them as responses to environmental factors, daily routines, or staff interactions. Campbell et al. (2020) observe that modifying elements such as noise levels, task demands, and staff communication can reduce distress and promote more positive responses from residents. In this context, behaviour is shaped by learned associations within the care environment rather than by conscious decision-making.</w:t>
      </w:r>
    </w:p>
    <w:p w14:paraId="44DFE3B7" w14:textId="6E7115CF" w:rsidR="00DF0219" w:rsidRPr="00905AEB" w:rsidRDefault="00DF0219" w:rsidP="00905AEB">
      <w:pPr>
        <w:spacing w:line="360" w:lineRule="auto"/>
        <w:jc w:val="both"/>
        <w:rPr>
          <w:rFonts w:ascii="Arial" w:hAnsi="Arial" w:cs="Arial"/>
          <w:color w:val="000000"/>
          <w:sz w:val="22"/>
          <w:szCs w:val="22"/>
        </w:rPr>
      </w:pPr>
      <w:r w:rsidRPr="00905AEB">
        <w:rPr>
          <w:rFonts w:ascii="Arial" w:hAnsi="Arial" w:cs="Arial"/>
          <w:color w:val="000000"/>
          <w:sz w:val="22"/>
          <w:szCs w:val="22"/>
        </w:rPr>
        <w:t xml:space="preserve">A primary strength of behaviourism in dementia care is its practical applicability. Staff can readily implement, observe, and evaluate behaviour-based strategies, making these approaches well-suited for care teams in residential settings (Moore, 2011). Livingston et al. (2020) report that consistent use of behavioural interventions, as </w:t>
      </w:r>
      <w:r w:rsidR="00CC71B9" w:rsidRPr="00905AEB">
        <w:rPr>
          <w:rFonts w:ascii="Arial" w:hAnsi="Arial" w:cs="Arial"/>
          <w:color w:val="000000"/>
          <w:sz w:val="22"/>
          <w:szCs w:val="22"/>
        </w:rPr>
        <w:t>part of</w:t>
      </w:r>
      <w:r w:rsidRPr="00905AEB">
        <w:rPr>
          <w:rFonts w:ascii="Arial" w:hAnsi="Arial" w:cs="Arial"/>
          <w:color w:val="000000"/>
          <w:sz w:val="22"/>
          <w:szCs w:val="22"/>
        </w:rPr>
        <w:t xml:space="preserve"> non-pharmacological interventions, </w:t>
      </w:r>
      <w:r w:rsidR="00130DF6" w:rsidRPr="00905AEB">
        <w:rPr>
          <w:rFonts w:ascii="Arial" w:hAnsi="Arial" w:cs="Arial"/>
          <w:color w:val="000000"/>
          <w:sz w:val="22"/>
          <w:szCs w:val="22"/>
        </w:rPr>
        <w:t>can contribute to improved emotional regulation and quality of life</w:t>
      </w:r>
      <w:r w:rsidRPr="00905AEB">
        <w:rPr>
          <w:rFonts w:ascii="Arial" w:hAnsi="Arial" w:cs="Arial"/>
          <w:color w:val="000000"/>
          <w:sz w:val="22"/>
          <w:szCs w:val="22"/>
        </w:rPr>
        <w:t>. This aligns with current dementia care guidelines, which prioritise psychosocial interventions over pharmacological treatments when possible.</w:t>
      </w:r>
    </w:p>
    <w:p w14:paraId="5C2FCE40" w14:textId="77777777" w:rsidR="00DF0219" w:rsidRPr="00905AEB" w:rsidRDefault="00DF0219" w:rsidP="00905AEB">
      <w:pPr>
        <w:spacing w:line="360" w:lineRule="auto"/>
        <w:jc w:val="both"/>
        <w:rPr>
          <w:rFonts w:ascii="Arial" w:hAnsi="Arial" w:cs="Arial"/>
          <w:color w:val="000000"/>
          <w:sz w:val="22"/>
          <w:szCs w:val="22"/>
        </w:rPr>
      </w:pPr>
      <w:r w:rsidRPr="00905AEB">
        <w:rPr>
          <w:rFonts w:ascii="Arial" w:hAnsi="Arial" w:cs="Arial"/>
          <w:color w:val="000000"/>
          <w:sz w:val="22"/>
          <w:szCs w:val="22"/>
        </w:rPr>
        <w:t>However, behaviourism presents significant limitations when applied in isolation. Its emphasis on observable behaviour may overlook the complex emotional and psychological experiences of individuals with dementia. Such behaviours may indicate unmet needs, fear, pain, or loss of identity, which are not necessarily addressed through rewards or environmental modifications (O’Donnell et al., 2022). In the absence of a person-centred approach, behaviourist methods risk prioritising behavioural control over understanding the individual's lived experience.</w:t>
      </w:r>
    </w:p>
    <w:p w14:paraId="3108673C" w14:textId="100776FF" w:rsidR="00DF0219" w:rsidRPr="00905AEB" w:rsidRDefault="00DF0219" w:rsidP="00905AEB">
      <w:pPr>
        <w:spacing w:line="360" w:lineRule="auto"/>
        <w:jc w:val="both"/>
        <w:rPr>
          <w:rFonts w:ascii="Arial" w:hAnsi="Arial" w:cs="Arial"/>
          <w:color w:val="000000"/>
          <w:sz w:val="22"/>
          <w:szCs w:val="22"/>
        </w:rPr>
      </w:pPr>
      <w:r w:rsidRPr="00905AEB">
        <w:rPr>
          <w:rFonts w:ascii="Arial" w:hAnsi="Arial" w:cs="Arial"/>
          <w:color w:val="000000"/>
          <w:sz w:val="22"/>
          <w:szCs w:val="22"/>
        </w:rPr>
        <w:t>Additionally, while behaviourism emphasises environmental factors, it may not adequately address the neurological changes associated with dementia. Environmental modifications can influence behaviour but do not alter the underlying disease process. Effective dementia care should integrate both biological vulnerability and environmental context (Campbell et al.</w:t>
      </w:r>
      <w:r w:rsidR="009958E5">
        <w:rPr>
          <w:rFonts w:ascii="Arial" w:hAnsi="Arial" w:cs="Arial"/>
          <w:color w:val="000000"/>
          <w:sz w:val="22"/>
          <w:szCs w:val="22"/>
        </w:rPr>
        <w:t>,</w:t>
      </w:r>
      <w:r w:rsidRPr="00905AEB">
        <w:rPr>
          <w:rFonts w:ascii="Arial" w:hAnsi="Arial" w:cs="Arial"/>
          <w:color w:val="000000"/>
          <w:sz w:val="22"/>
          <w:szCs w:val="22"/>
        </w:rPr>
        <w:t xml:space="preserve"> </w:t>
      </w:r>
      <w:r w:rsidRPr="00905AEB">
        <w:rPr>
          <w:rFonts w:ascii="Arial" w:hAnsi="Arial" w:cs="Arial"/>
          <w:color w:val="000000"/>
          <w:sz w:val="22"/>
          <w:szCs w:val="22"/>
        </w:rPr>
        <w:lastRenderedPageBreak/>
        <w:t>2020). Behaviourist strategies are most effective when integrated with approaches that acknowledge cognitive decline and prioritise supportive care.</w:t>
      </w:r>
    </w:p>
    <w:p w14:paraId="1203186F" w14:textId="0D3546BA" w:rsidR="008A3A42" w:rsidRPr="00905AEB" w:rsidRDefault="008A3A42" w:rsidP="00905AEB">
      <w:pPr>
        <w:pStyle w:val="Heading1"/>
        <w:rPr>
          <w:sz w:val="32"/>
          <w:szCs w:val="32"/>
        </w:rPr>
      </w:pPr>
      <w:bookmarkStart w:id="3" w:name="_Toc216990429"/>
      <w:r w:rsidRPr="00905AEB">
        <w:rPr>
          <w:sz w:val="32"/>
          <w:szCs w:val="32"/>
        </w:rPr>
        <w:t>Conclusion</w:t>
      </w:r>
      <w:bookmarkEnd w:id="3"/>
    </w:p>
    <w:p w14:paraId="0A87A86B" w14:textId="77777777" w:rsidR="008E71EA" w:rsidRPr="00905AEB" w:rsidRDefault="008E71EA" w:rsidP="00905AEB">
      <w:pPr>
        <w:spacing w:line="360" w:lineRule="auto"/>
        <w:jc w:val="both"/>
        <w:rPr>
          <w:rFonts w:ascii="Arial" w:hAnsi="Arial" w:cs="Arial"/>
          <w:color w:val="000000"/>
          <w:sz w:val="22"/>
          <w:szCs w:val="22"/>
        </w:rPr>
      </w:pPr>
      <w:r w:rsidRPr="00905AEB">
        <w:rPr>
          <w:rFonts w:ascii="Arial" w:hAnsi="Arial" w:cs="Arial"/>
          <w:color w:val="000000"/>
          <w:sz w:val="22"/>
          <w:szCs w:val="22"/>
        </w:rPr>
        <w:t>This report has explored the application of psychological theories to improve dementia care in residential care homes for adults aged 65 and over. By analysing Self-Efficacy Theory and Behaviourism, the discussion demonstrates that theory-guided practice supports more effective care routines and</w:t>
      </w:r>
      <w:r w:rsidRPr="00905AEB">
        <w:rPr>
          <w:rStyle w:val="apple-converted-space"/>
          <w:rFonts w:ascii="Arial" w:hAnsi="Arial" w:cs="Arial"/>
          <w:color w:val="000000"/>
          <w:sz w:val="22"/>
          <w:szCs w:val="22"/>
        </w:rPr>
        <w:t> </w:t>
      </w:r>
      <w:r w:rsidRPr="00905AEB">
        <w:rPr>
          <w:rFonts w:ascii="Arial" w:hAnsi="Arial" w:cs="Arial"/>
          <w:color w:val="000000"/>
          <w:sz w:val="22"/>
          <w:szCs w:val="22"/>
        </w:rPr>
        <w:t>contributes to supportive environments</w:t>
      </w:r>
      <w:r w:rsidRPr="00905AEB">
        <w:rPr>
          <w:rStyle w:val="apple-converted-space"/>
          <w:rFonts w:ascii="Arial" w:hAnsi="Arial" w:cs="Arial"/>
          <w:color w:val="000000"/>
          <w:sz w:val="22"/>
          <w:szCs w:val="22"/>
        </w:rPr>
        <w:t> </w:t>
      </w:r>
      <w:r w:rsidRPr="00905AEB">
        <w:rPr>
          <w:rFonts w:ascii="Arial" w:hAnsi="Arial" w:cs="Arial"/>
          <w:color w:val="000000"/>
          <w:sz w:val="22"/>
          <w:szCs w:val="22"/>
        </w:rPr>
        <w:t>for individuals living with dementia.</w:t>
      </w:r>
    </w:p>
    <w:p w14:paraId="1154D3DC" w14:textId="77777777" w:rsidR="008E71EA" w:rsidRPr="00905AEB" w:rsidRDefault="008E71EA" w:rsidP="00905AEB">
      <w:pPr>
        <w:spacing w:line="360" w:lineRule="auto"/>
        <w:jc w:val="both"/>
        <w:rPr>
          <w:rFonts w:ascii="Arial" w:hAnsi="Arial" w:cs="Arial"/>
          <w:color w:val="000000"/>
          <w:sz w:val="22"/>
          <w:szCs w:val="22"/>
        </w:rPr>
      </w:pPr>
      <w:r w:rsidRPr="00905AEB">
        <w:rPr>
          <w:rFonts w:ascii="Arial" w:hAnsi="Arial" w:cs="Arial"/>
          <w:color w:val="000000"/>
          <w:sz w:val="22"/>
          <w:szCs w:val="22"/>
        </w:rPr>
        <w:t>Self-Efficacy Theory emphasises the importance of staff beliefs in shaping care practices. When care professionals possess confidence in their ability to manage challenging situations, they are more likely to maintain engagement, respond proactively, and consistently implement non-pharmacological interventions. This is especially appropriate in dementia care, where emotional demands and behavioural challenges frequently arise. However, the theory also has limitations, as workplace pressures and organisational constraints can disrupt staff confidence, and cognitive decline may limit residents’ capacity to assess their own abilities. These considerations emphasise the necessity for ongoing organisational and professional support.</w:t>
      </w:r>
    </w:p>
    <w:p w14:paraId="7E50613B" w14:textId="77777777" w:rsidR="008E71EA" w:rsidRPr="00905AEB" w:rsidRDefault="008E71EA" w:rsidP="00905AEB">
      <w:pPr>
        <w:spacing w:line="360" w:lineRule="auto"/>
        <w:jc w:val="both"/>
        <w:rPr>
          <w:rFonts w:ascii="Arial" w:hAnsi="Arial" w:cs="Arial"/>
          <w:color w:val="000000"/>
          <w:sz w:val="22"/>
          <w:szCs w:val="22"/>
        </w:rPr>
      </w:pPr>
      <w:r w:rsidRPr="00905AEB">
        <w:rPr>
          <w:rFonts w:ascii="Arial" w:hAnsi="Arial" w:cs="Arial"/>
          <w:color w:val="000000"/>
          <w:sz w:val="22"/>
          <w:szCs w:val="22"/>
        </w:rPr>
        <w:t>Behaviourism offers an additional perspective by emphasising the influence of environmental factors on behaviour. This approach is particularly relevant in dementia care, where individuals often experience reduced insight, comprehension, or verbal communication. By addressing environmental triggers, care routines, and staff responses, behaviourist strategies offer practical methods for managing behaviours such as agitation or resistance to care. However, when applied in isolation, behaviourism may neglect the emotional and relational aspects of care and risk prioritising behavioural regulation over person-centred understanding.</w:t>
      </w:r>
    </w:p>
    <w:p w14:paraId="6CAF0B1E" w14:textId="77777777" w:rsidR="008E71EA" w:rsidRPr="00905AEB" w:rsidRDefault="008E71EA" w:rsidP="00905AEB">
      <w:pPr>
        <w:spacing w:line="360" w:lineRule="auto"/>
        <w:jc w:val="both"/>
        <w:rPr>
          <w:rFonts w:ascii="Arial" w:hAnsi="Arial" w:cs="Arial"/>
          <w:color w:val="000000"/>
          <w:sz w:val="22"/>
          <w:szCs w:val="22"/>
        </w:rPr>
      </w:pPr>
      <w:r w:rsidRPr="00905AEB">
        <w:rPr>
          <w:rFonts w:ascii="Arial" w:hAnsi="Arial" w:cs="Arial"/>
          <w:color w:val="000000"/>
          <w:sz w:val="22"/>
          <w:szCs w:val="22"/>
        </w:rPr>
        <w:t>Collectively, these theories illustrate the dynamic interaction between biological and environmental influences in later life. While dementia is underpinned by neurological changes, behavioural expression is significantly shaped by the care environment and staff interactions. Recognising this interaction enables health and social care professionals to adopt holistic and ethically informed approaches that integrate environmental adaptation with emotionally responsive, person-centred care.</w:t>
      </w:r>
    </w:p>
    <w:p w14:paraId="124A7350" w14:textId="77777777" w:rsidR="008E71EA" w:rsidRPr="00905AEB" w:rsidRDefault="008E71EA" w:rsidP="00905AEB">
      <w:pPr>
        <w:spacing w:line="360" w:lineRule="auto"/>
        <w:jc w:val="both"/>
        <w:rPr>
          <w:rFonts w:ascii="Arial" w:hAnsi="Arial" w:cs="Arial"/>
          <w:color w:val="000000"/>
          <w:sz w:val="22"/>
          <w:szCs w:val="22"/>
        </w:rPr>
      </w:pPr>
      <w:r w:rsidRPr="00905AEB">
        <w:rPr>
          <w:rFonts w:ascii="Arial" w:hAnsi="Arial" w:cs="Arial"/>
          <w:color w:val="000000"/>
          <w:sz w:val="22"/>
          <w:szCs w:val="22"/>
        </w:rPr>
        <w:t xml:space="preserve">In conclusion, the application of Self-Efficacy Theory and Behaviourism demonstrates that effective dementia care extends beyond task completion. Theory-informed practice supports reflective care, enhances staff confidence, and contributes to improved outcomes for individuals living with dementia. For professionals in residential care homes, integrating </w:t>
      </w:r>
      <w:r w:rsidRPr="00905AEB">
        <w:rPr>
          <w:rFonts w:ascii="Arial" w:hAnsi="Arial" w:cs="Arial"/>
          <w:color w:val="000000"/>
          <w:sz w:val="22"/>
          <w:szCs w:val="22"/>
        </w:rPr>
        <w:lastRenderedPageBreak/>
        <w:t>psychological theory with practical strategies is essential for delivering compassionate, sustainable, and evidence-based care.</w:t>
      </w:r>
    </w:p>
    <w:p w14:paraId="4D368FD1" w14:textId="77777777" w:rsidR="008E71EA" w:rsidRPr="00905AEB" w:rsidRDefault="008E71EA" w:rsidP="00905AEB">
      <w:pPr>
        <w:spacing w:line="360" w:lineRule="auto"/>
        <w:jc w:val="both"/>
        <w:rPr>
          <w:rFonts w:ascii="Arial" w:hAnsi="Arial" w:cs="Arial"/>
          <w:color w:val="000000"/>
          <w:sz w:val="22"/>
          <w:szCs w:val="22"/>
        </w:rPr>
      </w:pPr>
    </w:p>
    <w:p w14:paraId="413810E7" w14:textId="77777777" w:rsidR="008E71EA" w:rsidRPr="00905AEB" w:rsidRDefault="008E71EA" w:rsidP="00905AEB">
      <w:pPr>
        <w:spacing w:line="360" w:lineRule="auto"/>
        <w:jc w:val="both"/>
        <w:rPr>
          <w:rFonts w:ascii="Arial" w:hAnsi="Arial" w:cs="Arial"/>
          <w:sz w:val="22"/>
          <w:szCs w:val="22"/>
        </w:rPr>
      </w:pPr>
    </w:p>
    <w:p w14:paraId="68FF5652" w14:textId="77777777" w:rsidR="008E71EA" w:rsidRPr="00905AEB" w:rsidRDefault="008E71EA" w:rsidP="00905AEB">
      <w:pPr>
        <w:spacing w:line="360" w:lineRule="auto"/>
        <w:jc w:val="both"/>
        <w:rPr>
          <w:rFonts w:ascii="Arial" w:hAnsi="Arial" w:cs="Arial"/>
          <w:sz w:val="22"/>
          <w:szCs w:val="22"/>
        </w:rPr>
      </w:pPr>
    </w:p>
    <w:p w14:paraId="44B8BA18" w14:textId="77777777" w:rsidR="008E71EA" w:rsidRPr="00905AEB" w:rsidRDefault="008E71EA" w:rsidP="00905AEB">
      <w:pPr>
        <w:spacing w:line="360" w:lineRule="auto"/>
        <w:jc w:val="both"/>
        <w:rPr>
          <w:rFonts w:ascii="Arial" w:hAnsi="Arial" w:cs="Arial"/>
          <w:b/>
          <w:bCs/>
          <w:sz w:val="22"/>
          <w:szCs w:val="22"/>
        </w:rPr>
      </w:pPr>
    </w:p>
    <w:p w14:paraId="7C2781D8" w14:textId="77777777" w:rsidR="008E71EA" w:rsidRPr="00905AEB" w:rsidRDefault="008E71EA" w:rsidP="00905AEB">
      <w:pPr>
        <w:spacing w:line="360" w:lineRule="auto"/>
        <w:jc w:val="both"/>
        <w:rPr>
          <w:rFonts w:ascii="Arial" w:hAnsi="Arial" w:cs="Arial"/>
          <w:b/>
          <w:bCs/>
          <w:sz w:val="22"/>
          <w:szCs w:val="22"/>
        </w:rPr>
      </w:pPr>
    </w:p>
    <w:p w14:paraId="6D68DB92" w14:textId="77777777" w:rsidR="008E71EA" w:rsidRPr="00905AEB" w:rsidRDefault="008E71EA" w:rsidP="00905AEB">
      <w:pPr>
        <w:spacing w:line="360" w:lineRule="auto"/>
        <w:jc w:val="both"/>
        <w:rPr>
          <w:rFonts w:ascii="Arial" w:hAnsi="Arial" w:cs="Arial"/>
          <w:b/>
          <w:bCs/>
          <w:sz w:val="22"/>
          <w:szCs w:val="22"/>
        </w:rPr>
      </w:pPr>
    </w:p>
    <w:p w14:paraId="535034D2" w14:textId="77777777" w:rsidR="00905AEB" w:rsidRDefault="00905AEB" w:rsidP="00905AEB">
      <w:pPr>
        <w:spacing w:line="360" w:lineRule="auto"/>
        <w:jc w:val="both"/>
        <w:rPr>
          <w:rFonts w:ascii="Arial" w:hAnsi="Arial" w:cs="Arial"/>
          <w:b/>
          <w:bCs/>
          <w:sz w:val="22"/>
          <w:szCs w:val="22"/>
        </w:rPr>
      </w:pPr>
    </w:p>
    <w:p w14:paraId="7AC880C0" w14:textId="77777777" w:rsidR="00905AEB" w:rsidRDefault="00905AEB" w:rsidP="00905AEB">
      <w:pPr>
        <w:spacing w:line="360" w:lineRule="auto"/>
        <w:jc w:val="both"/>
        <w:rPr>
          <w:rFonts w:ascii="Arial" w:hAnsi="Arial" w:cs="Arial"/>
          <w:b/>
          <w:bCs/>
          <w:sz w:val="22"/>
          <w:szCs w:val="22"/>
        </w:rPr>
      </w:pPr>
    </w:p>
    <w:p w14:paraId="1BE443AB" w14:textId="77777777" w:rsidR="00905AEB" w:rsidRDefault="00905AEB" w:rsidP="00905AEB">
      <w:pPr>
        <w:spacing w:line="360" w:lineRule="auto"/>
        <w:jc w:val="both"/>
        <w:rPr>
          <w:rFonts w:ascii="Arial" w:hAnsi="Arial" w:cs="Arial"/>
          <w:b/>
          <w:bCs/>
          <w:sz w:val="22"/>
          <w:szCs w:val="22"/>
        </w:rPr>
      </w:pPr>
    </w:p>
    <w:p w14:paraId="110601C6" w14:textId="77777777" w:rsidR="00905AEB" w:rsidRDefault="00905AEB" w:rsidP="00905AEB">
      <w:pPr>
        <w:spacing w:line="360" w:lineRule="auto"/>
        <w:jc w:val="both"/>
        <w:rPr>
          <w:rFonts w:ascii="Arial" w:hAnsi="Arial" w:cs="Arial"/>
          <w:b/>
          <w:bCs/>
          <w:sz w:val="22"/>
          <w:szCs w:val="22"/>
        </w:rPr>
      </w:pPr>
    </w:p>
    <w:p w14:paraId="5175D7C7" w14:textId="77777777" w:rsidR="00905AEB" w:rsidRDefault="00905AEB" w:rsidP="00905AEB">
      <w:pPr>
        <w:spacing w:line="360" w:lineRule="auto"/>
        <w:jc w:val="both"/>
        <w:rPr>
          <w:rFonts w:ascii="Arial" w:hAnsi="Arial" w:cs="Arial"/>
          <w:b/>
          <w:bCs/>
          <w:sz w:val="22"/>
          <w:szCs w:val="22"/>
        </w:rPr>
      </w:pPr>
    </w:p>
    <w:p w14:paraId="2D5B3506" w14:textId="77777777" w:rsidR="00905AEB" w:rsidRDefault="00905AEB" w:rsidP="00905AEB">
      <w:pPr>
        <w:spacing w:line="360" w:lineRule="auto"/>
        <w:jc w:val="both"/>
        <w:rPr>
          <w:rFonts w:ascii="Arial" w:hAnsi="Arial" w:cs="Arial"/>
          <w:b/>
          <w:bCs/>
          <w:sz w:val="22"/>
          <w:szCs w:val="22"/>
        </w:rPr>
      </w:pPr>
    </w:p>
    <w:p w14:paraId="7738AF43" w14:textId="77777777" w:rsidR="00905AEB" w:rsidRDefault="00905AEB" w:rsidP="00905AEB">
      <w:pPr>
        <w:spacing w:line="360" w:lineRule="auto"/>
        <w:jc w:val="both"/>
        <w:rPr>
          <w:rFonts w:ascii="Arial" w:hAnsi="Arial" w:cs="Arial"/>
          <w:b/>
          <w:bCs/>
          <w:sz w:val="22"/>
          <w:szCs w:val="22"/>
        </w:rPr>
      </w:pPr>
    </w:p>
    <w:p w14:paraId="6194478E" w14:textId="77777777" w:rsidR="00905AEB" w:rsidRDefault="00905AEB" w:rsidP="00905AEB">
      <w:pPr>
        <w:spacing w:line="360" w:lineRule="auto"/>
        <w:jc w:val="both"/>
        <w:rPr>
          <w:rFonts w:ascii="Arial" w:hAnsi="Arial" w:cs="Arial"/>
          <w:b/>
          <w:bCs/>
          <w:sz w:val="22"/>
          <w:szCs w:val="22"/>
        </w:rPr>
      </w:pPr>
    </w:p>
    <w:p w14:paraId="18596B17" w14:textId="77777777" w:rsidR="00905AEB" w:rsidRDefault="00905AEB" w:rsidP="00905AEB">
      <w:pPr>
        <w:spacing w:line="360" w:lineRule="auto"/>
        <w:jc w:val="both"/>
        <w:rPr>
          <w:rFonts w:ascii="Arial" w:hAnsi="Arial" w:cs="Arial"/>
          <w:b/>
          <w:bCs/>
          <w:sz w:val="22"/>
          <w:szCs w:val="22"/>
        </w:rPr>
      </w:pPr>
    </w:p>
    <w:p w14:paraId="4C2997A5" w14:textId="77777777" w:rsidR="00905AEB" w:rsidRDefault="00905AEB" w:rsidP="00905AEB">
      <w:pPr>
        <w:spacing w:line="360" w:lineRule="auto"/>
        <w:jc w:val="both"/>
        <w:rPr>
          <w:rFonts w:ascii="Arial" w:hAnsi="Arial" w:cs="Arial"/>
          <w:b/>
          <w:bCs/>
          <w:sz w:val="22"/>
          <w:szCs w:val="22"/>
        </w:rPr>
      </w:pPr>
    </w:p>
    <w:p w14:paraId="3874C16C" w14:textId="77777777" w:rsidR="00905AEB" w:rsidRDefault="00905AEB" w:rsidP="00905AEB">
      <w:pPr>
        <w:spacing w:line="360" w:lineRule="auto"/>
        <w:jc w:val="both"/>
        <w:rPr>
          <w:rFonts w:ascii="Arial" w:hAnsi="Arial" w:cs="Arial"/>
          <w:b/>
          <w:bCs/>
          <w:sz w:val="22"/>
          <w:szCs w:val="22"/>
        </w:rPr>
      </w:pPr>
    </w:p>
    <w:p w14:paraId="452C65D7" w14:textId="77777777" w:rsidR="00905AEB" w:rsidRDefault="00905AEB" w:rsidP="00905AEB">
      <w:pPr>
        <w:spacing w:line="360" w:lineRule="auto"/>
        <w:jc w:val="both"/>
        <w:rPr>
          <w:rFonts w:ascii="Arial" w:hAnsi="Arial" w:cs="Arial"/>
          <w:b/>
          <w:bCs/>
          <w:sz w:val="22"/>
          <w:szCs w:val="22"/>
        </w:rPr>
      </w:pPr>
    </w:p>
    <w:p w14:paraId="1A212B01" w14:textId="77777777" w:rsidR="00905AEB" w:rsidRDefault="00905AEB" w:rsidP="00905AEB">
      <w:pPr>
        <w:spacing w:line="360" w:lineRule="auto"/>
        <w:jc w:val="both"/>
        <w:rPr>
          <w:rFonts w:ascii="Arial" w:hAnsi="Arial" w:cs="Arial"/>
          <w:b/>
          <w:bCs/>
          <w:sz w:val="22"/>
          <w:szCs w:val="22"/>
        </w:rPr>
      </w:pPr>
    </w:p>
    <w:p w14:paraId="7138AF56" w14:textId="77777777" w:rsidR="00905AEB" w:rsidRDefault="00905AEB" w:rsidP="00905AEB">
      <w:pPr>
        <w:spacing w:line="360" w:lineRule="auto"/>
        <w:jc w:val="both"/>
        <w:rPr>
          <w:rFonts w:ascii="Arial" w:hAnsi="Arial" w:cs="Arial"/>
          <w:b/>
          <w:bCs/>
          <w:sz w:val="22"/>
          <w:szCs w:val="22"/>
        </w:rPr>
      </w:pPr>
    </w:p>
    <w:p w14:paraId="1B75BEF5" w14:textId="77777777" w:rsidR="00905AEB" w:rsidRDefault="00905AEB" w:rsidP="00905AEB">
      <w:pPr>
        <w:spacing w:line="360" w:lineRule="auto"/>
        <w:jc w:val="both"/>
        <w:rPr>
          <w:rFonts w:ascii="Arial" w:hAnsi="Arial" w:cs="Arial"/>
          <w:b/>
          <w:bCs/>
          <w:sz w:val="22"/>
          <w:szCs w:val="22"/>
        </w:rPr>
      </w:pPr>
    </w:p>
    <w:p w14:paraId="109B0F74" w14:textId="77777777" w:rsidR="00905AEB" w:rsidRDefault="00905AEB" w:rsidP="00905AEB">
      <w:pPr>
        <w:spacing w:line="360" w:lineRule="auto"/>
        <w:jc w:val="both"/>
        <w:rPr>
          <w:rFonts w:ascii="Arial" w:hAnsi="Arial" w:cs="Arial"/>
          <w:b/>
          <w:bCs/>
          <w:sz w:val="22"/>
          <w:szCs w:val="22"/>
        </w:rPr>
      </w:pPr>
    </w:p>
    <w:p w14:paraId="225DB76D" w14:textId="77777777" w:rsidR="00905AEB" w:rsidRDefault="00905AEB" w:rsidP="00905AEB">
      <w:pPr>
        <w:spacing w:line="360" w:lineRule="auto"/>
        <w:jc w:val="both"/>
        <w:rPr>
          <w:rFonts w:ascii="Arial" w:hAnsi="Arial" w:cs="Arial"/>
          <w:b/>
          <w:bCs/>
          <w:sz w:val="22"/>
          <w:szCs w:val="22"/>
        </w:rPr>
      </w:pPr>
    </w:p>
    <w:p w14:paraId="78933F38" w14:textId="77777777" w:rsidR="00905AEB" w:rsidRDefault="00905AEB" w:rsidP="00905AEB">
      <w:pPr>
        <w:spacing w:line="360" w:lineRule="auto"/>
        <w:jc w:val="both"/>
        <w:rPr>
          <w:rFonts w:ascii="Arial" w:hAnsi="Arial" w:cs="Arial"/>
          <w:b/>
          <w:bCs/>
          <w:sz w:val="22"/>
          <w:szCs w:val="22"/>
        </w:rPr>
      </w:pPr>
    </w:p>
    <w:p w14:paraId="7E242557" w14:textId="77777777" w:rsidR="00905AEB" w:rsidRDefault="00905AEB" w:rsidP="00905AEB">
      <w:pPr>
        <w:spacing w:line="360" w:lineRule="auto"/>
        <w:jc w:val="both"/>
        <w:rPr>
          <w:rFonts w:ascii="Arial" w:hAnsi="Arial" w:cs="Arial"/>
          <w:b/>
          <w:bCs/>
          <w:sz w:val="22"/>
          <w:szCs w:val="22"/>
        </w:rPr>
      </w:pPr>
    </w:p>
    <w:p w14:paraId="25784B12" w14:textId="77777777" w:rsidR="00905AEB" w:rsidRDefault="00905AEB" w:rsidP="00905AEB">
      <w:pPr>
        <w:spacing w:line="360" w:lineRule="auto"/>
        <w:jc w:val="both"/>
        <w:rPr>
          <w:rFonts w:ascii="Arial" w:hAnsi="Arial" w:cs="Arial"/>
          <w:b/>
          <w:bCs/>
          <w:sz w:val="22"/>
          <w:szCs w:val="22"/>
        </w:rPr>
      </w:pPr>
    </w:p>
    <w:p w14:paraId="6D4A0632" w14:textId="77777777" w:rsidR="00905AEB" w:rsidRDefault="00905AEB" w:rsidP="00905AEB">
      <w:pPr>
        <w:spacing w:line="360" w:lineRule="auto"/>
        <w:jc w:val="both"/>
        <w:rPr>
          <w:rFonts w:ascii="Arial" w:hAnsi="Arial" w:cs="Arial"/>
          <w:b/>
          <w:bCs/>
          <w:sz w:val="22"/>
          <w:szCs w:val="22"/>
        </w:rPr>
      </w:pPr>
    </w:p>
    <w:p w14:paraId="672A393B" w14:textId="77777777" w:rsidR="00905AEB" w:rsidRDefault="00905AEB" w:rsidP="00905AEB">
      <w:pPr>
        <w:spacing w:line="360" w:lineRule="auto"/>
        <w:jc w:val="both"/>
        <w:rPr>
          <w:rFonts w:ascii="Arial" w:hAnsi="Arial" w:cs="Arial"/>
          <w:b/>
          <w:bCs/>
          <w:sz w:val="22"/>
          <w:szCs w:val="22"/>
        </w:rPr>
      </w:pPr>
    </w:p>
    <w:p w14:paraId="5F82A5B1" w14:textId="77777777" w:rsidR="00905AEB" w:rsidRDefault="00905AEB" w:rsidP="00905AEB">
      <w:pPr>
        <w:spacing w:line="360" w:lineRule="auto"/>
        <w:jc w:val="both"/>
        <w:rPr>
          <w:rFonts w:ascii="Arial" w:hAnsi="Arial" w:cs="Arial"/>
          <w:b/>
          <w:bCs/>
          <w:sz w:val="22"/>
          <w:szCs w:val="22"/>
        </w:rPr>
      </w:pPr>
    </w:p>
    <w:p w14:paraId="60269FAB" w14:textId="77777777" w:rsidR="00905AEB" w:rsidRDefault="00905AEB" w:rsidP="00905AEB">
      <w:pPr>
        <w:spacing w:line="360" w:lineRule="auto"/>
        <w:jc w:val="both"/>
        <w:rPr>
          <w:rFonts w:ascii="Arial" w:hAnsi="Arial" w:cs="Arial"/>
          <w:b/>
          <w:bCs/>
          <w:sz w:val="22"/>
          <w:szCs w:val="22"/>
        </w:rPr>
      </w:pPr>
    </w:p>
    <w:p w14:paraId="50F159E0" w14:textId="77777777" w:rsidR="00905AEB" w:rsidRDefault="00905AEB" w:rsidP="00905AEB">
      <w:pPr>
        <w:spacing w:line="360" w:lineRule="auto"/>
        <w:jc w:val="both"/>
        <w:rPr>
          <w:rFonts w:ascii="Arial" w:hAnsi="Arial" w:cs="Arial"/>
          <w:b/>
          <w:bCs/>
          <w:sz w:val="22"/>
          <w:szCs w:val="22"/>
        </w:rPr>
      </w:pPr>
    </w:p>
    <w:p w14:paraId="02276E3C" w14:textId="77777777" w:rsidR="00905AEB" w:rsidRDefault="00905AEB" w:rsidP="00905AEB">
      <w:pPr>
        <w:spacing w:line="360" w:lineRule="auto"/>
        <w:jc w:val="both"/>
        <w:rPr>
          <w:rFonts w:ascii="Arial" w:hAnsi="Arial" w:cs="Arial"/>
          <w:b/>
          <w:bCs/>
          <w:sz w:val="22"/>
          <w:szCs w:val="22"/>
        </w:rPr>
      </w:pPr>
    </w:p>
    <w:p w14:paraId="084D66E9" w14:textId="77777777" w:rsidR="00905AEB" w:rsidRDefault="00905AEB" w:rsidP="00905AEB">
      <w:pPr>
        <w:spacing w:line="360" w:lineRule="auto"/>
        <w:jc w:val="both"/>
        <w:rPr>
          <w:rFonts w:ascii="Arial" w:hAnsi="Arial" w:cs="Arial"/>
          <w:b/>
          <w:bCs/>
          <w:sz w:val="22"/>
          <w:szCs w:val="22"/>
        </w:rPr>
      </w:pPr>
    </w:p>
    <w:p w14:paraId="512CA431" w14:textId="77777777" w:rsidR="00905AEB" w:rsidRDefault="00905AEB" w:rsidP="00905AEB">
      <w:pPr>
        <w:spacing w:line="360" w:lineRule="auto"/>
        <w:jc w:val="both"/>
        <w:rPr>
          <w:rFonts w:ascii="Arial" w:hAnsi="Arial" w:cs="Arial"/>
          <w:b/>
          <w:bCs/>
          <w:sz w:val="22"/>
          <w:szCs w:val="22"/>
        </w:rPr>
      </w:pPr>
    </w:p>
    <w:p w14:paraId="7C668751" w14:textId="77777777" w:rsidR="00905AEB" w:rsidRDefault="00905AEB" w:rsidP="00905AEB">
      <w:pPr>
        <w:spacing w:line="360" w:lineRule="auto"/>
        <w:jc w:val="both"/>
        <w:rPr>
          <w:rFonts w:ascii="Arial" w:hAnsi="Arial" w:cs="Arial"/>
          <w:b/>
          <w:bCs/>
          <w:sz w:val="22"/>
          <w:szCs w:val="22"/>
        </w:rPr>
      </w:pPr>
    </w:p>
    <w:p w14:paraId="6EBADD06" w14:textId="38A3BBC0" w:rsidR="008A3A42" w:rsidRPr="00905AEB" w:rsidRDefault="008A3A42" w:rsidP="00905AEB">
      <w:pPr>
        <w:pStyle w:val="Heading1"/>
        <w:rPr>
          <w:sz w:val="32"/>
          <w:szCs w:val="32"/>
        </w:rPr>
      </w:pPr>
      <w:bookmarkStart w:id="4" w:name="_Toc216990430"/>
      <w:r w:rsidRPr="00905AEB">
        <w:rPr>
          <w:sz w:val="32"/>
          <w:szCs w:val="32"/>
        </w:rPr>
        <w:lastRenderedPageBreak/>
        <w:t>Reference list</w:t>
      </w:r>
      <w:bookmarkEnd w:id="4"/>
    </w:p>
    <w:p w14:paraId="59017537" w14:textId="77777777" w:rsidR="008906EC" w:rsidRPr="00905AEB" w:rsidRDefault="008906EC" w:rsidP="00905AEB">
      <w:pPr>
        <w:spacing w:line="360" w:lineRule="auto"/>
        <w:ind w:left="360"/>
        <w:jc w:val="both"/>
        <w:rPr>
          <w:rFonts w:ascii="Arial" w:hAnsi="Arial" w:cs="Arial"/>
          <w:color w:val="3A3A3A"/>
          <w:sz w:val="22"/>
          <w:szCs w:val="22"/>
          <w:shd w:val="clear" w:color="auto" w:fill="FFFFFF"/>
        </w:rPr>
      </w:pPr>
      <w:r w:rsidRPr="00905AEB">
        <w:rPr>
          <w:rFonts w:ascii="Arial" w:hAnsi="Arial" w:cs="Arial"/>
          <w:color w:val="3A3A3A"/>
          <w:sz w:val="22"/>
          <w:szCs w:val="22"/>
          <w:shd w:val="clear" w:color="auto" w:fill="FFFFFF"/>
        </w:rPr>
        <w:t>Butler, G. (1998) ‘Self-Efficacy: The Exercise of Control’,</w:t>
      </w:r>
      <w:r w:rsidRPr="00905AEB">
        <w:rPr>
          <w:rStyle w:val="apple-converted-space"/>
          <w:rFonts w:ascii="Arial" w:hAnsi="Arial" w:cs="Arial"/>
          <w:color w:val="3A3A3A"/>
          <w:sz w:val="22"/>
          <w:szCs w:val="22"/>
          <w:shd w:val="clear" w:color="auto" w:fill="FFFFFF"/>
        </w:rPr>
        <w:t> </w:t>
      </w:r>
      <w:r w:rsidRPr="00905AEB">
        <w:rPr>
          <w:rFonts w:ascii="Arial" w:hAnsi="Arial" w:cs="Arial"/>
          <w:i/>
          <w:iCs/>
          <w:color w:val="3A3A3A"/>
          <w:sz w:val="22"/>
          <w:szCs w:val="22"/>
        </w:rPr>
        <w:t>British journal of clinical psychology,</w:t>
      </w:r>
      <w:r w:rsidRPr="00905AEB">
        <w:rPr>
          <w:rFonts w:ascii="Arial" w:hAnsi="Arial" w:cs="Arial"/>
          <w:color w:val="3A3A3A"/>
          <w:sz w:val="22"/>
          <w:szCs w:val="22"/>
          <w:shd w:val="clear" w:color="auto" w:fill="FFFFFF"/>
        </w:rPr>
        <w:t xml:space="preserve"> </w:t>
      </w:r>
      <w:r w:rsidRPr="00905AEB">
        <w:rPr>
          <w:rFonts w:ascii="Arial" w:hAnsi="Arial" w:cs="Arial"/>
          <w:color w:val="555555"/>
          <w:sz w:val="22"/>
          <w:szCs w:val="22"/>
          <w:shd w:val="clear" w:color="auto" w:fill="FFFFFF"/>
        </w:rPr>
        <w:t xml:space="preserve">vol. 37, no. 4, pp. 470. </w:t>
      </w:r>
      <w:r w:rsidRPr="00905AEB">
        <w:rPr>
          <w:rFonts w:ascii="Arial" w:hAnsi="Arial" w:cs="Arial"/>
          <w:color w:val="3A3A3A"/>
          <w:sz w:val="22"/>
          <w:szCs w:val="22"/>
          <w:shd w:val="clear" w:color="auto" w:fill="FFFFFF"/>
        </w:rPr>
        <w:t xml:space="preserve">Available at: </w:t>
      </w:r>
      <w:hyperlink r:id="rId10" w:history="1">
        <w:r w:rsidRPr="00905AEB">
          <w:rPr>
            <w:rStyle w:val="Hyperlink"/>
            <w:rFonts w:ascii="Arial" w:hAnsi="Arial" w:cs="Arial"/>
            <w:sz w:val="22"/>
            <w:szCs w:val="22"/>
            <w:shd w:val="clear" w:color="auto" w:fill="FFFFFF"/>
          </w:rPr>
          <w:t>https://www.proquest.com/docview/218661518/fulltext/B54B1AD71B6A4245PQ/1?accountid=130472&amp;sourcetype=Scholarly%20Journals</w:t>
        </w:r>
      </w:hyperlink>
      <w:r w:rsidRPr="00905AEB">
        <w:rPr>
          <w:rFonts w:ascii="Arial" w:hAnsi="Arial" w:cs="Arial"/>
          <w:color w:val="3A3A3A"/>
          <w:sz w:val="22"/>
          <w:szCs w:val="22"/>
          <w:shd w:val="clear" w:color="auto" w:fill="FFFFFF"/>
        </w:rPr>
        <w:t xml:space="preserve"> (Accessed: 11 December 2025).</w:t>
      </w:r>
    </w:p>
    <w:p w14:paraId="2B392BA6" w14:textId="77777777" w:rsidR="008906EC" w:rsidRPr="00905AEB" w:rsidRDefault="008906EC" w:rsidP="00905AEB">
      <w:pPr>
        <w:spacing w:line="360" w:lineRule="auto"/>
        <w:ind w:left="360"/>
        <w:jc w:val="both"/>
        <w:rPr>
          <w:rFonts w:ascii="Arial" w:hAnsi="Arial" w:cs="Arial"/>
          <w:color w:val="3A3A3A"/>
          <w:sz w:val="22"/>
          <w:szCs w:val="22"/>
          <w:shd w:val="clear" w:color="auto" w:fill="FFFFFF"/>
        </w:rPr>
      </w:pPr>
    </w:p>
    <w:p w14:paraId="0F0BA7AD" w14:textId="77777777" w:rsidR="008906EC" w:rsidRPr="00905AEB" w:rsidRDefault="008906EC" w:rsidP="00905AEB">
      <w:pPr>
        <w:spacing w:line="360" w:lineRule="auto"/>
        <w:ind w:left="360"/>
        <w:jc w:val="both"/>
        <w:rPr>
          <w:rFonts w:ascii="Arial" w:hAnsi="Arial" w:cs="Arial"/>
          <w:color w:val="3A3A3A"/>
          <w:sz w:val="22"/>
          <w:szCs w:val="22"/>
          <w:shd w:val="clear" w:color="auto" w:fill="FFFFFF"/>
        </w:rPr>
      </w:pPr>
      <w:r w:rsidRPr="00905AEB">
        <w:rPr>
          <w:rFonts w:ascii="Arial" w:hAnsi="Arial" w:cs="Arial"/>
          <w:color w:val="3A3A3A"/>
          <w:sz w:val="22"/>
          <w:szCs w:val="22"/>
          <w:shd w:val="clear" w:color="auto" w:fill="FFFFFF"/>
        </w:rPr>
        <w:t xml:space="preserve">Campbell, N., Maidment, I. D., Randle, E., &amp; Shaw, R. L. (2020) ‘Preparing care home staff to manage challenging behaviours among residents living with dementia: A mixed-methods evaluation’, </w:t>
      </w:r>
      <w:r w:rsidRPr="00905AEB">
        <w:rPr>
          <w:rFonts w:ascii="Arial" w:hAnsi="Arial" w:cs="Arial"/>
          <w:i/>
          <w:iCs/>
          <w:color w:val="3A3A3A"/>
          <w:sz w:val="22"/>
          <w:szCs w:val="22"/>
        </w:rPr>
        <w:t>Health Psychology Open</w:t>
      </w:r>
      <w:r w:rsidRPr="00905AEB">
        <w:rPr>
          <w:rFonts w:ascii="Arial" w:hAnsi="Arial" w:cs="Arial"/>
          <w:color w:val="3A3A3A"/>
          <w:sz w:val="22"/>
          <w:szCs w:val="22"/>
          <w:shd w:val="clear" w:color="auto" w:fill="FFFFFF"/>
        </w:rPr>
        <w:t>,</w:t>
      </w:r>
      <w:r w:rsidRPr="00905AEB">
        <w:rPr>
          <w:rStyle w:val="apple-converted-space"/>
          <w:rFonts w:ascii="Arial" w:hAnsi="Arial" w:cs="Arial"/>
          <w:color w:val="3A3A3A"/>
          <w:sz w:val="22"/>
          <w:szCs w:val="22"/>
          <w:shd w:val="clear" w:color="auto" w:fill="FFFFFF"/>
        </w:rPr>
        <w:t> </w:t>
      </w:r>
      <w:r w:rsidRPr="00905AEB">
        <w:rPr>
          <w:rFonts w:ascii="Arial" w:hAnsi="Arial" w:cs="Arial"/>
          <w:i/>
          <w:iCs/>
          <w:color w:val="3A3A3A"/>
          <w:sz w:val="22"/>
          <w:szCs w:val="22"/>
        </w:rPr>
        <w:t>7</w:t>
      </w:r>
      <w:r w:rsidRPr="00905AEB">
        <w:rPr>
          <w:rFonts w:ascii="Arial" w:hAnsi="Arial" w:cs="Arial"/>
          <w:color w:val="3A3A3A"/>
          <w:sz w:val="22"/>
          <w:szCs w:val="22"/>
          <w:shd w:val="clear" w:color="auto" w:fill="FFFFFF"/>
        </w:rPr>
        <w:t xml:space="preserve">(2), 2055102920933065. Available at: </w:t>
      </w:r>
      <w:hyperlink r:id="rId11" w:history="1">
        <w:r w:rsidRPr="00905AEB">
          <w:rPr>
            <w:rStyle w:val="Hyperlink"/>
            <w:rFonts w:ascii="Arial" w:hAnsi="Arial" w:cs="Arial"/>
            <w:sz w:val="22"/>
            <w:szCs w:val="22"/>
            <w:shd w:val="clear" w:color="auto" w:fill="FFFFFF"/>
          </w:rPr>
          <w:t>https://doi.org/10.1177/2055102920933065</w:t>
        </w:r>
      </w:hyperlink>
    </w:p>
    <w:p w14:paraId="05AC0BA1" w14:textId="77777777" w:rsidR="008906EC" w:rsidRPr="00905AEB" w:rsidRDefault="008906EC" w:rsidP="00905AEB">
      <w:pPr>
        <w:spacing w:line="360" w:lineRule="auto"/>
        <w:ind w:left="360"/>
        <w:jc w:val="both"/>
        <w:rPr>
          <w:rFonts w:ascii="Arial" w:hAnsi="Arial" w:cs="Arial"/>
          <w:color w:val="3A3A3A"/>
          <w:sz w:val="22"/>
          <w:szCs w:val="22"/>
          <w:shd w:val="clear" w:color="auto" w:fill="FFFFFF"/>
        </w:rPr>
      </w:pPr>
    </w:p>
    <w:p w14:paraId="6C46C837" w14:textId="77777777" w:rsidR="008906EC" w:rsidRPr="00905AEB" w:rsidRDefault="008906EC" w:rsidP="00905AEB">
      <w:pPr>
        <w:spacing w:line="360" w:lineRule="auto"/>
        <w:ind w:left="360"/>
        <w:jc w:val="both"/>
        <w:rPr>
          <w:rFonts w:ascii="Arial" w:hAnsi="Arial" w:cs="Arial"/>
          <w:color w:val="3A3A3A"/>
          <w:sz w:val="22"/>
          <w:szCs w:val="22"/>
          <w:shd w:val="clear" w:color="auto" w:fill="FFFFFF"/>
        </w:rPr>
      </w:pPr>
      <w:r w:rsidRPr="00905AEB">
        <w:rPr>
          <w:rFonts w:ascii="Arial" w:hAnsi="Arial" w:cs="Arial"/>
          <w:color w:val="3A3A3A"/>
          <w:sz w:val="22"/>
          <w:szCs w:val="22"/>
          <w:shd w:val="clear" w:color="auto" w:fill="FFFFFF"/>
        </w:rPr>
        <w:t>Coates, A. and Fossey, J. (2019) ‘Self-efficacy in dementia care staff: Experiences from the care home context’,</w:t>
      </w:r>
      <w:r w:rsidRPr="00905AEB">
        <w:rPr>
          <w:rStyle w:val="apple-converted-space"/>
          <w:rFonts w:ascii="Arial" w:hAnsi="Arial" w:cs="Arial"/>
          <w:color w:val="3A3A3A"/>
          <w:sz w:val="22"/>
          <w:szCs w:val="22"/>
          <w:shd w:val="clear" w:color="auto" w:fill="FFFFFF"/>
        </w:rPr>
        <w:t> </w:t>
      </w:r>
      <w:r w:rsidRPr="00905AEB">
        <w:rPr>
          <w:rFonts w:ascii="Arial" w:hAnsi="Arial" w:cs="Arial"/>
          <w:i/>
          <w:iCs/>
          <w:color w:val="3A3A3A"/>
          <w:sz w:val="22"/>
          <w:szCs w:val="22"/>
        </w:rPr>
        <w:t>Dementia (London, England)</w:t>
      </w:r>
      <w:r w:rsidRPr="00905AEB">
        <w:rPr>
          <w:rFonts w:ascii="Arial" w:hAnsi="Arial" w:cs="Arial"/>
          <w:color w:val="3A3A3A"/>
          <w:sz w:val="22"/>
          <w:szCs w:val="22"/>
          <w:shd w:val="clear" w:color="auto" w:fill="FFFFFF"/>
        </w:rPr>
        <w:t xml:space="preserve">, 18(2), pp. 530–544. Available at: </w:t>
      </w:r>
      <w:hyperlink r:id="rId12" w:history="1">
        <w:r w:rsidRPr="00905AEB">
          <w:rPr>
            <w:rStyle w:val="Hyperlink"/>
            <w:rFonts w:ascii="Arial" w:hAnsi="Arial" w:cs="Arial"/>
            <w:sz w:val="22"/>
            <w:szCs w:val="22"/>
            <w:shd w:val="clear" w:color="auto" w:fill="FFFFFF"/>
          </w:rPr>
          <w:t>https://doi.org/10.1177/1471301216682627</w:t>
        </w:r>
      </w:hyperlink>
    </w:p>
    <w:p w14:paraId="42B1CF43" w14:textId="77777777" w:rsidR="008906EC" w:rsidRPr="00905AEB" w:rsidRDefault="008906EC" w:rsidP="00905AEB">
      <w:pPr>
        <w:spacing w:line="360" w:lineRule="auto"/>
        <w:ind w:left="360"/>
        <w:jc w:val="both"/>
        <w:rPr>
          <w:rFonts w:ascii="Arial" w:hAnsi="Arial" w:cs="Arial"/>
          <w:color w:val="3A3A3A"/>
          <w:sz w:val="22"/>
          <w:szCs w:val="22"/>
          <w:shd w:val="clear" w:color="auto" w:fill="FFFFFF"/>
        </w:rPr>
      </w:pPr>
    </w:p>
    <w:p w14:paraId="3AD7B0EB" w14:textId="77777777" w:rsidR="008906EC" w:rsidRPr="00905AEB" w:rsidRDefault="008906EC" w:rsidP="00905AEB">
      <w:pPr>
        <w:spacing w:line="360" w:lineRule="auto"/>
        <w:ind w:left="360"/>
        <w:jc w:val="both"/>
        <w:rPr>
          <w:rFonts w:ascii="Arial" w:hAnsi="Arial" w:cs="Arial"/>
          <w:color w:val="3A3A3A"/>
          <w:sz w:val="22"/>
          <w:szCs w:val="22"/>
          <w:shd w:val="clear" w:color="auto" w:fill="FFFFFF"/>
        </w:rPr>
      </w:pPr>
      <w:r w:rsidRPr="00905AEB">
        <w:rPr>
          <w:rFonts w:ascii="Arial" w:hAnsi="Arial" w:cs="Arial"/>
          <w:color w:val="3A3A3A"/>
          <w:sz w:val="22"/>
          <w:szCs w:val="22"/>
          <w:shd w:val="clear" w:color="auto" w:fill="FFFFFF"/>
        </w:rPr>
        <w:t xml:space="preserve">Dal Pizzol, F. L. F., Duggleby, W., Baxter, P., Peacock, S., Thompson, G., Swindle, J., &amp; O’Rourke, H. M. (2025) ‘Exploring self-efficacy as perceived by men and women unpaid caregivers of older adults: A secondary analysis of focus group data’, </w:t>
      </w:r>
      <w:r w:rsidRPr="00905AEB">
        <w:rPr>
          <w:rFonts w:ascii="Arial" w:hAnsi="Arial" w:cs="Arial"/>
          <w:i/>
          <w:iCs/>
          <w:color w:val="3A3A3A"/>
          <w:sz w:val="22"/>
          <w:szCs w:val="22"/>
        </w:rPr>
        <w:t>Geriatric Nursing (New York)</w:t>
      </w:r>
      <w:r w:rsidRPr="00905AEB">
        <w:rPr>
          <w:rFonts w:ascii="Arial" w:hAnsi="Arial" w:cs="Arial"/>
          <w:color w:val="3A3A3A"/>
          <w:sz w:val="22"/>
          <w:szCs w:val="22"/>
          <w:shd w:val="clear" w:color="auto" w:fill="FFFFFF"/>
        </w:rPr>
        <w:t>,</w:t>
      </w:r>
      <w:r w:rsidRPr="00905AEB">
        <w:rPr>
          <w:rStyle w:val="apple-converted-space"/>
          <w:rFonts w:ascii="Arial" w:hAnsi="Arial" w:cs="Arial"/>
          <w:color w:val="3A3A3A"/>
          <w:sz w:val="22"/>
          <w:szCs w:val="22"/>
          <w:shd w:val="clear" w:color="auto" w:fill="FFFFFF"/>
        </w:rPr>
        <w:t> </w:t>
      </w:r>
      <w:r w:rsidRPr="00905AEB">
        <w:rPr>
          <w:rFonts w:ascii="Arial" w:hAnsi="Arial" w:cs="Arial"/>
          <w:i/>
          <w:iCs/>
          <w:color w:val="3A3A3A"/>
          <w:sz w:val="22"/>
          <w:szCs w:val="22"/>
        </w:rPr>
        <w:t>66</w:t>
      </w:r>
      <w:r w:rsidRPr="00905AEB">
        <w:rPr>
          <w:rFonts w:ascii="Arial" w:hAnsi="Arial" w:cs="Arial"/>
          <w:color w:val="3A3A3A"/>
          <w:sz w:val="22"/>
          <w:szCs w:val="22"/>
          <w:shd w:val="clear" w:color="auto" w:fill="FFFFFF"/>
        </w:rPr>
        <w:t xml:space="preserve">(Pt C), Article 103662. Available at:  </w:t>
      </w:r>
      <w:hyperlink r:id="rId13" w:history="1">
        <w:r w:rsidRPr="00905AEB">
          <w:rPr>
            <w:rStyle w:val="Hyperlink"/>
            <w:rFonts w:ascii="Arial" w:hAnsi="Arial" w:cs="Arial"/>
            <w:sz w:val="22"/>
            <w:szCs w:val="22"/>
            <w:shd w:val="clear" w:color="auto" w:fill="FFFFFF"/>
          </w:rPr>
          <w:t>https://doi.org/10.1016/j.gerinurse.2025.103662</w:t>
        </w:r>
      </w:hyperlink>
    </w:p>
    <w:p w14:paraId="3C77BFAF" w14:textId="77777777" w:rsidR="008906EC" w:rsidRPr="00905AEB" w:rsidRDefault="008906EC" w:rsidP="00905AEB">
      <w:pPr>
        <w:spacing w:line="360" w:lineRule="auto"/>
        <w:jc w:val="both"/>
        <w:rPr>
          <w:rFonts w:ascii="Arial" w:hAnsi="Arial" w:cs="Arial"/>
          <w:b/>
          <w:bCs/>
          <w:sz w:val="22"/>
          <w:szCs w:val="22"/>
        </w:rPr>
      </w:pPr>
    </w:p>
    <w:p w14:paraId="78F534AC" w14:textId="1E130B61" w:rsidR="006A0B89" w:rsidRPr="00905AEB" w:rsidRDefault="006A0B89" w:rsidP="00905AEB">
      <w:pPr>
        <w:spacing w:line="360" w:lineRule="auto"/>
        <w:ind w:left="360"/>
        <w:jc w:val="both"/>
        <w:rPr>
          <w:rFonts w:ascii="Arial" w:hAnsi="Arial" w:cs="Arial"/>
          <w:color w:val="3A3A3A"/>
          <w:sz w:val="22"/>
          <w:szCs w:val="22"/>
          <w:shd w:val="clear" w:color="auto" w:fill="FFFFFF"/>
        </w:rPr>
      </w:pPr>
      <w:r w:rsidRPr="00905AEB">
        <w:rPr>
          <w:rFonts w:ascii="Arial" w:hAnsi="Arial" w:cs="Arial"/>
          <w:color w:val="3A3A3A"/>
          <w:sz w:val="22"/>
          <w:szCs w:val="22"/>
          <w:shd w:val="clear" w:color="auto" w:fill="FFFFFF"/>
        </w:rPr>
        <w:t>Livingston, G., Kelly, L., Lewis-Holmes, E., Baio, G., Morris, S., Patel, N., Omar, R. Z., Katona, C., &amp; Cooper, C. (2014)</w:t>
      </w:r>
      <w:r w:rsidR="00211F5A" w:rsidRPr="00905AEB">
        <w:rPr>
          <w:rFonts w:ascii="Arial" w:hAnsi="Arial" w:cs="Arial"/>
          <w:color w:val="3A3A3A"/>
          <w:sz w:val="22"/>
          <w:szCs w:val="22"/>
          <w:shd w:val="clear" w:color="auto" w:fill="FFFFFF"/>
        </w:rPr>
        <w:t xml:space="preserve"> ‘</w:t>
      </w:r>
      <w:proofErr w:type="gramStart"/>
      <w:r w:rsidR="00211F5A" w:rsidRPr="00905AEB">
        <w:rPr>
          <w:rFonts w:ascii="Arial" w:hAnsi="Arial" w:cs="Arial"/>
          <w:color w:val="3A3A3A"/>
          <w:sz w:val="22"/>
          <w:szCs w:val="22"/>
          <w:shd w:val="clear" w:color="auto" w:fill="FFFFFF"/>
        </w:rPr>
        <w:t>Non-pharmacological</w:t>
      </w:r>
      <w:proofErr w:type="gramEnd"/>
      <w:r w:rsidRPr="00905AEB">
        <w:rPr>
          <w:rFonts w:ascii="Arial" w:hAnsi="Arial" w:cs="Arial"/>
          <w:color w:val="3A3A3A"/>
          <w:sz w:val="22"/>
          <w:szCs w:val="22"/>
          <w:shd w:val="clear" w:color="auto" w:fill="FFFFFF"/>
        </w:rPr>
        <w:t xml:space="preserve"> interventions for agitation in dementia: systematic review of randomised controlled trials</w:t>
      </w:r>
      <w:r w:rsidR="00211F5A" w:rsidRPr="00905AEB">
        <w:rPr>
          <w:rFonts w:ascii="Arial" w:hAnsi="Arial" w:cs="Arial"/>
          <w:color w:val="3A3A3A"/>
          <w:sz w:val="22"/>
          <w:szCs w:val="22"/>
          <w:shd w:val="clear" w:color="auto" w:fill="FFFFFF"/>
        </w:rPr>
        <w:t xml:space="preserve">’, </w:t>
      </w:r>
      <w:r w:rsidRPr="00905AEB">
        <w:rPr>
          <w:rFonts w:ascii="Arial" w:hAnsi="Arial" w:cs="Arial"/>
          <w:i/>
          <w:iCs/>
          <w:color w:val="3A3A3A"/>
          <w:sz w:val="22"/>
          <w:szCs w:val="22"/>
        </w:rPr>
        <w:t>British Journal of Psychiatry</w:t>
      </w:r>
      <w:r w:rsidRPr="00905AEB">
        <w:rPr>
          <w:rFonts w:ascii="Arial" w:hAnsi="Arial" w:cs="Arial"/>
          <w:color w:val="3A3A3A"/>
          <w:sz w:val="22"/>
          <w:szCs w:val="22"/>
          <w:shd w:val="clear" w:color="auto" w:fill="FFFFFF"/>
        </w:rPr>
        <w:t>,</w:t>
      </w:r>
      <w:r w:rsidRPr="00905AEB">
        <w:rPr>
          <w:rStyle w:val="apple-converted-space"/>
          <w:rFonts w:ascii="Arial" w:hAnsi="Arial" w:cs="Arial"/>
          <w:color w:val="3A3A3A"/>
          <w:sz w:val="22"/>
          <w:szCs w:val="22"/>
          <w:shd w:val="clear" w:color="auto" w:fill="FFFFFF"/>
        </w:rPr>
        <w:t> </w:t>
      </w:r>
      <w:r w:rsidRPr="00905AEB">
        <w:rPr>
          <w:rFonts w:ascii="Arial" w:hAnsi="Arial" w:cs="Arial"/>
          <w:i/>
          <w:iCs/>
          <w:color w:val="3A3A3A"/>
          <w:sz w:val="22"/>
          <w:szCs w:val="22"/>
        </w:rPr>
        <w:t>205</w:t>
      </w:r>
      <w:r w:rsidRPr="00905AEB">
        <w:rPr>
          <w:rFonts w:ascii="Arial" w:hAnsi="Arial" w:cs="Arial"/>
          <w:color w:val="3A3A3A"/>
          <w:sz w:val="22"/>
          <w:szCs w:val="22"/>
          <w:shd w:val="clear" w:color="auto" w:fill="FFFFFF"/>
        </w:rPr>
        <w:t>(6), 436–442.</w:t>
      </w:r>
      <w:r w:rsidR="00211F5A" w:rsidRPr="00905AEB">
        <w:rPr>
          <w:rFonts w:ascii="Arial" w:hAnsi="Arial" w:cs="Arial"/>
          <w:color w:val="3A3A3A"/>
          <w:sz w:val="22"/>
          <w:szCs w:val="22"/>
          <w:shd w:val="clear" w:color="auto" w:fill="FFFFFF"/>
        </w:rPr>
        <w:t xml:space="preserve"> Available at:</w:t>
      </w:r>
      <w:r w:rsidRPr="00905AEB">
        <w:rPr>
          <w:rFonts w:ascii="Arial" w:hAnsi="Arial" w:cs="Arial"/>
          <w:color w:val="3A3A3A"/>
          <w:sz w:val="22"/>
          <w:szCs w:val="22"/>
          <w:shd w:val="clear" w:color="auto" w:fill="FFFFFF"/>
        </w:rPr>
        <w:t xml:space="preserve"> </w:t>
      </w:r>
      <w:hyperlink r:id="rId14" w:history="1">
        <w:r w:rsidR="00C6708C" w:rsidRPr="00905AEB">
          <w:rPr>
            <w:rStyle w:val="Hyperlink"/>
            <w:rFonts w:ascii="Arial" w:hAnsi="Arial" w:cs="Arial"/>
            <w:sz w:val="22"/>
            <w:szCs w:val="22"/>
            <w:shd w:val="clear" w:color="auto" w:fill="FFFFFF"/>
          </w:rPr>
          <w:t>https://doi.org/10.1192/bjp.bp.113.141119</w:t>
        </w:r>
      </w:hyperlink>
    </w:p>
    <w:p w14:paraId="31E23ABF" w14:textId="77777777" w:rsidR="008906EC" w:rsidRPr="00905AEB" w:rsidRDefault="008906EC" w:rsidP="00905AEB">
      <w:pPr>
        <w:spacing w:line="360" w:lineRule="auto"/>
        <w:ind w:left="360"/>
        <w:jc w:val="both"/>
        <w:rPr>
          <w:rFonts w:ascii="Arial" w:hAnsi="Arial" w:cs="Arial"/>
          <w:color w:val="3A3A3A"/>
          <w:sz w:val="22"/>
          <w:szCs w:val="22"/>
          <w:shd w:val="clear" w:color="auto" w:fill="FFFFFF"/>
        </w:rPr>
      </w:pPr>
    </w:p>
    <w:p w14:paraId="7BAF8C83" w14:textId="78A6CBB8" w:rsidR="008906EC" w:rsidRPr="00905AEB" w:rsidRDefault="008906EC" w:rsidP="00905AEB">
      <w:pPr>
        <w:spacing w:line="360" w:lineRule="auto"/>
        <w:ind w:left="360"/>
        <w:jc w:val="both"/>
        <w:rPr>
          <w:rFonts w:ascii="Arial" w:hAnsi="Arial" w:cs="Arial"/>
          <w:color w:val="3A3A3A"/>
          <w:sz w:val="22"/>
          <w:szCs w:val="22"/>
          <w:shd w:val="clear" w:color="auto" w:fill="FFFFFF"/>
        </w:rPr>
      </w:pPr>
      <w:r w:rsidRPr="00905AEB">
        <w:rPr>
          <w:rFonts w:ascii="Arial" w:hAnsi="Arial" w:cs="Arial"/>
          <w:color w:val="3A3A3A"/>
          <w:sz w:val="22"/>
          <w:szCs w:val="22"/>
          <w:shd w:val="clear" w:color="auto" w:fill="FFFFFF"/>
        </w:rPr>
        <w:t xml:space="preserve">Livingston, G., Huntley, J., </w:t>
      </w:r>
      <w:proofErr w:type="spellStart"/>
      <w:r w:rsidRPr="00905AEB">
        <w:rPr>
          <w:rFonts w:ascii="Arial" w:hAnsi="Arial" w:cs="Arial"/>
          <w:color w:val="3A3A3A"/>
          <w:sz w:val="22"/>
          <w:szCs w:val="22"/>
          <w:shd w:val="clear" w:color="auto" w:fill="FFFFFF"/>
        </w:rPr>
        <w:t>Sommerlad</w:t>
      </w:r>
      <w:proofErr w:type="spellEnd"/>
      <w:r w:rsidRPr="00905AEB">
        <w:rPr>
          <w:rFonts w:ascii="Arial" w:hAnsi="Arial" w:cs="Arial"/>
          <w:color w:val="3A3A3A"/>
          <w:sz w:val="22"/>
          <w:szCs w:val="22"/>
          <w:shd w:val="clear" w:color="auto" w:fill="FFFFFF"/>
        </w:rPr>
        <w:t xml:space="preserve">, A., Ames, D., Ballard, C., Banerjee, S., </w:t>
      </w:r>
      <w:proofErr w:type="spellStart"/>
      <w:r w:rsidRPr="00905AEB">
        <w:rPr>
          <w:rFonts w:ascii="Arial" w:hAnsi="Arial" w:cs="Arial"/>
          <w:color w:val="3A3A3A"/>
          <w:sz w:val="22"/>
          <w:szCs w:val="22"/>
          <w:shd w:val="clear" w:color="auto" w:fill="FFFFFF"/>
        </w:rPr>
        <w:t>Brayne</w:t>
      </w:r>
      <w:proofErr w:type="spellEnd"/>
      <w:r w:rsidRPr="00905AEB">
        <w:rPr>
          <w:rFonts w:ascii="Arial" w:hAnsi="Arial" w:cs="Arial"/>
          <w:color w:val="3A3A3A"/>
          <w:sz w:val="22"/>
          <w:szCs w:val="22"/>
          <w:shd w:val="clear" w:color="auto" w:fill="FFFFFF"/>
        </w:rPr>
        <w:t xml:space="preserve">, C., Burns, A., Cohen-Mansfield, J., Cooper, C., </w:t>
      </w:r>
      <w:proofErr w:type="spellStart"/>
      <w:r w:rsidRPr="00905AEB">
        <w:rPr>
          <w:rFonts w:ascii="Arial" w:hAnsi="Arial" w:cs="Arial"/>
          <w:color w:val="3A3A3A"/>
          <w:sz w:val="22"/>
          <w:szCs w:val="22"/>
          <w:shd w:val="clear" w:color="auto" w:fill="FFFFFF"/>
        </w:rPr>
        <w:t>Costafreda</w:t>
      </w:r>
      <w:proofErr w:type="spellEnd"/>
      <w:r w:rsidRPr="00905AEB">
        <w:rPr>
          <w:rFonts w:ascii="Arial" w:hAnsi="Arial" w:cs="Arial"/>
          <w:color w:val="3A3A3A"/>
          <w:sz w:val="22"/>
          <w:szCs w:val="22"/>
          <w:shd w:val="clear" w:color="auto" w:fill="FFFFFF"/>
        </w:rPr>
        <w:t xml:space="preserve">, S. G., Dias, A., Fox, N., Gitlin, L. N., Howard, R., Kales, H. C., Kivimäki, M., Larson, E. B., Ogunniyi, A., … Mukadam, N. (2020) ‘Dementia prevention, intervention, and care: 2020 report of the Lancet Commission;, </w:t>
      </w:r>
      <w:r w:rsidRPr="00905AEB">
        <w:rPr>
          <w:rFonts w:ascii="Arial" w:hAnsi="Arial" w:cs="Arial"/>
          <w:i/>
          <w:iCs/>
          <w:color w:val="3A3A3A"/>
          <w:sz w:val="22"/>
          <w:szCs w:val="22"/>
        </w:rPr>
        <w:t>The Lancet (British Edition)</w:t>
      </w:r>
      <w:r w:rsidRPr="00905AEB">
        <w:rPr>
          <w:rFonts w:ascii="Arial" w:hAnsi="Arial" w:cs="Arial"/>
          <w:color w:val="3A3A3A"/>
          <w:sz w:val="22"/>
          <w:szCs w:val="22"/>
          <w:shd w:val="clear" w:color="auto" w:fill="FFFFFF"/>
        </w:rPr>
        <w:t>,</w:t>
      </w:r>
      <w:r w:rsidRPr="00905AEB">
        <w:rPr>
          <w:rStyle w:val="apple-converted-space"/>
          <w:rFonts w:ascii="Arial" w:hAnsi="Arial" w:cs="Arial"/>
          <w:color w:val="3A3A3A"/>
          <w:sz w:val="22"/>
          <w:szCs w:val="22"/>
          <w:shd w:val="clear" w:color="auto" w:fill="FFFFFF"/>
        </w:rPr>
        <w:t> </w:t>
      </w:r>
      <w:r w:rsidRPr="00905AEB">
        <w:rPr>
          <w:rFonts w:ascii="Arial" w:hAnsi="Arial" w:cs="Arial"/>
          <w:i/>
          <w:iCs/>
          <w:color w:val="3A3A3A"/>
          <w:sz w:val="22"/>
          <w:szCs w:val="22"/>
        </w:rPr>
        <w:t>396</w:t>
      </w:r>
      <w:r w:rsidRPr="00905AEB">
        <w:rPr>
          <w:rFonts w:ascii="Arial" w:hAnsi="Arial" w:cs="Arial"/>
          <w:color w:val="3A3A3A"/>
          <w:sz w:val="22"/>
          <w:szCs w:val="22"/>
          <w:shd w:val="clear" w:color="auto" w:fill="FFFFFF"/>
        </w:rPr>
        <w:t xml:space="preserve">(10248), 413–446. Available at: </w:t>
      </w:r>
      <w:hyperlink r:id="rId15" w:history="1">
        <w:r w:rsidRPr="00905AEB">
          <w:rPr>
            <w:rStyle w:val="Hyperlink"/>
            <w:rFonts w:ascii="Arial" w:hAnsi="Arial" w:cs="Arial"/>
            <w:sz w:val="22"/>
            <w:szCs w:val="22"/>
            <w:shd w:val="clear" w:color="auto" w:fill="FFFFFF"/>
          </w:rPr>
          <w:t>https://doi.org/10.1016/S0140-6736(20)30367-6</w:t>
        </w:r>
      </w:hyperlink>
    </w:p>
    <w:p w14:paraId="15D61CAF" w14:textId="77777777" w:rsidR="008906EC" w:rsidRPr="00905AEB" w:rsidRDefault="008906EC" w:rsidP="00905AEB">
      <w:pPr>
        <w:spacing w:line="360" w:lineRule="auto"/>
        <w:ind w:left="360"/>
        <w:jc w:val="both"/>
        <w:rPr>
          <w:rFonts w:ascii="Arial" w:hAnsi="Arial" w:cs="Arial"/>
          <w:color w:val="3A3A3A"/>
          <w:sz w:val="22"/>
          <w:szCs w:val="22"/>
          <w:shd w:val="clear" w:color="auto" w:fill="FFFFFF"/>
        </w:rPr>
      </w:pPr>
    </w:p>
    <w:p w14:paraId="179D5B62" w14:textId="77777777" w:rsidR="008906EC" w:rsidRPr="00905AEB" w:rsidRDefault="008906EC" w:rsidP="00905AEB">
      <w:pPr>
        <w:spacing w:line="360" w:lineRule="auto"/>
        <w:ind w:left="360"/>
        <w:jc w:val="both"/>
        <w:rPr>
          <w:rFonts w:ascii="Arial" w:hAnsi="Arial" w:cs="Arial"/>
          <w:color w:val="3A3A3A"/>
          <w:sz w:val="22"/>
          <w:szCs w:val="22"/>
          <w:shd w:val="clear" w:color="auto" w:fill="FFFFFF"/>
        </w:rPr>
      </w:pPr>
      <w:r w:rsidRPr="00905AEB">
        <w:rPr>
          <w:rFonts w:ascii="Arial" w:hAnsi="Arial" w:cs="Arial"/>
          <w:color w:val="3A3A3A"/>
          <w:sz w:val="22"/>
          <w:szCs w:val="22"/>
          <w:shd w:val="clear" w:color="auto" w:fill="FFFFFF"/>
        </w:rPr>
        <w:t>Moore, J. (2011) ‘</w:t>
      </w:r>
      <w:proofErr w:type="spellStart"/>
      <w:r w:rsidRPr="00905AEB">
        <w:rPr>
          <w:rFonts w:ascii="Arial" w:hAnsi="Arial" w:cs="Arial"/>
          <w:color w:val="3A3A3A"/>
          <w:sz w:val="22"/>
          <w:szCs w:val="22"/>
          <w:shd w:val="clear" w:color="auto" w:fill="FFFFFF"/>
        </w:rPr>
        <w:t>Behaviorism</w:t>
      </w:r>
      <w:proofErr w:type="spellEnd"/>
      <w:r w:rsidRPr="00905AEB">
        <w:rPr>
          <w:rFonts w:ascii="Arial" w:hAnsi="Arial" w:cs="Arial"/>
          <w:color w:val="3A3A3A"/>
          <w:sz w:val="22"/>
          <w:szCs w:val="22"/>
          <w:shd w:val="clear" w:color="auto" w:fill="FFFFFF"/>
        </w:rPr>
        <w:t>’,</w:t>
      </w:r>
      <w:r w:rsidRPr="00905AEB">
        <w:rPr>
          <w:rStyle w:val="apple-converted-space"/>
          <w:rFonts w:ascii="Arial" w:hAnsi="Arial" w:cs="Arial"/>
          <w:color w:val="3A3A3A"/>
          <w:sz w:val="22"/>
          <w:szCs w:val="22"/>
          <w:shd w:val="clear" w:color="auto" w:fill="FFFFFF"/>
        </w:rPr>
        <w:t> </w:t>
      </w:r>
      <w:r w:rsidRPr="00905AEB">
        <w:rPr>
          <w:rFonts w:ascii="Arial" w:hAnsi="Arial" w:cs="Arial"/>
          <w:i/>
          <w:iCs/>
          <w:color w:val="3A3A3A"/>
          <w:sz w:val="22"/>
          <w:szCs w:val="22"/>
        </w:rPr>
        <w:t>The Psychological record</w:t>
      </w:r>
      <w:r w:rsidRPr="00905AEB">
        <w:rPr>
          <w:rFonts w:ascii="Arial" w:hAnsi="Arial" w:cs="Arial"/>
          <w:color w:val="3A3A3A"/>
          <w:sz w:val="22"/>
          <w:szCs w:val="22"/>
          <w:shd w:val="clear" w:color="auto" w:fill="FFFFFF"/>
        </w:rPr>
        <w:t xml:space="preserve">, 61(3), pp. 449–463. Available at: </w:t>
      </w:r>
      <w:hyperlink r:id="rId16" w:history="1">
        <w:r w:rsidRPr="00905AEB">
          <w:rPr>
            <w:rStyle w:val="Hyperlink"/>
            <w:rFonts w:ascii="Arial" w:hAnsi="Arial" w:cs="Arial"/>
            <w:sz w:val="22"/>
            <w:szCs w:val="22"/>
            <w:shd w:val="clear" w:color="auto" w:fill="FFFFFF"/>
          </w:rPr>
          <w:t>https://doi.org/10.1007/BF03395771</w:t>
        </w:r>
      </w:hyperlink>
      <w:r w:rsidRPr="00905AEB">
        <w:rPr>
          <w:rFonts w:ascii="Arial" w:hAnsi="Arial" w:cs="Arial"/>
          <w:color w:val="3A3A3A"/>
          <w:sz w:val="22"/>
          <w:szCs w:val="22"/>
          <w:shd w:val="clear" w:color="auto" w:fill="FFFFFF"/>
        </w:rPr>
        <w:t xml:space="preserve">  </w:t>
      </w:r>
    </w:p>
    <w:p w14:paraId="334283E5" w14:textId="77777777" w:rsidR="008906EC" w:rsidRPr="00905AEB" w:rsidRDefault="008906EC" w:rsidP="00905AEB">
      <w:pPr>
        <w:spacing w:line="360" w:lineRule="auto"/>
        <w:ind w:left="360"/>
        <w:jc w:val="both"/>
        <w:rPr>
          <w:rFonts w:ascii="Arial" w:hAnsi="Arial" w:cs="Arial"/>
          <w:color w:val="3A3A3A"/>
          <w:sz w:val="22"/>
          <w:szCs w:val="22"/>
          <w:shd w:val="clear" w:color="auto" w:fill="FFFFFF"/>
        </w:rPr>
      </w:pPr>
    </w:p>
    <w:p w14:paraId="07D96B75" w14:textId="77777777" w:rsidR="00905AEB" w:rsidRPr="00905AEB" w:rsidRDefault="008906EC" w:rsidP="00905AEB">
      <w:pPr>
        <w:spacing w:line="360" w:lineRule="auto"/>
        <w:ind w:left="360"/>
        <w:jc w:val="both"/>
        <w:rPr>
          <w:rFonts w:ascii="Arial" w:hAnsi="Arial" w:cs="Arial"/>
          <w:color w:val="3A3A3A"/>
          <w:sz w:val="22"/>
          <w:szCs w:val="22"/>
          <w:shd w:val="clear" w:color="auto" w:fill="FFFFFF"/>
        </w:rPr>
      </w:pPr>
      <w:r w:rsidRPr="00905AEB">
        <w:rPr>
          <w:rFonts w:ascii="Arial" w:hAnsi="Arial" w:cs="Arial"/>
          <w:color w:val="3A3A3A"/>
          <w:sz w:val="22"/>
          <w:szCs w:val="22"/>
          <w:shd w:val="clear" w:color="auto" w:fill="FFFFFF"/>
        </w:rPr>
        <w:lastRenderedPageBreak/>
        <w:t xml:space="preserve">O’Donnell, E., Holland, C., &amp; Swarbrick, C. (2022) ‘Strategies used by care home staff to manage behaviour that challenges in dementia: A systematic review of qualitative studies’, </w:t>
      </w:r>
      <w:r w:rsidRPr="00905AEB">
        <w:rPr>
          <w:rFonts w:ascii="Arial" w:hAnsi="Arial" w:cs="Arial"/>
          <w:i/>
          <w:iCs/>
          <w:color w:val="3A3A3A"/>
          <w:sz w:val="22"/>
          <w:szCs w:val="22"/>
        </w:rPr>
        <w:t>International Journal of Nursing Studies</w:t>
      </w:r>
      <w:r w:rsidRPr="00905AEB">
        <w:rPr>
          <w:rFonts w:ascii="Arial" w:hAnsi="Arial" w:cs="Arial"/>
          <w:color w:val="3A3A3A"/>
          <w:sz w:val="22"/>
          <w:szCs w:val="22"/>
          <w:shd w:val="clear" w:color="auto" w:fill="FFFFFF"/>
        </w:rPr>
        <w:t>,</w:t>
      </w:r>
      <w:r w:rsidRPr="00905AEB">
        <w:rPr>
          <w:rStyle w:val="apple-converted-space"/>
          <w:rFonts w:ascii="Arial" w:hAnsi="Arial" w:cs="Arial"/>
          <w:color w:val="3A3A3A"/>
          <w:sz w:val="22"/>
          <w:szCs w:val="22"/>
          <w:shd w:val="clear" w:color="auto" w:fill="FFFFFF"/>
        </w:rPr>
        <w:t> </w:t>
      </w:r>
      <w:r w:rsidRPr="00905AEB">
        <w:rPr>
          <w:rFonts w:ascii="Arial" w:hAnsi="Arial" w:cs="Arial"/>
          <w:i/>
          <w:iCs/>
          <w:color w:val="3A3A3A"/>
          <w:sz w:val="22"/>
          <w:szCs w:val="22"/>
        </w:rPr>
        <w:t>133</w:t>
      </w:r>
      <w:r w:rsidRPr="00905AEB">
        <w:rPr>
          <w:rFonts w:ascii="Arial" w:hAnsi="Arial" w:cs="Arial"/>
          <w:color w:val="3A3A3A"/>
          <w:sz w:val="22"/>
          <w:szCs w:val="22"/>
          <w:shd w:val="clear" w:color="auto" w:fill="FFFFFF"/>
        </w:rPr>
        <w:t xml:space="preserve">, Article 104260. Available at: </w:t>
      </w:r>
      <w:hyperlink r:id="rId17" w:history="1">
        <w:r w:rsidRPr="00905AEB">
          <w:rPr>
            <w:rStyle w:val="Hyperlink"/>
            <w:rFonts w:ascii="Arial" w:hAnsi="Arial" w:cs="Arial"/>
            <w:sz w:val="22"/>
            <w:szCs w:val="22"/>
            <w:shd w:val="clear" w:color="auto" w:fill="FFFFFF"/>
          </w:rPr>
          <w:t>https://doi.org/10.1016/j.ijnurstu.2022.104260</w:t>
        </w:r>
      </w:hyperlink>
    </w:p>
    <w:p w14:paraId="76E2C6FD" w14:textId="77777777" w:rsidR="00905AEB" w:rsidRPr="00905AEB" w:rsidRDefault="00905AEB" w:rsidP="00905AEB">
      <w:pPr>
        <w:spacing w:line="360" w:lineRule="auto"/>
        <w:ind w:left="360"/>
        <w:jc w:val="both"/>
        <w:rPr>
          <w:rFonts w:ascii="Arial" w:hAnsi="Arial" w:cs="Arial"/>
          <w:color w:val="3A3A3A"/>
          <w:sz w:val="22"/>
          <w:szCs w:val="22"/>
          <w:shd w:val="clear" w:color="auto" w:fill="FFFFFF"/>
        </w:rPr>
      </w:pPr>
    </w:p>
    <w:p w14:paraId="149A3F70" w14:textId="3AFC29F7" w:rsidR="00C6708C" w:rsidRPr="00905AEB" w:rsidRDefault="00C6708C" w:rsidP="00905AEB">
      <w:pPr>
        <w:spacing w:line="360" w:lineRule="auto"/>
        <w:ind w:left="360"/>
        <w:jc w:val="both"/>
        <w:rPr>
          <w:rFonts w:ascii="Arial" w:hAnsi="Arial" w:cs="Arial"/>
          <w:color w:val="3A3A3A"/>
          <w:sz w:val="22"/>
          <w:szCs w:val="22"/>
          <w:shd w:val="clear" w:color="auto" w:fill="FFFFFF"/>
        </w:rPr>
      </w:pPr>
      <w:r w:rsidRPr="00905AEB">
        <w:rPr>
          <w:rFonts w:ascii="Arial" w:hAnsi="Arial" w:cs="Arial"/>
          <w:color w:val="3A3A3A"/>
          <w:sz w:val="22"/>
          <w:szCs w:val="22"/>
          <w:shd w:val="clear" w:color="auto" w:fill="FFFFFF"/>
        </w:rPr>
        <w:t xml:space="preserve">Olsen, C. F., </w:t>
      </w:r>
      <w:proofErr w:type="spellStart"/>
      <w:r w:rsidRPr="00905AEB">
        <w:rPr>
          <w:rFonts w:ascii="Arial" w:hAnsi="Arial" w:cs="Arial"/>
          <w:color w:val="3A3A3A"/>
          <w:sz w:val="22"/>
          <w:szCs w:val="22"/>
          <w:shd w:val="clear" w:color="auto" w:fill="FFFFFF"/>
        </w:rPr>
        <w:t>Telenius</w:t>
      </w:r>
      <w:proofErr w:type="spellEnd"/>
      <w:r w:rsidRPr="00905AEB">
        <w:rPr>
          <w:rFonts w:ascii="Arial" w:hAnsi="Arial" w:cs="Arial"/>
          <w:color w:val="3A3A3A"/>
          <w:sz w:val="22"/>
          <w:szCs w:val="22"/>
          <w:shd w:val="clear" w:color="auto" w:fill="FFFFFF"/>
        </w:rPr>
        <w:t>, E. W., Engedal, K., &amp; Bergland, A. (2015)</w:t>
      </w:r>
      <w:r w:rsidR="00211F5A" w:rsidRPr="00905AEB">
        <w:rPr>
          <w:rFonts w:ascii="Arial" w:hAnsi="Arial" w:cs="Arial"/>
          <w:color w:val="3A3A3A"/>
          <w:sz w:val="22"/>
          <w:szCs w:val="22"/>
          <w:shd w:val="clear" w:color="auto" w:fill="FFFFFF"/>
        </w:rPr>
        <w:t xml:space="preserve"> ‘</w:t>
      </w:r>
      <w:r w:rsidRPr="00905AEB">
        <w:rPr>
          <w:rFonts w:ascii="Arial" w:hAnsi="Arial" w:cs="Arial"/>
          <w:color w:val="3A3A3A"/>
          <w:sz w:val="22"/>
          <w:szCs w:val="22"/>
          <w:shd w:val="clear" w:color="auto" w:fill="FFFFFF"/>
        </w:rPr>
        <w:t>Increased self-efficacy: the experience of high-intensity exercise of nursing home residents with dementia – a qualitative study</w:t>
      </w:r>
      <w:r w:rsidR="00211F5A" w:rsidRPr="00905AEB">
        <w:rPr>
          <w:rFonts w:ascii="Arial" w:hAnsi="Arial" w:cs="Arial"/>
          <w:color w:val="3A3A3A"/>
          <w:sz w:val="22"/>
          <w:szCs w:val="22"/>
          <w:shd w:val="clear" w:color="auto" w:fill="FFFFFF"/>
        </w:rPr>
        <w:t xml:space="preserve">’, </w:t>
      </w:r>
      <w:r w:rsidRPr="00905AEB">
        <w:rPr>
          <w:rFonts w:ascii="Arial" w:hAnsi="Arial" w:cs="Arial"/>
          <w:i/>
          <w:iCs/>
          <w:color w:val="3A3A3A"/>
          <w:sz w:val="22"/>
          <w:szCs w:val="22"/>
        </w:rPr>
        <w:t>BMC Health Services Research</w:t>
      </w:r>
      <w:r w:rsidRPr="00905AEB">
        <w:rPr>
          <w:rFonts w:ascii="Arial" w:hAnsi="Arial" w:cs="Arial"/>
          <w:color w:val="3A3A3A"/>
          <w:sz w:val="22"/>
          <w:szCs w:val="22"/>
          <w:shd w:val="clear" w:color="auto" w:fill="FFFFFF"/>
        </w:rPr>
        <w:t>,</w:t>
      </w:r>
      <w:r w:rsidRPr="00905AEB">
        <w:rPr>
          <w:rStyle w:val="apple-converted-space"/>
          <w:rFonts w:ascii="Arial" w:hAnsi="Arial" w:cs="Arial"/>
          <w:color w:val="3A3A3A"/>
          <w:sz w:val="22"/>
          <w:szCs w:val="22"/>
          <w:shd w:val="clear" w:color="auto" w:fill="FFFFFF"/>
        </w:rPr>
        <w:t> </w:t>
      </w:r>
      <w:r w:rsidRPr="00905AEB">
        <w:rPr>
          <w:rFonts w:ascii="Arial" w:hAnsi="Arial" w:cs="Arial"/>
          <w:i/>
          <w:iCs/>
          <w:color w:val="3A3A3A"/>
          <w:sz w:val="22"/>
          <w:szCs w:val="22"/>
        </w:rPr>
        <w:t>15</w:t>
      </w:r>
      <w:r w:rsidRPr="00905AEB">
        <w:rPr>
          <w:rFonts w:ascii="Arial" w:hAnsi="Arial" w:cs="Arial"/>
          <w:color w:val="3A3A3A"/>
          <w:sz w:val="22"/>
          <w:szCs w:val="22"/>
          <w:shd w:val="clear" w:color="auto" w:fill="FFFFFF"/>
        </w:rPr>
        <w:t>(1), Article 379.</w:t>
      </w:r>
      <w:r w:rsidR="00211F5A" w:rsidRPr="00905AEB">
        <w:rPr>
          <w:rFonts w:ascii="Arial" w:hAnsi="Arial" w:cs="Arial"/>
          <w:color w:val="3A3A3A"/>
          <w:sz w:val="22"/>
          <w:szCs w:val="22"/>
          <w:shd w:val="clear" w:color="auto" w:fill="FFFFFF"/>
        </w:rPr>
        <w:t xml:space="preserve"> Available at:</w:t>
      </w:r>
      <w:r w:rsidRPr="00905AEB">
        <w:rPr>
          <w:rFonts w:ascii="Arial" w:hAnsi="Arial" w:cs="Arial"/>
          <w:color w:val="3A3A3A"/>
          <w:sz w:val="22"/>
          <w:szCs w:val="22"/>
          <w:shd w:val="clear" w:color="auto" w:fill="FFFFFF"/>
        </w:rPr>
        <w:t xml:space="preserve"> </w:t>
      </w:r>
      <w:hyperlink r:id="rId18" w:history="1">
        <w:r w:rsidRPr="00905AEB">
          <w:rPr>
            <w:rStyle w:val="Hyperlink"/>
            <w:rFonts w:ascii="Arial" w:hAnsi="Arial" w:cs="Arial"/>
            <w:sz w:val="22"/>
            <w:szCs w:val="22"/>
            <w:shd w:val="clear" w:color="auto" w:fill="FFFFFF"/>
          </w:rPr>
          <w:t>https://doi.org/10.1186/s12913-015-1041-7</w:t>
        </w:r>
      </w:hyperlink>
    </w:p>
    <w:p w14:paraId="07806BA3" w14:textId="77777777" w:rsidR="00C6708C" w:rsidRPr="00905AEB" w:rsidRDefault="00C6708C" w:rsidP="00905AEB">
      <w:pPr>
        <w:spacing w:line="360" w:lineRule="auto"/>
        <w:ind w:left="360"/>
        <w:jc w:val="both"/>
        <w:rPr>
          <w:rFonts w:ascii="Arial" w:hAnsi="Arial" w:cs="Arial"/>
          <w:color w:val="3A3A3A"/>
          <w:sz w:val="22"/>
          <w:szCs w:val="22"/>
          <w:highlight w:val="yellow"/>
          <w:shd w:val="clear" w:color="auto" w:fill="FFFFFF"/>
        </w:rPr>
      </w:pPr>
    </w:p>
    <w:p w14:paraId="3A27B59C" w14:textId="16428DDE" w:rsidR="00C6708C" w:rsidRPr="00905AEB" w:rsidRDefault="00C6708C" w:rsidP="00905AEB">
      <w:pPr>
        <w:spacing w:line="360" w:lineRule="auto"/>
        <w:ind w:left="360"/>
        <w:jc w:val="both"/>
        <w:rPr>
          <w:rFonts w:ascii="Arial" w:hAnsi="Arial" w:cs="Arial"/>
          <w:color w:val="3A3A3A"/>
          <w:sz w:val="22"/>
          <w:szCs w:val="22"/>
          <w:shd w:val="clear" w:color="auto" w:fill="FFFFFF"/>
        </w:rPr>
      </w:pPr>
      <w:r w:rsidRPr="00905AEB">
        <w:rPr>
          <w:rFonts w:ascii="Arial" w:hAnsi="Arial" w:cs="Arial"/>
          <w:color w:val="3A3A3A"/>
          <w:sz w:val="22"/>
          <w:szCs w:val="22"/>
          <w:shd w:val="clear" w:color="auto" w:fill="FFFFFF"/>
        </w:rPr>
        <w:t xml:space="preserve">Schou-Juul, F., Ferm, L.-M. T., Kinch, S., Skov, S. S., Ritz, C., &amp; Lauridsen, S. (2024) </w:t>
      </w:r>
      <w:r w:rsidR="00211F5A" w:rsidRPr="00905AEB">
        <w:rPr>
          <w:rFonts w:ascii="Arial" w:hAnsi="Arial" w:cs="Arial"/>
          <w:color w:val="3A3A3A"/>
          <w:sz w:val="22"/>
          <w:szCs w:val="22"/>
          <w:shd w:val="clear" w:color="auto" w:fill="FFFFFF"/>
        </w:rPr>
        <w:t>‘</w:t>
      </w:r>
      <w:r w:rsidRPr="00905AEB">
        <w:rPr>
          <w:rFonts w:ascii="Arial" w:hAnsi="Arial" w:cs="Arial"/>
          <w:color w:val="3A3A3A"/>
          <w:sz w:val="22"/>
          <w:szCs w:val="22"/>
          <w:shd w:val="clear" w:color="auto" w:fill="FFFFFF"/>
        </w:rPr>
        <w:t>Ethical self-efficacy among healthcare professionals caring for people with dementia: a brief pre- and post-report on the CARE intervention</w:t>
      </w:r>
      <w:r w:rsidR="00211F5A" w:rsidRPr="00905AEB">
        <w:rPr>
          <w:rFonts w:ascii="Arial" w:hAnsi="Arial" w:cs="Arial"/>
          <w:color w:val="3A3A3A"/>
          <w:sz w:val="22"/>
          <w:szCs w:val="22"/>
          <w:shd w:val="clear" w:color="auto" w:fill="FFFFFF"/>
        </w:rPr>
        <w:t xml:space="preserve">’, </w:t>
      </w:r>
      <w:r w:rsidRPr="00905AEB">
        <w:rPr>
          <w:rFonts w:ascii="Arial" w:hAnsi="Arial" w:cs="Arial"/>
          <w:i/>
          <w:iCs/>
          <w:color w:val="3A3A3A"/>
          <w:sz w:val="22"/>
          <w:szCs w:val="22"/>
        </w:rPr>
        <w:t>BMC Medical Ethics</w:t>
      </w:r>
      <w:r w:rsidRPr="00905AEB">
        <w:rPr>
          <w:rFonts w:ascii="Arial" w:hAnsi="Arial" w:cs="Arial"/>
          <w:color w:val="3A3A3A"/>
          <w:sz w:val="22"/>
          <w:szCs w:val="22"/>
          <w:shd w:val="clear" w:color="auto" w:fill="FFFFFF"/>
        </w:rPr>
        <w:t>,</w:t>
      </w:r>
      <w:r w:rsidRPr="00905AEB">
        <w:rPr>
          <w:rStyle w:val="apple-converted-space"/>
          <w:rFonts w:ascii="Arial" w:hAnsi="Arial" w:cs="Arial"/>
          <w:color w:val="3A3A3A"/>
          <w:sz w:val="22"/>
          <w:szCs w:val="22"/>
          <w:shd w:val="clear" w:color="auto" w:fill="FFFFFF"/>
        </w:rPr>
        <w:t> </w:t>
      </w:r>
      <w:r w:rsidRPr="00905AEB">
        <w:rPr>
          <w:rFonts w:ascii="Arial" w:hAnsi="Arial" w:cs="Arial"/>
          <w:i/>
          <w:iCs/>
          <w:color w:val="3A3A3A"/>
          <w:sz w:val="22"/>
          <w:szCs w:val="22"/>
        </w:rPr>
        <w:t>25</w:t>
      </w:r>
      <w:r w:rsidRPr="00905AEB">
        <w:rPr>
          <w:rFonts w:ascii="Arial" w:hAnsi="Arial" w:cs="Arial"/>
          <w:color w:val="3A3A3A"/>
          <w:sz w:val="22"/>
          <w:szCs w:val="22"/>
          <w:shd w:val="clear" w:color="auto" w:fill="FFFFFF"/>
        </w:rPr>
        <w:t>(1), Article 109.</w:t>
      </w:r>
      <w:r w:rsidR="00E32306" w:rsidRPr="00905AEB">
        <w:rPr>
          <w:rFonts w:ascii="Arial" w:hAnsi="Arial" w:cs="Arial"/>
          <w:color w:val="3A3A3A"/>
          <w:sz w:val="22"/>
          <w:szCs w:val="22"/>
          <w:shd w:val="clear" w:color="auto" w:fill="FFFFFF"/>
        </w:rPr>
        <w:t xml:space="preserve"> Available at: </w:t>
      </w:r>
      <w:hyperlink r:id="rId19" w:history="1">
        <w:r w:rsidR="00E32306" w:rsidRPr="00905AEB">
          <w:rPr>
            <w:rStyle w:val="Hyperlink"/>
            <w:rFonts w:ascii="Arial" w:hAnsi="Arial" w:cs="Arial"/>
            <w:sz w:val="22"/>
            <w:szCs w:val="22"/>
            <w:shd w:val="clear" w:color="auto" w:fill="FFFFFF"/>
          </w:rPr>
          <w:t>https://doi.org/10.1186/s12910-024-01106-z</w:t>
        </w:r>
      </w:hyperlink>
    </w:p>
    <w:p w14:paraId="06008A07" w14:textId="77777777" w:rsidR="00C6708C" w:rsidRPr="00905AEB" w:rsidRDefault="00C6708C" w:rsidP="00905AEB">
      <w:pPr>
        <w:spacing w:line="360" w:lineRule="auto"/>
        <w:ind w:left="360"/>
        <w:jc w:val="both"/>
        <w:rPr>
          <w:rFonts w:ascii="Arial" w:hAnsi="Arial" w:cs="Arial"/>
          <w:color w:val="3A3A3A"/>
          <w:sz w:val="22"/>
          <w:szCs w:val="22"/>
          <w:highlight w:val="yellow"/>
          <w:shd w:val="clear" w:color="auto" w:fill="FFFFFF"/>
        </w:rPr>
      </w:pPr>
    </w:p>
    <w:p w14:paraId="61EA3893" w14:textId="77777777" w:rsidR="00C6708C" w:rsidRPr="00905AEB" w:rsidRDefault="00C6708C" w:rsidP="00905AEB">
      <w:pPr>
        <w:spacing w:line="360" w:lineRule="auto"/>
        <w:ind w:left="360"/>
        <w:jc w:val="both"/>
        <w:rPr>
          <w:rFonts w:ascii="Arial" w:hAnsi="Arial" w:cs="Arial"/>
          <w:color w:val="3A3A3A"/>
          <w:sz w:val="22"/>
          <w:szCs w:val="22"/>
          <w:highlight w:val="yellow"/>
          <w:shd w:val="clear" w:color="auto" w:fill="FFFFFF"/>
        </w:rPr>
      </w:pPr>
    </w:p>
    <w:p w14:paraId="6430C9C5" w14:textId="77777777" w:rsidR="00E32306" w:rsidRPr="00905AEB" w:rsidRDefault="00E32306" w:rsidP="00905AEB">
      <w:pPr>
        <w:spacing w:line="360" w:lineRule="auto"/>
        <w:ind w:left="360"/>
        <w:jc w:val="both"/>
        <w:rPr>
          <w:rFonts w:ascii="Arial" w:hAnsi="Arial" w:cs="Arial"/>
          <w:color w:val="3A3A3A"/>
          <w:sz w:val="22"/>
          <w:szCs w:val="22"/>
          <w:highlight w:val="yellow"/>
          <w:shd w:val="clear" w:color="auto" w:fill="FFFFFF"/>
        </w:rPr>
      </w:pPr>
    </w:p>
    <w:p w14:paraId="526DA124" w14:textId="77777777" w:rsidR="00130DF6" w:rsidRPr="00211F5A" w:rsidRDefault="00130DF6" w:rsidP="008E71EA">
      <w:pPr>
        <w:spacing w:line="360" w:lineRule="auto"/>
        <w:ind w:left="360"/>
        <w:jc w:val="both"/>
        <w:rPr>
          <w:rFonts w:ascii="Arial" w:hAnsi="Arial" w:cs="Arial"/>
          <w:color w:val="3A3A3A"/>
          <w:sz w:val="22"/>
          <w:szCs w:val="22"/>
          <w:highlight w:val="yellow"/>
          <w:shd w:val="clear" w:color="auto" w:fill="FFFFFF"/>
        </w:rPr>
      </w:pPr>
    </w:p>
    <w:p w14:paraId="0B95180B" w14:textId="77777777" w:rsidR="00130DF6" w:rsidRPr="008D56A0" w:rsidRDefault="00130DF6" w:rsidP="008E71EA">
      <w:pPr>
        <w:spacing w:line="360" w:lineRule="auto"/>
        <w:ind w:left="360"/>
        <w:jc w:val="both"/>
        <w:rPr>
          <w:rFonts w:ascii="Arial" w:hAnsi="Arial" w:cs="Arial"/>
          <w:color w:val="3A3A3A"/>
          <w:sz w:val="22"/>
          <w:szCs w:val="22"/>
          <w:shd w:val="clear" w:color="auto" w:fill="FFFFFF"/>
        </w:rPr>
      </w:pPr>
    </w:p>
    <w:p w14:paraId="51F9D34B" w14:textId="77777777" w:rsidR="008E71EA" w:rsidRPr="00211F5A" w:rsidRDefault="008E71EA" w:rsidP="008E71EA">
      <w:pPr>
        <w:spacing w:line="360" w:lineRule="auto"/>
        <w:ind w:left="360"/>
        <w:jc w:val="both"/>
        <w:rPr>
          <w:rFonts w:ascii="Arial" w:hAnsi="Arial" w:cs="Arial"/>
          <w:color w:val="3A3A3A"/>
          <w:sz w:val="22"/>
          <w:szCs w:val="22"/>
          <w:highlight w:val="yellow"/>
          <w:shd w:val="clear" w:color="auto" w:fill="FFFFFF"/>
        </w:rPr>
      </w:pPr>
    </w:p>
    <w:p w14:paraId="3DD2BBE3" w14:textId="77777777" w:rsidR="00130DF6" w:rsidRPr="006A0B89" w:rsidRDefault="00130DF6" w:rsidP="0031004B">
      <w:pPr>
        <w:ind w:left="360"/>
      </w:pPr>
    </w:p>
    <w:p w14:paraId="51BAFA48" w14:textId="77777777" w:rsidR="00CC3F85" w:rsidRPr="001F7A07" w:rsidRDefault="00CC3F85" w:rsidP="0031004B">
      <w:pPr>
        <w:spacing w:line="360" w:lineRule="auto"/>
        <w:jc w:val="both"/>
        <w:rPr>
          <w:b/>
          <w:bCs/>
          <w:i/>
          <w:iCs/>
          <w:lang w:val="uk-UA"/>
        </w:rPr>
      </w:pPr>
    </w:p>
    <w:p w14:paraId="32417EF7" w14:textId="77777777" w:rsidR="00CC3F85" w:rsidRPr="00CC3F85" w:rsidRDefault="00CC3F85" w:rsidP="00CC3F85">
      <w:pPr>
        <w:spacing w:line="360" w:lineRule="auto"/>
        <w:jc w:val="both"/>
        <w:rPr>
          <w:b/>
          <w:bCs/>
          <w:i/>
          <w:iCs/>
        </w:rPr>
      </w:pPr>
    </w:p>
    <w:p w14:paraId="3FD86A8B" w14:textId="13F7A141" w:rsidR="00C46EED" w:rsidRPr="00CC3F85" w:rsidRDefault="00C46EED" w:rsidP="00CC3F85">
      <w:pPr>
        <w:spacing w:line="360" w:lineRule="auto"/>
        <w:jc w:val="both"/>
        <w:rPr>
          <w:rFonts w:eastAsia="Verdana"/>
          <w:b/>
          <w:bCs/>
          <w:color w:val="000000" w:themeColor="text1"/>
        </w:rPr>
      </w:pPr>
    </w:p>
    <w:sectPr w:rsidR="00C46EED" w:rsidRPr="00CC3F85">
      <w:footerReference w:type="default" r:id="rId2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02E9B0" w14:textId="77777777" w:rsidR="00C82342" w:rsidRDefault="00C82342">
      <w:r>
        <w:separator/>
      </w:r>
    </w:p>
  </w:endnote>
  <w:endnote w:type="continuationSeparator" w:id="0">
    <w:p w14:paraId="1DADC956" w14:textId="77777777" w:rsidR="00C82342" w:rsidRDefault="00C823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notTrueType/>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notTrueType/>
    <w:pitch w:val="variable"/>
    <w:sig w:usb0="A00002BF" w:usb1="38CF7CFA" w:usb2="00000016" w:usb3="00000000" w:csb0="0004000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ED219C">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523D8F" w14:textId="77777777" w:rsidR="00C82342" w:rsidRDefault="00C82342">
      <w:r>
        <w:rPr>
          <w:color w:val="000000"/>
        </w:rPr>
        <w:separator/>
      </w:r>
    </w:p>
  </w:footnote>
  <w:footnote w:type="continuationSeparator" w:id="0">
    <w:p w14:paraId="69538096" w14:textId="77777777" w:rsidR="00C82342" w:rsidRDefault="00C823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E4C0A"/>
    <w:multiLevelType w:val="hybridMultilevel"/>
    <w:tmpl w:val="8AA2D1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1"/>
  </w:num>
  <w:num w:numId="2" w16cid:durableId="1933659667">
    <w:abstractNumId w:val="2"/>
  </w:num>
  <w:num w:numId="3" w16cid:durableId="5687366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773D"/>
    <w:rsid w:val="00060967"/>
    <w:rsid w:val="00081F2D"/>
    <w:rsid w:val="000A490D"/>
    <w:rsid w:val="000A59DA"/>
    <w:rsid w:val="000A6D33"/>
    <w:rsid w:val="000C2F88"/>
    <w:rsid w:val="000D2058"/>
    <w:rsid w:val="00120EB5"/>
    <w:rsid w:val="00130DF6"/>
    <w:rsid w:val="001616F7"/>
    <w:rsid w:val="00173F1E"/>
    <w:rsid w:val="001A3C30"/>
    <w:rsid w:val="001C5119"/>
    <w:rsid w:val="001D60AF"/>
    <w:rsid w:val="001F5161"/>
    <w:rsid w:val="001F7A07"/>
    <w:rsid w:val="00203B5E"/>
    <w:rsid w:val="00211F5A"/>
    <w:rsid w:val="002674A9"/>
    <w:rsid w:val="00297D54"/>
    <w:rsid w:val="002A748D"/>
    <w:rsid w:val="002C2808"/>
    <w:rsid w:val="0031004B"/>
    <w:rsid w:val="00314E59"/>
    <w:rsid w:val="00333FDD"/>
    <w:rsid w:val="00335F42"/>
    <w:rsid w:val="00367A97"/>
    <w:rsid w:val="0038363A"/>
    <w:rsid w:val="0039287D"/>
    <w:rsid w:val="00395678"/>
    <w:rsid w:val="0044123B"/>
    <w:rsid w:val="00441662"/>
    <w:rsid w:val="004421B1"/>
    <w:rsid w:val="00486FC2"/>
    <w:rsid w:val="004C65B8"/>
    <w:rsid w:val="004D31D3"/>
    <w:rsid w:val="004D4F2E"/>
    <w:rsid w:val="004D5ADA"/>
    <w:rsid w:val="0056251E"/>
    <w:rsid w:val="005A7BBE"/>
    <w:rsid w:val="005B1D3F"/>
    <w:rsid w:val="005C4BE8"/>
    <w:rsid w:val="005D0E9F"/>
    <w:rsid w:val="005E1BD3"/>
    <w:rsid w:val="005F0D19"/>
    <w:rsid w:val="006003F6"/>
    <w:rsid w:val="006063D8"/>
    <w:rsid w:val="00661BCF"/>
    <w:rsid w:val="00687218"/>
    <w:rsid w:val="0068758D"/>
    <w:rsid w:val="006A0B89"/>
    <w:rsid w:val="006B67F9"/>
    <w:rsid w:val="00707092"/>
    <w:rsid w:val="00726FEE"/>
    <w:rsid w:val="007271E1"/>
    <w:rsid w:val="00757FC5"/>
    <w:rsid w:val="007804B7"/>
    <w:rsid w:val="00781126"/>
    <w:rsid w:val="007831E6"/>
    <w:rsid w:val="007B699E"/>
    <w:rsid w:val="007C7D28"/>
    <w:rsid w:val="00841553"/>
    <w:rsid w:val="008467C8"/>
    <w:rsid w:val="008677D7"/>
    <w:rsid w:val="008731C0"/>
    <w:rsid w:val="00876B00"/>
    <w:rsid w:val="008906EC"/>
    <w:rsid w:val="008A3A42"/>
    <w:rsid w:val="008C5F10"/>
    <w:rsid w:val="008D56A0"/>
    <w:rsid w:val="008E71EA"/>
    <w:rsid w:val="00905AEB"/>
    <w:rsid w:val="00941919"/>
    <w:rsid w:val="009814B5"/>
    <w:rsid w:val="00986F68"/>
    <w:rsid w:val="009958E5"/>
    <w:rsid w:val="00A04E3A"/>
    <w:rsid w:val="00A1080D"/>
    <w:rsid w:val="00A319CB"/>
    <w:rsid w:val="00A34563"/>
    <w:rsid w:val="00A40468"/>
    <w:rsid w:val="00A4765B"/>
    <w:rsid w:val="00A97C73"/>
    <w:rsid w:val="00AD6FB8"/>
    <w:rsid w:val="00AD75F4"/>
    <w:rsid w:val="00AE51BF"/>
    <w:rsid w:val="00AE5D47"/>
    <w:rsid w:val="00B1402F"/>
    <w:rsid w:val="00B840CA"/>
    <w:rsid w:val="00BC27A8"/>
    <w:rsid w:val="00BC6FAF"/>
    <w:rsid w:val="00C10824"/>
    <w:rsid w:val="00C13765"/>
    <w:rsid w:val="00C16BE1"/>
    <w:rsid w:val="00C31CBF"/>
    <w:rsid w:val="00C34BEA"/>
    <w:rsid w:val="00C46EED"/>
    <w:rsid w:val="00C66091"/>
    <w:rsid w:val="00C6708C"/>
    <w:rsid w:val="00C82342"/>
    <w:rsid w:val="00CC1632"/>
    <w:rsid w:val="00CC3F85"/>
    <w:rsid w:val="00CC71B9"/>
    <w:rsid w:val="00CD3DA6"/>
    <w:rsid w:val="00CD42EC"/>
    <w:rsid w:val="00D13281"/>
    <w:rsid w:val="00D34FED"/>
    <w:rsid w:val="00D45B47"/>
    <w:rsid w:val="00D77382"/>
    <w:rsid w:val="00D80574"/>
    <w:rsid w:val="00D86336"/>
    <w:rsid w:val="00DB464A"/>
    <w:rsid w:val="00DD6B16"/>
    <w:rsid w:val="00DF0219"/>
    <w:rsid w:val="00DF16A6"/>
    <w:rsid w:val="00E11455"/>
    <w:rsid w:val="00E22875"/>
    <w:rsid w:val="00E32306"/>
    <w:rsid w:val="00E33FCF"/>
    <w:rsid w:val="00E42822"/>
    <w:rsid w:val="00E53C21"/>
    <w:rsid w:val="00E903B9"/>
    <w:rsid w:val="00EC4D9E"/>
    <w:rsid w:val="00ED219C"/>
    <w:rsid w:val="00ED7877"/>
    <w:rsid w:val="00F43415"/>
    <w:rsid w:val="00F611B5"/>
    <w:rsid w:val="00F82722"/>
    <w:rsid w:val="00F875CE"/>
    <w:rsid w:val="00F97970"/>
    <w:rsid w:val="00FD7F29"/>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0219"/>
    <w:pPr>
      <w:autoSpaceDN/>
      <w:spacing w:line="240" w:lineRule="auto"/>
      <w:textAlignment w:val="auto"/>
    </w:pPr>
    <w:rPr>
      <w:rFonts w:ascii="Times New Roman" w:eastAsia="Times New Roman" w:hAnsi="Times New Roman" w:cs="Times New Roman"/>
      <w:sz w:val="24"/>
      <w:szCs w:val="24"/>
    </w:rPr>
  </w:style>
  <w:style w:type="paragraph" w:styleId="Heading1">
    <w:name w:val="heading 1"/>
    <w:basedOn w:val="Normal"/>
    <w:next w:val="Normal"/>
    <w:uiPriority w:val="9"/>
    <w:qFormat/>
    <w:pPr>
      <w:keepNext/>
      <w:keepLines/>
      <w:suppressAutoHyphens/>
      <w:autoSpaceDN w:val="0"/>
      <w:spacing w:before="400" w:after="120" w:line="276" w:lineRule="auto"/>
      <w:textAlignment w:val="baseline"/>
      <w:outlineLvl w:val="0"/>
    </w:pPr>
    <w:rPr>
      <w:rFonts w:ascii="Arial" w:eastAsia="Arial" w:hAnsi="Arial" w:cs="Arial"/>
      <w:sz w:val="40"/>
      <w:szCs w:val="40"/>
    </w:rPr>
  </w:style>
  <w:style w:type="paragraph" w:styleId="Heading2">
    <w:name w:val="heading 2"/>
    <w:basedOn w:val="Normal"/>
    <w:next w:val="Normal"/>
    <w:uiPriority w:val="9"/>
    <w:unhideWhenUsed/>
    <w:qFormat/>
    <w:pPr>
      <w:keepNext/>
      <w:keepLines/>
      <w:suppressAutoHyphens/>
      <w:autoSpaceDN w:val="0"/>
      <w:spacing w:before="360" w:after="120" w:line="276" w:lineRule="auto"/>
      <w:textAlignment w:val="baseline"/>
      <w:outlineLvl w:val="1"/>
    </w:pPr>
    <w:rPr>
      <w:rFonts w:ascii="Arial" w:eastAsia="Arial" w:hAnsi="Arial" w:cs="Arial"/>
      <w:sz w:val="32"/>
      <w:szCs w:val="32"/>
    </w:rPr>
  </w:style>
  <w:style w:type="paragraph" w:styleId="Heading3">
    <w:name w:val="heading 3"/>
    <w:basedOn w:val="Normal"/>
    <w:next w:val="Normal"/>
    <w:uiPriority w:val="9"/>
    <w:unhideWhenUsed/>
    <w:qFormat/>
    <w:pPr>
      <w:keepNext/>
      <w:keepLines/>
      <w:suppressAutoHyphens/>
      <w:autoSpaceDN w:val="0"/>
      <w:spacing w:before="320" w:after="80" w:line="276" w:lineRule="auto"/>
      <w:textAlignment w:val="baseline"/>
      <w:outlineLvl w:val="2"/>
    </w:pPr>
    <w:rPr>
      <w:rFonts w:ascii="Arial" w:eastAsia="Arial" w:hAnsi="Arial" w:cs="Arial"/>
      <w:color w:val="434343"/>
      <w:sz w:val="28"/>
      <w:szCs w:val="28"/>
    </w:rPr>
  </w:style>
  <w:style w:type="paragraph" w:styleId="Heading4">
    <w:name w:val="heading 4"/>
    <w:basedOn w:val="Normal"/>
    <w:next w:val="Normal"/>
    <w:uiPriority w:val="9"/>
    <w:semiHidden/>
    <w:unhideWhenUsed/>
    <w:qFormat/>
    <w:pPr>
      <w:keepNext/>
      <w:keepLines/>
      <w:suppressAutoHyphens/>
      <w:autoSpaceDN w:val="0"/>
      <w:spacing w:before="280" w:after="80" w:line="276" w:lineRule="auto"/>
      <w:textAlignment w:val="baseline"/>
      <w:outlineLvl w:val="3"/>
    </w:pPr>
    <w:rPr>
      <w:rFonts w:ascii="Arial" w:eastAsia="Arial" w:hAnsi="Arial" w:cs="Arial"/>
      <w:color w:val="666666"/>
    </w:rPr>
  </w:style>
  <w:style w:type="paragraph" w:styleId="Heading5">
    <w:name w:val="heading 5"/>
    <w:basedOn w:val="Normal"/>
    <w:next w:val="Normal"/>
    <w:uiPriority w:val="9"/>
    <w:semiHidden/>
    <w:unhideWhenUsed/>
    <w:qFormat/>
    <w:pPr>
      <w:keepNext/>
      <w:keepLines/>
      <w:suppressAutoHyphens/>
      <w:autoSpaceDN w:val="0"/>
      <w:spacing w:before="240" w:after="80" w:line="276" w:lineRule="auto"/>
      <w:textAlignment w:val="baseline"/>
      <w:outlineLvl w:val="4"/>
    </w:pPr>
    <w:rPr>
      <w:rFonts w:ascii="Arial" w:eastAsia="Arial" w:hAnsi="Arial" w:cs="Arial"/>
      <w:color w:val="666666"/>
      <w:sz w:val="22"/>
      <w:szCs w:val="22"/>
    </w:rPr>
  </w:style>
  <w:style w:type="paragraph" w:styleId="Heading6">
    <w:name w:val="heading 6"/>
    <w:basedOn w:val="Normal"/>
    <w:next w:val="Normal"/>
    <w:uiPriority w:val="9"/>
    <w:semiHidden/>
    <w:unhideWhenUsed/>
    <w:qFormat/>
    <w:pPr>
      <w:keepNext/>
      <w:keepLines/>
      <w:suppressAutoHyphens/>
      <w:autoSpaceDN w:val="0"/>
      <w:spacing w:before="240" w:after="80" w:line="276" w:lineRule="auto"/>
      <w:textAlignment w:val="baseline"/>
      <w:outlineLvl w:val="5"/>
    </w:pPr>
    <w:rPr>
      <w:rFonts w:ascii="Arial" w:eastAsia="Arial" w:hAnsi="Arial" w:cs="Arial"/>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uppressAutoHyphens/>
      <w:autoSpaceDN w:val="0"/>
      <w:spacing w:after="60" w:line="276" w:lineRule="auto"/>
      <w:textAlignment w:val="baseline"/>
    </w:pPr>
    <w:rPr>
      <w:rFonts w:ascii="Arial" w:eastAsia="Arial" w:hAnsi="Arial" w:cs="Arial"/>
      <w:sz w:val="52"/>
      <w:szCs w:val="52"/>
    </w:rPr>
  </w:style>
  <w:style w:type="paragraph" w:styleId="Subtitle">
    <w:name w:val="Subtitle"/>
    <w:basedOn w:val="Normal"/>
    <w:next w:val="Normal"/>
    <w:uiPriority w:val="11"/>
    <w:qFormat/>
    <w:pPr>
      <w:keepNext/>
      <w:keepLines/>
      <w:suppressAutoHyphens/>
      <w:autoSpaceDN w:val="0"/>
      <w:spacing w:after="320" w:line="276" w:lineRule="auto"/>
      <w:textAlignment w:val="baseline"/>
    </w:pPr>
    <w:rPr>
      <w:rFonts w:ascii="Arial" w:eastAsia="Arial" w:hAnsi="Arial" w:cs="Arial"/>
      <w:color w:val="666666"/>
      <w:sz w:val="30"/>
      <w:szCs w:val="30"/>
    </w:rPr>
  </w:style>
  <w:style w:type="paragraph" w:styleId="Header">
    <w:name w:val="header"/>
    <w:basedOn w:val="Normal"/>
    <w:pPr>
      <w:tabs>
        <w:tab w:val="center" w:pos="4513"/>
        <w:tab w:val="right" w:pos="9026"/>
      </w:tabs>
      <w:suppressAutoHyphens/>
      <w:autoSpaceDN w:val="0"/>
      <w:textAlignment w:val="baseline"/>
    </w:pPr>
    <w:rPr>
      <w:rFonts w:ascii="Arial" w:eastAsia="Arial" w:hAnsi="Arial" w:cs="Arial"/>
      <w:sz w:val="22"/>
      <w:szCs w:val="22"/>
    </w:rPr>
  </w:style>
  <w:style w:type="character" w:customStyle="1" w:styleId="HeaderChar">
    <w:name w:val="Header Char"/>
    <w:basedOn w:val="DefaultParagraphFont"/>
  </w:style>
  <w:style w:type="paragraph" w:styleId="Footer">
    <w:name w:val="footer"/>
    <w:basedOn w:val="Normal"/>
    <w:pPr>
      <w:tabs>
        <w:tab w:val="center" w:pos="4513"/>
        <w:tab w:val="right" w:pos="9026"/>
      </w:tabs>
      <w:suppressAutoHyphens/>
      <w:autoSpaceDN w:val="0"/>
      <w:textAlignment w:val="baseline"/>
    </w:pPr>
    <w:rPr>
      <w:rFonts w:ascii="Arial" w:eastAsia="Arial" w:hAnsi="Arial" w:cs="Arial"/>
      <w:sz w:val="22"/>
      <w:szCs w:val="22"/>
    </w:rPr>
  </w:style>
  <w:style w:type="character" w:customStyle="1" w:styleId="FooterChar">
    <w:name w:val="Footer Char"/>
    <w:basedOn w:val="DefaultParagraphFont"/>
  </w:style>
  <w:style w:type="paragraph" w:styleId="ListParagraph">
    <w:name w:val="List Paragraph"/>
    <w:basedOn w:val="Normal"/>
    <w:uiPriority w:val="34"/>
    <w:qFormat/>
    <w:pPr>
      <w:autoSpaceDN w:val="0"/>
      <w:ind w:left="720"/>
      <w:contextualSpacing/>
    </w:pPr>
  </w:style>
  <w:style w:type="paragraph" w:customStyle="1" w:styleId="p1">
    <w:name w:val="p1"/>
    <w:basedOn w:val="Normal"/>
    <w:rsid w:val="006B67F9"/>
    <w:rPr>
      <w:rFonts w:ascii="Arial" w:hAnsi="Arial" w:cs="Arial"/>
      <w:color w:val="000000"/>
      <w:sz w:val="17"/>
      <w:szCs w:val="17"/>
    </w:rPr>
  </w:style>
  <w:style w:type="character" w:customStyle="1" w:styleId="apple-converted-space">
    <w:name w:val="apple-converted-space"/>
    <w:basedOn w:val="DefaultParagraphFont"/>
    <w:rsid w:val="006B67F9"/>
  </w:style>
  <w:style w:type="character" w:customStyle="1" w:styleId="TitleChar">
    <w:name w:val="Title Char"/>
    <w:basedOn w:val="DefaultParagraphFont"/>
    <w:link w:val="Title"/>
    <w:uiPriority w:val="10"/>
    <w:rsid w:val="00BC6FAF"/>
    <w:rPr>
      <w:sz w:val="52"/>
      <w:szCs w:val="52"/>
    </w:rPr>
  </w:style>
  <w:style w:type="character" w:styleId="Hyperlink">
    <w:name w:val="Hyperlink"/>
    <w:basedOn w:val="DefaultParagraphFont"/>
    <w:uiPriority w:val="99"/>
    <w:unhideWhenUsed/>
    <w:rsid w:val="00BC6FAF"/>
    <w:rPr>
      <w:color w:val="467886" w:themeColor="hyperlink"/>
      <w:u w:val="single"/>
    </w:rPr>
  </w:style>
  <w:style w:type="character" w:styleId="UnresolvedMention">
    <w:name w:val="Unresolved Mention"/>
    <w:basedOn w:val="DefaultParagraphFont"/>
    <w:uiPriority w:val="99"/>
    <w:semiHidden/>
    <w:unhideWhenUsed/>
    <w:rsid w:val="00C6708C"/>
    <w:rPr>
      <w:color w:val="605E5C"/>
      <w:shd w:val="clear" w:color="auto" w:fill="E1DFDD"/>
    </w:rPr>
  </w:style>
  <w:style w:type="character" w:styleId="FollowedHyperlink">
    <w:name w:val="FollowedHyperlink"/>
    <w:basedOn w:val="DefaultParagraphFont"/>
    <w:uiPriority w:val="99"/>
    <w:semiHidden/>
    <w:unhideWhenUsed/>
    <w:rsid w:val="00E32306"/>
    <w:rPr>
      <w:color w:val="96607D" w:themeColor="followedHyperlink"/>
      <w:u w:val="single"/>
    </w:rPr>
  </w:style>
  <w:style w:type="paragraph" w:styleId="TOCHeading">
    <w:name w:val="TOC Heading"/>
    <w:basedOn w:val="Heading1"/>
    <w:next w:val="Normal"/>
    <w:uiPriority w:val="39"/>
    <w:unhideWhenUsed/>
    <w:qFormat/>
    <w:rsid w:val="00905AEB"/>
    <w:pPr>
      <w:suppressAutoHyphens w:val="0"/>
      <w:autoSpaceDN/>
      <w:spacing w:before="480" w:after="0"/>
      <w:textAlignment w:val="auto"/>
      <w:outlineLvl w:val="9"/>
    </w:pPr>
    <w:rPr>
      <w:rFonts w:asciiTheme="majorHAnsi" w:eastAsiaTheme="majorEastAsia" w:hAnsiTheme="majorHAnsi" w:cstheme="majorBidi"/>
      <w:b/>
      <w:bCs/>
      <w:color w:val="0F4761" w:themeColor="accent1" w:themeShade="BF"/>
      <w:sz w:val="28"/>
      <w:szCs w:val="28"/>
      <w:lang w:val="en-US" w:eastAsia="en-US"/>
    </w:rPr>
  </w:style>
  <w:style w:type="paragraph" w:styleId="TOC1">
    <w:name w:val="toc 1"/>
    <w:basedOn w:val="Normal"/>
    <w:next w:val="Normal"/>
    <w:autoRedefine/>
    <w:uiPriority w:val="39"/>
    <w:unhideWhenUsed/>
    <w:rsid w:val="00905AEB"/>
    <w:pPr>
      <w:spacing w:before="120"/>
    </w:pPr>
    <w:rPr>
      <w:rFonts w:asciiTheme="minorHAnsi" w:hAnsiTheme="minorHAnsi"/>
      <w:b/>
      <w:bCs/>
      <w:i/>
      <w:iCs/>
    </w:rPr>
  </w:style>
  <w:style w:type="paragraph" w:styleId="TOC2">
    <w:name w:val="toc 2"/>
    <w:basedOn w:val="Normal"/>
    <w:next w:val="Normal"/>
    <w:autoRedefine/>
    <w:uiPriority w:val="39"/>
    <w:semiHidden/>
    <w:unhideWhenUsed/>
    <w:rsid w:val="00905AEB"/>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905AEB"/>
    <w:pPr>
      <w:ind w:left="480"/>
    </w:pPr>
    <w:rPr>
      <w:rFonts w:asciiTheme="minorHAnsi" w:hAnsiTheme="minorHAnsi"/>
      <w:sz w:val="20"/>
      <w:szCs w:val="20"/>
    </w:rPr>
  </w:style>
  <w:style w:type="paragraph" w:styleId="TOC4">
    <w:name w:val="toc 4"/>
    <w:basedOn w:val="Normal"/>
    <w:next w:val="Normal"/>
    <w:autoRedefine/>
    <w:uiPriority w:val="39"/>
    <w:semiHidden/>
    <w:unhideWhenUsed/>
    <w:rsid w:val="00905AEB"/>
    <w:pPr>
      <w:ind w:left="720"/>
    </w:pPr>
    <w:rPr>
      <w:rFonts w:asciiTheme="minorHAnsi" w:hAnsiTheme="minorHAnsi"/>
      <w:sz w:val="20"/>
      <w:szCs w:val="20"/>
    </w:rPr>
  </w:style>
  <w:style w:type="paragraph" w:styleId="TOC5">
    <w:name w:val="toc 5"/>
    <w:basedOn w:val="Normal"/>
    <w:next w:val="Normal"/>
    <w:autoRedefine/>
    <w:uiPriority w:val="39"/>
    <w:semiHidden/>
    <w:unhideWhenUsed/>
    <w:rsid w:val="00905AEB"/>
    <w:pPr>
      <w:ind w:left="960"/>
    </w:pPr>
    <w:rPr>
      <w:rFonts w:asciiTheme="minorHAnsi" w:hAnsiTheme="minorHAnsi"/>
      <w:sz w:val="20"/>
      <w:szCs w:val="20"/>
    </w:rPr>
  </w:style>
  <w:style w:type="paragraph" w:styleId="TOC6">
    <w:name w:val="toc 6"/>
    <w:basedOn w:val="Normal"/>
    <w:next w:val="Normal"/>
    <w:autoRedefine/>
    <w:uiPriority w:val="39"/>
    <w:semiHidden/>
    <w:unhideWhenUsed/>
    <w:rsid w:val="00905AEB"/>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905AEB"/>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905AEB"/>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905AEB"/>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06100">
      <w:bodyDiv w:val="1"/>
      <w:marLeft w:val="0"/>
      <w:marRight w:val="0"/>
      <w:marTop w:val="0"/>
      <w:marBottom w:val="0"/>
      <w:divBdr>
        <w:top w:val="none" w:sz="0" w:space="0" w:color="auto"/>
        <w:left w:val="none" w:sz="0" w:space="0" w:color="auto"/>
        <w:bottom w:val="none" w:sz="0" w:space="0" w:color="auto"/>
        <w:right w:val="none" w:sz="0" w:space="0" w:color="auto"/>
      </w:divBdr>
      <w:divsChild>
        <w:div w:id="1555509561">
          <w:marLeft w:val="0"/>
          <w:marRight w:val="0"/>
          <w:marTop w:val="120"/>
          <w:marBottom w:val="120"/>
          <w:divBdr>
            <w:top w:val="none" w:sz="0" w:space="0" w:color="auto"/>
            <w:left w:val="none" w:sz="0" w:space="0" w:color="auto"/>
            <w:bottom w:val="none" w:sz="0" w:space="0" w:color="auto"/>
            <w:right w:val="none" w:sz="0" w:space="0" w:color="auto"/>
          </w:divBdr>
        </w:div>
      </w:divsChild>
    </w:div>
    <w:div w:id="23755242">
      <w:bodyDiv w:val="1"/>
      <w:marLeft w:val="0"/>
      <w:marRight w:val="0"/>
      <w:marTop w:val="0"/>
      <w:marBottom w:val="0"/>
      <w:divBdr>
        <w:top w:val="none" w:sz="0" w:space="0" w:color="auto"/>
        <w:left w:val="none" w:sz="0" w:space="0" w:color="auto"/>
        <w:bottom w:val="none" w:sz="0" w:space="0" w:color="auto"/>
        <w:right w:val="none" w:sz="0" w:space="0" w:color="auto"/>
      </w:divBdr>
      <w:divsChild>
        <w:div w:id="927737128">
          <w:marLeft w:val="0"/>
          <w:marRight w:val="0"/>
          <w:marTop w:val="120"/>
          <w:marBottom w:val="120"/>
          <w:divBdr>
            <w:top w:val="none" w:sz="0" w:space="0" w:color="auto"/>
            <w:left w:val="none" w:sz="0" w:space="0" w:color="auto"/>
            <w:bottom w:val="none" w:sz="0" w:space="0" w:color="auto"/>
            <w:right w:val="none" w:sz="0" w:space="0" w:color="auto"/>
          </w:divBdr>
        </w:div>
      </w:divsChild>
    </w:div>
    <w:div w:id="53429199">
      <w:bodyDiv w:val="1"/>
      <w:marLeft w:val="0"/>
      <w:marRight w:val="0"/>
      <w:marTop w:val="0"/>
      <w:marBottom w:val="0"/>
      <w:divBdr>
        <w:top w:val="none" w:sz="0" w:space="0" w:color="auto"/>
        <w:left w:val="none" w:sz="0" w:space="0" w:color="auto"/>
        <w:bottom w:val="none" w:sz="0" w:space="0" w:color="auto"/>
        <w:right w:val="none" w:sz="0" w:space="0" w:color="auto"/>
      </w:divBdr>
      <w:divsChild>
        <w:div w:id="1541866733">
          <w:marLeft w:val="0"/>
          <w:marRight w:val="0"/>
          <w:marTop w:val="120"/>
          <w:marBottom w:val="120"/>
          <w:divBdr>
            <w:top w:val="none" w:sz="0" w:space="0" w:color="auto"/>
            <w:left w:val="none" w:sz="0" w:space="0" w:color="auto"/>
            <w:bottom w:val="none" w:sz="0" w:space="0" w:color="auto"/>
            <w:right w:val="none" w:sz="0" w:space="0" w:color="auto"/>
          </w:divBdr>
        </w:div>
      </w:divsChild>
    </w:div>
    <w:div w:id="179467819">
      <w:bodyDiv w:val="1"/>
      <w:marLeft w:val="0"/>
      <w:marRight w:val="0"/>
      <w:marTop w:val="0"/>
      <w:marBottom w:val="0"/>
      <w:divBdr>
        <w:top w:val="none" w:sz="0" w:space="0" w:color="auto"/>
        <w:left w:val="none" w:sz="0" w:space="0" w:color="auto"/>
        <w:bottom w:val="none" w:sz="0" w:space="0" w:color="auto"/>
        <w:right w:val="none" w:sz="0" w:space="0" w:color="auto"/>
      </w:divBdr>
      <w:divsChild>
        <w:div w:id="228198160">
          <w:marLeft w:val="0"/>
          <w:marRight w:val="0"/>
          <w:marTop w:val="120"/>
          <w:marBottom w:val="120"/>
          <w:divBdr>
            <w:top w:val="none" w:sz="0" w:space="0" w:color="auto"/>
            <w:left w:val="none" w:sz="0" w:space="0" w:color="auto"/>
            <w:bottom w:val="none" w:sz="0" w:space="0" w:color="auto"/>
            <w:right w:val="none" w:sz="0" w:space="0" w:color="auto"/>
          </w:divBdr>
        </w:div>
      </w:divsChild>
    </w:div>
    <w:div w:id="361787176">
      <w:bodyDiv w:val="1"/>
      <w:marLeft w:val="0"/>
      <w:marRight w:val="0"/>
      <w:marTop w:val="0"/>
      <w:marBottom w:val="0"/>
      <w:divBdr>
        <w:top w:val="none" w:sz="0" w:space="0" w:color="auto"/>
        <w:left w:val="none" w:sz="0" w:space="0" w:color="auto"/>
        <w:bottom w:val="none" w:sz="0" w:space="0" w:color="auto"/>
        <w:right w:val="none" w:sz="0" w:space="0" w:color="auto"/>
      </w:divBdr>
    </w:div>
    <w:div w:id="369574285">
      <w:bodyDiv w:val="1"/>
      <w:marLeft w:val="0"/>
      <w:marRight w:val="0"/>
      <w:marTop w:val="0"/>
      <w:marBottom w:val="0"/>
      <w:divBdr>
        <w:top w:val="none" w:sz="0" w:space="0" w:color="auto"/>
        <w:left w:val="none" w:sz="0" w:space="0" w:color="auto"/>
        <w:bottom w:val="none" w:sz="0" w:space="0" w:color="auto"/>
        <w:right w:val="none" w:sz="0" w:space="0" w:color="auto"/>
      </w:divBdr>
      <w:divsChild>
        <w:div w:id="430976120">
          <w:marLeft w:val="0"/>
          <w:marRight w:val="0"/>
          <w:marTop w:val="120"/>
          <w:marBottom w:val="120"/>
          <w:divBdr>
            <w:top w:val="none" w:sz="0" w:space="0" w:color="auto"/>
            <w:left w:val="none" w:sz="0" w:space="0" w:color="auto"/>
            <w:bottom w:val="none" w:sz="0" w:space="0" w:color="auto"/>
            <w:right w:val="none" w:sz="0" w:space="0" w:color="auto"/>
          </w:divBdr>
        </w:div>
      </w:divsChild>
    </w:div>
    <w:div w:id="424501797">
      <w:bodyDiv w:val="1"/>
      <w:marLeft w:val="0"/>
      <w:marRight w:val="0"/>
      <w:marTop w:val="0"/>
      <w:marBottom w:val="0"/>
      <w:divBdr>
        <w:top w:val="none" w:sz="0" w:space="0" w:color="auto"/>
        <w:left w:val="none" w:sz="0" w:space="0" w:color="auto"/>
        <w:bottom w:val="none" w:sz="0" w:space="0" w:color="auto"/>
        <w:right w:val="none" w:sz="0" w:space="0" w:color="auto"/>
      </w:divBdr>
    </w:div>
    <w:div w:id="479199451">
      <w:bodyDiv w:val="1"/>
      <w:marLeft w:val="0"/>
      <w:marRight w:val="0"/>
      <w:marTop w:val="0"/>
      <w:marBottom w:val="0"/>
      <w:divBdr>
        <w:top w:val="none" w:sz="0" w:space="0" w:color="auto"/>
        <w:left w:val="none" w:sz="0" w:space="0" w:color="auto"/>
        <w:bottom w:val="none" w:sz="0" w:space="0" w:color="auto"/>
        <w:right w:val="none" w:sz="0" w:space="0" w:color="auto"/>
      </w:divBdr>
      <w:divsChild>
        <w:div w:id="2138839136">
          <w:marLeft w:val="0"/>
          <w:marRight w:val="0"/>
          <w:marTop w:val="120"/>
          <w:marBottom w:val="120"/>
          <w:divBdr>
            <w:top w:val="none" w:sz="0" w:space="0" w:color="auto"/>
            <w:left w:val="none" w:sz="0" w:space="0" w:color="auto"/>
            <w:bottom w:val="none" w:sz="0" w:space="0" w:color="auto"/>
            <w:right w:val="none" w:sz="0" w:space="0" w:color="auto"/>
          </w:divBdr>
        </w:div>
      </w:divsChild>
    </w:div>
    <w:div w:id="602998432">
      <w:bodyDiv w:val="1"/>
      <w:marLeft w:val="0"/>
      <w:marRight w:val="0"/>
      <w:marTop w:val="0"/>
      <w:marBottom w:val="0"/>
      <w:divBdr>
        <w:top w:val="none" w:sz="0" w:space="0" w:color="auto"/>
        <w:left w:val="none" w:sz="0" w:space="0" w:color="auto"/>
        <w:bottom w:val="none" w:sz="0" w:space="0" w:color="auto"/>
        <w:right w:val="none" w:sz="0" w:space="0" w:color="auto"/>
      </w:divBdr>
      <w:divsChild>
        <w:div w:id="1033849742">
          <w:marLeft w:val="0"/>
          <w:marRight w:val="0"/>
          <w:marTop w:val="120"/>
          <w:marBottom w:val="120"/>
          <w:divBdr>
            <w:top w:val="none" w:sz="0" w:space="0" w:color="auto"/>
            <w:left w:val="none" w:sz="0" w:space="0" w:color="auto"/>
            <w:bottom w:val="none" w:sz="0" w:space="0" w:color="auto"/>
            <w:right w:val="none" w:sz="0" w:space="0" w:color="auto"/>
          </w:divBdr>
        </w:div>
      </w:divsChild>
    </w:div>
    <w:div w:id="643046858">
      <w:bodyDiv w:val="1"/>
      <w:marLeft w:val="0"/>
      <w:marRight w:val="0"/>
      <w:marTop w:val="0"/>
      <w:marBottom w:val="0"/>
      <w:divBdr>
        <w:top w:val="none" w:sz="0" w:space="0" w:color="auto"/>
        <w:left w:val="none" w:sz="0" w:space="0" w:color="auto"/>
        <w:bottom w:val="none" w:sz="0" w:space="0" w:color="auto"/>
        <w:right w:val="none" w:sz="0" w:space="0" w:color="auto"/>
      </w:divBdr>
      <w:divsChild>
        <w:div w:id="491987116">
          <w:marLeft w:val="0"/>
          <w:marRight w:val="0"/>
          <w:marTop w:val="120"/>
          <w:marBottom w:val="120"/>
          <w:divBdr>
            <w:top w:val="none" w:sz="0" w:space="0" w:color="auto"/>
            <w:left w:val="none" w:sz="0" w:space="0" w:color="auto"/>
            <w:bottom w:val="none" w:sz="0" w:space="0" w:color="auto"/>
            <w:right w:val="none" w:sz="0" w:space="0" w:color="auto"/>
          </w:divBdr>
        </w:div>
        <w:div w:id="45028785">
          <w:marLeft w:val="0"/>
          <w:marRight w:val="0"/>
          <w:marTop w:val="120"/>
          <w:marBottom w:val="120"/>
          <w:divBdr>
            <w:top w:val="none" w:sz="0" w:space="0" w:color="auto"/>
            <w:left w:val="none" w:sz="0" w:space="0" w:color="auto"/>
            <w:bottom w:val="none" w:sz="0" w:space="0" w:color="auto"/>
            <w:right w:val="none" w:sz="0" w:space="0" w:color="auto"/>
          </w:divBdr>
        </w:div>
        <w:div w:id="776830734">
          <w:marLeft w:val="0"/>
          <w:marRight w:val="0"/>
          <w:marTop w:val="120"/>
          <w:marBottom w:val="120"/>
          <w:divBdr>
            <w:top w:val="none" w:sz="0" w:space="0" w:color="auto"/>
            <w:left w:val="none" w:sz="0" w:space="0" w:color="auto"/>
            <w:bottom w:val="none" w:sz="0" w:space="0" w:color="auto"/>
            <w:right w:val="none" w:sz="0" w:space="0" w:color="auto"/>
          </w:divBdr>
        </w:div>
        <w:div w:id="2099326354">
          <w:marLeft w:val="0"/>
          <w:marRight w:val="0"/>
          <w:marTop w:val="120"/>
          <w:marBottom w:val="120"/>
          <w:divBdr>
            <w:top w:val="none" w:sz="0" w:space="0" w:color="auto"/>
            <w:left w:val="none" w:sz="0" w:space="0" w:color="auto"/>
            <w:bottom w:val="none" w:sz="0" w:space="0" w:color="auto"/>
            <w:right w:val="none" w:sz="0" w:space="0" w:color="auto"/>
          </w:divBdr>
        </w:div>
        <w:div w:id="1642687096">
          <w:marLeft w:val="0"/>
          <w:marRight w:val="0"/>
          <w:marTop w:val="120"/>
          <w:marBottom w:val="120"/>
          <w:divBdr>
            <w:top w:val="none" w:sz="0" w:space="0" w:color="auto"/>
            <w:left w:val="none" w:sz="0" w:space="0" w:color="auto"/>
            <w:bottom w:val="none" w:sz="0" w:space="0" w:color="auto"/>
            <w:right w:val="none" w:sz="0" w:space="0" w:color="auto"/>
          </w:divBdr>
        </w:div>
      </w:divsChild>
    </w:div>
    <w:div w:id="992220073">
      <w:bodyDiv w:val="1"/>
      <w:marLeft w:val="0"/>
      <w:marRight w:val="0"/>
      <w:marTop w:val="0"/>
      <w:marBottom w:val="0"/>
      <w:divBdr>
        <w:top w:val="none" w:sz="0" w:space="0" w:color="auto"/>
        <w:left w:val="none" w:sz="0" w:space="0" w:color="auto"/>
        <w:bottom w:val="none" w:sz="0" w:space="0" w:color="auto"/>
        <w:right w:val="none" w:sz="0" w:space="0" w:color="auto"/>
      </w:divBdr>
      <w:divsChild>
        <w:div w:id="1533347195">
          <w:marLeft w:val="0"/>
          <w:marRight w:val="0"/>
          <w:marTop w:val="120"/>
          <w:marBottom w:val="120"/>
          <w:divBdr>
            <w:top w:val="none" w:sz="0" w:space="0" w:color="auto"/>
            <w:left w:val="none" w:sz="0" w:space="0" w:color="auto"/>
            <w:bottom w:val="none" w:sz="0" w:space="0" w:color="auto"/>
            <w:right w:val="none" w:sz="0" w:space="0" w:color="auto"/>
          </w:divBdr>
        </w:div>
      </w:divsChild>
    </w:div>
    <w:div w:id="1146582606">
      <w:bodyDiv w:val="1"/>
      <w:marLeft w:val="0"/>
      <w:marRight w:val="0"/>
      <w:marTop w:val="0"/>
      <w:marBottom w:val="0"/>
      <w:divBdr>
        <w:top w:val="none" w:sz="0" w:space="0" w:color="auto"/>
        <w:left w:val="none" w:sz="0" w:space="0" w:color="auto"/>
        <w:bottom w:val="none" w:sz="0" w:space="0" w:color="auto"/>
        <w:right w:val="none" w:sz="0" w:space="0" w:color="auto"/>
      </w:divBdr>
      <w:divsChild>
        <w:div w:id="448280979">
          <w:marLeft w:val="0"/>
          <w:marRight w:val="0"/>
          <w:marTop w:val="120"/>
          <w:marBottom w:val="120"/>
          <w:divBdr>
            <w:top w:val="none" w:sz="0" w:space="0" w:color="auto"/>
            <w:left w:val="none" w:sz="0" w:space="0" w:color="auto"/>
            <w:bottom w:val="none" w:sz="0" w:space="0" w:color="auto"/>
            <w:right w:val="none" w:sz="0" w:space="0" w:color="auto"/>
          </w:divBdr>
        </w:div>
        <w:div w:id="1705251016">
          <w:marLeft w:val="0"/>
          <w:marRight w:val="0"/>
          <w:marTop w:val="120"/>
          <w:marBottom w:val="120"/>
          <w:divBdr>
            <w:top w:val="none" w:sz="0" w:space="0" w:color="auto"/>
            <w:left w:val="none" w:sz="0" w:space="0" w:color="auto"/>
            <w:bottom w:val="none" w:sz="0" w:space="0" w:color="auto"/>
            <w:right w:val="none" w:sz="0" w:space="0" w:color="auto"/>
          </w:divBdr>
        </w:div>
        <w:div w:id="1165324042">
          <w:marLeft w:val="0"/>
          <w:marRight w:val="0"/>
          <w:marTop w:val="120"/>
          <w:marBottom w:val="120"/>
          <w:divBdr>
            <w:top w:val="none" w:sz="0" w:space="0" w:color="auto"/>
            <w:left w:val="none" w:sz="0" w:space="0" w:color="auto"/>
            <w:bottom w:val="none" w:sz="0" w:space="0" w:color="auto"/>
            <w:right w:val="none" w:sz="0" w:space="0" w:color="auto"/>
          </w:divBdr>
        </w:div>
        <w:div w:id="2138913549">
          <w:marLeft w:val="0"/>
          <w:marRight w:val="0"/>
          <w:marTop w:val="120"/>
          <w:marBottom w:val="120"/>
          <w:divBdr>
            <w:top w:val="none" w:sz="0" w:space="0" w:color="auto"/>
            <w:left w:val="none" w:sz="0" w:space="0" w:color="auto"/>
            <w:bottom w:val="none" w:sz="0" w:space="0" w:color="auto"/>
            <w:right w:val="none" w:sz="0" w:space="0" w:color="auto"/>
          </w:divBdr>
        </w:div>
        <w:div w:id="1900434239">
          <w:marLeft w:val="0"/>
          <w:marRight w:val="0"/>
          <w:marTop w:val="120"/>
          <w:marBottom w:val="120"/>
          <w:divBdr>
            <w:top w:val="none" w:sz="0" w:space="0" w:color="auto"/>
            <w:left w:val="none" w:sz="0" w:space="0" w:color="auto"/>
            <w:bottom w:val="none" w:sz="0" w:space="0" w:color="auto"/>
            <w:right w:val="none" w:sz="0" w:space="0" w:color="auto"/>
          </w:divBdr>
        </w:div>
        <w:div w:id="1262568221">
          <w:marLeft w:val="0"/>
          <w:marRight w:val="0"/>
          <w:marTop w:val="120"/>
          <w:marBottom w:val="120"/>
          <w:divBdr>
            <w:top w:val="none" w:sz="0" w:space="0" w:color="auto"/>
            <w:left w:val="none" w:sz="0" w:space="0" w:color="auto"/>
            <w:bottom w:val="none" w:sz="0" w:space="0" w:color="auto"/>
            <w:right w:val="none" w:sz="0" w:space="0" w:color="auto"/>
          </w:divBdr>
        </w:div>
      </w:divsChild>
    </w:div>
    <w:div w:id="1257910311">
      <w:bodyDiv w:val="1"/>
      <w:marLeft w:val="0"/>
      <w:marRight w:val="0"/>
      <w:marTop w:val="0"/>
      <w:marBottom w:val="0"/>
      <w:divBdr>
        <w:top w:val="none" w:sz="0" w:space="0" w:color="auto"/>
        <w:left w:val="none" w:sz="0" w:space="0" w:color="auto"/>
        <w:bottom w:val="none" w:sz="0" w:space="0" w:color="auto"/>
        <w:right w:val="none" w:sz="0" w:space="0" w:color="auto"/>
      </w:divBdr>
      <w:divsChild>
        <w:div w:id="480464817">
          <w:marLeft w:val="0"/>
          <w:marRight w:val="0"/>
          <w:marTop w:val="120"/>
          <w:marBottom w:val="120"/>
          <w:divBdr>
            <w:top w:val="none" w:sz="0" w:space="0" w:color="auto"/>
            <w:left w:val="none" w:sz="0" w:space="0" w:color="auto"/>
            <w:bottom w:val="none" w:sz="0" w:space="0" w:color="auto"/>
            <w:right w:val="none" w:sz="0" w:space="0" w:color="auto"/>
          </w:divBdr>
        </w:div>
      </w:divsChild>
    </w:div>
    <w:div w:id="1335719108">
      <w:bodyDiv w:val="1"/>
      <w:marLeft w:val="0"/>
      <w:marRight w:val="0"/>
      <w:marTop w:val="0"/>
      <w:marBottom w:val="0"/>
      <w:divBdr>
        <w:top w:val="none" w:sz="0" w:space="0" w:color="auto"/>
        <w:left w:val="none" w:sz="0" w:space="0" w:color="auto"/>
        <w:bottom w:val="none" w:sz="0" w:space="0" w:color="auto"/>
        <w:right w:val="none" w:sz="0" w:space="0" w:color="auto"/>
      </w:divBdr>
      <w:divsChild>
        <w:div w:id="617226988">
          <w:marLeft w:val="0"/>
          <w:marRight w:val="0"/>
          <w:marTop w:val="120"/>
          <w:marBottom w:val="120"/>
          <w:divBdr>
            <w:top w:val="none" w:sz="0" w:space="0" w:color="auto"/>
            <w:left w:val="none" w:sz="0" w:space="0" w:color="auto"/>
            <w:bottom w:val="none" w:sz="0" w:space="0" w:color="auto"/>
            <w:right w:val="none" w:sz="0" w:space="0" w:color="auto"/>
          </w:divBdr>
        </w:div>
      </w:divsChild>
    </w:div>
    <w:div w:id="1898472802">
      <w:bodyDiv w:val="1"/>
      <w:marLeft w:val="0"/>
      <w:marRight w:val="0"/>
      <w:marTop w:val="0"/>
      <w:marBottom w:val="0"/>
      <w:divBdr>
        <w:top w:val="none" w:sz="0" w:space="0" w:color="auto"/>
        <w:left w:val="none" w:sz="0" w:space="0" w:color="auto"/>
        <w:bottom w:val="none" w:sz="0" w:space="0" w:color="auto"/>
        <w:right w:val="none" w:sz="0" w:space="0" w:color="auto"/>
      </w:divBdr>
      <w:divsChild>
        <w:div w:id="719789555">
          <w:marLeft w:val="0"/>
          <w:marRight w:val="0"/>
          <w:marTop w:val="120"/>
          <w:marBottom w:val="12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gerinurse.2025.103662" TargetMode="External"/><Relationship Id="rId18" Type="http://schemas.openxmlformats.org/officeDocument/2006/relationships/hyperlink" Target="https://doi.org/10.1186/s12913-015-1041-7"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177/1471301216682627" TargetMode="External"/><Relationship Id="rId17" Type="http://schemas.openxmlformats.org/officeDocument/2006/relationships/hyperlink" Target="https://doi.org/10.1016/j.ijnurstu.2022.104260" TargetMode="External"/><Relationship Id="rId2" Type="http://schemas.openxmlformats.org/officeDocument/2006/relationships/numbering" Target="numbering.xml"/><Relationship Id="rId16" Type="http://schemas.openxmlformats.org/officeDocument/2006/relationships/hyperlink" Target="https://doi.org/10.1007/BF03395771"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2055102920933065" TargetMode="External"/><Relationship Id="rId5" Type="http://schemas.openxmlformats.org/officeDocument/2006/relationships/webSettings" Target="webSettings.xml"/><Relationship Id="rId15" Type="http://schemas.openxmlformats.org/officeDocument/2006/relationships/hyperlink" Target="https://doi.org/10.1016/S0140-6736(20)30367-6" TargetMode="External"/><Relationship Id="rId10" Type="http://schemas.openxmlformats.org/officeDocument/2006/relationships/hyperlink" Target="https://www.proquest.com/docview/218661518/fulltext/B54B1AD71B6A4245PQ/1?accountid=130472&amp;sourcetype=Scholarly%20Journals" TargetMode="External"/><Relationship Id="rId19" Type="http://schemas.openxmlformats.org/officeDocument/2006/relationships/hyperlink" Target="https://doi.org/10.1186/s12910-024-01106-z" TargetMode="External"/><Relationship Id="rId4" Type="http://schemas.openxmlformats.org/officeDocument/2006/relationships/settings" Target="settings.xml"/><Relationship Id="rId9" Type="http://schemas.openxmlformats.org/officeDocument/2006/relationships/hyperlink" Target="https://www.grammarly.com/" TargetMode="External"/><Relationship Id="rId14" Type="http://schemas.openxmlformats.org/officeDocument/2006/relationships/hyperlink" Target="https://doi.org/10.1192/bjp.bp.113.141119"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136551-1E21-7F46-B234-D5FFC0CFB1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218</TotalTime>
  <Pages>9</Pages>
  <Words>2487</Words>
  <Characters>14181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16635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Yuliia Silman</cp:lastModifiedBy>
  <cp:revision>12</cp:revision>
  <dcterms:created xsi:type="dcterms:W3CDTF">2025-12-09T13:56:00Z</dcterms:created>
  <dcterms:modified xsi:type="dcterms:W3CDTF">2025-12-18T22:59:00Z</dcterms:modified>
</cp:coreProperties>
</file>