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88C8DF" w14:textId="5EBB85E7" w:rsidR="00274E4A" w:rsidRPr="00010161" w:rsidRDefault="0097440E" w:rsidP="0097440E">
      <w:pPr>
        <w:jc w:val="center"/>
        <w:rPr>
          <w:rFonts w:ascii="Arial" w:hAnsi="Arial" w:cs="Arial"/>
          <w:b/>
          <w:bCs/>
          <w:i/>
          <w:iCs/>
          <w:u w:val="single"/>
        </w:rPr>
      </w:pPr>
      <w:r w:rsidRPr="00010161">
        <w:rPr>
          <w:rFonts w:ascii="Arial" w:hAnsi="Arial" w:cs="Arial"/>
          <w:b/>
          <w:bCs/>
          <w:i/>
          <w:iCs/>
          <w:u w:val="single"/>
        </w:rPr>
        <w:t>Name: Maisie Hartley</w:t>
      </w:r>
    </w:p>
    <w:p w14:paraId="2909BB05" w14:textId="1BF9D4EC" w:rsidR="0097440E" w:rsidRPr="00010161" w:rsidRDefault="0097440E" w:rsidP="0097440E">
      <w:pPr>
        <w:jc w:val="center"/>
        <w:rPr>
          <w:rFonts w:ascii="Arial" w:hAnsi="Arial" w:cs="Arial"/>
          <w:b/>
          <w:bCs/>
          <w:i/>
          <w:iCs/>
          <w:u w:val="single"/>
        </w:rPr>
      </w:pPr>
      <w:r w:rsidRPr="00010161">
        <w:rPr>
          <w:rFonts w:ascii="Arial" w:hAnsi="Arial" w:cs="Arial"/>
          <w:b/>
          <w:bCs/>
          <w:i/>
          <w:iCs/>
          <w:u w:val="single"/>
        </w:rPr>
        <w:t>Student ID: 2236348</w:t>
      </w:r>
    </w:p>
    <w:p w14:paraId="35ECE590" w14:textId="11340AC0" w:rsidR="0097440E" w:rsidRPr="00010161" w:rsidRDefault="0097440E" w:rsidP="0097440E">
      <w:pPr>
        <w:jc w:val="center"/>
        <w:rPr>
          <w:rFonts w:ascii="Arial" w:hAnsi="Arial" w:cs="Arial"/>
          <w:b/>
          <w:bCs/>
          <w:i/>
          <w:iCs/>
          <w:u w:val="single"/>
        </w:rPr>
      </w:pPr>
      <w:r w:rsidRPr="00010161">
        <w:rPr>
          <w:rFonts w:ascii="Arial" w:hAnsi="Arial" w:cs="Arial"/>
          <w:b/>
          <w:bCs/>
          <w:i/>
          <w:iCs/>
          <w:u w:val="single"/>
        </w:rPr>
        <w:t>Assignment 2</w:t>
      </w:r>
    </w:p>
    <w:p w14:paraId="104AC606" w14:textId="77777777" w:rsidR="0097440E" w:rsidRPr="00010161" w:rsidRDefault="0097440E" w:rsidP="0097440E">
      <w:pPr>
        <w:jc w:val="center"/>
        <w:rPr>
          <w:rFonts w:ascii="Arial" w:hAnsi="Arial" w:cs="Arial"/>
        </w:rPr>
      </w:pPr>
    </w:p>
    <w:p w14:paraId="07D84987" w14:textId="77777777" w:rsidR="0097440E" w:rsidRPr="00010161" w:rsidRDefault="0097440E">
      <w:pPr>
        <w:rPr>
          <w:rFonts w:ascii="Arial" w:hAnsi="Arial" w:cs="Arial"/>
        </w:rPr>
      </w:pPr>
    </w:p>
    <w:p w14:paraId="33A4099B" w14:textId="209E5812" w:rsidR="0097440E" w:rsidRPr="00010161" w:rsidRDefault="0097440E">
      <w:pPr>
        <w:rPr>
          <w:rFonts w:ascii="Arial" w:hAnsi="Arial" w:cs="Arial"/>
          <w:b/>
          <w:bCs/>
          <w:i/>
          <w:iCs/>
          <w:u w:val="single"/>
        </w:rPr>
      </w:pPr>
      <w:r w:rsidRPr="00010161">
        <w:rPr>
          <w:rFonts w:ascii="Arial" w:hAnsi="Arial" w:cs="Arial"/>
          <w:b/>
          <w:bCs/>
          <w:i/>
          <w:iCs/>
          <w:u w:val="single"/>
        </w:rPr>
        <w:t>Essay 1</w:t>
      </w:r>
      <w:r w:rsidR="009511B6" w:rsidRPr="00010161">
        <w:rPr>
          <w:rFonts w:ascii="Arial" w:hAnsi="Arial" w:cs="Arial"/>
          <w:b/>
          <w:bCs/>
          <w:i/>
          <w:iCs/>
          <w:u w:val="single"/>
        </w:rPr>
        <w:t xml:space="preserve"> </w:t>
      </w:r>
      <w:r w:rsidR="003169FE" w:rsidRPr="00010161">
        <w:rPr>
          <w:rFonts w:ascii="Arial" w:hAnsi="Arial" w:cs="Arial"/>
          <w:b/>
          <w:bCs/>
          <w:i/>
          <w:iCs/>
          <w:u w:val="single"/>
        </w:rPr>
        <w:t>–</w:t>
      </w:r>
      <w:r w:rsidR="009511B6" w:rsidRPr="00010161">
        <w:rPr>
          <w:rFonts w:ascii="Arial" w:hAnsi="Arial" w:cs="Arial"/>
          <w:b/>
          <w:bCs/>
          <w:i/>
          <w:iCs/>
          <w:u w:val="single"/>
        </w:rPr>
        <w:t xml:space="preserve"> </w:t>
      </w:r>
      <w:r w:rsidR="003169FE" w:rsidRPr="00010161">
        <w:rPr>
          <w:rFonts w:ascii="Arial" w:hAnsi="Arial" w:cs="Arial"/>
          <w:b/>
          <w:bCs/>
          <w:i/>
          <w:iCs/>
          <w:u w:val="single"/>
        </w:rPr>
        <w:t xml:space="preserve">Why are terrorist organisations often involved </w:t>
      </w:r>
      <w:r w:rsidR="00C403A1" w:rsidRPr="00010161">
        <w:rPr>
          <w:rFonts w:ascii="Arial" w:hAnsi="Arial" w:cs="Arial"/>
          <w:b/>
          <w:bCs/>
          <w:i/>
          <w:iCs/>
          <w:u w:val="single"/>
        </w:rPr>
        <w:t xml:space="preserve">in other forms of criminality, and how can this inform counter-terrorism policing? </w:t>
      </w:r>
    </w:p>
    <w:p w14:paraId="31AB82CA" w14:textId="77777777" w:rsidR="00C403A1" w:rsidRPr="00010161" w:rsidRDefault="00C403A1">
      <w:pPr>
        <w:rPr>
          <w:rFonts w:ascii="Arial" w:hAnsi="Arial" w:cs="Arial"/>
          <w:b/>
          <w:bCs/>
          <w:i/>
          <w:iCs/>
          <w:u w:val="single"/>
        </w:rPr>
      </w:pPr>
    </w:p>
    <w:p w14:paraId="2C962ADE" w14:textId="10314269" w:rsidR="0097440E" w:rsidRPr="00010161" w:rsidRDefault="0097440E">
      <w:pPr>
        <w:rPr>
          <w:rFonts w:ascii="Arial" w:hAnsi="Arial" w:cs="Arial"/>
        </w:rPr>
      </w:pPr>
      <w:r w:rsidRPr="00010161">
        <w:rPr>
          <w:rFonts w:ascii="Arial" w:hAnsi="Arial" w:cs="Arial"/>
        </w:rPr>
        <w:t xml:space="preserve">In this essay I will be considering why terrorist organisations become involved in criminality and suggests how crime related information can inform counter terrorism policing. </w:t>
      </w:r>
    </w:p>
    <w:p w14:paraId="0FB135D1" w14:textId="77777777" w:rsidR="0097440E" w:rsidRPr="00010161" w:rsidRDefault="0097440E">
      <w:pPr>
        <w:rPr>
          <w:rFonts w:ascii="Arial" w:hAnsi="Arial" w:cs="Arial"/>
        </w:rPr>
      </w:pPr>
      <w:r w:rsidRPr="00010161">
        <w:rPr>
          <w:rFonts w:ascii="Arial" w:hAnsi="Arial" w:cs="Arial"/>
        </w:rPr>
        <w:t>The criminal behaviour of terrorist organisations is the subject of united nations security council resolution 2915 (2014). The crimes identified include:</w:t>
      </w:r>
    </w:p>
    <w:p w14:paraId="501218B0" w14:textId="61E6BB76" w:rsidR="0097440E" w:rsidRPr="00010161" w:rsidRDefault="0097440E" w:rsidP="0097440E">
      <w:pPr>
        <w:ind w:left="720"/>
        <w:rPr>
          <w:rFonts w:ascii="Arial" w:hAnsi="Arial" w:cs="Arial"/>
        </w:rPr>
      </w:pPr>
      <w:r w:rsidRPr="00010161">
        <w:rPr>
          <w:rFonts w:ascii="Arial" w:hAnsi="Arial" w:cs="Arial"/>
        </w:rPr>
        <w:t>The trafficking of drugs, arms, explosives and people.</w:t>
      </w:r>
    </w:p>
    <w:p w14:paraId="6CEFAF69" w14:textId="5AAE6623" w:rsidR="0097440E" w:rsidRPr="00010161" w:rsidRDefault="00C403A1" w:rsidP="0097440E">
      <w:pPr>
        <w:ind w:left="720"/>
        <w:rPr>
          <w:rFonts w:ascii="Arial" w:hAnsi="Arial" w:cs="Arial"/>
        </w:rPr>
      </w:pPr>
      <w:r w:rsidRPr="00010161">
        <w:rPr>
          <w:rFonts w:ascii="Arial" w:hAnsi="Arial" w:cs="Arial"/>
        </w:rPr>
        <w:t>Illicit</w:t>
      </w:r>
      <w:r w:rsidR="0097440E" w:rsidRPr="00010161">
        <w:rPr>
          <w:rFonts w:ascii="Arial" w:hAnsi="Arial" w:cs="Arial"/>
        </w:rPr>
        <w:t xml:space="preserve"> trading in cultural properties, antiquities and natural resources. </w:t>
      </w:r>
    </w:p>
    <w:p w14:paraId="441B2EFF" w14:textId="77777777" w:rsidR="0097440E" w:rsidRPr="00010161" w:rsidRDefault="0097440E" w:rsidP="0097440E">
      <w:pPr>
        <w:ind w:left="720"/>
        <w:rPr>
          <w:rFonts w:ascii="Arial" w:hAnsi="Arial" w:cs="Arial"/>
        </w:rPr>
      </w:pPr>
      <w:r w:rsidRPr="00010161">
        <w:rPr>
          <w:rFonts w:ascii="Arial" w:hAnsi="Arial" w:cs="Arial"/>
        </w:rPr>
        <w:t xml:space="preserve">Kidnapping, bank robbery and organised crime. </w:t>
      </w:r>
    </w:p>
    <w:p w14:paraId="4DF21B87" w14:textId="77777777" w:rsidR="0097440E" w:rsidRPr="00010161" w:rsidRDefault="0097440E" w:rsidP="0097440E">
      <w:pPr>
        <w:ind w:left="720"/>
        <w:rPr>
          <w:rFonts w:ascii="Arial" w:hAnsi="Arial" w:cs="Arial"/>
        </w:rPr>
      </w:pPr>
      <w:r w:rsidRPr="00010161">
        <w:rPr>
          <w:rFonts w:ascii="Arial" w:hAnsi="Arial" w:cs="Arial"/>
        </w:rPr>
        <w:t>Money laundering.</w:t>
      </w:r>
    </w:p>
    <w:p w14:paraId="483014C8" w14:textId="21695944" w:rsidR="0097440E" w:rsidRPr="00010161" w:rsidRDefault="0097440E" w:rsidP="0097440E">
      <w:pPr>
        <w:rPr>
          <w:rFonts w:ascii="Arial" w:hAnsi="Arial" w:cs="Arial"/>
        </w:rPr>
      </w:pPr>
      <w:r w:rsidRPr="00010161">
        <w:rPr>
          <w:rFonts w:ascii="Arial" w:hAnsi="Arial" w:cs="Arial"/>
        </w:rPr>
        <w:t xml:space="preserve">These criminal acts can provide terrorists with financial support. Anti-terrorism policing requires the coordination of efforts at local, national, regional and international levels. It is important to collect, analyse and share information to support these efforts. This can result in the breaking up of criminal activity and removal of the benefits to terrorism. </w:t>
      </w:r>
    </w:p>
    <w:p w14:paraId="7CF120F3" w14:textId="03B410B0" w:rsidR="009511B6" w:rsidRPr="00010161" w:rsidRDefault="009511B6" w:rsidP="0097440E">
      <w:pPr>
        <w:rPr>
          <w:rFonts w:ascii="Arial" w:hAnsi="Arial" w:cs="Arial"/>
        </w:rPr>
      </w:pPr>
      <w:r w:rsidRPr="00010161">
        <w:rPr>
          <w:rFonts w:ascii="Arial" w:hAnsi="Arial" w:cs="Arial"/>
        </w:rPr>
        <w:t>In the United Kingdom (UK) terrorism is the subject of legislation (</w:t>
      </w:r>
      <w:r w:rsidRPr="00010161">
        <w:rPr>
          <w:rFonts w:ascii="Arial" w:hAnsi="Arial" w:cs="Arial"/>
          <w:i/>
          <w:iCs/>
        </w:rPr>
        <w:t xml:space="preserve">Terrorism Act 2006). </w:t>
      </w:r>
      <w:r w:rsidRPr="00010161">
        <w:rPr>
          <w:rFonts w:ascii="Arial" w:hAnsi="Arial" w:cs="Arial"/>
        </w:rPr>
        <w:t xml:space="preserve">The decisions on enforcing are made by the Crown Prosecution Service (CPS). The CPS provides guidance regarding terrorist actions which are intended to intimidate the public and to influence the government (CPS 2004). Terrorism includes serious violence against a person, damage to property and most recently, the interference with electronic systems. The planning, assisting and involvement in funding terrorist activity may also be an offence (CPS 2004). This influences the basis and justification for the operation of counter terrorism policing. </w:t>
      </w:r>
    </w:p>
    <w:p w14:paraId="70044244" w14:textId="77777777" w:rsidR="00FA4358" w:rsidRPr="00010161" w:rsidRDefault="009511B6" w:rsidP="009511B6">
      <w:pPr>
        <w:rPr>
          <w:rFonts w:ascii="Arial" w:hAnsi="Arial" w:cs="Arial"/>
        </w:rPr>
      </w:pPr>
      <w:r w:rsidRPr="00010161">
        <w:rPr>
          <w:rFonts w:ascii="Arial" w:hAnsi="Arial" w:cs="Arial"/>
        </w:rPr>
        <w:t>Examples of terrorist organisations and their involvement in criminal activity will now be considered. One term used to define the relationships between terrorism and criminality is “Crime-Terror Nexus” (Phillips and S</w:t>
      </w:r>
      <w:r w:rsidR="00FA4358" w:rsidRPr="00010161">
        <w:rPr>
          <w:rFonts w:ascii="Arial" w:hAnsi="Arial" w:cs="Arial"/>
        </w:rPr>
        <w:t>c</w:t>
      </w:r>
      <w:r w:rsidRPr="00010161">
        <w:rPr>
          <w:rFonts w:ascii="Arial" w:hAnsi="Arial" w:cs="Arial"/>
        </w:rPr>
        <w:t xml:space="preserve">hiele, 2024). Nexus suggests that the coming together of organisations to form one main partnership. While taking part in the same criminal activity, its likely that partners do so for different reasons. </w:t>
      </w:r>
      <w:r w:rsidR="00FA4358" w:rsidRPr="00010161">
        <w:rPr>
          <w:rFonts w:ascii="Arial" w:hAnsi="Arial" w:cs="Arial"/>
        </w:rPr>
        <w:t>Terrorist organisations may be seeking to meet their political or religious goals. Criminals may be aiming to generate wealth and maintain influence within a community. The basis of these partnerships is often financial. Law enforcement agencies can target these relationships as they seek to fight terrorism. However, only a small amount of terrorist organisations directly engages with criminal organisations (Phillips and Schiele, 2024). This means that law enforcement agencies need to act on terrorism organisations engaging in criminal activities without criminal partners.</w:t>
      </w:r>
    </w:p>
    <w:p w14:paraId="7522C76B" w14:textId="63824FC3" w:rsidR="0097440E" w:rsidRPr="00010161" w:rsidRDefault="00FA4358" w:rsidP="00FA4358">
      <w:pPr>
        <w:spacing w:before="240"/>
        <w:rPr>
          <w:rFonts w:ascii="Arial" w:hAnsi="Arial" w:cs="Arial"/>
        </w:rPr>
      </w:pPr>
      <w:r w:rsidRPr="00010161">
        <w:rPr>
          <w:rFonts w:ascii="Arial" w:hAnsi="Arial" w:cs="Arial"/>
        </w:rPr>
        <w:t xml:space="preserve">The term Nexus is not limited to relationships between terrorist organisations and criminal ones. Individual criminals may be recruited at local levels to act for terrorist groups. In many </w:t>
      </w:r>
      <w:r w:rsidRPr="00010161">
        <w:rPr>
          <w:rFonts w:ascii="Arial" w:hAnsi="Arial" w:cs="Arial"/>
        </w:rPr>
        <w:lastRenderedPageBreak/>
        <w:t>cases these people have been in prison where they have been recruited (Gaub and Lisiecka, 2017). Both Daesh and Al-Qaeda have been linked to a series of terrorist attacks carried out by individua</w:t>
      </w:r>
      <w:r w:rsidR="00693FED" w:rsidRPr="00010161">
        <w:rPr>
          <w:rFonts w:ascii="Arial" w:hAnsi="Arial" w:cs="Arial"/>
        </w:rPr>
        <w:t>l</w:t>
      </w:r>
      <w:r w:rsidRPr="00010161">
        <w:rPr>
          <w:rFonts w:ascii="Arial" w:hAnsi="Arial" w:cs="Arial"/>
        </w:rPr>
        <w:t xml:space="preserve"> former criminals recruited to their cause. These include high profile incidents in Paris, Berlin and Brussels (Gaub and Lisiecka, 2017). These recruits could operate from within the society in which they’ve previously lives with the confidence that they could safely hide. This represents a huge challenge to counter terrorism policing because the general tendency within parts of society is to mistrust the police (Gaub and Lisiecka, 2017</w:t>
      </w:r>
      <w:r w:rsidR="0079474E" w:rsidRPr="00010161">
        <w:rPr>
          <w:rFonts w:ascii="Arial" w:hAnsi="Arial" w:cs="Arial"/>
        </w:rPr>
        <w:t xml:space="preserve">). How anti-terrorism policing efforts can overcome such mistrust and gather the information needed is considered in this essay. </w:t>
      </w:r>
    </w:p>
    <w:p w14:paraId="1A24E0EC" w14:textId="55BDFA26" w:rsidR="0079474E" w:rsidRPr="00010161" w:rsidRDefault="0079474E" w:rsidP="00FA4358">
      <w:pPr>
        <w:spacing w:before="240"/>
        <w:rPr>
          <w:rFonts w:ascii="Arial" w:hAnsi="Arial" w:cs="Arial"/>
        </w:rPr>
      </w:pPr>
      <w:r w:rsidRPr="00010161">
        <w:rPr>
          <w:rFonts w:ascii="Arial" w:hAnsi="Arial" w:cs="Arial"/>
        </w:rPr>
        <w:t xml:space="preserve">In addition to recruiting people terrorist organisations are interested in the criminal practices known to the recruits. These include their previous willingness to use violence and knowledge of how to use arms and explosives. Criminals can also provide skills such as forgery and money laundering (Gaub and Lisiecka, 2017). Their involvement provides an opportunity for fundraising by undertaking several small criminal acts, large funds can be raised to support terrorism. Criminals convicted of acts associated with terrorism should be dealt with as terrorists and the associated acts should reflect this. Instances of modern slavery and human trafficking have also been linked to a crime-terror Nexus. Terrorists see both as money raising opportunities. The Islamic state and </w:t>
      </w:r>
      <w:r w:rsidR="003F029F" w:rsidRPr="00010161">
        <w:rPr>
          <w:rFonts w:ascii="Arial" w:hAnsi="Arial" w:cs="Arial"/>
        </w:rPr>
        <w:t>Boko Haram</w:t>
      </w:r>
      <w:r w:rsidRPr="00010161">
        <w:rPr>
          <w:rFonts w:ascii="Arial" w:hAnsi="Arial" w:cs="Arial"/>
        </w:rPr>
        <w:t xml:space="preserve"> have used the territory they control as places for these activities (</w:t>
      </w:r>
      <w:proofErr w:type="spellStart"/>
      <w:r w:rsidRPr="00010161">
        <w:rPr>
          <w:rFonts w:ascii="Arial" w:hAnsi="Arial" w:cs="Arial"/>
        </w:rPr>
        <w:t>Pollichieni</w:t>
      </w:r>
      <w:proofErr w:type="spellEnd"/>
      <w:r w:rsidRPr="00010161">
        <w:rPr>
          <w:rFonts w:ascii="Arial" w:hAnsi="Arial" w:cs="Arial"/>
        </w:rPr>
        <w:t xml:space="preserve"> and Mumford, 2021). The Islamic state crimes include the trafficking and enslavement of women into forced partnerships with terrorist soldiers and the forcible use of children as soldiers. These give the terrorist benefits by providing human resources of which they have complete control. In one example in Sinjar (Iraq) over 6000 victims were enslaved (</w:t>
      </w:r>
      <w:proofErr w:type="spellStart"/>
      <w:r w:rsidRPr="00010161">
        <w:rPr>
          <w:rFonts w:ascii="Arial" w:hAnsi="Arial" w:cs="Arial"/>
        </w:rPr>
        <w:t>Pollichieni</w:t>
      </w:r>
      <w:proofErr w:type="spellEnd"/>
      <w:r w:rsidRPr="00010161">
        <w:rPr>
          <w:rFonts w:ascii="Arial" w:hAnsi="Arial" w:cs="Arial"/>
        </w:rPr>
        <w:t xml:space="preserve"> and Mumford, 2021). </w:t>
      </w:r>
    </w:p>
    <w:p w14:paraId="096AFA1E" w14:textId="77777777" w:rsidR="003F029F" w:rsidRPr="00010161" w:rsidRDefault="003F029F" w:rsidP="00FA4358">
      <w:pPr>
        <w:spacing w:before="240"/>
        <w:rPr>
          <w:rFonts w:ascii="Arial" w:hAnsi="Arial" w:cs="Arial"/>
        </w:rPr>
      </w:pPr>
      <w:r w:rsidRPr="00010161">
        <w:rPr>
          <w:rFonts w:ascii="Arial" w:hAnsi="Arial" w:cs="Arial"/>
        </w:rPr>
        <w:t>Boko Haram</w:t>
      </w:r>
      <w:r w:rsidR="0079474E" w:rsidRPr="00010161">
        <w:rPr>
          <w:rFonts w:ascii="Arial" w:hAnsi="Arial" w:cs="Arial"/>
        </w:rPr>
        <w:t xml:space="preserve"> are known to have exploited the kidnapping and trafficking of young girls (</w:t>
      </w:r>
      <w:proofErr w:type="spellStart"/>
      <w:r w:rsidR="0079474E" w:rsidRPr="00010161">
        <w:rPr>
          <w:rFonts w:ascii="Arial" w:hAnsi="Arial" w:cs="Arial"/>
        </w:rPr>
        <w:t>Pollichieni</w:t>
      </w:r>
      <w:proofErr w:type="spellEnd"/>
      <w:r w:rsidR="0079474E" w:rsidRPr="00010161">
        <w:rPr>
          <w:rFonts w:ascii="Arial" w:hAnsi="Arial" w:cs="Arial"/>
        </w:rPr>
        <w:t xml:space="preserve"> and Mumford, 2021). They rely upon criminal gangs for the sale of these victims. Terrorist acts such as suicide bombings are also related to these victims. </w:t>
      </w:r>
      <w:r w:rsidRPr="00010161">
        <w:rPr>
          <w:rFonts w:ascii="Arial" w:hAnsi="Arial" w:cs="Arial"/>
        </w:rPr>
        <w:t>It is noted that this tactic has provided Boko Haram with an international profile. This therefore has put pressure on the Nigerian government to engage in talks with the group to release the hostages (</w:t>
      </w:r>
      <w:proofErr w:type="spellStart"/>
      <w:r w:rsidRPr="00010161">
        <w:rPr>
          <w:rFonts w:ascii="Arial" w:hAnsi="Arial" w:cs="Arial"/>
        </w:rPr>
        <w:t>Pollichieni</w:t>
      </w:r>
      <w:proofErr w:type="spellEnd"/>
      <w:r w:rsidRPr="00010161">
        <w:rPr>
          <w:rFonts w:ascii="Arial" w:hAnsi="Arial" w:cs="Arial"/>
        </w:rPr>
        <w:t xml:space="preserve"> and Mumford, 2021). Policing these crimes has required international responses at the highest level. The Taliban government of Afghanistan can be directly linked to the Haqqani network terrorist organisation. Home Office (2024). The Taliban are said to have earned between $20 - $500 million per year from opium related activities (Azizi and Hughes, 2024). This money came from tax collected from opium poppy farmers, providing protection and the trafficking of the drugs. The nature of this suggests that the terrorist organisation is capable of independent criminal actions. </w:t>
      </w:r>
    </w:p>
    <w:p w14:paraId="13CA4649" w14:textId="6CF607B5" w:rsidR="0079474E" w:rsidRPr="00010161" w:rsidRDefault="003F029F" w:rsidP="00FA4358">
      <w:pPr>
        <w:spacing w:before="240"/>
        <w:rPr>
          <w:rFonts w:ascii="Arial" w:hAnsi="Arial" w:cs="Arial"/>
        </w:rPr>
      </w:pPr>
      <w:r w:rsidRPr="00010161">
        <w:rPr>
          <w:rFonts w:ascii="Arial" w:hAnsi="Arial" w:cs="Arial"/>
        </w:rPr>
        <w:t xml:space="preserve">The magnitude of this problems means that there’s a need for cooperation between counter terrorism policing </w:t>
      </w:r>
      <w:r w:rsidR="00463BAD" w:rsidRPr="00010161">
        <w:rPr>
          <w:rFonts w:ascii="Arial" w:hAnsi="Arial" w:cs="Arial"/>
        </w:rPr>
        <w:t xml:space="preserve">groups and those tackling organised crime. However, it is suggested that policing solutions based just on the seizing of drugs or arrest of drug traffickers may not severely damage the terrorist organisation. They may be able to provide more drugs on demand if needed (Azizi and Hughes, 2024). Money is not the only reason for this criminality. The terrorists are aware of the potential harm of drugs and the social problems they cause in what they see as enemy countries (Shelley 2020). Policing this requires coordinated action. </w:t>
      </w:r>
    </w:p>
    <w:p w14:paraId="55849875" w14:textId="004F0B1B" w:rsidR="00463BAD" w:rsidRPr="00010161" w:rsidRDefault="00463BAD" w:rsidP="00FA4358">
      <w:pPr>
        <w:spacing w:before="240"/>
        <w:rPr>
          <w:rFonts w:ascii="Arial" w:hAnsi="Arial" w:cs="Arial"/>
        </w:rPr>
      </w:pPr>
      <w:r w:rsidRPr="00010161">
        <w:rPr>
          <w:rFonts w:ascii="Arial" w:hAnsi="Arial" w:cs="Arial"/>
        </w:rPr>
        <w:t xml:space="preserve">In the UK, the counter terrorism strategy is called CONTEST, parliament. House of commons, 2023. Since 2018, working with key partners the UK has successfully brought down terrorism threats. This has used the CONTEST framework which consists of four actions; prevent, peruse, protect and prepare. Importantly, CONTEST has flagged the need </w:t>
      </w:r>
      <w:r w:rsidRPr="00010161">
        <w:rPr>
          <w:rFonts w:ascii="Arial" w:hAnsi="Arial" w:cs="Arial"/>
        </w:rPr>
        <w:lastRenderedPageBreak/>
        <w:t xml:space="preserve">for close cooperation between government departments, local authorities, frontline emergency services, intelligence and security agencies and other partners. There is also a commitment to listen to victims of terrorism and their families, Parliament. House of commons 2023. Its important to recognise how the inter-organisation cooperation identified by CONTEST can inform counter terrorism policing. This can be shown by looking at an issue linked to drugs trafficking. </w:t>
      </w:r>
      <w:r w:rsidR="005E59D8" w:rsidRPr="00010161">
        <w:rPr>
          <w:rFonts w:ascii="Arial" w:hAnsi="Arial" w:cs="Arial"/>
        </w:rPr>
        <w:t>In 2023, the Taliban re-introduced a ban on opium poppy farming. This was said to relate to their religious concerns and problems arising from drug use within their society (</w:t>
      </w:r>
      <w:proofErr w:type="spellStart"/>
      <w:r w:rsidR="005E59D8" w:rsidRPr="00010161">
        <w:rPr>
          <w:rFonts w:ascii="Arial" w:hAnsi="Arial" w:cs="Arial"/>
        </w:rPr>
        <w:t>Giommoni</w:t>
      </w:r>
      <w:proofErr w:type="spellEnd"/>
      <w:r w:rsidR="005E59D8" w:rsidRPr="00010161">
        <w:rPr>
          <w:rFonts w:ascii="Arial" w:hAnsi="Arial" w:cs="Arial"/>
        </w:rPr>
        <w:t>, 2024). The effect of this ban on the funding of terrorism in this region is yet to be established. It has been suggested that the reduction of heroin will result in an increase of fake or synthetic drugs. These may be produced by different people but still distributed by the terrorist network (</w:t>
      </w:r>
      <w:proofErr w:type="spellStart"/>
      <w:r w:rsidR="005E59D8" w:rsidRPr="00010161">
        <w:rPr>
          <w:rFonts w:ascii="Arial" w:hAnsi="Arial" w:cs="Arial"/>
        </w:rPr>
        <w:t>Giommoni</w:t>
      </w:r>
      <w:proofErr w:type="spellEnd"/>
      <w:r w:rsidR="005E59D8" w:rsidRPr="00010161">
        <w:rPr>
          <w:rFonts w:ascii="Arial" w:hAnsi="Arial" w:cs="Arial"/>
        </w:rPr>
        <w:t xml:space="preserve">, 2024). </w:t>
      </w:r>
      <w:r w:rsidR="00343EDD" w:rsidRPr="00010161">
        <w:rPr>
          <w:rFonts w:ascii="Arial" w:hAnsi="Arial" w:cs="Arial"/>
        </w:rPr>
        <w:t xml:space="preserve">These more powerful drugs will cause an increased level of addiction and other health issues. It is therefore possible that by limiting the supply of heroin, the Taliban will have more drug related disruptions within targeted countries even though this may have not been their intention. </w:t>
      </w:r>
    </w:p>
    <w:p w14:paraId="3779ED71" w14:textId="35BB4D53" w:rsidR="00343EDD" w:rsidRPr="00010161" w:rsidRDefault="00CD64F7" w:rsidP="00FA4358">
      <w:pPr>
        <w:spacing w:before="240"/>
        <w:rPr>
          <w:rFonts w:ascii="Arial" w:hAnsi="Arial" w:cs="Arial"/>
        </w:rPr>
      </w:pPr>
      <w:r w:rsidRPr="00010161">
        <w:rPr>
          <w:rFonts w:ascii="Arial" w:hAnsi="Arial" w:cs="Arial"/>
        </w:rPr>
        <w:t>The proposed policing of this problem, using a multi-agency approach has been discussed</w:t>
      </w:r>
      <w:r w:rsidR="00747D6F" w:rsidRPr="00010161">
        <w:rPr>
          <w:rFonts w:ascii="Arial" w:hAnsi="Arial" w:cs="Arial"/>
        </w:rPr>
        <w:t xml:space="preserve"> (</w:t>
      </w:r>
      <w:proofErr w:type="spellStart"/>
      <w:r w:rsidR="00747D6F" w:rsidRPr="00010161">
        <w:rPr>
          <w:rFonts w:ascii="Arial" w:hAnsi="Arial" w:cs="Arial"/>
        </w:rPr>
        <w:t>Giommoni</w:t>
      </w:r>
      <w:proofErr w:type="spellEnd"/>
      <w:r w:rsidR="00747D6F" w:rsidRPr="00010161">
        <w:rPr>
          <w:rFonts w:ascii="Arial" w:hAnsi="Arial" w:cs="Arial"/>
        </w:rPr>
        <w:t xml:space="preserve">, 2024). The solution is </w:t>
      </w:r>
      <w:r w:rsidR="002E116E" w:rsidRPr="00010161">
        <w:rPr>
          <w:rFonts w:ascii="Arial" w:hAnsi="Arial" w:cs="Arial"/>
        </w:rPr>
        <w:t>like</w:t>
      </w:r>
      <w:r w:rsidR="00747D6F" w:rsidRPr="00010161">
        <w:rPr>
          <w:rFonts w:ascii="Arial" w:hAnsi="Arial" w:cs="Arial"/>
        </w:rPr>
        <w:t xml:space="preserve"> what was suggested in CONTEST. The approach would bring together environmental monitoring systems providing </w:t>
      </w:r>
      <w:r w:rsidR="002E116E" w:rsidRPr="00010161">
        <w:rPr>
          <w:rFonts w:ascii="Arial" w:hAnsi="Arial" w:cs="Arial"/>
        </w:rPr>
        <w:t>wastewater</w:t>
      </w:r>
      <w:r w:rsidR="00747D6F" w:rsidRPr="00010161">
        <w:rPr>
          <w:rFonts w:ascii="Arial" w:hAnsi="Arial" w:cs="Arial"/>
        </w:rPr>
        <w:t xml:space="preserve"> analysis, information from drug users about price and strength of the drugs available and the analysis of used syringes. Data would also be requested from doctors and emergency services. Considered together, this information could identify possible groups of users of these new drugs, trafficking </w:t>
      </w:r>
      <w:r w:rsidR="002E116E" w:rsidRPr="00010161">
        <w:rPr>
          <w:rFonts w:ascii="Arial" w:hAnsi="Arial" w:cs="Arial"/>
        </w:rPr>
        <w:t>networks</w:t>
      </w:r>
      <w:r w:rsidR="00747D6F" w:rsidRPr="00010161">
        <w:rPr>
          <w:rFonts w:ascii="Arial" w:hAnsi="Arial" w:cs="Arial"/>
        </w:rPr>
        <w:t xml:space="preserve">, </w:t>
      </w:r>
      <w:r w:rsidR="002E116E" w:rsidRPr="00010161">
        <w:rPr>
          <w:rFonts w:ascii="Arial" w:hAnsi="Arial" w:cs="Arial"/>
        </w:rPr>
        <w:t xml:space="preserve">and the identity of the individuals involved some of whom may be associated with terrorism </w:t>
      </w:r>
      <w:r w:rsidR="00747D6F" w:rsidRPr="00010161">
        <w:rPr>
          <w:rFonts w:ascii="Arial" w:hAnsi="Arial" w:cs="Arial"/>
        </w:rPr>
        <w:t>or their locations</w:t>
      </w:r>
      <w:r w:rsidR="002E116E" w:rsidRPr="00010161">
        <w:rPr>
          <w:rFonts w:ascii="Arial" w:hAnsi="Arial" w:cs="Arial"/>
        </w:rPr>
        <w:t xml:space="preserve"> (</w:t>
      </w:r>
      <w:proofErr w:type="spellStart"/>
      <w:r w:rsidR="002E116E" w:rsidRPr="00010161">
        <w:rPr>
          <w:rFonts w:ascii="Arial" w:hAnsi="Arial" w:cs="Arial"/>
        </w:rPr>
        <w:t>Giommoni</w:t>
      </w:r>
      <w:proofErr w:type="spellEnd"/>
      <w:r w:rsidR="002E116E" w:rsidRPr="00010161">
        <w:rPr>
          <w:rFonts w:ascii="Arial" w:hAnsi="Arial" w:cs="Arial"/>
        </w:rPr>
        <w:t xml:space="preserve">, 2024). This does require much more work before being possible. There are considerations regarding the privacy and availability of the information required. </w:t>
      </w:r>
    </w:p>
    <w:p w14:paraId="100A1622" w14:textId="7B3341B0" w:rsidR="008013D2" w:rsidRPr="00010161" w:rsidRDefault="008013D2" w:rsidP="00FA4358">
      <w:pPr>
        <w:spacing w:before="240"/>
        <w:rPr>
          <w:rFonts w:ascii="Arial" w:hAnsi="Arial" w:cs="Arial"/>
        </w:rPr>
      </w:pPr>
      <w:r w:rsidRPr="00010161">
        <w:rPr>
          <w:rFonts w:ascii="Arial" w:hAnsi="Arial" w:cs="Arial"/>
        </w:rPr>
        <w:t>It has been suggested that community policing can support this required terrorism related information gathering (</w:t>
      </w:r>
      <w:r w:rsidR="00244598" w:rsidRPr="00010161">
        <w:rPr>
          <w:rFonts w:ascii="Arial" w:hAnsi="Arial" w:cs="Arial"/>
        </w:rPr>
        <w:t>Thomas, 2016)</w:t>
      </w:r>
      <w:r w:rsidR="00962011" w:rsidRPr="00010161">
        <w:rPr>
          <w:rFonts w:ascii="Arial" w:hAnsi="Arial" w:cs="Arial"/>
        </w:rPr>
        <w:t xml:space="preserve">. Collaboration at local levels between partner agencies can be developed in the form of close, at times </w:t>
      </w:r>
      <w:r w:rsidR="00291C45" w:rsidRPr="00010161">
        <w:rPr>
          <w:rFonts w:ascii="Arial" w:hAnsi="Arial" w:cs="Arial"/>
        </w:rPr>
        <w:t>collocated</w:t>
      </w:r>
      <w:r w:rsidR="00962011" w:rsidRPr="00010161">
        <w:rPr>
          <w:rFonts w:ascii="Arial" w:hAnsi="Arial" w:cs="Arial"/>
        </w:rPr>
        <w:t xml:space="preserve"> </w:t>
      </w:r>
      <w:r w:rsidR="00291C45" w:rsidRPr="00010161">
        <w:rPr>
          <w:rFonts w:ascii="Arial" w:hAnsi="Arial" w:cs="Arial"/>
        </w:rPr>
        <w:t>workplaces</w:t>
      </w:r>
      <w:r w:rsidR="00E54003" w:rsidRPr="00010161">
        <w:rPr>
          <w:rFonts w:ascii="Arial" w:hAnsi="Arial" w:cs="Arial"/>
        </w:rPr>
        <w:t xml:space="preserve">, sited within the </w:t>
      </w:r>
      <w:r w:rsidR="00291C45" w:rsidRPr="00010161">
        <w:rPr>
          <w:rFonts w:ascii="Arial" w:hAnsi="Arial" w:cs="Arial"/>
        </w:rPr>
        <w:t>communities. The</w:t>
      </w:r>
      <w:r w:rsidR="00E54003" w:rsidRPr="00010161">
        <w:rPr>
          <w:rFonts w:ascii="Arial" w:hAnsi="Arial" w:cs="Arial"/>
        </w:rPr>
        <w:t xml:space="preserve"> term </w:t>
      </w:r>
      <w:r w:rsidR="00291C45" w:rsidRPr="00010161">
        <w:rPr>
          <w:rFonts w:ascii="Arial" w:hAnsi="Arial" w:cs="Arial"/>
        </w:rPr>
        <w:t xml:space="preserve">“community intelligence” is used to suggest the gathering of information as well as getting a sense of any trouble effecting the community (Thomas, 2016). There are many challenges faced when attempting to do this. Trust between the police and members of the community is important but not always easy to achieve. </w:t>
      </w:r>
      <w:r w:rsidR="00D351FE" w:rsidRPr="00010161">
        <w:rPr>
          <w:rFonts w:ascii="Arial" w:hAnsi="Arial" w:cs="Arial"/>
        </w:rPr>
        <w:t xml:space="preserve">An example of issues when </w:t>
      </w:r>
      <w:r w:rsidR="00310534" w:rsidRPr="00010161">
        <w:rPr>
          <w:rFonts w:ascii="Arial" w:hAnsi="Arial" w:cs="Arial"/>
        </w:rPr>
        <w:t>putting together a partnership between the police with a Muslim community have been looked at (Cherney and Hartley, 2017)</w:t>
      </w:r>
      <w:r w:rsidR="00DE3876" w:rsidRPr="00010161">
        <w:rPr>
          <w:rFonts w:ascii="Arial" w:hAnsi="Arial" w:cs="Arial"/>
        </w:rPr>
        <w:t>. The need for trust and goodwill on both sides is difficult to meet, it may require talking with partners whose beliefs may be contrary to each other. Community leaders with local credibility and religious understanding can contribute towards being aware of terrorism issues. However, they may come under pressure not to do so by their community. This may contain people who believe in the aims of the terrorists but not their methods. Police officers may be criticised for talking with people with extreme views but who are not terrorists. The solution is not straight forward but this collaboration is worth pursuing (Cherney and Hartley, 2017).</w:t>
      </w:r>
    </w:p>
    <w:p w14:paraId="6697CC1C" w14:textId="77777777" w:rsidR="009A5B54" w:rsidRPr="00010161" w:rsidRDefault="007A15FA" w:rsidP="00FA4358">
      <w:pPr>
        <w:spacing w:before="240"/>
        <w:rPr>
          <w:rFonts w:ascii="Arial" w:hAnsi="Arial" w:cs="Arial"/>
        </w:rPr>
      </w:pPr>
      <w:r w:rsidRPr="00010161">
        <w:rPr>
          <w:rFonts w:ascii="Arial" w:hAnsi="Arial" w:cs="Arial"/>
        </w:rPr>
        <w:t>Similar consideration shave been applied in Northern Ireland (Jupp and Garrod, 2022). Here, terrorist organisations are still active despite the easing of political tensions. The community r</w:t>
      </w:r>
      <w:r w:rsidR="009056E7" w:rsidRPr="00010161">
        <w:rPr>
          <w:rFonts w:ascii="Arial" w:hAnsi="Arial" w:cs="Arial"/>
        </w:rPr>
        <w:t xml:space="preserve">oots and ideology can make policing challenging especially regarding terrorist involvement in criminal activity. Having achieved status within their </w:t>
      </w:r>
      <w:r w:rsidR="00793D96" w:rsidRPr="00010161">
        <w:rPr>
          <w:rFonts w:ascii="Arial" w:hAnsi="Arial" w:cs="Arial"/>
        </w:rPr>
        <w:t>communities’</w:t>
      </w:r>
      <w:r w:rsidR="009056E7" w:rsidRPr="00010161">
        <w:rPr>
          <w:rFonts w:ascii="Arial" w:hAnsi="Arial" w:cs="Arial"/>
        </w:rPr>
        <w:t xml:space="preserve"> terrorists are hesitant to give it up</w:t>
      </w:r>
      <w:r w:rsidR="00C776CE" w:rsidRPr="00010161">
        <w:rPr>
          <w:rFonts w:ascii="Arial" w:hAnsi="Arial" w:cs="Arial"/>
        </w:rPr>
        <w:t xml:space="preserve"> (Jupp and Garrod, 2022). To combat these activities, the </w:t>
      </w:r>
      <w:r w:rsidR="00793D96" w:rsidRPr="00010161">
        <w:rPr>
          <w:rFonts w:ascii="Arial" w:hAnsi="Arial" w:cs="Arial"/>
        </w:rPr>
        <w:t>Paramilitary</w:t>
      </w:r>
      <w:r w:rsidR="00C776CE" w:rsidRPr="00010161">
        <w:rPr>
          <w:rFonts w:ascii="Arial" w:hAnsi="Arial" w:cs="Arial"/>
        </w:rPr>
        <w:t xml:space="preserve"> </w:t>
      </w:r>
      <w:r w:rsidR="00793D96" w:rsidRPr="00010161">
        <w:rPr>
          <w:rFonts w:ascii="Arial" w:hAnsi="Arial" w:cs="Arial"/>
        </w:rPr>
        <w:t>C</w:t>
      </w:r>
      <w:r w:rsidR="00C776CE" w:rsidRPr="00010161">
        <w:rPr>
          <w:rFonts w:ascii="Arial" w:hAnsi="Arial" w:cs="Arial"/>
        </w:rPr>
        <w:t xml:space="preserve">rime </w:t>
      </w:r>
      <w:r w:rsidR="00793D96" w:rsidRPr="00010161">
        <w:rPr>
          <w:rFonts w:ascii="Arial" w:hAnsi="Arial" w:cs="Arial"/>
        </w:rPr>
        <w:t>T</w:t>
      </w:r>
      <w:r w:rsidR="00C776CE" w:rsidRPr="00010161">
        <w:rPr>
          <w:rFonts w:ascii="Arial" w:hAnsi="Arial" w:cs="Arial"/>
        </w:rPr>
        <w:t xml:space="preserve">ask </w:t>
      </w:r>
      <w:r w:rsidR="00793D96" w:rsidRPr="00010161">
        <w:rPr>
          <w:rFonts w:ascii="Arial" w:hAnsi="Arial" w:cs="Arial"/>
        </w:rPr>
        <w:t>F</w:t>
      </w:r>
      <w:r w:rsidR="00C776CE" w:rsidRPr="00010161">
        <w:rPr>
          <w:rFonts w:ascii="Arial" w:hAnsi="Arial" w:cs="Arial"/>
        </w:rPr>
        <w:t>orce</w:t>
      </w:r>
      <w:r w:rsidR="00793D96" w:rsidRPr="00010161">
        <w:rPr>
          <w:rFonts w:ascii="Arial" w:hAnsi="Arial" w:cs="Arial"/>
        </w:rPr>
        <w:t xml:space="preserve"> was established. This is a collaboration between the </w:t>
      </w:r>
      <w:r w:rsidR="00315F3D" w:rsidRPr="00010161">
        <w:rPr>
          <w:rFonts w:ascii="Arial" w:hAnsi="Arial" w:cs="Arial"/>
        </w:rPr>
        <w:t>Police Service in Northern Ireland (PSNI)</w:t>
      </w:r>
      <w:r w:rsidR="00793D96" w:rsidRPr="00010161">
        <w:rPr>
          <w:rFonts w:ascii="Arial" w:hAnsi="Arial" w:cs="Arial"/>
        </w:rPr>
        <w:t>, the national crime agency and HM revenue and customs</w:t>
      </w:r>
      <w:r w:rsidR="00315F3D" w:rsidRPr="00010161">
        <w:rPr>
          <w:rFonts w:ascii="Arial" w:hAnsi="Arial" w:cs="Arial"/>
        </w:rPr>
        <w:t xml:space="preserve">. It continues to address criminal activities linked to terrorist organisations and reports successful action and </w:t>
      </w:r>
      <w:r w:rsidR="00315F3D" w:rsidRPr="00010161">
        <w:rPr>
          <w:rFonts w:ascii="Arial" w:hAnsi="Arial" w:cs="Arial"/>
        </w:rPr>
        <w:lastRenderedPageBreak/>
        <w:t xml:space="preserve">seeks to engage with affected communities (PSNI, 2024). </w:t>
      </w:r>
      <w:r w:rsidR="00A716B3" w:rsidRPr="00010161">
        <w:rPr>
          <w:rFonts w:ascii="Arial" w:hAnsi="Arial" w:cs="Arial"/>
        </w:rPr>
        <w:t xml:space="preserve">This includes the setting up on an anonymous process which anyone can use if they are concerned about potential terrorist activity. </w:t>
      </w:r>
    </w:p>
    <w:p w14:paraId="248296BF" w14:textId="7B91F2A5" w:rsidR="009A4753" w:rsidRPr="00010161" w:rsidRDefault="00A716B3" w:rsidP="00FA4358">
      <w:pPr>
        <w:spacing w:before="240"/>
        <w:rPr>
          <w:rFonts w:ascii="Arial" w:hAnsi="Arial" w:cs="Arial"/>
        </w:rPr>
      </w:pPr>
      <w:r w:rsidRPr="00010161">
        <w:rPr>
          <w:rFonts w:ascii="Arial" w:hAnsi="Arial" w:cs="Arial"/>
        </w:rPr>
        <w:t xml:space="preserve">Its possible such an approach can help identify potential terrorists including those who may have criminal tendencies. It could be that a change in behaviour and attitudes associated with the transition from criminal behaviour to terrorism can be established by members of the community (Gaub and </w:t>
      </w:r>
      <w:r w:rsidR="00DF7DF1" w:rsidRPr="00010161">
        <w:rPr>
          <w:rFonts w:ascii="Arial" w:hAnsi="Arial" w:cs="Arial"/>
        </w:rPr>
        <w:t>Lisiecka, 2017)</w:t>
      </w:r>
      <w:r w:rsidR="00576DC2" w:rsidRPr="00010161">
        <w:rPr>
          <w:rFonts w:ascii="Arial" w:hAnsi="Arial" w:cs="Arial"/>
        </w:rPr>
        <w:t xml:space="preserve">. </w:t>
      </w:r>
      <w:r w:rsidR="009A5B54" w:rsidRPr="00010161">
        <w:rPr>
          <w:rFonts w:ascii="Arial" w:hAnsi="Arial" w:cs="Arial"/>
        </w:rPr>
        <w:t xml:space="preserve">Changes to behaviour including increased levels of religious intolerance could be flagged up as possible indication of radicalisation. It is the type of community-based approach that can help in the battle of terrorism. </w:t>
      </w:r>
    </w:p>
    <w:p w14:paraId="354CE4F5" w14:textId="71B87F03" w:rsidR="003031B6" w:rsidRPr="00010161" w:rsidRDefault="003031B6" w:rsidP="00FA4358">
      <w:pPr>
        <w:spacing w:before="240"/>
        <w:rPr>
          <w:rFonts w:ascii="Arial" w:hAnsi="Arial" w:cs="Arial"/>
        </w:rPr>
      </w:pPr>
      <w:r w:rsidRPr="00010161">
        <w:rPr>
          <w:rFonts w:ascii="Arial" w:hAnsi="Arial" w:cs="Arial"/>
        </w:rPr>
        <w:t xml:space="preserve">Bringing together a wide range of terrorist criminal activities under the heading illicit trade is useful. </w:t>
      </w:r>
      <w:r w:rsidR="00321B41" w:rsidRPr="00010161">
        <w:rPr>
          <w:rFonts w:ascii="Arial" w:hAnsi="Arial" w:cs="Arial"/>
        </w:rPr>
        <w:t xml:space="preserve">This can include terrorist involvement in the illegal removal and sale of antiquities. They do this because of </w:t>
      </w:r>
      <w:r w:rsidR="002056B9" w:rsidRPr="00010161">
        <w:rPr>
          <w:rFonts w:ascii="Arial" w:hAnsi="Arial" w:cs="Arial"/>
        </w:rPr>
        <w:t>financial gain from selling these antiquities but also because of religious intolerance</w:t>
      </w:r>
      <w:r w:rsidR="009E09C1" w:rsidRPr="00010161">
        <w:rPr>
          <w:rFonts w:ascii="Arial" w:hAnsi="Arial" w:cs="Arial"/>
        </w:rPr>
        <w:t xml:space="preserve">. There are </w:t>
      </w:r>
      <w:r w:rsidR="006F1534" w:rsidRPr="00010161">
        <w:rPr>
          <w:rFonts w:ascii="Arial" w:hAnsi="Arial" w:cs="Arial"/>
        </w:rPr>
        <w:t>many</w:t>
      </w:r>
      <w:r w:rsidR="005C4C8C" w:rsidRPr="00010161">
        <w:rPr>
          <w:rFonts w:ascii="Arial" w:hAnsi="Arial" w:cs="Arial"/>
        </w:rPr>
        <w:t xml:space="preserve"> these types of terrorist criminal activities which in addition for being undertaken for profit have the aim of demoralizing local societies </w:t>
      </w:r>
      <w:r w:rsidR="006F1534" w:rsidRPr="00010161">
        <w:rPr>
          <w:rFonts w:ascii="Arial" w:hAnsi="Arial" w:cs="Arial"/>
        </w:rPr>
        <w:t xml:space="preserve">and destroying history (Shelley, 2020). Other acts include illegal gold mining, involvement with financial </w:t>
      </w:r>
      <w:r w:rsidR="008631F8" w:rsidRPr="00010161">
        <w:rPr>
          <w:rFonts w:ascii="Arial" w:hAnsi="Arial" w:cs="Arial"/>
        </w:rPr>
        <w:t>fraud</w:t>
      </w:r>
      <w:r w:rsidR="006F1534" w:rsidRPr="00010161">
        <w:rPr>
          <w:rFonts w:ascii="Arial" w:hAnsi="Arial" w:cs="Arial"/>
        </w:rPr>
        <w:t xml:space="preserve"> and </w:t>
      </w:r>
      <w:r w:rsidR="008631F8" w:rsidRPr="00010161">
        <w:rPr>
          <w:rFonts w:ascii="Arial" w:hAnsi="Arial" w:cs="Arial"/>
        </w:rPr>
        <w:t xml:space="preserve">cryptocurrencies. </w:t>
      </w:r>
      <w:r w:rsidR="002F6F53" w:rsidRPr="00010161">
        <w:rPr>
          <w:rFonts w:ascii="Arial" w:hAnsi="Arial" w:cs="Arial"/>
        </w:rPr>
        <w:t>T</w:t>
      </w:r>
      <w:r w:rsidR="008631F8" w:rsidRPr="00010161">
        <w:rPr>
          <w:rFonts w:ascii="Arial" w:hAnsi="Arial" w:cs="Arial"/>
        </w:rPr>
        <w:t xml:space="preserve">rading in these things can be undertaken </w:t>
      </w:r>
      <w:r w:rsidR="002F6F53" w:rsidRPr="00010161">
        <w:rPr>
          <w:rFonts w:ascii="Arial" w:hAnsi="Arial" w:cs="Arial"/>
        </w:rPr>
        <w:t xml:space="preserve">legally by terrorists or on behalf of them by other institutions. It may be very difficult to identify suspicious transactions. This process is very challenging and is made more </w:t>
      </w:r>
      <w:r w:rsidR="00DB2092" w:rsidRPr="00010161">
        <w:rPr>
          <w:rFonts w:ascii="Arial" w:hAnsi="Arial" w:cs="Arial"/>
        </w:rPr>
        <w:t>difficult</w:t>
      </w:r>
      <w:r w:rsidR="002F6F53" w:rsidRPr="00010161">
        <w:rPr>
          <w:rFonts w:ascii="Arial" w:hAnsi="Arial" w:cs="Arial"/>
        </w:rPr>
        <w:t xml:space="preserve"> by the </w:t>
      </w:r>
      <w:r w:rsidR="00DB2092" w:rsidRPr="00010161">
        <w:rPr>
          <w:rFonts w:ascii="Arial" w:hAnsi="Arial" w:cs="Arial"/>
        </w:rPr>
        <w:t>operation of distributed small cells of terrorists whose funding can be hard to detect (Bauer and Levitt, 2020).</w:t>
      </w:r>
      <w:r w:rsidR="006D03FE" w:rsidRPr="00010161">
        <w:rPr>
          <w:rFonts w:ascii="Arial" w:hAnsi="Arial" w:cs="Arial"/>
        </w:rPr>
        <w:t xml:space="preserve"> As an example, Al-Qaeda and other terrorist groups have reportedly been involved in bitcoin money laundering which was investigated by financial authorities (Bauer and Levitt, 2020). Tackling this problem may require legislation across national borders (Shelley, 2020). This is likely to be </w:t>
      </w:r>
      <w:r w:rsidR="004B3800" w:rsidRPr="00010161">
        <w:rPr>
          <w:rFonts w:ascii="Arial" w:hAnsi="Arial" w:cs="Arial"/>
        </w:rPr>
        <w:t>further</w:t>
      </w:r>
      <w:r w:rsidR="006D03FE" w:rsidRPr="00010161">
        <w:rPr>
          <w:rFonts w:ascii="Arial" w:hAnsi="Arial" w:cs="Arial"/>
        </w:rPr>
        <w:t xml:space="preserve"> challenged as financial transactions become more electronic by nature. There is some concern related to potential terrorist use of cryptocurrency with uncertainty of how </w:t>
      </w:r>
      <w:r w:rsidR="004B3800" w:rsidRPr="00010161">
        <w:rPr>
          <w:rFonts w:ascii="Arial" w:hAnsi="Arial" w:cs="Arial"/>
        </w:rPr>
        <w:t>effective</w:t>
      </w:r>
      <w:r w:rsidR="006D03FE" w:rsidRPr="00010161">
        <w:rPr>
          <w:rFonts w:ascii="Arial" w:hAnsi="Arial" w:cs="Arial"/>
        </w:rPr>
        <w:t xml:space="preserve"> </w:t>
      </w:r>
      <w:r w:rsidR="004B3800" w:rsidRPr="00010161">
        <w:rPr>
          <w:rFonts w:ascii="Arial" w:hAnsi="Arial" w:cs="Arial"/>
        </w:rPr>
        <w:t>anti-terrorism steps can be made more effective (Bauer and Levitt, 2020).</w:t>
      </w:r>
    </w:p>
    <w:p w14:paraId="682C69FE" w14:textId="1839D6A4" w:rsidR="00EA1895" w:rsidRPr="00010161" w:rsidRDefault="00307858" w:rsidP="00FA4358">
      <w:pPr>
        <w:spacing w:before="240"/>
        <w:rPr>
          <w:rFonts w:ascii="Arial" w:hAnsi="Arial" w:cs="Arial"/>
        </w:rPr>
      </w:pPr>
      <w:r w:rsidRPr="00010161">
        <w:rPr>
          <w:rFonts w:ascii="Arial" w:hAnsi="Arial" w:cs="Arial"/>
        </w:rPr>
        <w:t xml:space="preserve">By looking into the involvement of terrorist organisations in criminal activities, this essay has made it clear that coordinated anti-terrorism police responses are needed. These are already in place and are being coordinated at a national and international level. </w:t>
      </w:r>
      <w:r w:rsidR="00066647" w:rsidRPr="00010161">
        <w:rPr>
          <w:rFonts w:ascii="Arial" w:hAnsi="Arial" w:cs="Arial"/>
        </w:rPr>
        <w:t xml:space="preserve">Tackling terrorism is very difficult but necessary and by doing so it will require action not just from governments and law but will need cooperation from </w:t>
      </w:r>
      <w:proofErr w:type="gramStart"/>
      <w:r w:rsidR="00066647" w:rsidRPr="00010161">
        <w:rPr>
          <w:rFonts w:ascii="Arial" w:hAnsi="Arial" w:cs="Arial"/>
        </w:rPr>
        <w:t>society as a whole</w:t>
      </w:r>
      <w:proofErr w:type="gramEnd"/>
      <w:r w:rsidR="00066647" w:rsidRPr="00010161">
        <w:rPr>
          <w:rFonts w:ascii="Arial" w:hAnsi="Arial" w:cs="Arial"/>
        </w:rPr>
        <w:t xml:space="preserve">. </w:t>
      </w:r>
    </w:p>
    <w:p w14:paraId="264442C0" w14:textId="1C137837" w:rsidR="003F029F" w:rsidRPr="00010161" w:rsidRDefault="00066647" w:rsidP="00FA4358">
      <w:pPr>
        <w:spacing w:before="240"/>
        <w:rPr>
          <w:rFonts w:ascii="Arial" w:hAnsi="Arial" w:cs="Arial"/>
        </w:rPr>
      </w:pPr>
      <w:r w:rsidRPr="00010161">
        <w:rPr>
          <w:rFonts w:ascii="Arial" w:hAnsi="Arial" w:cs="Arial"/>
        </w:rPr>
        <w:t>Words: 2058</w:t>
      </w:r>
    </w:p>
    <w:p w14:paraId="7B3C458D" w14:textId="77777777" w:rsidR="00C403A1" w:rsidRPr="00010161" w:rsidRDefault="00C403A1" w:rsidP="00FA4358">
      <w:pPr>
        <w:spacing w:before="240"/>
        <w:rPr>
          <w:rFonts w:ascii="Arial" w:hAnsi="Arial" w:cs="Arial"/>
        </w:rPr>
      </w:pPr>
    </w:p>
    <w:p w14:paraId="2026B5A0" w14:textId="77777777" w:rsidR="00714DD8" w:rsidRPr="00010161" w:rsidRDefault="00714DD8" w:rsidP="00FA4358">
      <w:pPr>
        <w:spacing w:before="240"/>
        <w:rPr>
          <w:rFonts w:ascii="Arial" w:hAnsi="Arial" w:cs="Arial"/>
        </w:rPr>
      </w:pPr>
    </w:p>
    <w:p w14:paraId="5F65D3B6" w14:textId="77777777" w:rsidR="00714DD8" w:rsidRPr="00010161" w:rsidRDefault="00714DD8" w:rsidP="00FA4358">
      <w:pPr>
        <w:spacing w:before="240"/>
        <w:rPr>
          <w:rFonts w:ascii="Arial" w:hAnsi="Arial" w:cs="Arial"/>
        </w:rPr>
      </w:pPr>
    </w:p>
    <w:p w14:paraId="70E65F13" w14:textId="77777777" w:rsidR="00693FED" w:rsidRPr="00010161" w:rsidRDefault="00693FED" w:rsidP="00FA4358">
      <w:pPr>
        <w:spacing w:before="240"/>
        <w:rPr>
          <w:rFonts w:ascii="Arial" w:hAnsi="Arial" w:cs="Arial"/>
        </w:rPr>
      </w:pPr>
    </w:p>
    <w:p w14:paraId="21DF3DC1" w14:textId="77777777" w:rsidR="00693FED" w:rsidRPr="00010161" w:rsidRDefault="00693FED" w:rsidP="00FA4358">
      <w:pPr>
        <w:spacing w:before="240"/>
        <w:rPr>
          <w:rFonts w:ascii="Arial" w:hAnsi="Arial" w:cs="Arial"/>
        </w:rPr>
      </w:pPr>
    </w:p>
    <w:p w14:paraId="144E41F5" w14:textId="77777777" w:rsidR="00693FED" w:rsidRPr="00010161" w:rsidRDefault="00693FED" w:rsidP="00FA4358">
      <w:pPr>
        <w:spacing w:before="240"/>
        <w:rPr>
          <w:rFonts w:ascii="Arial" w:hAnsi="Arial" w:cs="Arial"/>
        </w:rPr>
      </w:pPr>
    </w:p>
    <w:p w14:paraId="0B8FA514" w14:textId="77777777" w:rsidR="00693FED" w:rsidRPr="00010161" w:rsidRDefault="00693FED" w:rsidP="00FA4358">
      <w:pPr>
        <w:spacing w:before="240"/>
        <w:rPr>
          <w:rFonts w:ascii="Arial" w:hAnsi="Arial" w:cs="Arial"/>
        </w:rPr>
      </w:pPr>
    </w:p>
    <w:p w14:paraId="4236A228" w14:textId="4AACC957" w:rsidR="00C403A1" w:rsidRPr="00010161" w:rsidRDefault="00C403A1" w:rsidP="00FA4358">
      <w:pPr>
        <w:spacing w:before="240"/>
        <w:rPr>
          <w:rFonts w:ascii="Arial" w:hAnsi="Arial" w:cs="Arial"/>
          <w:b/>
          <w:bCs/>
          <w:i/>
          <w:iCs/>
          <w:u w:val="single"/>
        </w:rPr>
      </w:pPr>
      <w:r w:rsidRPr="00010161">
        <w:rPr>
          <w:rFonts w:ascii="Arial" w:hAnsi="Arial" w:cs="Arial"/>
          <w:b/>
          <w:bCs/>
          <w:i/>
          <w:iCs/>
          <w:u w:val="single"/>
        </w:rPr>
        <w:lastRenderedPageBreak/>
        <w:t>Essay 2 – W</w:t>
      </w:r>
      <w:r w:rsidR="009639DE" w:rsidRPr="00010161">
        <w:rPr>
          <w:rFonts w:ascii="Arial" w:hAnsi="Arial" w:cs="Arial"/>
          <w:b/>
          <w:bCs/>
          <w:i/>
          <w:iCs/>
          <w:u w:val="single"/>
        </w:rPr>
        <w:t>hat lessons have been learned from recent high-profile critical and major incidents, and how have these translated into best practice for policing?</w:t>
      </w:r>
    </w:p>
    <w:p w14:paraId="73A53653" w14:textId="77777777" w:rsidR="009639DE" w:rsidRPr="00010161" w:rsidRDefault="009639DE" w:rsidP="00FA4358">
      <w:pPr>
        <w:spacing w:before="240"/>
        <w:rPr>
          <w:rFonts w:ascii="Arial" w:hAnsi="Arial" w:cs="Arial"/>
          <w:b/>
          <w:bCs/>
          <w:i/>
          <w:iCs/>
          <w:u w:val="single"/>
        </w:rPr>
      </w:pPr>
    </w:p>
    <w:p w14:paraId="24DD89E0" w14:textId="6E973AD5" w:rsidR="009639DE" w:rsidRPr="00010161" w:rsidRDefault="00693FED" w:rsidP="00FA4358">
      <w:pPr>
        <w:spacing w:before="240"/>
        <w:rPr>
          <w:rFonts w:ascii="Arial" w:hAnsi="Arial" w:cs="Arial"/>
        </w:rPr>
      </w:pPr>
      <w:r w:rsidRPr="00010161">
        <w:rPr>
          <w:rFonts w:ascii="Arial" w:hAnsi="Arial" w:cs="Arial"/>
        </w:rPr>
        <w:t xml:space="preserve">In this essay I will consider </w:t>
      </w:r>
      <w:r w:rsidR="00AE24B6" w:rsidRPr="00010161">
        <w:rPr>
          <w:rFonts w:ascii="Arial" w:hAnsi="Arial" w:cs="Arial"/>
        </w:rPr>
        <w:t>lessons learned from critical and major incidents and how they have translated into best practice for policing. According to the College of Policing (CoP) a critical incident is “Any incident where the effectiveness of the police response is likely to have a significant impact on the confidence of the victim, their family and/or the community” (CoP, 2024</w:t>
      </w:r>
      <w:r w:rsidR="004C5393" w:rsidRPr="00010161">
        <w:rPr>
          <w:rFonts w:ascii="Arial" w:hAnsi="Arial" w:cs="Arial"/>
        </w:rPr>
        <w:t>a</w:t>
      </w:r>
      <w:r w:rsidR="00AE24B6" w:rsidRPr="00010161">
        <w:rPr>
          <w:rFonts w:ascii="Arial" w:hAnsi="Arial" w:cs="Arial"/>
        </w:rPr>
        <w:t>). This definition is linked to incidents of anti-social</w:t>
      </w:r>
      <w:r w:rsidR="00A202A7" w:rsidRPr="00010161">
        <w:rPr>
          <w:rFonts w:ascii="Arial" w:hAnsi="Arial" w:cs="Arial"/>
        </w:rPr>
        <w:t xml:space="preserve"> behaviour, hate crimes, disorder, pre-planned events and internal events affecting the wellbeing of police officers. The police actions in response to these events can also result in a critical incident. </w:t>
      </w:r>
    </w:p>
    <w:p w14:paraId="2B5CEAAF" w14:textId="77777777" w:rsidR="00DD59DA" w:rsidRPr="00010161" w:rsidRDefault="00A202A7" w:rsidP="00FA4358">
      <w:pPr>
        <w:spacing w:before="240"/>
        <w:rPr>
          <w:rFonts w:ascii="Arial" w:hAnsi="Arial" w:cs="Arial"/>
        </w:rPr>
      </w:pPr>
      <w:r w:rsidRPr="00010161">
        <w:rPr>
          <w:rFonts w:ascii="Arial" w:hAnsi="Arial" w:cs="Arial"/>
        </w:rPr>
        <w:t xml:space="preserve">An example of a critical incident was the murder of Stephen Lawerence in 1993. This was a racially motivated murder of a young black male by a gang of white teenagers. The initial police response and handling of the case caused nationwide concern. A public inquiry determined that there had been a lack of direction, co-ordination and control during the investigation. The level of command of supervising officers was described as “abysmal” (Macpherson, 1999). </w:t>
      </w:r>
      <w:r w:rsidR="00DD59DA" w:rsidRPr="00010161">
        <w:rPr>
          <w:rFonts w:ascii="Arial" w:hAnsi="Arial" w:cs="Arial"/>
        </w:rPr>
        <w:t xml:space="preserve">In 2012 following an 18-year campaign by his family, two of the suspects were convicted of murder. Three others were never charged. This critical incident did not end with the public inquiry but carries on to this day. The inaction of the police created an ongoing critical incident. In an article published by the Crown prosecution Service (CPS) considers that this incident changes and continues to influence racism attitudes in policing (Narwal, 2023). </w:t>
      </w:r>
    </w:p>
    <w:p w14:paraId="181E40B0" w14:textId="3AB8EDC6" w:rsidR="006C3915" w:rsidRPr="00010161" w:rsidRDefault="00DD59DA" w:rsidP="00FA4358">
      <w:pPr>
        <w:spacing w:before="240"/>
        <w:rPr>
          <w:rFonts w:ascii="Arial" w:hAnsi="Arial" w:cs="Arial"/>
        </w:rPr>
      </w:pPr>
      <w:r w:rsidRPr="00010161">
        <w:rPr>
          <w:rFonts w:ascii="Arial" w:hAnsi="Arial" w:cs="Arial"/>
        </w:rPr>
        <w:t>According to the CoP, a major incident can be defined as “an</w:t>
      </w:r>
      <w:r w:rsidRPr="00010161">
        <w:rPr>
          <w:rFonts w:ascii="Arial" w:hAnsi="Arial" w:cs="Arial"/>
        </w:rPr>
        <w:t xml:space="preserve"> event or situation, with a range of serious consequences, which requires special arrangements to be implemented by one or more emergency responder agencies</w:t>
      </w:r>
      <w:r w:rsidRPr="00010161">
        <w:rPr>
          <w:rFonts w:ascii="Arial" w:hAnsi="Arial" w:cs="Arial"/>
        </w:rPr>
        <w:t>” (CoP, 2024</w:t>
      </w:r>
      <w:r w:rsidR="004C5393" w:rsidRPr="00010161">
        <w:rPr>
          <w:rFonts w:ascii="Arial" w:hAnsi="Arial" w:cs="Arial"/>
        </w:rPr>
        <w:t>a</w:t>
      </w:r>
      <w:r w:rsidRPr="00010161">
        <w:rPr>
          <w:rFonts w:ascii="Arial" w:hAnsi="Arial" w:cs="Arial"/>
        </w:rPr>
        <w:t xml:space="preserve">). </w:t>
      </w:r>
      <w:r w:rsidR="006C3915" w:rsidRPr="00010161">
        <w:rPr>
          <w:rFonts w:ascii="Arial" w:hAnsi="Arial" w:cs="Arial"/>
          <w:i/>
          <w:iCs/>
        </w:rPr>
        <w:t xml:space="preserve">The Civil Contingencies Act 2004 </w:t>
      </w:r>
      <w:r w:rsidR="006C3915" w:rsidRPr="00010161">
        <w:rPr>
          <w:rFonts w:ascii="Arial" w:hAnsi="Arial" w:cs="Arial"/>
        </w:rPr>
        <w:t xml:space="preserve">dividends responder organisations into two groups. Category one is the emergency services, local authorities and National Health Service (NHS) bodies. Category two are utility, transport companies and the health and safety executive. To bring these organisations together during an incident the Joint Emergency Services Interoperability Programme was established in 2012. It was relaunched as the </w:t>
      </w:r>
      <w:r w:rsidR="006C3915" w:rsidRPr="00010161">
        <w:rPr>
          <w:rFonts w:ascii="Arial" w:hAnsi="Arial" w:cs="Arial"/>
        </w:rPr>
        <w:t>Joint Emergency Services Interoperability Pr</w:t>
      </w:r>
      <w:r w:rsidR="006C3915" w:rsidRPr="00010161">
        <w:rPr>
          <w:rFonts w:ascii="Arial" w:hAnsi="Arial" w:cs="Arial"/>
        </w:rPr>
        <w:t xml:space="preserve">inciples (JESIP) in April 2015. There have been three versions of the JESIP joint doctrine with the latest being 3.1 (JESIP, 2024). The joint Doctrine </w:t>
      </w:r>
      <w:r w:rsidR="006C3915" w:rsidRPr="00010161">
        <w:rPr>
          <w:rFonts w:ascii="Arial" w:hAnsi="Arial" w:cs="Arial"/>
        </w:rPr>
        <w:t>Interoperability</w:t>
      </w:r>
      <w:r w:rsidR="006C3915" w:rsidRPr="00010161">
        <w:rPr>
          <w:rFonts w:ascii="Arial" w:hAnsi="Arial" w:cs="Arial"/>
        </w:rPr>
        <w:t xml:space="preserve"> Framework is based on a set of common models and principles. </w:t>
      </w:r>
      <w:r w:rsidR="00C278C6" w:rsidRPr="00010161">
        <w:rPr>
          <w:rFonts w:ascii="Arial" w:hAnsi="Arial" w:cs="Arial"/>
        </w:rPr>
        <w:t xml:space="preserve">It provides guidance to support </w:t>
      </w:r>
      <w:r w:rsidR="00C278C6" w:rsidRPr="00010161">
        <w:rPr>
          <w:rFonts w:ascii="Arial" w:hAnsi="Arial" w:cs="Arial"/>
        </w:rPr>
        <w:t>Interoperability</w:t>
      </w:r>
      <w:r w:rsidR="00C278C6" w:rsidRPr="00010161">
        <w:rPr>
          <w:rFonts w:ascii="Arial" w:hAnsi="Arial" w:cs="Arial"/>
        </w:rPr>
        <w:t xml:space="preserve"> which is vital to organisations working together in major incidents. </w:t>
      </w:r>
      <w:r w:rsidR="00C278C6" w:rsidRPr="00010161">
        <w:rPr>
          <w:rFonts w:ascii="Arial" w:hAnsi="Arial" w:cs="Arial"/>
        </w:rPr>
        <w:t>Interoperability</w:t>
      </w:r>
      <w:r w:rsidR="00C278C6" w:rsidRPr="00010161">
        <w:rPr>
          <w:rFonts w:ascii="Arial" w:hAnsi="Arial" w:cs="Arial"/>
        </w:rPr>
        <w:t xml:space="preserve"> challenges were analysed by Pollock (2013). He reviewed responses to 32 events occurring between 1986 and 2010. These had been subject to public inquiries or had influenced public awareness. This review suggested that JESIP could address most of the identified problems however to be successful this would need changes to practices used by the responder organisations to target i</w:t>
      </w:r>
      <w:r w:rsidR="00C278C6" w:rsidRPr="00010161">
        <w:rPr>
          <w:rFonts w:ascii="Arial" w:hAnsi="Arial" w:cs="Arial"/>
        </w:rPr>
        <w:t>nteroperability</w:t>
      </w:r>
      <w:r w:rsidR="00C278C6" w:rsidRPr="00010161">
        <w:rPr>
          <w:rFonts w:ascii="Arial" w:hAnsi="Arial" w:cs="Arial"/>
        </w:rPr>
        <w:t xml:space="preserve"> (Pollock, 2013). </w:t>
      </w:r>
    </w:p>
    <w:p w14:paraId="05EC1014" w14:textId="5E57BB5B" w:rsidR="00C278C6" w:rsidRPr="00010161" w:rsidRDefault="00C278C6" w:rsidP="00FA4358">
      <w:pPr>
        <w:spacing w:before="240"/>
        <w:rPr>
          <w:rFonts w:ascii="Arial" w:hAnsi="Arial" w:cs="Arial"/>
        </w:rPr>
      </w:pPr>
      <w:r w:rsidRPr="00010161">
        <w:rPr>
          <w:rFonts w:ascii="Arial" w:hAnsi="Arial" w:cs="Arial"/>
        </w:rPr>
        <w:t>There are three components in the Joint Doctrine. These are: Principles for joint working, the METHANE model and the joint decision model (JDM). Each of these use information gathered from major incidents to support current best practice policing. The five principles for joint working manage the responders during major incidents. The key requirements shown in JESIP are summarised below (JESIP, 2024):</w:t>
      </w:r>
    </w:p>
    <w:p w14:paraId="42D5FDCF" w14:textId="6F402C9D" w:rsidR="00C278C6" w:rsidRPr="00010161" w:rsidRDefault="00C278C6" w:rsidP="0055423D">
      <w:pPr>
        <w:pStyle w:val="ListParagraph"/>
        <w:numPr>
          <w:ilvl w:val="0"/>
          <w:numId w:val="1"/>
        </w:numPr>
        <w:spacing w:before="240"/>
        <w:rPr>
          <w:rFonts w:ascii="Arial" w:hAnsi="Arial" w:cs="Arial"/>
        </w:rPr>
      </w:pPr>
      <w:r w:rsidRPr="00010161">
        <w:rPr>
          <w:rFonts w:ascii="Arial" w:hAnsi="Arial" w:cs="Arial"/>
        </w:rPr>
        <w:t xml:space="preserve">Co-location: Responder organisation control rooms should go-locate or be linked virtually as soon as possible. A single Forward Command Point (FCP) must form the </w:t>
      </w:r>
      <w:r w:rsidRPr="00010161">
        <w:rPr>
          <w:rFonts w:ascii="Arial" w:hAnsi="Arial" w:cs="Arial"/>
        </w:rPr>
        <w:lastRenderedPageBreak/>
        <w:t xml:space="preserve">main point for the attending responders. A rendezvous </w:t>
      </w:r>
      <w:r w:rsidR="0055423D" w:rsidRPr="00010161">
        <w:rPr>
          <w:rFonts w:ascii="Arial" w:hAnsi="Arial" w:cs="Arial"/>
        </w:rPr>
        <w:t>point</w:t>
      </w:r>
      <w:r w:rsidRPr="00010161">
        <w:rPr>
          <w:rFonts w:ascii="Arial" w:hAnsi="Arial" w:cs="Arial"/>
        </w:rPr>
        <w:t xml:space="preserve"> for the initial co-location </w:t>
      </w:r>
      <w:r w:rsidR="0055423D" w:rsidRPr="00010161">
        <w:rPr>
          <w:rFonts w:ascii="Arial" w:hAnsi="Arial" w:cs="Arial"/>
        </w:rPr>
        <w:t xml:space="preserve">of responders can be set up by the control rooms if needed. </w:t>
      </w:r>
    </w:p>
    <w:p w14:paraId="5D7CDC4A" w14:textId="77777777" w:rsidR="0055423D" w:rsidRPr="00010161" w:rsidRDefault="0055423D" w:rsidP="0055423D">
      <w:pPr>
        <w:pStyle w:val="ListParagraph"/>
        <w:spacing w:before="240"/>
        <w:rPr>
          <w:rFonts w:ascii="Arial" w:hAnsi="Arial" w:cs="Arial"/>
        </w:rPr>
      </w:pPr>
    </w:p>
    <w:p w14:paraId="406C9B82" w14:textId="4DBFD43A" w:rsidR="0055423D" w:rsidRPr="00010161" w:rsidRDefault="0055423D" w:rsidP="0055423D">
      <w:pPr>
        <w:pStyle w:val="ListParagraph"/>
        <w:numPr>
          <w:ilvl w:val="0"/>
          <w:numId w:val="1"/>
        </w:numPr>
        <w:spacing w:before="240"/>
        <w:rPr>
          <w:rFonts w:ascii="Arial" w:hAnsi="Arial" w:cs="Arial"/>
        </w:rPr>
      </w:pPr>
      <w:r w:rsidRPr="00010161">
        <w:rPr>
          <w:rFonts w:ascii="Arial" w:hAnsi="Arial" w:cs="Arial"/>
        </w:rPr>
        <w:t xml:space="preserve">Communication: Responders will be in contact with their control room. Control rooms will need to communicate with each other. Multi-agency group communication should be set up between key responders </w:t>
      </w:r>
      <w:proofErr w:type="spellStart"/>
      <w:r w:rsidRPr="00010161">
        <w:rPr>
          <w:rFonts w:ascii="Arial" w:hAnsi="Arial" w:cs="Arial"/>
        </w:rPr>
        <w:t>e.g</w:t>
      </w:r>
      <w:proofErr w:type="spellEnd"/>
      <w:r w:rsidRPr="00010161">
        <w:rPr>
          <w:rFonts w:ascii="Arial" w:hAnsi="Arial" w:cs="Arial"/>
        </w:rPr>
        <w:t xml:space="preserve"> incident commanders. Communicating with the public must also be considered as this can reduce the impact of the incident. </w:t>
      </w:r>
    </w:p>
    <w:p w14:paraId="6A737EB6" w14:textId="77777777" w:rsidR="0055423D" w:rsidRPr="00010161" w:rsidRDefault="0055423D" w:rsidP="0055423D">
      <w:pPr>
        <w:pStyle w:val="ListParagraph"/>
        <w:rPr>
          <w:rFonts w:ascii="Arial" w:hAnsi="Arial" w:cs="Arial"/>
        </w:rPr>
      </w:pPr>
    </w:p>
    <w:p w14:paraId="799529DA" w14:textId="7A938D2E" w:rsidR="0055423D" w:rsidRPr="00010161" w:rsidRDefault="0055423D" w:rsidP="0055423D">
      <w:pPr>
        <w:pStyle w:val="ListParagraph"/>
        <w:numPr>
          <w:ilvl w:val="0"/>
          <w:numId w:val="1"/>
        </w:numPr>
        <w:spacing w:before="240"/>
        <w:rPr>
          <w:rFonts w:ascii="Arial" w:hAnsi="Arial" w:cs="Arial"/>
        </w:rPr>
      </w:pPr>
      <w:r w:rsidRPr="00010161">
        <w:rPr>
          <w:rFonts w:ascii="Arial" w:hAnsi="Arial" w:cs="Arial"/>
        </w:rPr>
        <w:t xml:space="preserve">Co-ordination: Actions taken or proposed by responders must be co-ordinated. Control rooms must share information to support joint decision making. A lead organisation control room will need to make sure effective co-ordination is taking place. </w:t>
      </w:r>
    </w:p>
    <w:p w14:paraId="6DE0A236" w14:textId="77777777" w:rsidR="0055423D" w:rsidRPr="00010161" w:rsidRDefault="0055423D" w:rsidP="0055423D">
      <w:pPr>
        <w:pStyle w:val="ListParagraph"/>
        <w:rPr>
          <w:rFonts w:ascii="Arial" w:hAnsi="Arial" w:cs="Arial"/>
        </w:rPr>
      </w:pPr>
    </w:p>
    <w:p w14:paraId="42DE86A8" w14:textId="05D8B57D" w:rsidR="0055423D" w:rsidRPr="00010161" w:rsidRDefault="0055423D" w:rsidP="0055423D">
      <w:pPr>
        <w:pStyle w:val="ListParagraph"/>
        <w:numPr>
          <w:ilvl w:val="0"/>
          <w:numId w:val="1"/>
        </w:numPr>
        <w:spacing w:before="240"/>
        <w:rPr>
          <w:rFonts w:ascii="Arial" w:hAnsi="Arial" w:cs="Arial"/>
        </w:rPr>
      </w:pPr>
      <w:r w:rsidRPr="00010161">
        <w:rPr>
          <w:rFonts w:ascii="Arial" w:hAnsi="Arial" w:cs="Arial"/>
        </w:rPr>
        <w:t xml:space="preserve">Jointly understand risk: </w:t>
      </w:r>
      <w:r w:rsidR="00FD7E8B" w:rsidRPr="00010161">
        <w:rPr>
          <w:rFonts w:ascii="Arial" w:hAnsi="Arial" w:cs="Arial"/>
        </w:rPr>
        <w:t xml:space="preserve">Each responding organisation must assess risk from their point of view. These assessments must be combined and mitigating actions co-ordinated. Understanding risks may be challenging across organisations, so mutual trust is vital. </w:t>
      </w:r>
      <w:r w:rsidR="007A25B6" w:rsidRPr="00010161">
        <w:rPr>
          <w:rFonts w:ascii="Arial" w:hAnsi="Arial" w:cs="Arial"/>
        </w:rPr>
        <w:t xml:space="preserve">The critical intent is the preservation of life. </w:t>
      </w:r>
    </w:p>
    <w:p w14:paraId="36385912" w14:textId="77777777" w:rsidR="007A25B6" w:rsidRPr="00010161" w:rsidRDefault="007A25B6" w:rsidP="007A25B6">
      <w:pPr>
        <w:pStyle w:val="ListParagraph"/>
        <w:rPr>
          <w:rFonts w:ascii="Arial" w:hAnsi="Arial" w:cs="Arial"/>
        </w:rPr>
      </w:pPr>
    </w:p>
    <w:p w14:paraId="7AEE77F3" w14:textId="006A1B73" w:rsidR="007A25B6" w:rsidRPr="00010161" w:rsidRDefault="007A25B6" w:rsidP="007A25B6">
      <w:pPr>
        <w:pStyle w:val="ListParagraph"/>
        <w:numPr>
          <w:ilvl w:val="0"/>
          <w:numId w:val="1"/>
        </w:numPr>
        <w:spacing w:before="240"/>
        <w:rPr>
          <w:rFonts w:ascii="Arial" w:hAnsi="Arial" w:cs="Arial"/>
        </w:rPr>
      </w:pPr>
      <w:r w:rsidRPr="00010161">
        <w:rPr>
          <w:rFonts w:ascii="Arial" w:hAnsi="Arial" w:cs="Arial"/>
        </w:rPr>
        <w:t xml:space="preserve">Shared situational awareness: Responders need to be aware of the current state of the operation. This will include the location of the FCP and operation control information. Organisations must share the details of the operation. </w:t>
      </w:r>
    </w:p>
    <w:p w14:paraId="3CC67325" w14:textId="735ACFF1" w:rsidR="009639DE" w:rsidRPr="00010161" w:rsidRDefault="007A25B6" w:rsidP="00FA4358">
      <w:pPr>
        <w:spacing w:before="240"/>
        <w:rPr>
          <w:rFonts w:ascii="Arial" w:hAnsi="Arial" w:cs="Arial"/>
        </w:rPr>
      </w:pPr>
      <w:r w:rsidRPr="00010161">
        <w:rPr>
          <w:rFonts w:ascii="Arial" w:hAnsi="Arial" w:cs="Arial"/>
        </w:rPr>
        <w:t>One major incident considered by Pollock (2013) in considering JESIP was the 2005 London bombings. 52 people were killed by terrorist bombs across four London transport sites. The report following the inquests was very influential in exposing mistakes in the response to the incident (Hallet</w:t>
      </w:r>
      <w:r w:rsidR="000E616A">
        <w:rPr>
          <w:rFonts w:ascii="Arial" w:hAnsi="Arial" w:cs="Arial"/>
        </w:rPr>
        <w:t>t</w:t>
      </w:r>
      <w:r w:rsidRPr="00010161">
        <w:rPr>
          <w:rFonts w:ascii="Arial" w:hAnsi="Arial" w:cs="Arial"/>
        </w:rPr>
        <w:t xml:space="preserve">, 2011). </w:t>
      </w:r>
      <w:r w:rsidR="001A74DF" w:rsidRPr="00010161">
        <w:rPr>
          <w:rFonts w:ascii="Arial" w:hAnsi="Arial" w:cs="Arial"/>
        </w:rPr>
        <w:t xml:space="preserve">the report stated that there was a lack of an initial rendezvous point meaning key responders could not quickly locate each other. There were mistakes in communication meaning the control centre was not sure of the facts. The responding organisations used different radio systems that could not talk to each other. There was a lack of information sharing between the organisations. Each organisation should have established a command structure at three levels, strategic (gold), tactical (silver) and operation (bronze). There were examples of misunderstandings about the roles of the responders from different organisations. In addition, it was noted that the command structures were not in place for much of the first “golden hour” of the initial response to the incident (Hallett, 2011).  </w:t>
      </w:r>
    </w:p>
    <w:p w14:paraId="64045FA1" w14:textId="01355477" w:rsidR="001A74DF" w:rsidRPr="00010161" w:rsidRDefault="001A74DF" w:rsidP="00FA4358">
      <w:pPr>
        <w:spacing w:before="240"/>
        <w:rPr>
          <w:rFonts w:ascii="Arial" w:hAnsi="Arial" w:cs="Arial"/>
        </w:rPr>
      </w:pPr>
      <w:r w:rsidRPr="00010161">
        <w:rPr>
          <w:rFonts w:ascii="Arial" w:hAnsi="Arial" w:cs="Arial"/>
        </w:rPr>
        <w:t xml:space="preserve">It is possible to consider how these, and similar issues within other incidents contributed to JESIP. The requirement for a rendezvous point is stated. All London underground stations now have a point. The requirement for good communication at the earliest opportunity has been accepted. The importance of inter-agency training to give better understanding of response roles, is also part of JESIP. This will support better trained and knowledgeable responders who are more able to cope with future incidents. It should be that good practices relating to these functions will be used in police only investigations. </w:t>
      </w:r>
    </w:p>
    <w:p w14:paraId="0C3BC3C8" w14:textId="063988D0" w:rsidR="00173621" w:rsidRPr="00010161" w:rsidRDefault="00173621" w:rsidP="00FA4358">
      <w:pPr>
        <w:spacing w:before="240"/>
        <w:rPr>
          <w:rFonts w:ascii="Arial" w:hAnsi="Arial" w:cs="Arial"/>
        </w:rPr>
      </w:pPr>
      <w:r w:rsidRPr="00010161">
        <w:rPr>
          <w:rFonts w:ascii="Arial" w:hAnsi="Arial" w:cs="Arial"/>
        </w:rPr>
        <w:t>The second component of JESIP is the METHANE model. This explains the information required to report a major incident. A first responder compiles and submits the following information (JESIP, 2024):</w:t>
      </w:r>
    </w:p>
    <w:p w14:paraId="7722E0F1" w14:textId="0E246983"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 xml:space="preserve">Major incident declared </w:t>
      </w:r>
    </w:p>
    <w:p w14:paraId="16E93FF2" w14:textId="1C425731"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 xml:space="preserve">Exact location </w:t>
      </w:r>
    </w:p>
    <w:p w14:paraId="7E588334" w14:textId="0D94A9D7"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Type of incident</w:t>
      </w:r>
    </w:p>
    <w:p w14:paraId="26081EFC" w14:textId="36B11E54"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lastRenderedPageBreak/>
        <w:t>Hazards</w:t>
      </w:r>
    </w:p>
    <w:p w14:paraId="4D298C86" w14:textId="791C6679"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Access</w:t>
      </w:r>
    </w:p>
    <w:p w14:paraId="46FA5629" w14:textId="0D3E30F4"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Number of casualties</w:t>
      </w:r>
    </w:p>
    <w:p w14:paraId="6DAB798A" w14:textId="18985C94"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Emergency services</w:t>
      </w:r>
    </w:p>
    <w:p w14:paraId="52447573" w14:textId="272A667B" w:rsidR="00173621" w:rsidRPr="00010161" w:rsidRDefault="00173621" w:rsidP="00173621">
      <w:pPr>
        <w:spacing w:before="240"/>
        <w:rPr>
          <w:rFonts w:ascii="Arial" w:hAnsi="Arial" w:cs="Arial"/>
        </w:rPr>
      </w:pPr>
      <w:r w:rsidRPr="00010161">
        <w:rPr>
          <w:rFonts w:ascii="Arial" w:hAnsi="Arial" w:cs="Arial"/>
        </w:rPr>
        <w:t xml:space="preserve">If the answer to step one is no, the procedure becomes ETHANE. Police incidents based upon this information can then be better managed. </w:t>
      </w:r>
    </w:p>
    <w:p w14:paraId="3DDDD15B" w14:textId="3A35B10F" w:rsidR="00173621" w:rsidRPr="00010161" w:rsidRDefault="00173621" w:rsidP="00173621">
      <w:pPr>
        <w:spacing w:before="240"/>
        <w:rPr>
          <w:rFonts w:ascii="Arial" w:hAnsi="Arial" w:cs="Arial"/>
        </w:rPr>
      </w:pPr>
      <w:r w:rsidRPr="00010161">
        <w:rPr>
          <w:rFonts w:ascii="Arial" w:hAnsi="Arial" w:cs="Arial"/>
        </w:rPr>
        <w:t xml:space="preserve">The METHANE model provides a platform that can be used by responders to inform their control room. As an update this process can now be completed using an app. This further improved information sharing between responders because mobile devices can also offer voice and other forms of communication. </w:t>
      </w:r>
    </w:p>
    <w:p w14:paraId="1255EB1F" w14:textId="39A3B360" w:rsidR="00173621" w:rsidRPr="00010161" w:rsidRDefault="00173621" w:rsidP="00173621">
      <w:pPr>
        <w:spacing w:before="240"/>
        <w:rPr>
          <w:rFonts w:ascii="Arial" w:hAnsi="Arial" w:cs="Arial"/>
        </w:rPr>
      </w:pPr>
      <w:r w:rsidRPr="00010161">
        <w:rPr>
          <w:rFonts w:ascii="Arial" w:hAnsi="Arial" w:cs="Arial"/>
        </w:rPr>
        <w:t>The third component of JESIP is the Joint Decision Model (JDM) (JESIP, 2024). The JDM is very closely based on the national decision model (NDM) used by the police (CoP, 2013). The main purpose of the NDM is the code of ethics. The main purpose of the JDM is working together, reducing harm and saving lives. They both use five stages:</w:t>
      </w:r>
    </w:p>
    <w:p w14:paraId="10B8A0CE" w14:textId="74330939"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 xml:space="preserve">Stage one: Information and intelligence gathering. Different responders will use the METHANE model to gather information from their own viewpoint. It is a must that links between organisations are established. Responders including police, should become confident in using the METHANE model. </w:t>
      </w:r>
    </w:p>
    <w:p w14:paraId="2964DCF3" w14:textId="77777777" w:rsidR="00173621" w:rsidRPr="00010161" w:rsidRDefault="00173621" w:rsidP="00173621">
      <w:pPr>
        <w:pStyle w:val="ListParagraph"/>
        <w:spacing w:before="240"/>
        <w:rPr>
          <w:rFonts w:ascii="Arial" w:hAnsi="Arial" w:cs="Arial"/>
        </w:rPr>
      </w:pPr>
    </w:p>
    <w:p w14:paraId="454CEE5B" w14:textId="356D039B"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 xml:space="preserve">Stage two: Provides an assessment of threats and/or hazards. This is a combined effort involving different responders. It provides a common basis for the operation. In most cases the situation will be changing over time meaning assessments will need to be constantly reviewed. </w:t>
      </w:r>
    </w:p>
    <w:p w14:paraId="181CFCF7" w14:textId="77777777" w:rsidR="00173621" w:rsidRPr="00010161" w:rsidRDefault="00173621" w:rsidP="00173621">
      <w:pPr>
        <w:pStyle w:val="ListParagraph"/>
        <w:rPr>
          <w:rFonts w:ascii="Arial" w:hAnsi="Arial" w:cs="Arial"/>
        </w:rPr>
      </w:pPr>
    </w:p>
    <w:p w14:paraId="78EC30E7" w14:textId="251D347B"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 xml:space="preserve">Stage three: considers relevant laws, powers and establish procedures and policies. These will reflect the roles of the responding organisation. This will include the application of the statutory duties and provisions, of the powers provided by the </w:t>
      </w:r>
      <w:r w:rsidRPr="00010161">
        <w:rPr>
          <w:rFonts w:ascii="Arial" w:hAnsi="Arial" w:cs="Arial"/>
          <w:i/>
          <w:iCs/>
        </w:rPr>
        <w:t>Civil Contingencies Act 2004.</w:t>
      </w:r>
    </w:p>
    <w:p w14:paraId="19855573" w14:textId="77777777" w:rsidR="00173621" w:rsidRPr="00010161" w:rsidRDefault="00173621" w:rsidP="00173621">
      <w:pPr>
        <w:pStyle w:val="ListParagraph"/>
        <w:rPr>
          <w:rFonts w:ascii="Arial" w:hAnsi="Arial" w:cs="Arial"/>
        </w:rPr>
      </w:pPr>
    </w:p>
    <w:p w14:paraId="171B9DE7" w14:textId="48580A6D" w:rsidR="00173621" w:rsidRPr="00010161" w:rsidRDefault="00173621" w:rsidP="00173621">
      <w:pPr>
        <w:pStyle w:val="ListParagraph"/>
        <w:numPr>
          <w:ilvl w:val="0"/>
          <w:numId w:val="1"/>
        </w:numPr>
        <w:spacing w:before="240"/>
        <w:rPr>
          <w:rFonts w:ascii="Arial" w:hAnsi="Arial" w:cs="Arial"/>
        </w:rPr>
      </w:pPr>
      <w:r w:rsidRPr="00010161">
        <w:rPr>
          <w:rFonts w:ascii="Arial" w:hAnsi="Arial" w:cs="Arial"/>
        </w:rPr>
        <w:t xml:space="preserve">Stage four: considers options and contingencies. As there will be several possible actions and outcomes, this will be a dynamic satiation. The responders need to work together to provide the best basis for these actions. </w:t>
      </w:r>
    </w:p>
    <w:p w14:paraId="74DC2255" w14:textId="77777777" w:rsidR="00173621" w:rsidRPr="00010161" w:rsidRDefault="00173621" w:rsidP="00173621">
      <w:pPr>
        <w:pStyle w:val="ListParagraph"/>
        <w:rPr>
          <w:rFonts w:ascii="Arial" w:hAnsi="Arial" w:cs="Arial"/>
        </w:rPr>
      </w:pPr>
    </w:p>
    <w:p w14:paraId="7D6316E1" w14:textId="1D83C8DA" w:rsidR="00C9570C" w:rsidRPr="00010161" w:rsidRDefault="00173621" w:rsidP="00491F58">
      <w:pPr>
        <w:pStyle w:val="ListParagraph"/>
        <w:numPr>
          <w:ilvl w:val="0"/>
          <w:numId w:val="1"/>
        </w:numPr>
        <w:spacing w:before="240"/>
        <w:rPr>
          <w:rFonts w:ascii="Arial" w:hAnsi="Arial" w:cs="Arial"/>
        </w:rPr>
      </w:pPr>
      <w:r w:rsidRPr="00010161">
        <w:rPr>
          <w:rFonts w:ascii="Arial" w:hAnsi="Arial" w:cs="Arial"/>
        </w:rPr>
        <w:t>Stage five: requires that decisions are applied and the effect they have assessed. Its important that their affect is observed closely as possible using the expertise of responders. Any change in the situation may need another cycle of this model</w:t>
      </w:r>
      <w:r w:rsidR="00F55734" w:rsidRPr="00010161">
        <w:rPr>
          <w:rFonts w:ascii="Arial" w:hAnsi="Arial" w:cs="Arial"/>
        </w:rPr>
        <w:t xml:space="preserve"> (JESIP, 2024). </w:t>
      </w:r>
    </w:p>
    <w:p w14:paraId="42777F80" w14:textId="1F666DF1" w:rsidR="00C9570C" w:rsidRPr="00010161" w:rsidRDefault="00C9570C" w:rsidP="00C9570C">
      <w:pPr>
        <w:spacing w:before="240"/>
        <w:rPr>
          <w:rFonts w:ascii="Arial" w:hAnsi="Arial" w:cs="Arial"/>
        </w:rPr>
      </w:pPr>
      <w:r w:rsidRPr="00010161">
        <w:rPr>
          <w:rFonts w:ascii="Arial" w:hAnsi="Arial" w:cs="Arial"/>
        </w:rPr>
        <w:t xml:space="preserve">Confidence and practice using the NDM will help officers to use the JDM. As they are so similar, the procedures used will be identical and good practice can be shared. However, officers using the JDM may be under difficult circumstances. A major incident may have with it, pressures of time and danger. Making decisions under these conditions can be challenging and may require training to develop the required skills (Bryant, 2019). It is likely that </w:t>
      </w:r>
      <w:r w:rsidR="00990A9D" w:rsidRPr="00010161">
        <w:rPr>
          <w:rFonts w:ascii="Arial" w:hAnsi="Arial" w:cs="Arial"/>
        </w:rPr>
        <w:t>computer-based</w:t>
      </w:r>
      <w:r w:rsidRPr="00010161">
        <w:rPr>
          <w:rFonts w:ascii="Arial" w:hAnsi="Arial" w:cs="Arial"/>
        </w:rPr>
        <w:t xml:space="preserve"> decision making may be used in the future to help police officers make such decisions. </w:t>
      </w:r>
    </w:p>
    <w:p w14:paraId="54EAD23F" w14:textId="43C46E10" w:rsidR="00990A9D" w:rsidRPr="00010161" w:rsidRDefault="00990A9D" w:rsidP="00C9570C">
      <w:pPr>
        <w:spacing w:before="240"/>
        <w:rPr>
          <w:rFonts w:ascii="Arial" w:hAnsi="Arial" w:cs="Arial"/>
        </w:rPr>
      </w:pPr>
      <w:r w:rsidRPr="00010161">
        <w:rPr>
          <w:rFonts w:ascii="Arial" w:hAnsi="Arial" w:cs="Arial"/>
        </w:rPr>
        <w:lastRenderedPageBreak/>
        <w:t>A major incident occurring after the creating of JESIP was the Manchester area bombing. This occurred on the 22</w:t>
      </w:r>
      <w:r w:rsidRPr="00010161">
        <w:rPr>
          <w:rFonts w:ascii="Arial" w:hAnsi="Arial" w:cs="Arial"/>
          <w:vertAlign w:val="superscript"/>
        </w:rPr>
        <w:t>nd</w:t>
      </w:r>
      <w:r w:rsidRPr="00010161">
        <w:rPr>
          <w:rFonts w:ascii="Arial" w:hAnsi="Arial" w:cs="Arial"/>
        </w:rPr>
        <w:t xml:space="preserve"> of May 2017. The public inquiry specifically focused on the JESIP joinjt doctrine which had been in place for ten months (Saunders, 2022). He identified mistakes the same as those raised by Hallett (2011). These related to inadequate training, poor communication and the failure to learn from past incidents. Stress was put on command level failings and communication problems between control rooms. There was also a lack of multi-agency communication and confusion regarding terms used by different responding organisations. Individual acts of courage by the responders and members of the public are mentioned (Saunders, 2022). </w:t>
      </w:r>
    </w:p>
    <w:p w14:paraId="00A7EBC4" w14:textId="63868A16" w:rsidR="00990A9D" w:rsidRPr="00010161" w:rsidRDefault="00990A9D" w:rsidP="00C9570C">
      <w:pPr>
        <w:spacing w:before="240"/>
        <w:rPr>
          <w:rFonts w:ascii="Arial" w:hAnsi="Arial" w:cs="Arial"/>
        </w:rPr>
      </w:pPr>
      <w:r w:rsidRPr="00010161">
        <w:rPr>
          <w:rFonts w:ascii="Arial" w:hAnsi="Arial" w:cs="Arial"/>
        </w:rPr>
        <w:t>The inquiry also compared the actions of responder organisations with what was supposed to happen. Most notably, a detailed assessment is given about how the incident progressed during the first golden hour after the explosion. This was seen as being a critical period of the response (Saunders, 2022). The golden hour is recognised as being critical to any investigation (CoP, 2024</w:t>
      </w:r>
      <w:r w:rsidR="004C5393" w:rsidRPr="00010161">
        <w:rPr>
          <w:rFonts w:ascii="Arial" w:hAnsi="Arial" w:cs="Arial"/>
        </w:rPr>
        <w:t>b</w:t>
      </w:r>
      <w:r w:rsidRPr="00010161">
        <w:rPr>
          <w:rFonts w:ascii="Arial" w:hAnsi="Arial" w:cs="Arial"/>
        </w:rPr>
        <w:t xml:space="preserve">). Saunders divided it into early, halfway through, and latter sections and the responses from each organisation was assessed. This allowed a wider consideration of improvements that can be made that will also improve current police practice. </w:t>
      </w:r>
    </w:p>
    <w:p w14:paraId="68179B9C" w14:textId="787DCC8C" w:rsidR="00700DEB" w:rsidRPr="00010161" w:rsidRDefault="00A91C3C" w:rsidP="00C9570C">
      <w:pPr>
        <w:spacing w:before="240"/>
        <w:rPr>
          <w:rFonts w:ascii="Arial" w:hAnsi="Arial" w:cs="Arial"/>
        </w:rPr>
      </w:pPr>
      <w:r w:rsidRPr="00010161">
        <w:rPr>
          <w:rFonts w:ascii="Arial" w:hAnsi="Arial" w:cs="Arial"/>
        </w:rPr>
        <w:t>Concerns remained regarding i</w:t>
      </w:r>
      <w:r w:rsidRPr="00010161">
        <w:rPr>
          <w:rFonts w:ascii="Arial" w:hAnsi="Arial" w:cs="Arial"/>
        </w:rPr>
        <w:t>nteroperability</w:t>
      </w:r>
      <w:r w:rsidRPr="00010161">
        <w:rPr>
          <w:rFonts w:ascii="Arial" w:hAnsi="Arial" w:cs="Arial"/>
        </w:rPr>
        <w:t xml:space="preserve">, particularly related to co-ordination. This was seen as being the most important JESIP principle by Saunders (2022). Using the term </w:t>
      </w:r>
      <w:r w:rsidR="00700DEB" w:rsidRPr="00010161">
        <w:rPr>
          <w:rFonts w:ascii="Arial" w:hAnsi="Arial" w:cs="Arial"/>
        </w:rPr>
        <w:t>Principal</w:t>
      </w:r>
      <w:r w:rsidRPr="00010161">
        <w:rPr>
          <w:rFonts w:ascii="Arial" w:hAnsi="Arial" w:cs="Arial"/>
        </w:rPr>
        <w:t xml:space="preserve"> Implementation Gap it has been suggested that more and better training is required (Power, 2024). </w:t>
      </w:r>
      <w:r w:rsidR="00700DEB" w:rsidRPr="00010161">
        <w:rPr>
          <w:rFonts w:ascii="Arial" w:hAnsi="Arial" w:cs="Arial"/>
        </w:rPr>
        <w:t xml:space="preserve">In a more detailed article, this requirement was widened to look at the sort or training needed for the effective use of JESIP (Power et.al, 2024). The requirement for training to support better understanding of different roles across responding organisations has also been identified as vital by Davidson et.al (2023). </w:t>
      </w:r>
      <w:r w:rsidR="0064307D" w:rsidRPr="00010161">
        <w:rPr>
          <w:rFonts w:ascii="Arial" w:hAnsi="Arial" w:cs="Arial"/>
        </w:rPr>
        <w:t xml:space="preserve">This research suggests that working and training together can improve teamwork and provide a feeling of shared identity. This is very important when responders from different organisations come together during a major incident. Police officers with these skills will be able to make greater contributions to future incidents. </w:t>
      </w:r>
    </w:p>
    <w:p w14:paraId="05CC32E9" w14:textId="4788C118" w:rsidR="009639DE" w:rsidRPr="00010161" w:rsidRDefault="0064307D" w:rsidP="00FA4358">
      <w:pPr>
        <w:spacing w:before="240"/>
        <w:rPr>
          <w:rFonts w:ascii="Arial" w:hAnsi="Arial" w:cs="Arial"/>
        </w:rPr>
      </w:pPr>
      <w:r w:rsidRPr="00010161">
        <w:rPr>
          <w:rFonts w:ascii="Arial" w:hAnsi="Arial" w:cs="Arial"/>
        </w:rPr>
        <w:t>JESIP has influenced policing with its use in managing performance at major incidents. It was used in measuring the response in the emergency services during the Manchester area incident (Saunders, 2022)</w:t>
      </w:r>
      <w:r w:rsidR="001D0684" w:rsidRPr="00010161">
        <w:rPr>
          <w:rFonts w:ascii="Arial" w:hAnsi="Arial" w:cs="Arial"/>
        </w:rPr>
        <w:t xml:space="preserve">. Provided that the </w:t>
      </w:r>
      <w:r w:rsidR="008A49FC" w:rsidRPr="00010161">
        <w:rPr>
          <w:rFonts w:ascii="Arial" w:hAnsi="Arial" w:cs="Arial"/>
        </w:rPr>
        <w:t xml:space="preserve">shortcomings identified are put right, an element of confidence can be obtained. This allows an element of reassurance and confidence to the public regarding the future performance of their emergency services. It also provides individual police officers with confidence that they did their best. </w:t>
      </w:r>
      <w:r w:rsidR="00491F58" w:rsidRPr="00010161">
        <w:rPr>
          <w:rFonts w:ascii="Arial" w:hAnsi="Arial" w:cs="Arial"/>
        </w:rPr>
        <w:t xml:space="preserve">With the suggested improvements JESIP can help the police in their future investigations. The joint doctrine suggests that recovering from major incidents is important in building up public confidence. According to Hickey et.al (2021) this can support the wellbeing and recovery of all people involved in such traumatic events. This is very important and is reflected in the intention of the national police wellbeing service to put officer health into focus. They have provided a guideline aimed at supporting officers who may be affected by their involvement in policing major incidents (Hesketh et.al 2020). </w:t>
      </w:r>
    </w:p>
    <w:p w14:paraId="6551EB0F" w14:textId="77777777" w:rsidR="00491F58" w:rsidRPr="00010161" w:rsidRDefault="00491F58" w:rsidP="00FA4358">
      <w:pPr>
        <w:spacing w:before="240"/>
        <w:rPr>
          <w:rFonts w:ascii="Arial" w:hAnsi="Arial" w:cs="Arial"/>
        </w:rPr>
      </w:pPr>
      <w:r w:rsidRPr="00010161">
        <w:rPr>
          <w:rFonts w:ascii="Arial" w:hAnsi="Arial" w:cs="Arial"/>
        </w:rPr>
        <w:t xml:space="preserve">In considering the above it is clear that effective policing continuously learns from major incidents. This process is challenging and requires a great deal of time and effort however the safety of the public and the responders makes it worth the effort. </w:t>
      </w:r>
    </w:p>
    <w:p w14:paraId="08FC9252" w14:textId="77777777" w:rsidR="00010161" w:rsidRPr="00010161" w:rsidRDefault="00491F58" w:rsidP="00FA4358">
      <w:pPr>
        <w:spacing w:before="240"/>
        <w:rPr>
          <w:rFonts w:ascii="Arial" w:hAnsi="Arial" w:cs="Arial"/>
        </w:rPr>
      </w:pPr>
      <w:r w:rsidRPr="00010161">
        <w:rPr>
          <w:rFonts w:ascii="Arial" w:hAnsi="Arial" w:cs="Arial"/>
        </w:rPr>
        <w:t>Words: 2049</w:t>
      </w:r>
    </w:p>
    <w:p w14:paraId="26FB56DC" w14:textId="35834BB8" w:rsidR="009639DE" w:rsidRPr="00010161" w:rsidRDefault="009639DE" w:rsidP="00FA4358">
      <w:pPr>
        <w:spacing w:before="240"/>
        <w:rPr>
          <w:rFonts w:ascii="Arial" w:hAnsi="Arial" w:cs="Arial"/>
        </w:rPr>
      </w:pPr>
      <w:r w:rsidRPr="00010161">
        <w:rPr>
          <w:rFonts w:ascii="Arial" w:hAnsi="Arial" w:cs="Arial"/>
          <w:b/>
          <w:bCs/>
          <w:i/>
          <w:iCs/>
          <w:u w:val="single"/>
        </w:rPr>
        <w:lastRenderedPageBreak/>
        <w:t>References &amp; bibliography:</w:t>
      </w:r>
    </w:p>
    <w:p w14:paraId="332AB364" w14:textId="027108FA" w:rsidR="009639DE" w:rsidRPr="00010161" w:rsidRDefault="009639DE" w:rsidP="00FA4358">
      <w:pPr>
        <w:spacing w:before="240"/>
        <w:rPr>
          <w:rFonts w:ascii="Arial" w:hAnsi="Arial" w:cs="Arial"/>
          <w:i/>
          <w:iCs/>
          <w:u w:val="single"/>
        </w:rPr>
      </w:pPr>
      <w:r w:rsidRPr="00010161">
        <w:rPr>
          <w:rFonts w:ascii="Arial" w:hAnsi="Arial" w:cs="Arial"/>
          <w:i/>
          <w:iCs/>
          <w:u w:val="single"/>
        </w:rPr>
        <w:t>Essay 1:</w:t>
      </w:r>
    </w:p>
    <w:p w14:paraId="21582213" w14:textId="7504ADEB" w:rsidR="003B7F7E" w:rsidRPr="00010161" w:rsidRDefault="00B00221" w:rsidP="00FA4358">
      <w:pPr>
        <w:spacing w:before="240"/>
        <w:rPr>
          <w:rFonts w:ascii="Arial" w:hAnsi="Arial" w:cs="Arial"/>
        </w:rPr>
      </w:pPr>
      <w:r w:rsidRPr="00010161">
        <w:rPr>
          <w:rFonts w:ascii="Arial" w:hAnsi="Arial" w:cs="Arial"/>
        </w:rPr>
        <w:t>Azizi</w:t>
      </w:r>
      <w:r w:rsidR="00BB28FF" w:rsidRPr="00010161">
        <w:rPr>
          <w:rFonts w:ascii="Arial" w:hAnsi="Arial" w:cs="Arial"/>
        </w:rPr>
        <w:t>, H.</w:t>
      </w:r>
      <w:r w:rsidRPr="00010161">
        <w:rPr>
          <w:rFonts w:ascii="Arial" w:hAnsi="Arial" w:cs="Arial"/>
        </w:rPr>
        <w:t xml:space="preserve"> &amp; Hughes</w:t>
      </w:r>
      <w:r w:rsidR="00BB28FF" w:rsidRPr="00010161">
        <w:rPr>
          <w:rFonts w:ascii="Arial" w:hAnsi="Arial" w:cs="Arial"/>
        </w:rPr>
        <w:t>, C.E.</w:t>
      </w:r>
      <w:r w:rsidRPr="00010161">
        <w:rPr>
          <w:rFonts w:ascii="Arial" w:hAnsi="Arial" w:cs="Arial"/>
        </w:rPr>
        <w:t xml:space="preserve"> (2024) </w:t>
      </w:r>
      <w:r w:rsidR="00BB28FF" w:rsidRPr="00010161">
        <w:rPr>
          <w:rFonts w:ascii="Arial" w:hAnsi="Arial" w:cs="Arial"/>
        </w:rPr>
        <w:t>“</w:t>
      </w:r>
      <w:r w:rsidRPr="00010161">
        <w:rPr>
          <w:rFonts w:ascii="Arial" w:hAnsi="Arial" w:cs="Arial"/>
        </w:rPr>
        <w:t>A systematic review of the extent of the Taliban and FARC’s involvement and profit from drug trade and methods of estimating income from the drug trade</w:t>
      </w:r>
      <w:r w:rsidR="00673CB8" w:rsidRPr="00010161">
        <w:rPr>
          <w:rFonts w:ascii="Arial" w:hAnsi="Arial" w:cs="Arial"/>
        </w:rPr>
        <w:t>”</w:t>
      </w:r>
      <w:r w:rsidRPr="00010161">
        <w:rPr>
          <w:rFonts w:ascii="Arial" w:hAnsi="Arial" w:cs="Arial"/>
        </w:rPr>
        <w:t xml:space="preserve">, </w:t>
      </w:r>
      <w:r w:rsidRPr="00010161">
        <w:rPr>
          <w:rFonts w:ascii="Arial" w:hAnsi="Arial" w:cs="Arial"/>
          <w:i/>
          <w:iCs/>
        </w:rPr>
        <w:t>Global Crime</w:t>
      </w:r>
      <w:r w:rsidRPr="00010161">
        <w:rPr>
          <w:rFonts w:ascii="Arial" w:hAnsi="Arial" w:cs="Arial"/>
        </w:rPr>
        <w:t>, 25:2, 122-155,</w:t>
      </w:r>
      <w:r w:rsidR="003B7F7E" w:rsidRPr="00010161">
        <w:rPr>
          <w:rFonts w:ascii="Arial" w:hAnsi="Arial" w:cs="Arial"/>
        </w:rPr>
        <w:t xml:space="preserve"> </w:t>
      </w:r>
      <w:r w:rsidRPr="00010161">
        <w:rPr>
          <w:rFonts w:ascii="Arial" w:hAnsi="Arial" w:cs="Arial"/>
        </w:rPr>
        <w:t>DOI: 10.1080/17440572.2024.2351818</w:t>
      </w:r>
      <w:r w:rsidR="003B7F7E" w:rsidRPr="00010161">
        <w:rPr>
          <w:rFonts w:ascii="Arial" w:hAnsi="Arial" w:cs="Arial"/>
        </w:rPr>
        <w:t xml:space="preserve"> Available at: </w:t>
      </w:r>
      <w:hyperlink r:id="rId8" w:history="1">
        <w:r w:rsidR="00071CC5" w:rsidRPr="00010161">
          <w:rPr>
            <w:rStyle w:val="Hyperlink"/>
            <w:rFonts w:ascii="Arial" w:hAnsi="Arial" w:cs="Arial"/>
          </w:rPr>
          <w:t>https://doi.org/10.1080/17440572.2024.2351818</w:t>
        </w:r>
      </w:hyperlink>
      <w:r w:rsidR="00071CC5" w:rsidRPr="00010161">
        <w:rPr>
          <w:rFonts w:ascii="Arial" w:hAnsi="Arial" w:cs="Arial"/>
        </w:rPr>
        <w:t xml:space="preserve"> </w:t>
      </w:r>
    </w:p>
    <w:p w14:paraId="12AF67CC" w14:textId="563861C7" w:rsidR="00D07C66" w:rsidRPr="00010161" w:rsidRDefault="00D07C66" w:rsidP="00FA4358">
      <w:pPr>
        <w:spacing w:before="240"/>
        <w:rPr>
          <w:rFonts w:ascii="Arial" w:hAnsi="Arial" w:cs="Arial"/>
        </w:rPr>
      </w:pPr>
      <w:r w:rsidRPr="00010161">
        <w:rPr>
          <w:rFonts w:ascii="Arial" w:hAnsi="Arial" w:cs="Arial"/>
        </w:rPr>
        <w:t xml:space="preserve">Bauer, K. and </w:t>
      </w:r>
      <w:proofErr w:type="spellStart"/>
      <w:proofErr w:type="gramStart"/>
      <w:r w:rsidRPr="00010161">
        <w:rPr>
          <w:rFonts w:ascii="Arial" w:hAnsi="Arial" w:cs="Arial"/>
        </w:rPr>
        <w:t>Levitt,M</w:t>
      </w:r>
      <w:proofErr w:type="spellEnd"/>
      <w:r w:rsidRPr="00010161">
        <w:rPr>
          <w:rFonts w:ascii="Arial" w:hAnsi="Arial" w:cs="Arial"/>
        </w:rPr>
        <w:t>.</w:t>
      </w:r>
      <w:proofErr w:type="gramEnd"/>
      <w:r w:rsidRPr="00010161">
        <w:rPr>
          <w:rFonts w:ascii="Arial" w:hAnsi="Arial" w:cs="Arial"/>
        </w:rPr>
        <w:t xml:space="preserve"> ‘Funding in Place: Local Financing Trends Behind Today’s Global Terrorist Threat’, </w:t>
      </w:r>
      <w:r w:rsidRPr="00010161">
        <w:rPr>
          <w:rFonts w:ascii="Arial" w:hAnsi="Arial" w:cs="Arial"/>
          <w:i/>
          <w:iCs/>
        </w:rPr>
        <w:t>The International Centre for Counter-Terrorism</w:t>
      </w:r>
      <w:r w:rsidR="002C2551" w:rsidRPr="00010161">
        <w:rPr>
          <w:rFonts w:ascii="Arial" w:hAnsi="Arial" w:cs="Arial"/>
          <w:i/>
          <w:iCs/>
        </w:rPr>
        <w:t xml:space="preserve"> </w:t>
      </w:r>
      <w:r w:rsidRPr="00010161">
        <w:rPr>
          <w:rFonts w:ascii="Arial" w:hAnsi="Arial" w:cs="Arial"/>
          <w:i/>
          <w:iCs/>
        </w:rPr>
        <w:t>Evolutions in Counter-Terrorism</w:t>
      </w:r>
      <w:r w:rsidRPr="00010161">
        <w:rPr>
          <w:rFonts w:ascii="Arial" w:hAnsi="Arial" w:cs="Arial"/>
        </w:rPr>
        <w:t>, 2 (November 2020)</w:t>
      </w:r>
      <w:r w:rsidR="00BF11D7" w:rsidRPr="00010161">
        <w:rPr>
          <w:rFonts w:ascii="Arial" w:hAnsi="Arial" w:cs="Arial"/>
        </w:rPr>
        <w:t>,</w:t>
      </w:r>
      <w:r w:rsidRPr="00010161">
        <w:rPr>
          <w:rFonts w:ascii="Arial" w:hAnsi="Arial" w:cs="Arial"/>
        </w:rPr>
        <w:t xml:space="preserve"> 47-76. </w:t>
      </w:r>
      <w:r w:rsidR="00BF11D7" w:rsidRPr="00010161">
        <w:rPr>
          <w:rFonts w:ascii="Arial" w:hAnsi="Arial" w:cs="Arial"/>
        </w:rPr>
        <w:t>Available at</w:t>
      </w:r>
      <w:r w:rsidR="004A0D65" w:rsidRPr="00010161">
        <w:rPr>
          <w:rFonts w:ascii="Arial" w:hAnsi="Arial" w:cs="Arial"/>
        </w:rPr>
        <w:t xml:space="preserve">: </w:t>
      </w:r>
      <w:r w:rsidRPr="00010161">
        <w:rPr>
          <w:rFonts w:ascii="Arial" w:hAnsi="Arial" w:cs="Arial"/>
        </w:rPr>
        <w:t>DOI 10.19165/2020.5.23</w:t>
      </w:r>
      <w:r w:rsidR="00042EFE" w:rsidRPr="00010161">
        <w:rPr>
          <w:rFonts w:ascii="Arial" w:hAnsi="Arial" w:cs="Arial"/>
        </w:rPr>
        <w:t xml:space="preserve"> </w:t>
      </w:r>
      <w:hyperlink r:id="rId9" w:history="1">
        <w:r w:rsidR="00042EFE" w:rsidRPr="00010161">
          <w:rPr>
            <w:rStyle w:val="Hyperlink"/>
            <w:rFonts w:ascii="Arial" w:hAnsi="Arial" w:cs="Arial"/>
          </w:rPr>
          <w:t>https://www.icct.nl/sites/default/files/2022-12/Special-Edition-2-3.pdf</w:t>
        </w:r>
      </w:hyperlink>
    </w:p>
    <w:p w14:paraId="34833B8B" w14:textId="2586A9F9" w:rsidR="00FB53BB" w:rsidRPr="00010161" w:rsidRDefault="00782CE2" w:rsidP="00FA4358">
      <w:pPr>
        <w:spacing w:before="240"/>
        <w:rPr>
          <w:rFonts w:ascii="Arial" w:hAnsi="Arial" w:cs="Arial"/>
        </w:rPr>
      </w:pPr>
      <w:r w:rsidRPr="00010161">
        <w:rPr>
          <w:rFonts w:ascii="Arial" w:hAnsi="Arial" w:cs="Arial"/>
        </w:rPr>
        <w:t>Cherney, A. and Hartley, J. (201</w:t>
      </w:r>
      <w:r w:rsidR="004B236A" w:rsidRPr="00010161">
        <w:rPr>
          <w:rFonts w:ascii="Arial" w:hAnsi="Arial" w:cs="Arial"/>
        </w:rPr>
        <w:t>7</w:t>
      </w:r>
      <w:r w:rsidRPr="00010161">
        <w:rPr>
          <w:rFonts w:ascii="Arial" w:hAnsi="Arial" w:cs="Arial"/>
        </w:rPr>
        <w:t>) ‘Community engagement to tackle terrorism and violent extremism: challenges, tensions and pitfalls’, </w:t>
      </w:r>
      <w:r w:rsidRPr="00010161">
        <w:rPr>
          <w:rFonts w:ascii="Arial" w:hAnsi="Arial" w:cs="Arial"/>
          <w:i/>
          <w:iCs/>
        </w:rPr>
        <w:t>Policing and Society</w:t>
      </w:r>
      <w:r w:rsidRPr="00010161">
        <w:rPr>
          <w:rFonts w:ascii="Arial" w:hAnsi="Arial" w:cs="Arial"/>
        </w:rPr>
        <w:t xml:space="preserve">, 27(7), pp. 750–763. </w:t>
      </w:r>
      <w:hyperlink r:id="rId10" w:history="1">
        <w:r w:rsidR="00FB53BB" w:rsidRPr="00010161">
          <w:rPr>
            <w:rStyle w:val="Hyperlink"/>
            <w:rFonts w:ascii="Arial" w:hAnsi="Arial" w:cs="Arial"/>
          </w:rPr>
          <w:t>https://doi.org/10.1080/10439463.2015.1089871</w:t>
        </w:r>
      </w:hyperlink>
    </w:p>
    <w:p w14:paraId="14FBCD34" w14:textId="19DDC6EB" w:rsidR="00830063" w:rsidRPr="00010161" w:rsidRDefault="00830063" w:rsidP="00FA4358">
      <w:pPr>
        <w:spacing w:before="240"/>
        <w:rPr>
          <w:rFonts w:ascii="Arial" w:hAnsi="Arial" w:cs="Arial"/>
        </w:rPr>
      </w:pPr>
      <w:r w:rsidRPr="00010161">
        <w:rPr>
          <w:rFonts w:ascii="Arial" w:hAnsi="Arial" w:cs="Arial"/>
        </w:rPr>
        <w:t>Crown Prosecution Service (CPS)</w:t>
      </w:r>
      <w:r w:rsidR="00E570D8" w:rsidRPr="00010161">
        <w:rPr>
          <w:rFonts w:ascii="Arial" w:hAnsi="Arial" w:cs="Arial"/>
        </w:rPr>
        <w:t xml:space="preserve"> (2024) </w:t>
      </w:r>
      <w:r w:rsidR="0041700F" w:rsidRPr="00010161">
        <w:rPr>
          <w:rFonts w:ascii="Arial" w:hAnsi="Arial" w:cs="Arial"/>
          <w:i/>
          <w:iCs/>
        </w:rPr>
        <w:t>Terrorism</w:t>
      </w:r>
      <w:r w:rsidR="0041700F" w:rsidRPr="00010161">
        <w:rPr>
          <w:rFonts w:ascii="Arial" w:hAnsi="Arial" w:cs="Arial"/>
        </w:rPr>
        <w:t xml:space="preserve">. Available at </w:t>
      </w:r>
      <w:hyperlink r:id="rId11" w:history="1">
        <w:r w:rsidR="0041700F" w:rsidRPr="00010161">
          <w:rPr>
            <w:rStyle w:val="Hyperlink"/>
            <w:rFonts w:ascii="Arial" w:hAnsi="Arial" w:cs="Arial"/>
          </w:rPr>
          <w:t>https://www.cps.gov.uk/crime-info/terrorism</w:t>
        </w:r>
      </w:hyperlink>
      <w:r w:rsidR="0041700F" w:rsidRPr="00010161">
        <w:rPr>
          <w:rFonts w:ascii="Arial" w:hAnsi="Arial" w:cs="Arial"/>
        </w:rPr>
        <w:t xml:space="preserve"> (Accessed on: 16/08/2024)</w:t>
      </w:r>
    </w:p>
    <w:p w14:paraId="08D93A5C" w14:textId="2D011DFB" w:rsidR="001B02F7" w:rsidRPr="00010161" w:rsidRDefault="001B02F7" w:rsidP="00FA4358">
      <w:pPr>
        <w:spacing w:before="240"/>
        <w:rPr>
          <w:rFonts w:ascii="Arial" w:hAnsi="Arial" w:cs="Arial"/>
        </w:rPr>
      </w:pPr>
      <w:r w:rsidRPr="00010161">
        <w:rPr>
          <w:rFonts w:ascii="Arial" w:hAnsi="Arial" w:cs="Arial"/>
        </w:rPr>
        <w:t>Gaub, F. and Lis</w:t>
      </w:r>
      <w:r w:rsidR="007E6240" w:rsidRPr="00010161">
        <w:rPr>
          <w:rFonts w:ascii="Arial" w:hAnsi="Arial" w:cs="Arial"/>
        </w:rPr>
        <w:t xml:space="preserve">iecka, J. </w:t>
      </w:r>
      <w:r w:rsidR="009E1D10" w:rsidRPr="00010161">
        <w:rPr>
          <w:rFonts w:ascii="Arial" w:hAnsi="Arial" w:cs="Arial"/>
        </w:rPr>
        <w:t xml:space="preserve">(2017) </w:t>
      </w:r>
      <w:r w:rsidR="007E6240" w:rsidRPr="00010161">
        <w:rPr>
          <w:rFonts w:ascii="Arial" w:hAnsi="Arial" w:cs="Arial"/>
        </w:rPr>
        <w:t xml:space="preserve">The Crime-Terrorism Nexus </w:t>
      </w:r>
      <w:r w:rsidR="007E6240" w:rsidRPr="00010161">
        <w:rPr>
          <w:rFonts w:ascii="Arial" w:hAnsi="Arial" w:cs="Arial"/>
          <w:i/>
          <w:iCs/>
        </w:rPr>
        <w:t xml:space="preserve">European Union Institute for </w:t>
      </w:r>
      <w:r w:rsidR="009E1D10" w:rsidRPr="00010161">
        <w:rPr>
          <w:rFonts w:ascii="Arial" w:hAnsi="Arial" w:cs="Arial"/>
          <w:i/>
          <w:iCs/>
        </w:rPr>
        <w:t xml:space="preserve">Security Studies. </w:t>
      </w:r>
      <w:r w:rsidR="009E1D10" w:rsidRPr="00010161">
        <w:rPr>
          <w:rFonts w:ascii="Arial" w:hAnsi="Arial" w:cs="Arial"/>
        </w:rPr>
        <w:t xml:space="preserve">Available at: </w:t>
      </w:r>
      <w:hyperlink r:id="rId12" w:history="1">
        <w:r w:rsidR="009E1D10" w:rsidRPr="00010161">
          <w:rPr>
            <w:rStyle w:val="Hyperlink"/>
            <w:rFonts w:ascii="Arial" w:hAnsi="Arial" w:cs="Arial"/>
          </w:rPr>
          <w:t>https://www.iss.europa.eu/sites/default/files/EUISSFiles/Brief_10_Terrorism_and_crime.pdf</w:t>
        </w:r>
      </w:hyperlink>
      <w:r w:rsidR="00544929" w:rsidRPr="00010161">
        <w:rPr>
          <w:rFonts w:ascii="Arial" w:hAnsi="Arial" w:cs="Arial"/>
        </w:rPr>
        <w:t xml:space="preserve"> </w:t>
      </w:r>
    </w:p>
    <w:p w14:paraId="31CB9260" w14:textId="510DB85B" w:rsidR="00E06E38" w:rsidRPr="00010161" w:rsidRDefault="00CC14D4" w:rsidP="00E06E38">
      <w:pPr>
        <w:spacing w:before="240"/>
        <w:rPr>
          <w:rFonts w:ascii="Arial" w:hAnsi="Arial" w:cs="Arial"/>
        </w:rPr>
      </w:pPr>
      <w:proofErr w:type="spellStart"/>
      <w:r w:rsidRPr="00010161">
        <w:rPr>
          <w:rFonts w:ascii="Arial" w:hAnsi="Arial" w:cs="Arial"/>
        </w:rPr>
        <w:t>Giommoni</w:t>
      </w:r>
      <w:proofErr w:type="spellEnd"/>
      <w:r w:rsidRPr="00010161">
        <w:rPr>
          <w:rFonts w:ascii="Arial" w:hAnsi="Arial" w:cs="Arial"/>
        </w:rPr>
        <w:t>, L. (</w:t>
      </w:r>
      <w:r w:rsidR="00E06E38" w:rsidRPr="00010161">
        <w:rPr>
          <w:rFonts w:ascii="Arial" w:hAnsi="Arial" w:cs="Arial"/>
        </w:rPr>
        <w:t>2024). “How to improve the surveillance of the Taliban’s ban's impact on European drug markets”</w:t>
      </w:r>
      <w:r w:rsidR="006E2B97" w:rsidRPr="00010161">
        <w:rPr>
          <w:rFonts w:ascii="Arial" w:hAnsi="Arial" w:cs="Arial"/>
        </w:rPr>
        <w:t xml:space="preserve"> </w:t>
      </w:r>
      <w:r w:rsidR="0068711F" w:rsidRPr="00010161">
        <w:rPr>
          <w:rFonts w:ascii="Arial" w:hAnsi="Arial" w:cs="Arial"/>
          <w:i/>
          <w:iCs/>
        </w:rPr>
        <w:t>I</w:t>
      </w:r>
      <w:r w:rsidR="006E2B97" w:rsidRPr="00010161">
        <w:rPr>
          <w:rFonts w:ascii="Arial" w:hAnsi="Arial" w:cs="Arial"/>
          <w:i/>
          <w:iCs/>
        </w:rPr>
        <w:t xml:space="preserve">nternational </w:t>
      </w:r>
      <w:r w:rsidR="0068711F" w:rsidRPr="00010161">
        <w:rPr>
          <w:rFonts w:ascii="Arial" w:hAnsi="Arial" w:cs="Arial"/>
          <w:i/>
          <w:iCs/>
        </w:rPr>
        <w:t>J</w:t>
      </w:r>
      <w:r w:rsidR="006E2B97" w:rsidRPr="00010161">
        <w:rPr>
          <w:rFonts w:ascii="Arial" w:hAnsi="Arial" w:cs="Arial"/>
          <w:i/>
          <w:iCs/>
        </w:rPr>
        <w:t xml:space="preserve">ournal of </w:t>
      </w:r>
      <w:r w:rsidR="0068711F" w:rsidRPr="00010161">
        <w:rPr>
          <w:rFonts w:ascii="Arial" w:hAnsi="Arial" w:cs="Arial"/>
          <w:i/>
          <w:iCs/>
        </w:rPr>
        <w:t>D</w:t>
      </w:r>
      <w:r w:rsidR="006E2B97" w:rsidRPr="00010161">
        <w:rPr>
          <w:rFonts w:ascii="Arial" w:hAnsi="Arial" w:cs="Arial"/>
          <w:i/>
          <w:iCs/>
        </w:rPr>
        <w:t xml:space="preserve">rug </w:t>
      </w:r>
      <w:r w:rsidR="0068711F" w:rsidRPr="00010161">
        <w:rPr>
          <w:rFonts w:ascii="Arial" w:hAnsi="Arial" w:cs="Arial"/>
          <w:i/>
          <w:iCs/>
        </w:rPr>
        <w:t>P</w:t>
      </w:r>
      <w:r w:rsidR="006E2B97" w:rsidRPr="00010161">
        <w:rPr>
          <w:rFonts w:ascii="Arial" w:hAnsi="Arial" w:cs="Arial"/>
          <w:i/>
          <w:iCs/>
        </w:rPr>
        <w:t>olicy</w:t>
      </w:r>
      <w:r w:rsidR="005233CB" w:rsidRPr="00010161">
        <w:rPr>
          <w:rFonts w:ascii="Arial" w:hAnsi="Arial" w:cs="Arial"/>
        </w:rPr>
        <w:t xml:space="preserve">. </w:t>
      </w:r>
      <w:r w:rsidR="008F0BE1" w:rsidRPr="00010161">
        <w:rPr>
          <w:rFonts w:ascii="Arial" w:hAnsi="Arial" w:cs="Arial"/>
        </w:rPr>
        <w:t xml:space="preserve">124. </w:t>
      </w:r>
      <w:r w:rsidR="005233CB" w:rsidRPr="00010161">
        <w:rPr>
          <w:rFonts w:ascii="Arial" w:hAnsi="Arial" w:cs="Arial"/>
        </w:rPr>
        <w:t xml:space="preserve">Available at: </w:t>
      </w:r>
      <w:hyperlink r:id="rId13" w:anchor="bib0016" w:history="1">
        <w:r w:rsidR="005233CB" w:rsidRPr="00010161">
          <w:rPr>
            <w:rStyle w:val="Hyperlink"/>
            <w:rFonts w:ascii="Arial" w:hAnsi="Arial" w:cs="Arial"/>
          </w:rPr>
          <w:t>https://www.sciencedirect.com/science/article/pii/S0955395924000057#bib0016</w:t>
        </w:r>
      </w:hyperlink>
      <w:r w:rsidR="005233CB" w:rsidRPr="00010161">
        <w:rPr>
          <w:rFonts w:ascii="Arial" w:hAnsi="Arial" w:cs="Arial"/>
        </w:rPr>
        <w:t xml:space="preserve"> </w:t>
      </w:r>
    </w:p>
    <w:p w14:paraId="70F5F4A7" w14:textId="075D715B" w:rsidR="008F0BE1" w:rsidRPr="00010161" w:rsidRDefault="00F14102" w:rsidP="00E06E38">
      <w:pPr>
        <w:spacing w:before="240"/>
        <w:rPr>
          <w:rFonts w:ascii="Arial" w:hAnsi="Arial" w:cs="Arial"/>
        </w:rPr>
      </w:pPr>
      <w:r w:rsidRPr="00010161">
        <w:rPr>
          <w:rFonts w:ascii="Arial" w:hAnsi="Arial" w:cs="Arial"/>
        </w:rPr>
        <w:t xml:space="preserve">Home Office (2024) </w:t>
      </w:r>
      <w:r w:rsidRPr="00010161">
        <w:rPr>
          <w:rFonts w:ascii="Arial" w:hAnsi="Arial" w:cs="Arial"/>
          <w:i/>
          <w:iCs/>
        </w:rPr>
        <w:t xml:space="preserve">Prescribed </w:t>
      </w:r>
      <w:r w:rsidR="00B51A9A" w:rsidRPr="00010161">
        <w:rPr>
          <w:rFonts w:ascii="Arial" w:hAnsi="Arial" w:cs="Arial"/>
          <w:i/>
          <w:iCs/>
        </w:rPr>
        <w:t xml:space="preserve">terrorist Groups or Organisations. </w:t>
      </w:r>
      <w:r w:rsidR="00B51A9A" w:rsidRPr="00010161">
        <w:rPr>
          <w:rFonts w:ascii="Arial" w:hAnsi="Arial" w:cs="Arial"/>
        </w:rPr>
        <w:t xml:space="preserve">Available at: </w:t>
      </w:r>
      <w:hyperlink r:id="rId14" w:history="1">
        <w:r w:rsidR="00B51A9A" w:rsidRPr="00010161">
          <w:rPr>
            <w:rStyle w:val="Hyperlink"/>
            <w:rFonts w:ascii="Arial" w:hAnsi="Arial" w:cs="Arial"/>
          </w:rPr>
          <w:t>https://www.gov.uk/government/publications/proscribed-terror-groups-or-organisations--2/proscribed-terrorist-groups-or-organisations-accessible-version</w:t>
        </w:r>
      </w:hyperlink>
      <w:r w:rsidR="00B51A9A" w:rsidRPr="00010161">
        <w:rPr>
          <w:rFonts w:ascii="Arial" w:hAnsi="Arial" w:cs="Arial"/>
        </w:rPr>
        <w:t xml:space="preserve"> (Accessed on: 16/08/2024)</w:t>
      </w:r>
      <w:r w:rsidR="000C210C" w:rsidRPr="00010161">
        <w:rPr>
          <w:rFonts w:ascii="Arial" w:hAnsi="Arial" w:cs="Arial"/>
        </w:rPr>
        <w:t>.</w:t>
      </w:r>
    </w:p>
    <w:p w14:paraId="7066AEC2" w14:textId="0C17C55D" w:rsidR="000C210C" w:rsidRPr="00010161" w:rsidRDefault="00E7197B" w:rsidP="00E06E38">
      <w:pPr>
        <w:spacing w:before="240"/>
        <w:rPr>
          <w:rFonts w:ascii="Arial" w:hAnsi="Arial" w:cs="Arial"/>
        </w:rPr>
      </w:pPr>
      <w:r w:rsidRPr="00010161">
        <w:rPr>
          <w:rFonts w:ascii="Arial" w:hAnsi="Arial" w:cs="Arial"/>
        </w:rPr>
        <w:t>Jupp, J. and Garrod, M. (2022) ‘Legacies of the Troubles: The Links between Organized Crime and Terrorism in Northern Ireland’, </w:t>
      </w:r>
      <w:r w:rsidRPr="00010161">
        <w:rPr>
          <w:rFonts w:ascii="Arial" w:hAnsi="Arial" w:cs="Arial"/>
          <w:i/>
          <w:iCs/>
        </w:rPr>
        <w:t>Studies in Conflict &amp; Terrorism</w:t>
      </w:r>
      <w:r w:rsidRPr="00010161">
        <w:rPr>
          <w:rFonts w:ascii="Arial" w:hAnsi="Arial" w:cs="Arial"/>
        </w:rPr>
        <w:t xml:space="preserve">, 45(5–6), pp. 389–428. </w:t>
      </w:r>
      <w:r w:rsidR="00081766" w:rsidRPr="00010161">
        <w:rPr>
          <w:rFonts w:ascii="Arial" w:hAnsi="Arial" w:cs="Arial"/>
        </w:rPr>
        <w:t xml:space="preserve">Available at: </w:t>
      </w:r>
      <w:hyperlink r:id="rId15" w:history="1">
        <w:r w:rsidR="00081766" w:rsidRPr="00010161">
          <w:rPr>
            <w:rStyle w:val="Hyperlink"/>
            <w:rFonts w:ascii="Arial" w:hAnsi="Arial" w:cs="Arial"/>
          </w:rPr>
          <w:t>https://doi.org/10.1080/1057610X.2019.1678878</w:t>
        </w:r>
      </w:hyperlink>
    </w:p>
    <w:p w14:paraId="0CDA817B" w14:textId="68081058" w:rsidR="00AD45F1" w:rsidRPr="00010161" w:rsidRDefault="00D50263" w:rsidP="00E06E38">
      <w:pPr>
        <w:spacing w:before="240"/>
        <w:rPr>
          <w:rFonts w:ascii="Arial" w:hAnsi="Arial" w:cs="Arial"/>
        </w:rPr>
      </w:pPr>
      <w:r w:rsidRPr="00010161">
        <w:rPr>
          <w:rFonts w:ascii="Arial" w:hAnsi="Arial" w:cs="Arial"/>
        </w:rPr>
        <w:t xml:space="preserve">Parliament. </w:t>
      </w:r>
      <w:r w:rsidR="007C3705" w:rsidRPr="00010161">
        <w:rPr>
          <w:rFonts w:ascii="Arial" w:hAnsi="Arial" w:cs="Arial"/>
        </w:rPr>
        <w:t xml:space="preserve">(2023) </w:t>
      </w:r>
      <w:r w:rsidR="007C3705" w:rsidRPr="00010161">
        <w:rPr>
          <w:rFonts w:ascii="Arial" w:hAnsi="Arial" w:cs="Arial"/>
          <w:i/>
          <w:iCs/>
        </w:rPr>
        <w:t xml:space="preserve">CONTEST The United </w:t>
      </w:r>
      <w:r w:rsidR="00F556F3" w:rsidRPr="00010161">
        <w:rPr>
          <w:rFonts w:ascii="Arial" w:hAnsi="Arial" w:cs="Arial"/>
          <w:i/>
          <w:iCs/>
        </w:rPr>
        <w:t>Kingdom’s</w:t>
      </w:r>
      <w:r w:rsidR="007C3705" w:rsidRPr="00010161">
        <w:rPr>
          <w:rFonts w:ascii="Arial" w:hAnsi="Arial" w:cs="Arial"/>
          <w:i/>
          <w:iCs/>
        </w:rPr>
        <w:t xml:space="preserve"> Strategy </w:t>
      </w:r>
      <w:r w:rsidR="00F556F3" w:rsidRPr="00010161">
        <w:rPr>
          <w:rFonts w:ascii="Arial" w:hAnsi="Arial" w:cs="Arial"/>
          <w:i/>
          <w:iCs/>
        </w:rPr>
        <w:t xml:space="preserve">for Countering Terrorism 2023. </w:t>
      </w:r>
      <w:r w:rsidR="00903370" w:rsidRPr="00010161">
        <w:rPr>
          <w:rFonts w:ascii="Arial" w:hAnsi="Arial" w:cs="Arial"/>
        </w:rPr>
        <w:t xml:space="preserve">(CP903). Available at: </w:t>
      </w:r>
      <w:hyperlink r:id="rId16" w:history="1">
        <w:r w:rsidR="00903370" w:rsidRPr="00010161">
          <w:rPr>
            <w:rStyle w:val="Hyperlink"/>
            <w:rFonts w:ascii="Arial" w:hAnsi="Arial" w:cs="Arial"/>
          </w:rPr>
          <w:t>https://hansard.parliament.uk/Commons/2023-07-18/debates/23071835000021/CONTESTUnitedKingdomSStrategyForCounteringTerrorism2023</w:t>
        </w:r>
      </w:hyperlink>
      <w:r w:rsidR="00903370" w:rsidRPr="00010161">
        <w:rPr>
          <w:rFonts w:ascii="Arial" w:hAnsi="Arial" w:cs="Arial"/>
        </w:rPr>
        <w:t xml:space="preserve"> (Accessed on: 16/08/2024). </w:t>
      </w:r>
    </w:p>
    <w:p w14:paraId="0D1739B4" w14:textId="2292E520" w:rsidR="003C7826" w:rsidRPr="00010161" w:rsidRDefault="003C7826" w:rsidP="00E06E38">
      <w:pPr>
        <w:spacing w:before="240"/>
        <w:rPr>
          <w:rFonts w:ascii="Arial" w:hAnsi="Arial" w:cs="Arial"/>
        </w:rPr>
      </w:pPr>
      <w:r w:rsidRPr="00010161">
        <w:rPr>
          <w:rFonts w:ascii="Arial" w:hAnsi="Arial" w:cs="Arial"/>
        </w:rPr>
        <w:t>Phillips, B. J. and Schiele, A. (2023) ‘Dogs and Cats Living Together? Explaining the Crime-Terror Nexus’, </w:t>
      </w:r>
      <w:r w:rsidRPr="00010161">
        <w:rPr>
          <w:rFonts w:ascii="Arial" w:hAnsi="Arial" w:cs="Arial"/>
          <w:i/>
          <w:iCs/>
        </w:rPr>
        <w:t>Terrorism and Political Violence</w:t>
      </w:r>
      <w:r w:rsidRPr="00010161">
        <w:rPr>
          <w:rFonts w:ascii="Arial" w:hAnsi="Arial" w:cs="Arial"/>
        </w:rPr>
        <w:t xml:space="preserve">, 36(5), pp. 699–715. </w:t>
      </w:r>
      <w:proofErr w:type="spellStart"/>
      <w:r w:rsidRPr="00010161">
        <w:rPr>
          <w:rFonts w:ascii="Arial" w:hAnsi="Arial" w:cs="Arial"/>
        </w:rPr>
        <w:t>doi</w:t>
      </w:r>
      <w:proofErr w:type="spellEnd"/>
      <w:r w:rsidRPr="00010161">
        <w:rPr>
          <w:rFonts w:ascii="Arial" w:hAnsi="Arial" w:cs="Arial"/>
        </w:rPr>
        <w:t>: 10.1080/09546553.2023.2189968.</w:t>
      </w:r>
      <w:r w:rsidR="004736FD" w:rsidRPr="00010161">
        <w:rPr>
          <w:rFonts w:ascii="Arial" w:hAnsi="Arial" w:cs="Arial"/>
        </w:rPr>
        <w:t xml:space="preserve"> Available at: </w:t>
      </w:r>
      <w:hyperlink r:id="rId17" w:history="1">
        <w:r w:rsidR="004736FD" w:rsidRPr="00010161">
          <w:rPr>
            <w:rStyle w:val="Hyperlink"/>
            <w:rFonts w:ascii="Arial" w:hAnsi="Arial" w:cs="Arial"/>
          </w:rPr>
          <w:t>https://www.tandfonline.com/doi/full/10.1080/09546553.2023.2189968</w:t>
        </w:r>
      </w:hyperlink>
    </w:p>
    <w:p w14:paraId="644D84E0" w14:textId="6AC2BF43" w:rsidR="00C00912" w:rsidRPr="00010161" w:rsidRDefault="00C00912" w:rsidP="00E06E38">
      <w:pPr>
        <w:spacing w:before="240"/>
        <w:rPr>
          <w:rFonts w:ascii="Arial" w:hAnsi="Arial" w:cs="Arial"/>
        </w:rPr>
      </w:pPr>
      <w:r w:rsidRPr="00010161">
        <w:rPr>
          <w:rFonts w:ascii="Arial" w:hAnsi="Arial" w:cs="Arial"/>
        </w:rPr>
        <w:t>Police Service of Northern Island (2024)</w:t>
      </w:r>
      <w:r w:rsidR="00C35161" w:rsidRPr="00010161">
        <w:rPr>
          <w:rFonts w:ascii="Arial" w:hAnsi="Arial" w:cs="Arial"/>
        </w:rPr>
        <w:t xml:space="preserve"> </w:t>
      </w:r>
      <w:r w:rsidR="00C35161" w:rsidRPr="00010161">
        <w:rPr>
          <w:rFonts w:ascii="Arial" w:hAnsi="Arial" w:cs="Arial"/>
          <w:i/>
          <w:iCs/>
        </w:rPr>
        <w:t>Two men sentenced following Paramilitary Crime Task Force investigation</w:t>
      </w:r>
      <w:r w:rsidR="00312682" w:rsidRPr="00010161">
        <w:rPr>
          <w:rFonts w:ascii="Arial" w:hAnsi="Arial" w:cs="Arial"/>
          <w:i/>
          <w:iCs/>
        </w:rPr>
        <w:t xml:space="preserve">. </w:t>
      </w:r>
      <w:r w:rsidR="00312682" w:rsidRPr="00010161">
        <w:rPr>
          <w:rFonts w:ascii="Arial" w:hAnsi="Arial" w:cs="Arial"/>
        </w:rPr>
        <w:t xml:space="preserve">Available at: </w:t>
      </w:r>
      <w:hyperlink r:id="rId18" w:history="1">
        <w:r w:rsidR="00312682" w:rsidRPr="00010161">
          <w:rPr>
            <w:rStyle w:val="Hyperlink"/>
            <w:rFonts w:ascii="Arial" w:hAnsi="Arial" w:cs="Arial"/>
          </w:rPr>
          <w:t>https://www.psni.police.uk/latest-news/two-men-sentenced-following-paramilitary-crime-task-force-investigation</w:t>
        </w:r>
      </w:hyperlink>
      <w:r w:rsidR="00312682" w:rsidRPr="00010161">
        <w:rPr>
          <w:rFonts w:ascii="Arial" w:hAnsi="Arial" w:cs="Arial"/>
        </w:rPr>
        <w:t xml:space="preserve"> (Accessed on: 16/08/2024)</w:t>
      </w:r>
    </w:p>
    <w:p w14:paraId="57E9C50D" w14:textId="58EC7D1A" w:rsidR="003B76E1" w:rsidRPr="00010161" w:rsidRDefault="003B76E1" w:rsidP="00E06E38">
      <w:pPr>
        <w:spacing w:before="240"/>
        <w:rPr>
          <w:rFonts w:ascii="Arial" w:hAnsi="Arial" w:cs="Arial"/>
        </w:rPr>
      </w:pPr>
      <w:proofErr w:type="spellStart"/>
      <w:r w:rsidRPr="00010161">
        <w:rPr>
          <w:rFonts w:ascii="Arial" w:hAnsi="Arial" w:cs="Arial"/>
        </w:rPr>
        <w:lastRenderedPageBreak/>
        <w:t>Pollichieni</w:t>
      </w:r>
      <w:proofErr w:type="spellEnd"/>
      <w:r w:rsidRPr="00010161">
        <w:rPr>
          <w:rFonts w:ascii="Arial" w:hAnsi="Arial" w:cs="Arial"/>
        </w:rPr>
        <w:t>, L. and Mumford, A. (2021) ‘Terrorism, Slavery and the Evolution of the ‘Crime–Terror Nexus’’, </w:t>
      </w:r>
      <w:r w:rsidRPr="00010161">
        <w:rPr>
          <w:rFonts w:ascii="Arial" w:hAnsi="Arial" w:cs="Arial"/>
          <w:i/>
          <w:iCs/>
        </w:rPr>
        <w:t>The RUSI Journal</w:t>
      </w:r>
      <w:r w:rsidRPr="00010161">
        <w:rPr>
          <w:rFonts w:ascii="Arial" w:hAnsi="Arial" w:cs="Arial"/>
        </w:rPr>
        <w:t>, 166(5), pp. 22–30.</w:t>
      </w:r>
      <w:r w:rsidR="006E3599" w:rsidRPr="00010161">
        <w:rPr>
          <w:rFonts w:ascii="Arial" w:hAnsi="Arial" w:cs="Arial"/>
        </w:rPr>
        <w:t xml:space="preserve"> Available at:</w:t>
      </w:r>
      <w:r w:rsidRPr="00010161">
        <w:rPr>
          <w:rFonts w:ascii="Arial" w:hAnsi="Arial" w:cs="Arial"/>
        </w:rPr>
        <w:t xml:space="preserve"> </w:t>
      </w:r>
      <w:hyperlink r:id="rId19" w:history="1">
        <w:r w:rsidR="006E3599" w:rsidRPr="00010161">
          <w:rPr>
            <w:rStyle w:val="Hyperlink"/>
            <w:rFonts w:ascii="Arial" w:hAnsi="Arial" w:cs="Arial"/>
          </w:rPr>
          <w:t>https://doi.org/10.1080/03071847.2021.2016316</w:t>
        </w:r>
      </w:hyperlink>
    </w:p>
    <w:p w14:paraId="718B6266" w14:textId="1AD16BF4" w:rsidR="00E2734B" w:rsidRPr="00010161" w:rsidRDefault="00E2734B" w:rsidP="00E2734B">
      <w:pPr>
        <w:spacing w:before="240"/>
        <w:rPr>
          <w:rFonts w:ascii="Arial" w:hAnsi="Arial" w:cs="Arial"/>
        </w:rPr>
      </w:pPr>
      <w:r w:rsidRPr="00010161">
        <w:rPr>
          <w:rFonts w:ascii="Arial" w:hAnsi="Arial" w:cs="Arial"/>
        </w:rPr>
        <w:t xml:space="preserve">Shelley, L. I. (2020). Illicit Trade and Terrorism. </w:t>
      </w:r>
      <w:r w:rsidRPr="00010161">
        <w:rPr>
          <w:rFonts w:ascii="Arial" w:hAnsi="Arial" w:cs="Arial"/>
          <w:i/>
          <w:iCs/>
        </w:rPr>
        <w:t>Perspectives on Terrorism</w:t>
      </w:r>
      <w:r w:rsidRPr="00010161">
        <w:rPr>
          <w:rFonts w:ascii="Arial" w:hAnsi="Arial" w:cs="Arial"/>
        </w:rPr>
        <w:t xml:space="preserve">, 14,4, 7–20. Available at: </w:t>
      </w:r>
      <w:hyperlink r:id="rId20" w:history="1">
        <w:r w:rsidRPr="00010161">
          <w:rPr>
            <w:rStyle w:val="Hyperlink"/>
            <w:rFonts w:ascii="Arial" w:hAnsi="Arial" w:cs="Arial"/>
          </w:rPr>
          <w:t>https://www.jstor.org/stable/26927661</w:t>
        </w:r>
      </w:hyperlink>
    </w:p>
    <w:p w14:paraId="12BEC2BF" w14:textId="6E82B08E" w:rsidR="005C28B4" w:rsidRPr="00010161" w:rsidRDefault="005C28B4" w:rsidP="00E2734B">
      <w:pPr>
        <w:spacing w:before="240"/>
        <w:rPr>
          <w:rFonts w:ascii="Arial" w:hAnsi="Arial" w:cs="Arial"/>
        </w:rPr>
      </w:pPr>
      <w:r w:rsidRPr="00010161">
        <w:rPr>
          <w:rFonts w:ascii="Arial" w:hAnsi="Arial" w:cs="Arial"/>
          <w:i/>
          <w:iCs/>
        </w:rPr>
        <w:t xml:space="preserve">The Terrorism Act 2006 </w:t>
      </w:r>
      <w:r w:rsidRPr="00010161">
        <w:rPr>
          <w:rFonts w:ascii="Arial" w:hAnsi="Arial" w:cs="Arial"/>
        </w:rPr>
        <w:t xml:space="preserve">Available at: </w:t>
      </w:r>
      <w:hyperlink r:id="rId21" w:history="1">
        <w:r w:rsidRPr="00010161">
          <w:rPr>
            <w:rStyle w:val="Hyperlink"/>
            <w:rFonts w:ascii="Arial" w:hAnsi="Arial" w:cs="Arial"/>
          </w:rPr>
          <w:t>https://www.legislation.gov.uk/en/ukpga/2006/11/contents</w:t>
        </w:r>
      </w:hyperlink>
      <w:r w:rsidR="00616344" w:rsidRPr="00010161">
        <w:rPr>
          <w:rFonts w:ascii="Arial" w:hAnsi="Arial" w:cs="Arial"/>
        </w:rPr>
        <w:t xml:space="preserve"> (Accessed on: 16/08/2024)</w:t>
      </w:r>
    </w:p>
    <w:p w14:paraId="000B7436" w14:textId="14BEB910" w:rsidR="002F67F2" w:rsidRPr="00010161" w:rsidRDefault="002F67F2" w:rsidP="00E2734B">
      <w:pPr>
        <w:spacing w:before="240"/>
        <w:rPr>
          <w:rFonts w:ascii="Arial" w:hAnsi="Arial" w:cs="Arial"/>
        </w:rPr>
      </w:pPr>
      <w:r w:rsidRPr="00010161">
        <w:rPr>
          <w:rFonts w:ascii="Arial" w:hAnsi="Arial" w:cs="Arial"/>
        </w:rPr>
        <w:t xml:space="preserve">Thomas, G. (2016). A case for local neighbourhood policing and community intelligence in counter terrorism. The Police Journal, 89(1), 31-54. </w:t>
      </w:r>
      <w:hyperlink r:id="rId22" w:history="1">
        <w:r w:rsidRPr="00010161">
          <w:rPr>
            <w:rStyle w:val="Hyperlink"/>
            <w:rFonts w:ascii="Arial" w:hAnsi="Arial" w:cs="Arial"/>
          </w:rPr>
          <w:t>https://doi.org/10.1177/0032258X16630489</w:t>
        </w:r>
      </w:hyperlink>
    </w:p>
    <w:p w14:paraId="25B20507" w14:textId="044EE77F" w:rsidR="002F67F2" w:rsidRPr="00010161" w:rsidRDefault="005B0C6A" w:rsidP="00E2734B">
      <w:pPr>
        <w:spacing w:before="240"/>
        <w:rPr>
          <w:rFonts w:ascii="Arial" w:hAnsi="Arial" w:cs="Arial"/>
        </w:rPr>
      </w:pPr>
      <w:r w:rsidRPr="00010161">
        <w:rPr>
          <w:rFonts w:ascii="Arial" w:hAnsi="Arial" w:cs="Arial"/>
        </w:rPr>
        <w:t>United Nations Security Council resolution 2195 (2014)</w:t>
      </w:r>
      <w:r w:rsidR="00847250" w:rsidRPr="00010161">
        <w:rPr>
          <w:rFonts w:ascii="Arial" w:hAnsi="Arial" w:cs="Arial"/>
        </w:rPr>
        <w:t xml:space="preserve"> </w:t>
      </w:r>
      <w:hyperlink r:id="rId23" w:history="1">
        <w:r w:rsidR="00847250" w:rsidRPr="00010161">
          <w:rPr>
            <w:rStyle w:val="Hyperlink"/>
            <w:rFonts w:ascii="Arial" w:hAnsi="Arial" w:cs="Arial"/>
          </w:rPr>
          <w:t>http://unscr.com/en/resolutions/doc/2195</w:t>
        </w:r>
      </w:hyperlink>
      <w:r w:rsidR="00847250" w:rsidRPr="00010161">
        <w:rPr>
          <w:rFonts w:ascii="Arial" w:hAnsi="Arial" w:cs="Arial"/>
        </w:rPr>
        <w:t xml:space="preserve"> (Accessed on: 16/08/2024)</w:t>
      </w:r>
      <w:r w:rsidR="00616344" w:rsidRPr="00010161">
        <w:rPr>
          <w:rFonts w:ascii="Arial" w:hAnsi="Arial" w:cs="Arial"/>
        </w:rPr>
        <w:t xml:space="preserve"> </w:t>
      </w:r>
    </w:p>
    <w:p w14:paraId="471A236C" w14:textId="77777777" w:rsidR="005C28B4" w:rsidRPr="00010161" w:rsidRDefault="005C28B4" w:rsidP="00E2734B">
      <w:pPr>
        <w:spacing w:before="240"/>
        <w:rPr>
          <w:rFonts w:ascii="Arial" w:hAnsi="Arial" w:cs="Arial"/>
        </w:rPr>
      </w:pPr>
    </w:p>
    <w:p w14:paraId="5C9A77CF" w14:textId="20E4E79A" w:rsidR="00D442C8" w:rsidRPr="00010161" w:rsidRDefault="00D442C8" w:rsidP="00E2734B">
      <w:pPr>
        <w:spacing w:before="240"/>
        <w:rPr>
          <w:rFonts w:ascii="Arial" w:hAnsi="Arial" w:cs="Arial"/>
          <w:b/>
          <w:bCs/>
          <w:i/>
          <w:iCs/>
          <w:u w:val="single"/>
        </w:rPr>
      </w:pPr>
      <w:r w:rsidRPr="00010161">
        <w:rPr>
          <w:rFonts w:ascii="Arial" w:hAnsi="Arial" w:cs="Arial"/>
          <w:b/>
          <w:bCs/>
          <w:i/>
          <w:iCs/>
          <w:u w:val="single"/>
        </w:rPr>
        <w:t xml:space="preserve">Essay 2: </w:t>
      </w:r>
    </w:p>
    <w:p w14:paraId="0D13537D" w14:textId="06E982F0" w:rsidR="00F666F9" w:rsidRPr="00010161" w:rsidRDefault="00F666F9" w:rsidP="00E2734B">
      <w:pPr>
        <w:spacing w:before="240"/>
        <w:rPr>
          <w:rFonts w:ascii="Arial" w:hAnsi="Arial" w:cs="Arial"/>
        </w:rPr>
      </w:pPr>
      <w:r w:rsidRPr="00010161">
        <w:rPr>
          <w:rFonts w:ascii="Arial" w:hAnsi="Arial" w:cs="Arial"/>
        </w:rPr>
        <w:t xml:space="preserve">Bryant, R. (2019). Innate Reasoning and Critical Incident Decision-Making. In: Roycroft, M., Roach, J. (eds) </w:t>
      </w:r>
      <w:r w:rsidRPr="00010161">
        <w:rPr>
          <w:rFonts w:ascii="Arial" w:hAnsi="Arial" w:cs="Arial"/>
          <w:i/>
          <w:iCs/>
        </w:rPr>
        <w:t>Decision Making in Police Enquiries and Critical Incidents</w:t>
      </w:r>
      <w:r w:rsidRPr="00010161">
        <w:rPr>
          <w:rFonts w:ascii="Arial" w:hAnsi="Arial" w:cs="Arial"/>
        </w:rPr>
        <w:t>. Palgrave Pivot, London.</w:t>
      </w:r>
      <w:r w:rsidRPr="00010161">
        <w:rPr>
          <w:rFonts w:ascii="Arial" w:hAnsi="Arial" w:cs="Arial"/>
        </w:rPr>
        <w:t xml:space="preserve"> Available at:</w:t>
      </w:r>
      <w:r w:rsidRPr="00010161">
        <w:rPr>
          <w:rFonts w:ascii="Arial" w:hAnsi="Arial" w:cs="Arial"/>
        </w:rPr>
        <w:t xml:space="preserve"> </w:t>
      </w:r>
      <w:hyperlink r:id="rId24" w:history="1">
        <w:r w:rsidRPr="00010161">
          <w:rPr>
            <w:rStyle w:val="Hyperlink"/>
            <w:rFonts w:ascii="Arial" w:hAnsi="Arial" w:cs="Arial"/>
          </w:rPr>
          <w:t>https://doi.org/10.1057/978-1-349-95847-4_4</w:t>
        </w:r>
      </w:hyperlink>
    </w:p>
    <w:p w14:paraId="6C591E85" w14:textId="666007AD" w:rsidR="00C754C9" w:rsidRPr="00010161" w:rsidRDefault="00C754C9" w:rsidP="00E2734B">
      <w:pPr>
        <w:spacing w:before="240"/>
        <w:rPr>
          <w:rFonts w:ascii="Arial" w:hAnsi="Arial" w:cs="Arial"/>
          <w:i/>
          <w:iCs/>
        </w:rPr>
      </w:pPr>
      <w:r w:rsidRPr="00010161">
        <w:rPr>
          <w:rFonts w:ascii="Arial" w:hAnsi="Arial" w:cs="Arial"/>
          <w:i/>
          <w:iCs/>
        </w:rPr>
        <w:t xml:space="preserve">Civil Contingencies Act 2004 </w:t>
      </w:r>
      <w:r w:rsidRPr="00010161">
        <w:rPr>
          <w:rFonts w:ascii="Arial" w:hAnsi="Arial" w:cs="Arial"/>
        </w:rPr>
        <w:t>Available at:</w:t>
      </w:r>
      <w:r w:rsidRPr="00010161">
        <w:rPr>
          <w:rFonts w:ascii="Arial" w:hAnsi="Arial" w:cs="Arial"/>
          <w:i/>
          <w:iCs/>
        </w:rPr>
        <w:t xml:space="preserve"> </w:t>
      </w:r>
      <w:hyperlink r:id="rId25" w:history="1">
        <w:r w:rsidRPr="00010161">
          <w:rPr>
            <w:rStyle w:val="Hyperlink"/>
            <w:rFonts w:ascii="Arial" w:hAnsi="Arial" w:cs="Arial"/>
            <w:i/>
            <w:iCs/>
          </w:rPr>
          <w:t>https://www.legislation.gov.uk/ukpga/2004/36/schedule/1</w:t>
        </w:r>
      </w:hyperlink>
    </w:p>
    <w:p w14:paraId="716CBC27" w14:textId="115983D8" w:rsidR="00F666F9" w:rsidRPr="00010161" w:rsidRDefault="00F666F9" w:rsidP="00E2734B">
      <w:pPr>
        <w:spacing w:before="240"/>
        <w:rPr>
          <w:rFonts w:ascii="Arial" w:hAnsi="Arial" w:cs="Arial"/>
        </w:rPr>
      </w:pPr>
      <w:r w:rsidRPr="00010161">
        <w:rPr>
          <w:rFonts w:ascii="Arial" w:hAnsi="Arial" w:cs="Arial"/>
        </w:rPr>
        <w:t>College of Policing (2013)</w:t>
      </w:r>
      <w:r w:rsidRPr="00010161">
        <w:rPr>
          <w:rFonts w:ascii="Arial" w:hAnsi="Arial" w:cs="Arial"/>
          <w:i/>
          <w:iCs/>
        </w:rPr>
        <w:t xml:space="preserve"> National Decision Model. </w:t>
      </w:r>
      <w:r w:rsidRPr="00010161">
        <w:rPr>
          <w:rFonts w:ascii="Arial" w:hAnsi="Arial" w:cs="Arial"/>
        </w:rPr>
        <w:t xml:space="preserve">Available at: </w:t>
      </w:r>
      <w:hyperlink r:id="rId26" w:history="1">
        <w:r w:rsidRPr="00010161">
          <w:rPr>
            <w:rStyle w:val="Hyperlink"/>
            <w:rFonts w:ascii="Arial" w:hAnsi="Arial" w:cs="Arial"/>
          </w:rPr>
          <w:t>https://www.college.police.uk/app/national-decision-model/national-decision-model</w:t>
        </w:r>
      </w:hyperlink>
      <w:r w:rsidRPr="00010161">
        <w:rPr>
          <w:rFonts w:ascii="Arial" w:hAnsi="Arial" w:cs="Arial"/>
        </w:rPr>
        <w:t xml:space="preserve"> Accessed on: 27/08/2024</w:t>
      </w:r>
    </w:p>
    <w:p w14:paraId="741571F2" w14:textId="3B6C60EF" w:rsidR="00D442C8" w:rsidRPr="00010161" w:rsidRDefault="00CA7D90" w:rsidP="00E2734B">
      <w:pPr>
        <w:spacing w:before="240"/>
        <w:rPr>
          <w:rFonts w:ascii="Arial" w:hAnsi="Arial" w:cs="Arial"/>
        </w:rPr>
      </w:pPr>
      <w:r w:rsidRPr="00010161">
        <w:rPr>
          <w:rFonts w:ascii="Arial" w:hAnsi="Arial" w:cs="Arial"/>
        </w:rPr>
        <w:t>College of Policing (2024</w:t>
      </w:r>
      <w:r w:rsidR="004C5393" w:rsidRPr="00010161">
        <w:rPr>
          <w:rFonts w:ascii="Arial" w:hAnsi="Arial" w:cs="Arial"/>
        </w:rPr>
        <w:t>a</w:t>
      </w:r>
      <w:r w:rsidRPr="00010161">
        <w:rPr>
          <w:rFonts w:ascii="Arial" w:hAnsi="Arial" w:cs="Arial"/>
        </w:rPr>
        <w:t xml:space="preserve">) </w:t>
      </w:r>
      <w:r w:rsidRPr="00010161">
        <w:rPr>
          <w:rFonts w:ascii="Arial" w:hAnsi="Arial" w:cs="Arial"/>
          <w:i/>
          <w:iCs/>
        </w:rPr>
        <w:t xml:space="preserve">Civil Contingencies </w:t>
      </w:r>
      <w:r w:rsidRPr="00010161">
        <w:rPr>
          <w:rFonts w:ascii="Arial" w:hAnsi="Arial" w:cs="Arial"/>
        </w:rPr>
        <w:t xml:space="preserve">Available at: </w:t>
      </w:r>
      <w:hyperlink r:id="rId27" w:history="1">
        <w:r w:rsidRPr="00010161">
          <w:rPr>
            <w:rStyle w:val="Hyperlink"/>
            <w:rFonts w:ascii="Arial" w:hAnsi="Arial" w:cs="Arial"/>
          </w:rPr>
          <w:t>https://www.college.police.uk/app/civil-emergencies/civil-contingencies</w:t>
        </w:r>
        <w:r w:rsidRPr="00010161">
          <w:rPr>
            <w:rStyle w:val="Hyperlink"/>
            <w:rFonts w:ascii="Arial" w:hAnsi="Arial" w:cs="Arial"/>
          </w:rPr>
          <w:t xml:space="preserve"> Accessed on 27/08/2024</w:t>
        </w:r>
      </w:hyperlink>
    </w:p>
    <w:p w14:paraId="0CC20B33" w14:textId="10D64B60" w:rsidR="00CA7D90" w:rsidRPr="00010161" w:rsidRDefault="004C5393" w:rsidP="00E2734B">
      <w:pPr>
        <w:spacing w:before="240"/>
        <w:rPr>
          <w:rFonts w:ascii="Arial" w:hAnsi="Arial" w:cs="Arial"/>
        </w:rPr>
      </w:pPr>
      <w:r w:rsidRPr="00010161">
        <w:rPr>
          <w:rFonts w:ascii="Arial" w:hAnsi="Arial" w:cs="Arial"/>
        </w:rPr>
        <w:t xml:space="preserve">College of Policing (2024b) </w:t>
      </w:r>
      <w:r w:rsidRPr="00010161">
        <w:rPr>
          <w:rFonts w:ascii="Arial" w:hAnsi="Arial" w:cs="Arial"/>
          <w:i/>
          <w:iCs/>
        </w:rPr>
        <w:t xml:space="preserve">Investigation process </w:t>
      </w:r>
      <w:r w:rsidRPr="00010161">
        <w:rPr>
          <w:rFonts w:ascii="Arial" w:hAnsi="Arial" w:cs="Arial"/>
        </w:rPr>
        <w:t xml:space="preserve">Available at: </w:t>
      </w:r>
      <w:hyperlink r:id="rId28" w:history="1">
        <w:r w:rsidR="00C754C9" w:rsidRPr="00010161">
          <w:rPr>
            <w:rStyle w:val="Hyperlink"/>
            <w:rFonts w:ascii="Arial" w:hAnsi="Arial" w:cs="Arial"/>
          </w:rPr>
          <w:t>https://www.college.police.uk/app/investigation/investigation-process</w:t>
        </w:r>
        <w:r w:rsidR="00C754C9" w:rsidRPr="00010161">
          <w:rPr>
            <w:rStyle w:val="Hyperlink"/>
            <w:rFonts w:ascii="Arial" w:hAnsi="Arial" w:cs="Arial"/>
          </w:rPr>
          <w:t xml:space="preserve"> Accessed on 27/08/2024</w:t>
        </w:r>
      </w:hyperlink>
    </w:p>
    <w:p w14:paraId="7F3B7AA0" w14:textId="380A398D" w:rsidR="008602E9" w:rsidRPr="00010161" w:rsidRDefault="008602E9" w:rsidP="00E2734B">
      <w:pPr>
        <w:spacing w:before="240"/>
        <w:rPr>
          <w:rFonts w:ascii="Arial" w:hAnsi="Arial" w:cs="Arial"/>
        </w:rPr>
      </w:pPr>
      <w:r w:rsidRPr="00010161">
        <w:rPr>
          <w:rFonts w:ascii="Arial" w:hAnsi="Arial" w:cs="Arial"/>
        </w:rPr>
        <w:t xml:space="preserve">Davidson, L., Carter, H., Drury, J., </w:t>
      </w:r>
      <w:proofErr w:type="spellStart"/>
      <w:r w:rsidRPr="00010161">
        <w:rPr>
          <w:rFonts w:ascii="Arial" w:hAnsi="Arial" w:cs="Arial"/>
        </w:rPr>
        <w:t>Amlot</w:t>
      </w:r>
      <w:proofErr w:type="spellEnd"/>
      <w:r w:rsidRPr="00010161">
        <w:rPr>
          <w:rFonts w:ascii="Arial" w:hAnsi="Arial" w:cs="Arial"/>
        </w:rPr>
        <w:t xml:space="preserve">, R. and Haslam, A (2023) “Same team different colours: Examining the association between shared identity and interoperability in multi-agency discussion-based exercises” </w:t>
      </w:r>
      <w:proofErr w:type="spellStart"/>
      <w:r w:rsidRPr="00010161">
        <w:rPr>
          <w:rFonts w:ascii="Arial" w:hAnsi="Arial" w:cs="Arial"/>
          <w:i/>
          <w:iCs/>
        </w:rPr>
        <w:t>Qeios</w:t>
      </w:r>
      <w:proofErr w:type="spellEnd"/>
      <w:r w:rsidRPr="00010161">
        <w:rPr>
          <w:rFonts w:ascii="Arial" w:hAnsi="Arial" w:cs="Arial"/>
          <w:i/>
          <w:iCs/>
        </w:rPr>
        <w:t xml:space="preserve"> </w:t>
      </w:r>
      <w:r w:rsidRPr="00010161">
        <w:rPr>
          <w:rFonts w:ascii="Arial" w:hAnsi="Arial" w:cs="Arial"/>
        </w:rPr>
        <w:t xml:space="preserve">doi:10.32388/SJ69CV Available at: </w:t>
      </w:r>
      <w:hyperlink r:id="rId29" w:history="1">
        <w:r w:rsidRPr="00010161">
          <w:rPr>
            <w:rStyle w:val="Hyperlink"/>
            <w:rFonts w:ascii="Arial" w:hAnsi="Arial" w:cs="Arial"/>
          </w:rPr>
          <w:t>https://www.researchgate.net/profile/Louise-Davidson-6/publication/369564573_Same_team_different_colours_Examining_the_association_between_shared_identity_and_interoperability_in_multi-agency_discussion-based_exercises/links/6436c1a6609c170a13110c48/Same-team-different-colours-Examining-the-association-between-shared-identity-and-interoperability-in-multi-agency-discussion-based-exercises.pdf</w:t>
        </w:r>
      </w:hyperlink>
    </w:p>
    <w:p w14:paraId="1EB2285C" w14:textId="239D3EF2" w:rsidR="00D1172A" w:rsidRPr="00010161" w:rsidRDefault="00D1172A" w:rsidP="00E2734B">
      <w:pPr>
        <w:spacing w:before="240"/>
        <w:rPr>
          <w:rFonts w:ascii="Arial" w:hAnsi="Arial" w:cs="Arial"/>
        </w:rPr>
      </w:pPr>
      <w:r w:rsidRPr="00010161">
        <w:rPr>
          <w:rFonts w:ascii="Arial" w:hAnsi="Arial" w:cs="Arial"/>
        </w:rPr>
        <w:t xml:space="preserve">Hallett, Lady Justice (2011) </w:t>
      </w:r>
      <w:r w:rsidRPr="00010161">
        <w:rPr>
          <w:rFonts w:ascii="Arial" w:hAnsi="Arial" w:cs="Arial"/>
          <w:i/>
          <w:iCs/>
        </w:rPr>
        <w:t xml:space="preserve">Coroners Inquests </w:t>
      </w:r>
      <w:r w:rsidR="00F666F9" w:rsidRPr="00010161">
        <w:rPr>
          <w:rFonts w:ascii="Arial" w:hAnsi="Arial" w:cs="Arial"/>
          <w:i/>
          <w:iCs/>
        </w:rPr>
        <w:t>into the London Bombings of 7 July 2005</w:t>
      </w:r>
      <w:r w:rsidR="00F666F9" w:rsidRPr="00010161">
        <w:rPr>
          <w:rFonts w:ascii="Arial" w:hAnsi="Arial" w:cs="Arial"/>
        </w:rPr>
        <w:t xml:space="preserve">. Report under rule 43 of the </w:t>
      </w:r>
      <w:proofErr w:type="gramStart"/>
      <w:r w:rsidR="008602E9" w:rsidRPr="00010161">
        <w:rPr>
          <w:rFonts w:ascii="Arial" w:hAnsi="Arial" w:cs="Arial"/>
        </w:rPr>
        <w:t>Coroners</w:t>
      </w:r>
      <w:proofErr w:type="gramEnd"/>
      <w:r w:rsidR="00F666F9" w:rsidRPr="00010161">
        <w:rPr>
          <w:rFonts w:ascii="Arial" w:hAnsi="Arial" w:cs="Arial"/>
        </w:rPr>
        <w:t xml:space="preserve"> rules 1984. Available at: </w:t>
      </w:r>
      <w:hyperlink r:id="rId30" w:history="1">
        <w:r w:rsidR="00F666F9" w:rsidRPr="00010161">
          <w:rPr>
            <w:rStyle w:val="Hyperlink"/>
            <w:rFonts w:ascii="Arial" w:hAnsi="Arial" w:cs="Arial"/>
          </w:rPr>
          <w:t>https://webarchive.nationalarchives.gov.uk/ukgwa/20120216072447mp_/http:/7julyinquests.independent.gov.uk/docs/orders/rule43-report.pdf</w:t>
        </w:r>
      </w:hyperlink>
    </w:p>
    <w:p w14:paraId="43E314FA" w14:textId="35330FE9" w:rsidR="00AC4896" w:rsidRPr="00010161" w:rsidRDefault="00AC4896" w:rsidP="00E2734B">
      <w:pPr>
        <w:spacing w:before="240"/>
        <w:rPr>
          <w:rFonts w:ascii="Arial" w:hAnsi="Arial" w:cs="Arial"/>
        </w:rPr>
      </w:pPr>
      <w:r w:rsidRPr="00010161">
        <w:rPr>
          <w:rFonts w:ascii="Arial" w:hAnsi="Arial" w:cs="Arial"/>
        </w:rPr>
        <w:t xml:space="preserve">Hesketh, I., </w:t>
      </w:r>
      <w:proofErr w:type="spellStart"/>
      <w:r w:rsidRPr="00010161">
        <w:rPr>
          <w:rFonts w:ascii="Arial" w:hAnsi="Arial" w:cs="Arial"/>
        </w:rPr>
        <w:t>Tehrini</w:t>
      </w:r>
      <w:proofErr w:type="spellEnd"/>
      <w:r w:rsidRPr="00010161">
        <w:rPr>
          <w:rFonts w:ascii="Arial" w:hAnsi="Arial" w:cs="Arial"/>
        </w:rPr>
        <w:t xml:space="preserve">, N. and Eades, L. </w:t>
      </w:r>
      <w:r w:rsidR="0038705D" w:rsidRPr="00010161">
        <w:rPr>
          <w:rFonts w:ascii="Arial" w:hAnsi="Arial" w:cs="Arial"/>
          <w:i/>
          <w:iCs/>
        </w:rPr>
        <w:t xml:space="preserve">Police Wellbeing and Major Incidents. </w:t>
      </w:r>
      <w:r w:rsidR="0038705D" w:rsidRPr="00010161">
        <w:rPr>
          <w:rFonts w:ascii="Arial" w:hAnsi="Arial" w:cs="Arial"/>
        </w:rPr>
        <w:t xml:space="preserve">Available at: </w:t>
      </w:r>
      <w:hyperlink r:id="rId31" w:history="1">
        <w:r w:rsidR="0038705D" w:rsidRPr="00010161">
          <w:rPr>
            <w:rStyle w:val="Hyperlink"/>
            <w:rFonts w:ascii="Arial" w:hAnsi="Arial" w:cs="Arial"/>
          </w:rPr>
          <w:t>https://www.oscarkilo.org.uk/news/police-wellbeing-and-major-incidents</w:t>
        </w:r>
      </w:hyperlink>
      <w:r w:rsidR="0038705D" w:rsidRPr="00010161">
        <w:rPr>
          <w:rFonts w:ascii="Arial" w:hAnsi="Arial" w:cs="Arial"/>
        </w:rPr>
        <w:t xml:space="preserve"> Accessed on: 27/08/2024</w:t>
      </w:r>
    </w:p>
    <w:p w14:paraId="66A29157" w14:textId="6EF2491F" w:rsidR="008602E9" w:rsidRPr="00010161" w:rsidRDefault="008602E9" w:rsidP="00E2734B">
      <w:pPr>
        <w:spacing w:before="240"/>
        <w:rPr>
          <w:rFonts w:ascii="Arial" w:hAnsi="Arial" w:cs="Arial"/>
        </w:rPr>
      </w:pPr>
      <w:r w:rsidRPr="00010161">
        <w:rPr>
          <w:rFonts w:ascii="Arial" w:hAnsi="Arial" w:cs="Arial"/>
        </w:rPr>
        <w:t>Hickey, L., Harms, L. and Kosta, L. (2021), "Public reassurance following a collective trauma event: a scoping review of the evidence to inform police practice", Policing: An International Journal, Vol. 44 No. 5, pp. 853-874.</w:t>
      </w:r>
      <w:r w:rsidRPr="00010161">
        <w:rPr>
          <w:rFonts w:ascii="Arial" w:hAnsi="Arial" w:cs="Arial"/>
        </w:rPr>
        <w:t xml:space="preserve"> Available at:</w:t>
      </w:r>
      <w:r w:rsidRPr="00010161">
        <w:rPr>
          <w:rFonts w:ascii="Arial" w:hAnsi="Arial" w:cs="Arial"/>
        </w:rPr>
        <w:t xml:space="preserve"> </w:t>
      </w:r>
      <w:hyperlink r:id="rId32" w:history="1">
        <w:r w:rsidRPr="00010161">
          <w:rPr>
            <w:rStyle w:val="Hyperlink"/>
            <w:rFonts w:ascii="Arial" w:hAnsi="Arial" w:cs="Arial"/>
          </w:rPr>
          <w:t>https://doi.org/10.1108/PIJPSM-11-2020-0177</w:t>
        </w:r>
      </w:hyperlink>
    </w:p>
    <w:p w14:paraId="2496FAC9" w14:textId="4F1FC4DD" w:rsidR="00D1172A" w:rsidRPr="00010161" w:rsidRDefault="00C754C9" w:rsidP="00E2734B">
      <w:pPr>
        <w:spacing w:before="240"/>
        <w:rPr>
          <w:rFonts w:ascii="Arial" w:hAnsi="Arial" w:cs="Arial"/>
        </w:rPr>
      </w:pPr>
      <w:r w:rsidRPr="00010161">
        <w:rPr>
          <w:rFonts w:ascii="Arial" w:hAnsi="Arial" w:cs="Arial"/>
        </w:rPr>
        <w:t xml:space="preserve">JESIP (2024) </w:t>
      </w:r>
      <w:r w:rsidRPr="00010161">
        <w:rPr>
          <w:rFonts w:ascii="Arial" w:hAnsi="Arial" w:cs="Arial"/>
          <w:i/>
          <w:iCs/>
        </w:rPr>
        <w:t xml:space="preserve">Joint Doctrine: The Interoperability Framework </w:t>
      </w:r>
      <w:r w:rsidRPr="00010161">
        <w:rPr>
          <w:rFonts w:ascii="Arial" w:hAnsi="Arial" w:cs="Arial"/>
        </w:rPr>
        <w:t xml:space="preserve">Available at: </w:t>
      </w:r>
      <w:hyperlink r:id="rId33" w:history="1">
        <w:r w:rsidRPr="00010161">
          <w:rPr>
            <w:rStyle w:val="Hyperlink"/>
            <w:rFonts w:ascii="Arial" w:hAnsi="Arial" w:cs="Arial"/>
          </w:rPr>
          <w:t>https://www.jesip.org.uk/downloads/joint-doctrine-guide/</w:t>
        </w:r>
      </w:hyperlink>
      <w:r w:rsidRPr="00010161">
        <w:rPr>
          <w:rFonts w:ascii="Arial" w:hAnsi="Arial" w:cs="Arial"/>
        </w:rPr>
        <w:t xml:space="preserve"> Accessed on: 27/08/2024</w:t>
      </w:r>
    </w:p>
    <w:p w14:paraId="393D0B58" w14:textId="2BA51B68" w:rsidR="004C5393" w:rsidRPr="00010161" w:rsidRDefault="004C5393" w:rsidP="00E2734B">
      <w:pPr>
        <w:spacing w:before="240"/>
        <w:rPr>
          <w:rFonts w:ascii="Arial" w:hAnsi="Arial" w:cs="Arial"/>
        </w:rPr>
      </w:pPr>
      <w:r w:rsidRPr="00010161">
        <w:rPr>
          <w:rFonts w:ascii="Arial" w:hAnsi="Arial" w:cs="Arial"/>
        </w:rPr>
        <w:t xml:space="preserve">Macpherson, W. (1999) </w:t>
      </w:r>
      <w:r w:rsidRPr="00010161">
        <w:rPr>
          <w:rFonts w:ascii="Arial" w:hAnsi="Arial" w:cs="Arial"/>
          <w:i/>
          <w:iCs/>
        </w:rPr>
        <w:t>The Stephen Lawrence Inquiry</w:t>
      </w:r>
      <w:r w:rsidRPr="00010161">
        <w:rPr>
          <w:rFonts w:ascii="Arial" w:hAnsi="Arial" w:cs="Arial"/>
        </w:rPr>
        <w:t xml:space="preserve"> (Cm 4262-I) Available at: </w:t>
      </w:r>
      <w:hyperlink r:id="rId34" w:history="1">
        <w:r w:rsidRPr="00010161">
          <w:rPr>
            <w:rStyle w:val="Hyperlink"/>
            <w:rFonts w:ascii="Arial" w:hAnsi="Arial" w:cs="Arial"/>
          </w:rPr>
          <w:t>https://www.jesip.org.uk/uploads/media/incident_reports_and_inquiries/Stephen%20Lawrence%20Inquiry.pdf</w:t>
        </w:r>
      </w:hyperlink>
      <w:r w:rsidRPr="00010161">
        <w:rPr>
          <w:rFonts w:ascii="Arial" w:hAnsi="Arial" w:cs="Arial"/>
        </w:rPr>
        <w:t xml:space="preserve"> </w:t>
      </w:r>
    </w:p>
    <w:p w14:paraId="043AA806" w14:textId="191C42C4" w:rsidR="004C5393" w:rsidRPr="00010161" w:rsidRDefault="004C5393" w:rsidP="00E2734B">
      <w:pPr>
        <w:spacing w:before="240"/>
        <w:rPr>
          <w:rFonts w:ascii="Arial" w:hAnsi="Arial" w:cs="Arial"/>
        </w:rPr>
      </w:pPr>
      <w:r w:rsidRPr="00010161">
        <w:rPr>
          <w:rFonts w:ascii="Arial" w:hAnsi="Arial" w:cs="Arial"/>
        </w:rPr>
        <w:t xml:space="preserve">Narwal, J. (2023) </w:t>
      </w:r>
      <w:r w:rsidRPr="00010161">
        <w:rPr>
          <w:rFonts w:ascii="Arial" w:hAnsi="Arial" w:cs="Arial"/>
          <w:i/>
          <w:iCs/>
        </w:rPr>
        <w:t xml:space="preserve">Remembering Stephen Lawrence 30 years on </w:t>
      </w:r>
      <w:r w:rsidRPr="00010161">
        <w:rPr>
          <w:rFonts w:ascii="Arial" w:hAnsi="Arial" w:cs="Arial"/>
        </w:rPr>
        <w:t xml:space="preserve">Available at: </w:t>
      </w:r>
      <w:hyperlink r:id="rId35" w:history="1">
        <w:r w:rsidRPr="00010161">
          <w:rPr>
            <w:rStyle w:val="Hyperlink"/>
            <w:rFonts w:ascii="Arial" w:hAnsi="Arial" w:cs="Arial"/>
          </w:rPr>
          <w:t>https://www.cps.gov.uk/stories/remembering-stephen-lawrence</w:t>
        </w:r>
      </w:hyperlink>
      <w:r w:rsidR="00C754C9" w:rsidRPr="00010161">
        <w:rPr>
          <w:rFonts w:ascii="Arial" w:hAnsi="Arial" w:cs="Arial"/>
        </w:rPr>
        <w:t xml:space="preserve"> Accessed on: 27/08/2024</w:t>
      </w:r>
    </w:p>
    <w:p w14:paraId="66C6F210" w14:textId="120738D8" w:rsidR="00C754C9" w:rsidRPr="00010161" w:rsidRDefault="00C754C9" w:rsidP="00E2734B">
      <w:pPr>
        <w:spacing w:before="240"/>
        <w:rPr>
          <w:rFonts w:ascii="Arial" w:hAnsi="Arial" w:cs="Arial"/>
        </w:rPr>
      </w:pPr>
      <w:r w:rsidRPr="00010161">
        <w:rPr>
          <w:rFonts w:ascii="Arial" w:hAnsi="Arial" w:cs="Arial"/>
        </w:rPr>
        <w:t>Pollock, K. (2013) “In review of persistent lessons identified relating to interoperability from emergencies and major incidents since 1986”,</w:t>
      </w:r>
      <w:r w:rsidR="00D1172A" w:rsidRPr="00010161">
        <w:rPr>
          <w:rFonts w:ascii="Arial" w:hAnsi="Arial" w:cs="Arial"/>
        </w:rPr>
        <w:t xml:space="preserve"> </w:t>
      </w:r>
      <w:r w:rsidR="00D1172A" w:rsidRPr="00010161">
        <w:rPr>
          <w:rFonts w:ascii="Arial" w:hAnsi="Arial" w:cs="Arial"/>
          <w:i/>
          <w:iCs/>
        </w:rPr>
        <w:t xml:space="preserve">Emergency planning college occasional papers new series number </w:t>
      </w:r>
      <w:r w:rsidR="00D1172A" w:rsidRPr="00010161">
        <w:rPr>
          <w:rFonts w:ascii="Arial" w:hAnsi="Arial" w:cs="Arial"/>
        </w:rPr>
        <w:t xml:space="preserve">6 Available at: </w:t>
      </w:r>
      <w:hyperlink r:id="rId36" w:history="1">
        <w:r w:rsidR="00D1172A" w:rsidRPr="00010161">
          <w:rPr>
            <w:rStyle w:val="Hyperlink"/>
            <w:rFonts w:ascii="Arial" w:hAnsi="Arial" w:cs="Arial"/>
          </w:rPr>
          <w:t>https://regulation.org.uk/library/2013-Pollock_Review.pdf</w:t>
        </w:r>
      </w:hyperlink>
    </w:p>
    <w:p w14:paraId="6E5733EC" w14:textId="150D9662" w:rsidR="00F666F9" w:rsidRPr="00010161" w:rsidRDefault="00F666F9" w:rsidP="00E2734B">
      <w:pPr>
        <w:spacing w:before="240"/>
        <w:rPr>
          <w:rFonts w:ascii="Arial" w:hAnsi="Arial" w:cs="Arial"/>
          <w:i/>
          <w:iCs/>
        </w:rPr>
      </w:pPr>
      <w:r w:rsidRPr="00010161">
        <w:rPr>
          <w:rFonts w:ascii="Arial" w:hAnsi="Arial" w:cs="Arial"/>
        </w:rPr>
        <w:t xml:space="preserve">Power, N. (2024) </w:t>
      </w:r>
      <w:r w:rsidRPr="00010161">
        <w:rPr>
          <w:rFonts w:ascii="Arial" w:hAnsi="Arial" w:cs="Arial"/>
          <w:i/>
          <w:iCs/>
        </w:rPr>
        <w:t xml:space="preserve">Breaking down barriers: bridging the interoperability gap in emergency response. Available at: </w:t>
      </w:r>
      <w:hyperlink r:id="rId37" w:history="1">
        <w:r w:rsidRPr="00010161">
          <w:rPr>
            <w:rStyle w:val="Hyperlink"/>
            <w:rFonts w:ascii="Arial" w:hAnsi="Arial" w:cs="Arial"/>
            <w:i/>
            <w:iCs/>
          </w:rPr>
          <w:t>https://www.jesip.org.uk/news/breaking-down-barriers-bridging-the-interoperability-gap-in-emergency-response/</w:t>
        </w:r>
      </w:hyperlink>
    </w:p>
    <w:p w14:paraId="4E4E5DCF" w14:textId="0E992B5B" w:rsidR="008602E9" w:rsidRPr="00010161" w:rsidRDefault="008602E9" w:rsidP="00E2734B">
      <w:pPr>
        <w:spacing w:before="240"/>
        <w:rPr>
          <w:rFonts w:ascii="Arial" w:hAnsi="Arial" w:cs="Arial"/>
        </w:rPr>
      </w:pPr>
      <w:r w:rsidRPr="00010161">
        <w:rPr>
          <w:rFonts w:ascii="Arial" w:hAnsi="Arial" w:cs="Arial"/>
        </w:rPr>
        <w:t>Power, N., Alcock, J., Philpot, R., &amp; Levine, M. (2024).</w:t>
      </w:r>
      <w:r w:rsidRPr="00010161">
        <w:rPr>
          <w:rFonts w:ascii="Arial" w:hAnsi="Arial" w:cs="Arial"/>
          <w:i/>
          <w:iCs/>
        </w:rPr>
        <w:t> </w:t>
      </w:r>
      <w:r w:rsidRPr="00010161">
        <w:rPr>
          <w:rFonts w:ascii="Arial" w:hAnsi="Arial" w:cs="Arial"/>
        </w:rPr>
        <w:t>The psychology of interoperability: A systematic review of joint working between the UK emergency services.</w:t>
      </w:r>
      <w:r w:rsidRPr="00010161">
        <w:rPr>
          <w:rFonts w:ascii="Arial" w:hAnsi="Arial" w:cs="Arial"/>
          <w:i/>
          <w:iCs/>
        </w:rPr>
        <w:t> Journal of Occupational and Organizational Psychology, </w:t>
      </w:r>
      <w:r w:rsidRPr="00010161">
        <w:rPr>
          <w:rFonts w:ascii="Arial" w:hAnsi="Arial" w:cs="Arial"/>
        </w:rPr>
        <w:t>97, 233–252.</w:t>
      </w:r>
      <w:r w:rsidRPr="00010161">
        <w:rPr>
          <w:rFonts w:ascii="Arial" w:hAnsi="Arial" w:cs="Arial"/>
        </w:rPr>
        <w:t xml:space="preserve"> Available at:</w:t>
      </w:r>
      <w:r w:rsidRPr="00010161">
        <w:rPr>
          <w:rFonts w:ascii="Arial" w:hAnsi="Arial" w:cs="Arial"/>
        </w:rPr>
        <w:t> </w:t>
      </w:r>
      <w:hyperlink r:id="rId38" w:history="1">
        <w:r w:rsidRPr="00010161">
          <w:rPr>
            <w:rStyle w:val="Hyperlink"/>
            <w:rFonts w:ascii="Arial" w:hAnsi="Arial" w:cs="Arial"/>
          </w:rPr>
          <w:t>https://doi.org/10.1111/joop.12469</w:t>
        </w:r>
      </w:hyperlink>
    </w:p>
    <w:p w14:paraId="08271F7D" w14:textId="45C7A2BA" w:rsidR="00F666F9" w:rsidRPr="00010161" w:rsidRDefault="00F666F9" w:rsidP="00E2734B">
      <w:pPr>
        <w:spacing w:before="240"/>
        <w:rPr>
          <w:rFonts w:ascii="Arial" w:hAnsi="Arial" w:cs="Arial"/>
        </w:rPr>
      </w:pPr>
      <w:r w:rsidRPr="00010161">
        <w:rPr>
          <w:rFonts w:ascii="Arial" w:hAnsi="Arial" w:cs="Arial"/>
        </w:rPr>
        <w:t xml:space="preserve">Saunders, J. (2022) </w:t>
      </w:r>
      <w:r w:rsidRPr="00010161">
        <w:rPr>
          <w:rFonts w:ascii="Arial" w:hAnsi="Arial" w:cs="Arial"/>
          <w:i/>
          <w:iCs/>
        </w:rPr>
        <w:t>Manchester Arena Inquiry Volume 2: Emergency Response Volume 2-I Report of the Public Inquiry into the Attack on Manchester Arena on 22</w:t>
      </w:r>
      <w:r w:rsidRPr="00010161">
        <w:rPr>
          <w:rFonts w:ascii="Arial" w:hAnsi="Arial" w:cs="Arial"/>
          <w:i/>
          <w:iCs/>
          <w:vertAlign w:val="superscript"/>
        </w:rPr>
        <w:t>nd</w:t>
      </w:r>
      <w:r w:rsidRPr="00010161">
        <w:rPr>
          <w:rFonts w:ascii="Arial" w:hAnsi="Arial" w:cs="Arial"/>
          <w:i/>
          <w:iCs/>
        </w:rPr>
        <w:t xml:space="preserve"> May 2017. </w:t>
      </w:r>
      <w:r w:rsidRPr="00010161">
        <w:rPr>
          <w:rFonts w:ascii="Arial" w:hAnsi="Arial" w:cs="Arial"/>
        </w:rPr>
        <w:t xml:space="preserve">Presented to parliament pursuant to section 26 of the inquiries act 2005 (HC757-1). Available at: </w:t>
      </w:r>
      <w:hyperlink r:id="rId39" w:history="1">
        <w:r w:rsidRPr="00010161">
          <w:rPr>
            <w:rStyle w:val="Hyperlink"/>
            <w:rFonts w:ascii="Arial" w:hAnsi="Arial" w:cs="Arial"/>
          </w:rPr>
          <w:t>https://assets.publishing.service.gov.uk/media/6363d508e90e0705a935f36d/MAI-Vol2-_Part_i_Accessible_.pdf</w:t>
        </w:r>
      </w:hyperlink>
    </w:p>
    <w:p w14:paraId="434B15A7" w14:textId="77777777" w:rsidR="00F666F9" w:rsidRPr="00F666F9" w:rsidRDefault="00F666F9" w:rsidP="00E2734B">
      <w:pPr>
        <w:spacing w:before="240"/>
        <w:rPr>
          <w:rFonts w:ascii="Arial" w:hAnsi="Arial" w:cs="Arial"/>
        </w:rPr>
      </w:pPr>
    </w:p>
    <w:p w14:paraId="74AF446C" w14:textId="77777777" w:rsidR="00D1172A" w:rsidRDefault="00D1172A" w:rsidP="00E2734B">
      <w:pPr>
        <w:spacing w:before="240"/>
        <w:rPr>
          <w:rFonts w:ascii="Arial" w:hAnsi="Arial" w:cs="Arial"/>
        </w:rPr>
      </w:pPr>
    </w:p>
    <w:p w14:paraId="5C395E06" w14:textId="77777777" w:rsidR="004C5393" w:rsidRPr="004C5393" w:rsidRDefault="004C5393" w:rsidP="00E2734B">
      <w:pPr>
        <w:spacing w:before="240"/>
      </w:pPr>
    </w:p>
    <w:p w14:paraId="4FDA66DC" w14:textId="77777777" w:rsidR="004C5393" w:rsidRPr="004C5393" w:rsidRDefault="004C5393" w:rsidP="00E2734B">
      <w:pPr>
        <w:spacing w:before="240"/>
      </w:pPr>
    </w:p>
    <w:p w14:paraId="0A7E0920" w14:textId="77777777" w:rsidR="004C5393" w:rsidRPr="004C5393" w:rsidRDefault="004C5393" w:rsidP="00E2734B">
      <w:pPr>
        <w:spacing w:before="240"/>
      </w:pPr>
    </w:p>
    <w:p w14:paraId="40409821" w14:textId="77777777" w:rsidR="00CA7D90" w:rsidRPr="00CA7D90" w:rsidRDefault="00CA7D90" w:rsidP="00E2734B">
      <w:pPr>
        <w:spacing w:before="240"/>
      </w:pPr>
    </w:p>
    <w:p w14:paraId="2207179C" w14:textId="77777777" w:rsidR="00847250" w:rsidRDefault="00847250" w:rsidP="00E2734B">
      <w:pPr>
        <w:spacing w:before="240"/>
      </w:pPr>
    </w:p>
    <w:p w14:paraId="12331A2D" w14:textId="77777777" w:rsidR="00E2734B" w:rsidRPr="00E2734B" w:rsidRDefault="00E2734B" w:rsidP="00E2734B">
      <w:pPr>
        <w:spacing w:before="240"/>
      </w:pPr>
    </w:p>
    <w:p w14:paraId="3C859972" w14:textId="77777777" w:rsidR="004736FD" w:rsidRDefault="004736FD" w:rsidP="00E06E38">
      <w:pPr>
        <w:spacing w:before="240"/>
      </w:pPr>
    </w:p>
    <w:p w14:paraId="119572A3" w14:textId="77777777" w:rsidR="00903370" w:rsidRPr="007C3705" w:rsidRDefault="00903370" w:rsidP="00E06E38">
      <w:pPr>
        <w:spacing w:before="240"/>
        <w:rPr>
          <w:i/>
          <w:iCs/>
        </w:rPr>
      </w:pPr>
    </w:p>
    <w:p w14:paraId="68243E67" w14:textId="77777777" w:rsidR="00B51A9A" w:rsidRPr="00B51A9A" w:rsidRDefault="00B51A9A" w:rsidP="00E06E38">
      <w:pPr>
        <w:spacing w:before="240"/>
      </w:pPr>
    </w:p>
    <w:p w14:paraId="5EED4F72" w14:textId="77777777" w:rsidR="008F0BE1" w:rsidRDefault="008F0BE1" w:rsidP="00E06E38">
      <w:pPr>
        <w:spacing w:before="240"/>
      </w:pPr>
    </w:p>
    <w:p w14:paraId="32DA1FBF" w14:textId="77777777" w:rsidR="005233CB" w:rsidRPr="0068711F" w:rsidRDefault="005233CB" w:rsidP="00E06E38">
      <w:pPr>
        <w:spacing w:before="240"/>
      </w:pPr>
    </w:p>
    <w:p w14:paraId="53153DE4" w14:textId="69BB2F09" w:rsidR="00CC14D4" w:rsidRDefault="00CC14D4" w:rsidP="00FA4358">
      <w:pPr>
        <w:spacing w:before="240"/>
      </w:pPr>
    </w:p>
    <w:p w14:paraId="15FC6B84" w14:textId="77777777" w:rsidR="009E1D10" w:rsidRPr="009E1D10" w:rsidRDefault="009E1D10" w:rsidP="00FA4358">
      <w:pPr>
        <w:spacing w:before="240"/>
      </w:pPr>
    </w:p>
    <w:p w14:paraId="7924B7D7" w14:textId="77777777" w:rsidR="0041700F" w:rsidRPr="0041700F" w:rsidRDefault="0041700F" w:rsidP="00FA4358">
      <w:pPr>
        <w:spacing w:before="240"/>
      </w:pPr>
    </w:p>
    <w:p w14:paraId="53C6A24C" w14:textId="77777777" w:rsidR="00782CE2" w:rsidRDefault="00782CE2" w:rsidP="00FA4358">
      <w:pPr>
        <w:spacing w:before="240"/>
      </w:pPr>
    </w:p>
    <w:p w14:paraId="24C0C358" w14:textId="77777777" w:rsidR="00071CC5" w:rsidRPr="00B00221" w:rsidRDefault="00071CC5" w:rsidP="00FA4358">
      <w:pPr>
        <w:spacing w:before="240"/>
      </w:pPr>
    </w:p>
    <w:p w14:paraId="42129294" w14:textId="77777777" w:rsidR="009639DE" w:rsidRDefault="009639DE" w:rsidP="00FA4358">
      <w:pPr>
        <w:spacing w:before="240"/>
        <w:rPr>
          <w:b/>
          <w:bCs/>
          <w:i/>
          <w:iCs/>
          <w:u w:val="single"/>
        </w:rPr>
      </w:pPr>
    </w:p>
    <w:p w14:paraId="2D0FC6F3" w14:textId="77777777" w:rsidR="009639DE" w:rsidRPr="009639DE" w:rsidRDefault="009639DE" w:rsidP="00FA4358">
      <w:pPr>
        <w:spacing w:before="240"/>
        <w:rPr>
          <w:b/>
          <w:bCs/>
          <w:i/>
          <w:iCs/>
          <w:u w:val="single"/>
        </w:rPr>
      </w:pPr>
    </w:p>
    <w:p w14:paraId="52C2F6BB" w14:textId="5839288B" w:rsidR="0097440E" w:rsidRDefault="0097440E" w:rsidP="0097440E">
      <w:pPr>
        <w:ind w:left="720"/>
      </w:pPr>
      <w:r>
        <w:tab/>
        <w:t xml:space="preserve"> </w:t>
      </w:r>
    </w:p>
    <w:p w14:paraId="3925A6BC" w14:textId="77777777" w:rsidR="0097440E" w:rsidRDefault="0097440E" w:rsidP="0097440E">
      <w:pPr>
        <w:ind w:left="720"/>
      </w:pPr>
    </w:p>
    <w:p w14:paraId="158182CD" w14:textId="7A9B5346" w:rsidR="0097440E" w:rsidRPr="0097440E" w:rsidRDefault="0097440E" w:rsidP="0097440E">
      <w:pPr>
        <w:ind w:left="720"/>
      </w:pPr>
      <w:r>
        <w:tab/>
      </w:r>
      <w:r>
        <w:tab/>
      </w:r>
      <w:r>
        <w:tab/>
      </w:r>
      <w:r>
        <w:tab/>
      </w:r>
      <w:r>
        <w:tab/>
      </w:r>
    </w:p>
    <w:sectPr w:rsidR="0097440E" w:rsidRPr="00974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7305A1"/>
    <w:multiLevelType w:val="hybridMultilevel"/>
    <w:tmpl w:val="8C5414A0"/>
    <w:lvl w:ilvl="0" w:tplc="79BA405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866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40E"/>
    <w:rsid w:val="00010161"/>
    <w:rsid w:val="00042EFE"/>
    <w:rsid w:val="00066647"/>
    <w:rsid w:val="00071CC5"/>
    <w:rsid w:val="00081766"/>
    <w:rsid w:val="00082508"/>
    <w:rsid w:val="000C210C"/>
    <w:rsid w:val="000E616A"/>
    <w:rsid w:val="00173621"/>
    <w:rsid w:val="001A74DF"/>
    <w:rsid w:val="001B02F7"/>
    <w:rsid w:val="001D0684"/>
    <w:rsid w:val="002056B9"/>
    <w:rsid w:val="00244598"/>
    <w:rsid w:val="00274E4A"/>
    <w:rsid w:val="00291C45"/>
    <w:rsid w:val="002C2551"/>
    <w:rsid w:val="002E116E"/>
    <w:rsid w:val="002F67F2"/>
    <w:rsid w:val="002F6F53"/>
    <w:rsid w:val="003031B6"/>
    <w:rsid w:val="00307858"/>
    <w:rsid w:val="00310534"/>
    <w:rsid w:val="00312682"/>
    <w:rsid w:val="00315F3D"/>
    <w:rsid w:val="003169FE"/>
    <w:rsid w:val="00321B41"/>
    <w:rsid w:val="00343EDD"/>
    <w:rsid w:val="0038705D"/>
    <w:rsid w:val="003B76E1"/>
    <w:rsid w:val="003B7F7E"/>
    <w:rsid w:val="003C7826"/>
    <w:rsid w:val="003F029F"/>
    <w:rsid w:val="0041700F"/>
    <w:rsid w:val="00463BAD"/>
    <w:rsid w:val="004736FD"/>
    <w:rsid w:val="00491F58"/>
    <w:rsid w:val="004A0D65"/>
    <w:rsid w:val="004B236A"/>
    <w:rsid w:val="004B3800"/>
    <w:rsid w:val="004C5393"/>
    <w:rsid w:val="005002BF"/>
    <w:rsid w:val="005233CB"/>
    <w:rsid w:val="00544929"/>
    <w:rsid w:val="0055423D"/>
    <w:rsid w:val="00562AFE"/>
    <w:rsid w:val="00576DC2"/>
    <w:rsid w:val="005B0C6A"/>
    <w:rsid w:val="005C28B4"/>
    <w:rsid w:val="005C4C8C"/>
    <w:rsid w:val="005D5FC6"/>
    <w:rsid w:val="005E59D8"/>
    <w:rsid w:val="00616344"/>
    <w:rsid w:val="00633DE1"/>
    <w:rsid w:val="0064307D"/>
    <w:rsid w:val="00673CB8"/>
    <w:rsid w:val="0068711F"/>
    <w:rsid w:val="00693FED"/>
    <w:rsid w:val="006C3915"/>
    <w:rsid w:val="006D03FE"/>
    <w:rsid w:val="006E2B97"/>
    <w:rsid w:val="006E3599"/>
    <w:rsid w:val="006F1534"/>
    <w:rsid w:val="00700DEB"/>
    <w:rsid w:val="00714DD8"/>
    <w:rsid w:val="00736F19"/>
    <w:rsid w:val="00747D6F"/>
    <w:rsid w:val="00782CE2"/>
    <w:rsid w:val="00790D0E"/>
    <w:rsid w:val="00793D96"/>
    <w:rsid w:val="0079474E"/>
    <w:rsid w:val="007A15FA"/>
    <w:rsid w:val="007A25B6"/>
    <w:rsid w:val="007C3705"/>
    <w:rsid w:val="007E6240"/>
    <w:rsid w:val="008013D2"/>
    <w:rsid w:val="00830063"/>
    <w:rsid w:val="00847250"/>
    <w:rsid w:val="008602E9"/>
    <w:rsid w:val="008631F8"/>
    <w:rsid w:val="008A49FC"/>
    <w:rsid w:val="008F0BE1"/>
    <w:rsid w:val="00903370"/>
    <w:rsid w:val="009056E7"/>
    <w:rsid w:val="009511B6"/>
    <w:rsid w:val="00962011"/>
    <w:rsid w:val="009639DE"/>
    <w:rsid w:val="0097440E"/>
    <w:rsid w:val="00984A29"/>
    <w:rsid w:val="00990A9D"/>
    <w:rsid w:val="009A4753"/>
    <w:rsid w:val="009A5B54"/>
    <w:rsid w:val="009E09C1"/>
    <w:rsid w:val="009E1D10"/>
    <w:rsid w:val="00A202A7"/>
    <w:rsid w:val="00A716B3"/>
    <w:rsid w:val="00A77AD7"/>
    <w:rsid w:val="00A91C3C"/>
    <w:rsid w:val="00AC4896"/>
    <w:rsid w:val="00AD45F1"/>
    <w:rsid w:val="00AE24B6"/>
    <w:rsid w:val="00AF1819"/>
    <w:rsid w:val="00B00221"/>
    <w:rsid w:val="00B219B2"/>
    <w:rsid w:val="00B51A9A"/>
    <w:rsid w:val="00B56DF3"/>
    <w:rsid w:val="00B65C4F"/>
    <w:rsid w:val="00BA25E0"/>
    <w:rsid w:val="00BB28FF"/>
    <w:rsid w:val="00BF11D7"/>
    <w:rsid w:val="00C00912"/>
    <w:rsid w:val="00C278C6"/>
    <w:rsid w:val="00C35161"/>
    <w:rsid w:val="00C403A1"/>
    <w:rsid w:val="00C754C9"/>
    <w:rsid w:val="00C776CE"/>
    <w:rsid w:val="00C9570C"/>
    <w:rsid w:val="00CA7D90"/>
    <w:rsid w:val="00CB6F4D"/>
    <w:rsid w:val="00CC14D4"/>
    <w:rsid w:val="00CD64F7"/>
    <w:rsid w:val="00D07C66"/>
    <w:rsid w:val="00D1172A"/>
    <w:rsid w:val="00D351FE"/>
    <w:rsid w:val="00D442C8"/>
    <w:rsid w:val="00D50263"/>
    <w:rsid w:val="00DB2092"/>
    <w:rsid w:val="00DD59DA"/>
    <w:rsid w:val="00DE3876"/>
    <w:rsid w:val="00DF7DF1"/>
    <w:rsid w:val="00E06E38"/>
    <w:rsid w:val="00E2734B"/>
    <w:rsid w:val="00E54003"/>
    <w:rsid w:val="00E570D8"/>
    <w:rsid w:val="00E673FD"/>
    <w:rsid w:val="00E7197B"/>
    <w:rsid w:val="00EA1895"/>
    <w:rsid w:val="00EA27EC"/>
    <w:rsid w:val="00F14102"/>
    <w:rsid w:val="00F556F3"/>
    <w:rsid w:val="00F55734"/>
    <w:rsid w:val="00F666F9"/>
    <w:rsid w:val="00FA4358"/>
    <w:rsid w:val="00FB53BB"/>
    <w:rsid w:val="00FD6ECB"/>
    <w:rsid w:val="00FD7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3EF4C"/>
  <w15:chartTrackingRefBased/>
  <w15:docId w15:val="{5B883056-8BB4-486B-AC91-564BA22F7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4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4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4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4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4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4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4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4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4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4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4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4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4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4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4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4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4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40E"/>
    <w:rPr>
      <w:rFonts w:eastAsiaTheme="majorEastAsia" w:cstheme="majorBidi"/>
      <w:color w:val="272727" w:themeColor="text1" w:themeTint="D8"/>
    </w:rPr>
  </w:style>
  <w:style w:type="paragraph" w:styleId="Title">
    <w:name w:val="Title"/>
    <w:basedOn w:val="Normal"/>
    <w:next w:val="Normal"/>
    <w:link w:val="TitleChar"/>
    <w:uiPriority w:val="10"/>
    <w:qFormat/>
    <w:rsid w:val="009744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4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4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4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40E"/>
    <w:pPr>
      <w:spacing w:before="160"/>
      <w:jc w:val="center"/>
    </w:pPr>
    <w:rPr>
      <w:i/>
      <w:iCs/>
      <w:color w:val="404040" w:themeColor="text1" w:themeTint="BF"/>
    </w:rPr>
  </w:style>
  <w:style w:type="character" w:customStyle="1" w:styleId="QuoteChar">
    <w:name w:val="Quote Char"/>
    <w:basedOn w:val="DefaultParagraphFont"/>
    <w:link w:val="Quote"/>
    <w:uiPriority w:val="29"/>
    <w:rsid w:val="0097440E"/>
    <w:rPr>
      <w:i/>
      <w:iCs/>
      <w:color w:val="404040" w:themeColor="text1" w:themeTint="BF"/>
    </w:rPr>
  </w:style>
  <w:style w:type="paragraph" w:styleId="ListParagraph">
    <w:name w:val="List Paragraph"/>
    <w:basedOn w:val="Normal"/>
    <w:uiPriority w:val="34"/>
    <w:qFormat/>
    <w:rsid w:val="0097440E"/>
    <w:pPr>
      <w:ind w:left="720"/>
      <w:contextualSpacing/>
    </w:pPr>
  </w:style>
  <w:style w:type="character" w:styleId="IntenseEmphasis">
    <w:name w:val="Intense Emphasis"/>
    <w:basedOn w:val="DefaultParagraphFont"/>
    <w:uiPriority w:val="21"/>
    <w:qFormat/>
    <w:rsid w:val="0097440E"/>
    <w:rPr>
      <w:i/>
      <w:iCs/>
      <w:color w:val="0F4761" w:themeColor="accent1" w:themeShade="BF"/>
    </w:rPr>
  </w:style>
  <w:style w:type="paragraph" w:styleId="IntenseQuote">
    <w:name w:val="Intense Quote"/>
    <w:basedOn w:val="Normal"/>
    <w:next w:val="Normal"/>
    <w:link w:val="IntenseQuoteChar"/>
    <w:uiPriority w:val="30"/>
    <w:qFormat/>
    <w:rsid w:val="009744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40E"/>
    <w:rPr>
      <w:i/>
      <w:iCs/>
      <w:color w:val="0F4761" w:themeColor="accent1" w:themeShade="BF"/>
    </w:rPr>
  </w:style>
  <w:style w:type="character" w:styleId="IntenseReference">
    <w:name w:val="Intense Reference"/>
    <w:basedOn w:val="DefaultParagraphFont"/>
    <w:uiPriority w:val="32"/>
    <w:qFormat/>
    <w:rsid w:val="0097440E"/>
    <w:rPr>
      <w:b/>
      <w:bCs/>
      <w:smallCaps/>
      <w:color w:val="0F4761" w:themeColor="accent1" w:themeShade="BF"/>
      <w:spacing w:val="5"/>
    </w:rPr>
  </w:style>
  <w:style w:type="character" w:styleId="Hyperlink">
    <w:name w:val="Hyperlink"/>
    <w:basedOn w:val="DefaultParagraphFont"/>
    <w:uiPriority w:val="99"/>
    <w:unhideWhenUsed/>
    <w:rsid w:val="00071CC5"/>
    <w:rPr>
      <w:color w:val="467886" w:themeColor="hyperlink"/>
      <w:u w:val="single"/>
    </w:rPr>
  </w:style>
  <w:style w:type="character" w:styleId="UnresolvedMention">
    <w:name w:val="Unresolved Mention"/>
    <w:basedOn w:val="DefaultParagraphFont"/>
    <w:uiPriority w:val="99"/>
    <w:semiHidden/>
    <w:unhideWhenUsed/>
    <w:rsid w:val="00071C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7900900">
      <w:bodyDiv w:val="1"/>
      <w:marLeft w:val="0"/>
      <w:marRight w:val="0"/>
      <w:marTop w:val="0"/>
      <w:marBottom w:val="0"/>
      <w:divBdr>
        <w:top w:val="none" w:sz="0" w:space="0" w:color="auto"/>
        <w:left w:val="none" w:sz="0" w:space="0" w:color="auto"/>
        <w:bottom w:val="none" w:sz="0" w:space="0" w:color="auto"/>
        <w:right w:val="none" w:sz="0" w:space="0" w:color="auto"/>
      </w:divBdr>
    </w:div>
    <w:div w:id="664286159">
      <w:bodyDiv w:val="1"/>
      <w:marLeft w:val="0"/>
      <w:marRight w:val="0"/>
      <w:marTop w:val="0"/>
      <w:marBottom w:val="0"/>
      <w:divBdr>
        <w:top w:val="none" w:sz="0" w:space="0" w:color="auto"/>
        <w:left w:val="none" w:sz="0" w:space="0" w:color="auto"/>
        <w:bottom w:val="none" w:sz="0" w:space="0" w:color="auto"/>
        <w:right w:val="none" w:sz="0" w:space="0" w:color="auto"/>
      </w:divBdr>
      <w:divsChild>
        <w:div w:id="1459491642">
          <w:marLeft w:val="0"/>
          <w:marRight w:val="0"/>
          <w:marTop w:val="0"/>
          <w:marBottom w:val="0"/>
          <w:divBdr>
            <w:top w:val="none" w:sz="0" w:space="0" w:color="auto"/>
            <w:left w:val="none" w:sz="0" w:space="0" w:color="auto"/>
            <w:bottom w:val="none" w:sz="0" w:space="0" w:color="auto"/>
            <w:right w:val="none" w:sz="0" w:space="0" w:color="auto"/>
          </w:divBdr>
          <w:divsChild>
            <w:div w:id="171090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822873">
      <w:bodyDiv w:val="1"/>
      <w:marLeft w:val="0"/>
      <w:marRight w:val="0"/>
      <w:marTop w:val="0"/>
      <w:marBottom w:val="0"/>
      <w:divBdr>
        <w:top w:val="none" w:sz="0" w:space="0" w:color="auto"/>
        <w:left w:val="none" w:sz="0" w:space="0" w:color="auto"/>
        <w:bottom w:val="none" w:sz="0" w:space="0" w:color="auto"/>
        <w:right w:val="none" w:sz="0" w:space="0" w:color="auto"/>
      </w:divBdr>
      <w:divsChild>
        <w:div w:id="1148984511">
          <w:marLeft w:val="0"/>
          <w:marRight w:val="0"/>
          <w:marTop w:val="0"/>
          <w:marBottom w:val="0"/>
          <w:divBdr>
            <w:top w:val="none" w:sz="0" w:space="0" w:color="auto"/>
            <w:left w:val="none" w:sz="0" w:space="0" w:color="auto"/>
            <w:bottom w:val="none" w:sz="0" w:space="0" w:color="auto"/>
            <w:right w:val="none" w:sz="0" w:space="0" w:color="auto"/>
          </w:divBdr>
          <w:divsChild>
            <w:div w:id="45424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98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955395924000057" TargetMode="External"/><Relationship Id="rId18" Type="http://schemas.openxmlformats.org/officeDocument/2006/relationships/hyperlink" Target="https://www.psni.police.uk/latest-news/two-men-sentenced-following-paramilitary-crime-task-force-investigation" TargetMode="Externa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assets.publishing.service.gov.uk/media/6363d508e90e0705a935f36d/MAI-Vol2-_Part_i_Accessible_.pdf" TargetMode="External"/><Relationship Id="rId21" Type="http://schemas.openxmlformats.org/officeDocument/2006/relationships/hyperlink" Target="https://www.legislation.gov.uk/en/ukpga/2006/11/contents" TargetMode="External"/><Relationship Id="rId34" Type="http://schemas.openxmlformats.org/officeDocument/2006/relationships/hyperlink" Target="https://www.jesip.org.uk/uploads/media/incident_reports_and_inquiries/Stephen%20Lawrence%20Inquiry.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hansard.parliament.uk/Commons/2023-07-18/debates/23071835000021/CONTESTUnitedKingdomSStrategyForCounteringTerrorism2023" TargetMode="External"/><Relationship Id="rId20" Type="http://schemas.openxmlformats.org/officeDocument/2006/relationships/hyperlink" Target="https://www.jstor.org/stable/26927661" TargetMode="External"/><Relationship Id="rId29" Type="http://schemas.openxmlformats.org/officeDocument/2006/relationships/hyperlink" Target="https://www.researchgate.net/profile/Louise-Davidson-6/publication/369564573_Same_team_different_colours_Examining_the_association_between_shared_identity_and_interoperability_in_multi-agency_discussion-based_exercises/links/6436c1a6609c170a13110c48/Same-team-different-colours-Examining-the-association-between-shared-identity-and-interoperability-in-multi-agency-discussion-based-exercises.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ps.gov.uk/crime-info/terrorism" TargetMode="External"/><Relationship Id="rId24" Type="http://schemas.openxmlformats.org/officeDocument/2006/relationships/hyperlink" Target="https://doi.org/10.1057/978-1-349-95847-4_4" TargetMode="External"/><Relationship Id="rId32" Type="http://schemas.openxmlformats.org/officeDocument/2006/relationships/hyperlink" Target="https://doi.org/10.1108/PIJPSM-11-2020-0177" TargetMode="External"/><Relationship Id="rId37" Type="http://schemas.openxmlformats.org/officeDocument/2006/relationships/hyperlink" Target="https://www.jesip.org.uk/news/breaking-down-barriers-bridging-the-interoperability-gap-in-emergency-response/"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80/1057610X.2019.1678878" TargetMode="External"/><Relationship Id="rId23" Type="http://schemas.openxmlformats.org/officeDocument/2006/relationships/hyperlink" Target="http://unscr.com/en/resolutions/doc/2195" TargetMode="External"/><Relationship Id="rId28" Type="http://schemas.openxmlformats.org/officeDocument/2006/relationships/hyperlink" Target="https://www.college.police.uk/app/investigation/investigation-process%20Accessed%20on%2027/08/2024" TargetMode="External"/><Relationship Id="rId36" Type="http://schemas.openxmlformats.org/officeDocument/2006/relationships/hyperlink" Target="https://regulation.org.uk/library/2013-Pollock_Review.pdf" TargetMode="External"/><Relationship Id="rId10" Type="http://schemas.openxmlformats.org/officeDocument/2006/relationships/hyperlink" Target="https://doi.org/10.1080/10439463.2015.1089871" TargetMode="External"/><Relationship Id="rId19" Type="http://schemas.openxmlformats.org/officeDocument/2006/relationships/hyperlink" Target="https://doi.org/10.1080/03071847.2021.2016316" TargetMode="External"/><Relationship Id="rId31" Type="http://schemas.openxmlformats.org/officeDocument/2006/relationships/hyperlink" Target="https://www.oscarkilo.org.uk/news/police-wellbeing-and-major-incidents" TargetMode="External"/><Relationship Id="rId4" Type="http://schemas.openxmlformats.org/officeDocument/2006/relationships/numbering" Target="numbering.xml"/><Relationship Id="rId9" Type="http://schemas.openxmlformats.org/officeDocument/2006/relationships/hyperlink" Target="https://www.icct.nl/sites/default/files/2022-12/Special-Edition-2-3.pdf" TargetMode="External"/><Relationship Id="rId14" Type="http://schemas.openxmlformats.org/officeDocument/2006/relationships/hyperlink" Target="https://www.gov.uk/government/publications/proscribed-terror-groups-or-organisations--2/proscribed-terrorist-groups-or-organisations-accessible-version" TargetMode="External"/><Relationship Id="rId22" Type="http://schemas.openxmlformats.org/officeDocument/2006/relationships/hyperlink" Target="https://doi.org/10.1177/0032258X16630489" TargetMode="External"/><Relationship Id="rId27" Type="http://schemas.openxmlformats.org/officeDocument/2006/relationships/hyperlink" Target="https://www.college.police.uk/app/civil-emergencies/civil-contingencies%20Accessed%20on%2027/08/2024" TargetMode="External"/><Relationship Id="rId30" Type="http://schemas.openxmlformats.org/officeDocument/2006/relationships/hyperlink" Target="https://webarchive.nationalarchives.gov.uk/ukgwa/20120216072447mp_/http:/7julyinquests.independent.gov.uk/docs/orders/rule43-report.pdf" TargetMode="External"/><Relationship Id="rId35" Type="http://schemas.openxmlformats.org/officeDocument/2006/relationships/hyperlink" Target="https://www.cps.gov.uk/stories/remembering-stephen-lawrence" TargetMode="External"/><Relationship Id="rId8" Type="http://schemas.openxmlformats.org/officeDocument/2006/relationships/hyperlink" Target="https://doi.org/10.1080/17440572.2024.2351818" TargetMode="External"/><Relationship Id="rId3" Type="http://schemas.openxmlformats.org/officeDocument/2006/relationships/customXml" Target="../customXml/item3.xml"/><Relationship Id="rId12" Type="http://schemas.openxmlformats.org/officeDocument/2006/relationships/hyperlink" Target="https://www.iss.europa.eu/sites/default/files/EUISSFiles/Brief_10_Terrorism_and_crime.pdf" TargetMode="External"/><Relationship Id="rId17" Type="http://schemas.openxmlformats.org/officeDocument/2006/relationships/hyperlink" Target="https://www.tandfonline.com/doi/full/10.1080/09546553.2023.2189968" TargetMode="External"/><Relationship Id="rId25" Type="http://schemas.openxmlformats.org/officeDocument/2006/relationships/hyperlink" Target="https://www.legislation.gov.uk/ukpga/2004/36/schedule/1" TargetMode="External"/><Relationship Id="rId33" Type="http://schemas.openxmlformats.org/officeDocument/2006/relationships/hyperlink" Target="https://www.jesip.org.uk/downloads/joint-doctrine-guide/" TargetMode="External"/><Relationship Id="rId38" Type="http://schemas.openxmlformats.org/officeDocument/2006/relationships/hyperlink" Target="https://doi.org/10.1111/joop.12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9" ma:contentTypeDescription="Create a new document." ma:contentTypeScope="" ma:versionID="f1f18e44f6e39c81798f8046462d7380">
  <xsd:schema xmlns:xsd="http://www.w3.org/2001/XMLSchema" xmlns:xs="http://www.w3.org/2001/XMLSchema" xmlns:p="http://schemas.microsoft.com/office/2006/metadata/properties" xmlns:ns3="dab0745b-0aa1-46c5-9664-3662cc126593" targetNamespace="http://schemas.microsoft.com/office/2006/metadata/properties" ma:root="true" ma:fieldsID="bb8652bbb05d204f883d191c84d4dd50" ns3:_="">
    <xsd:import namespace="dab0745b-0aa1-46c5-9664-3662cc12659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12EF354-C266-44F8-8461-886B9FD1B3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2555DF-AE90-4B7A-A86F-77BFC612669B}">
  <ds:schemaRefs>
    <ds:schemaRef ds:uri="http://schemas.microsoft.com/sharepoint/v3/contenttype/forms"/>
  </ds:schemaRefs>
</ds:datastoreItem>
</file>

<file path=customXml/itemProps3.xml><?xml version="1.0" encoding="utf-8"?>
<ds:datastoreItem xmlns:ds="http://schemas.openxmlformats.org/officeDocument/2006/customXml" ds:itemID="{08E9A1AF-C289-4CF3-9546-AA4A4474938F}">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www.w3.org/XML/1998/namespace"/>
    <ds:schemaRef ds:uri="http://purl.org/dc/terms/"/>
    <ds:schemaRef ds:uri="dab0745b-0aa1-46c5-9664-3662cc126593"/>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5660</Words>
  <Characters>32268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Hartley,Maisie swp8546</dc:creator>
  <cp:keywords/>
  <dc:description/>
  <cp:lastModifiedBy>Hartley,Maisie swp8546</cp:lastModifiedBy>
  <cp:revision>2</cp:revision>
  <dcterms:created xsi:type="dcterms:W3CDTF">2024-08-27T14:25:00Z</dcterms:created>
  <dcterms:modified xsi:type="dcterms:W3CDTF">2024-08-27T14:25:00Z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2024-08-16T09:04:07Z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0348829d-639e-4309-9b4f-b8eeeb3dfe90</vt:lpwstr>
  </property>
  <property fmtid="{D5CDD505-2E9C-101B-9397-08002B2CF9AE}" pid="8" name="MSIP_Label_66cf8fe5-b7b7-4df7-b38d-1c61ac2f6639_ContentBits">
    <vt:lpwstr>0</vt:lpwstr>
  </property>
  <property fmtid="{D5CDD505-2E9C-101B-9397-08002B2CF9AE}" pid="9" name="ContentTypeId">
    <vt:lpwstr>0x010100D7137F547E3D9D41A8CFB1328A695AFF</vt:lpwstr>
  </property>
</Properties>
</file>