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90C7A" w14:textId="77777777" w:rsidR="000654FD" w:rsidRPr="005B638E" w:rsidRDefault="000654FD" w:rsidP="000654FD">
      <w:pPr>
        <w:jc w:val="both"/>
        <w:rPr>
          <w:rFonts w:asciiTheme="minorHAnsi" w:hAnsiTheme="minorHAnsi"/>
          <w:color w:val="000000" w:themeColor="text1"/>
        </w:rPr>
      </w:pPr>
    </w:p>
    <w:p w14:paraId="28E09AA2" w14:textId="77777777" w:rsidR="000654FD" w:rsidRDefault="000654FD" w:rsidP="000654FD">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BDD865B" wp14:editId="7C783E9A">
            <wp:extent cx="3313216" cy="1158644"/>
            <wp:effectExtent l="0" t="0" r="1905"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B990B7F" w14:textId="77777777" w:rsidR="000654FD" w:rsidRDefault="000654FD" w:rsidP="000654FD">
      <w:pPr>
        <w:jc w:val="both"/>
        <w:rPr>
          <w:rFonts w:asciiTheme="minorHAnsi" w:hAnsiTheme="minorHAnsi"/>
          <w:color w:val="000000" w:themeColor="text1"/>
        </w:rPr>
      </w:pPr>
    </w:p>
    <w:p w14:paraId="495AEE63" w14:textId="77777777" w:rsidR="000654FD" w:rsidRDefault="000654FD" w:rsidP="000654FD">
      <w:pPr>
        <w:jc w:val="both"/>
        <w:rPr>
          <w:rFonts w:asciiTheme="minorHAnsi" w:hAnsiTheme="minorHAnsi"/>
          <w:color w:val="000000" w:themeColor="text1"/>
        </w:rPr>
      </w:pPr>
    </w:p>
    <w:p w14:paraId="40783158" w14:textId="77777777" w:rsidR="000654FD" w:rsidRDefault="000654FD" w:rsidP="000654FD">
      <w:pPr>
        <w:jc w:val="both"/>
        <w:rPr>
          <w:rFonts w:asciiTheme="minorHAnsi" w:hAnsiTheme="minorHAnsi"/>
          <w:color w:val="000000" w:themeColor="text1"/>
        </w:rPr>
      </w:pPr>
    </w:p>
    <w:p w14:paraId="392104C7" w14:textId="77777777" w:rsidR="000654FD" w:rsidRPr="005B638E" w:rsidRDefault="000654FD" w:rsidP="000654FD">
      <w:pPr>
        <w:jc w:val="both"/>
        <w:rPr>
          <w:rFonts w:asciiTheme="minorHAnsi" w:hAnsiTheme="minorHAnsi"/>
          <w:color w:val="000000" w:themeColor="text1"/>
        </w:rPr>
      </w:pPr>
    </w:p>
    <w:p w14:paraId="42C127DA" w14:textId="77777777" w:rsidR="000654FD" w:rsidRPr="00511B5B" w:rsidRDefault="000654FD" w:rsidP="000654FD">
      <w:pPr>
        <w:jc w:val="center"/>
        <w:rPr>
          <w:rFonts w:asciiTheme="minorHAnsi" w:hAnsiTheme="minorHAnsi"/>
          <w:b/>
          <w:color w:val="000000" w:themeColor="text1"/>
          <w:sz w:val="44"/>
        </w:rPr>
      </w:pPr>
      <w:r>
        <w:rPr>
          <w:rFonts w:asciiTheme="minorHAnsi" w:hAnsiTheme="minorHAnsi"/>
          <w:b/>
          <w:color w:val="000000" w:themeColor="text1"/>
          <w:sz w:val="44"/>
        </w:rPr>
        <w:t xml:space="preserve">Assessing the </w:t>
      </w:r>
      <w:proofErr w:type="gramStart"/>
      <w:r>
        <w:rPr>
          <w:rFonts w:asciiTheme="minorHAnsi" w:hAnsiTheme="minorHAnsi"/>
          <w:b/>
          <w:color w:val="000000" w:themeColor="text1"/>
          <w:sz w:val="44"/>
        </w:rPr>
        <w:t>Impact</w:t>
      </w:r>
      <w:proofErr w:type="gramEnd"/>
      <w:r>
        <w:rPr>
          <w:rFonts w:asciiTheme="minorHAnsi" w:hAnsiTheme="minorHAnsi"/>
          <w:b/>
          <w:color w:val="000000" w:themeColor="text1"/>
          <w:sz w:val="44"/>
        </w:rPr>
        <w:t xml:space="preserve"> a Citrix Upgrade has on Essential Services in a Healthcare Setting</w:t>
      </w:r>
    </w:p>
    <w:p w14:paraId="07229CB5" w14:textId="77777777" w:rsidR="000654FD" w:rsidRPr="00511B5B" w:rsidRDefault="000654FD" w:rsidP="000654FD">
      <w:pPr>
        <w:jc w:val="center"/>
        <w:rPr>
          <w:rFonts w:asciiTheme="minorHAnsi" w:hAnsiTheme="minorHAnsi"/>
          <w:color w:val="000000" w:themeColor="text1"/>
          <w:sz w:val="40"/>
        </w:rPr>
      </w:pPr>
    </w:p>
    <w:p w14:paraId="55E27C4E" w14:textId="77777777" w:rsidR="000654FD" w:rsidRPr="00511B5B"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C7B126" w14:textId="77777777" w:rsidR="000654FD" w:rsidRPr="00511B5B" w:rsidRDefault="000654FD" w:rsidP="000654FD">
      <w:pPr>
        <w:jc w:val="center"/>
        <w:rPr>
          <w:rFonts w:asciiTheme="minorHAnsi" w:hAnsiTheme="minorHAnsi"/>
          <w:color w:val="000000" w:themeColor="text1"/>
          <w:sz w:val="40"/>
        </w:rPr>
      </w:pPr>
      <w:r>
        <w:rPr>
          <w:rFonts w:asciiTheme="minorHAnsi" w:hAnsiTheme="minorHAnsi"/>
          <w:color w:val="000000" w:themeColor="text1"/>
          <w:sz w:val="40"/>
        </w:rPr>
        <w:t>Gareth Evans</w:t>
      </w:r>
    </w:p>
    <w:p w14:paraId="43E3DF76" w14:textId="77777777" w:rsidR="000654FD" w:rsidRPr="00511B5B" w:rsidRDefault="000654FD" w:rsidP="000654FD">
      <w:pPr>
        <w:jc w:val="center"/>
        <w:rPr>
          <w:rFonts w:asciiTheme="minorHAnsi" w:hAnsiTheme="minorHAnsi"/>
          <w:color w:val="000000" w:themeColor="text1"/>
          <w:sz w:val="40"/>
        </w:rPr>
      </w:pPr>
    </w:p>
    <w:p w14:paraId="180097FF" w14:textId="77777777" w:rsidR="000654FD" w:rsidRPr="00511B5B"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 xml:space="preserve">Munyaradzi </w:t>
      </w:r>
      <w:proofErr w:type="spellStart"/>
      <w:r>
        <w:rPr>
          <w:rFonts w:asciiTheme="minorHAnsi" w:hAnsiTheme="minorHAnsi"/>
          <w:color w:val="000000" w:themeColor="text1"/>
          <w:sz w:val="40"/>
        </w:rPr>
        <w:t>Murira</w:t>
      </w:r>
      <w:proofErr w:type="spellEnd"/>
    </w:p>
    <w:p w14:paraId="69D3DB37" w14:textId="77777777" w:rsidR="000654FD" w:rsidRPr="00511B5B" w:rsidRDefault="000654FD" w:rsidP="000654FD">
      <w:pPr>
        <w:jc w:val="center"/>
        <w:rPr>
          <w:rFonts w:asciiTheme="minorHAnsi" w:hAnsiTheme="minorHAnsi"/>
          <w:color w:val="000000" w:themeColor="text1"/>
          <w:sz w:val="40"/>
        </w:rPr>
      </w:pPr>
    </w:p>
    <w:p w14:paraId="792628FB" w14:textId="4C7F18A3" w:rsidR="000654FD" w:rsidRDefault="000654FD" w:rsidP="000654FD">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47FF144D" w14:textId="77777777" w:rsidR="000654FD" w:rsidRPr="0019360C" w:rsidRDefault="000654FD" w:rsidP="000654FD">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(Cyber Security and Networking)</w:t>
      </w:r>
    </w:p>
    <w:p w14:paraId="1FBAB633" w14:textId="77777777" w:rsidR="000654FD" w:rsidRDefault="000654FD" w:rsidP="000654FD">
      <w:pPr>
        <w:jc w:val="center"/>
        <w:rPr>
          <w:rFonts w:asciiTheme="minorHAnsi" w:hAnsiTheme="minorHAnsi"/>
          <w:color w:val="000000" w:themeColor="text1"/>
          <w:sz w:val="40"/>
        </w:rPr>
      </w:pPr>
    </w:p>
    <w:p w14:paraId="58EC8F67" w14:textId="77777777" w:rsidR="000654FD" w:rsidRPr="00511B5B" w:rsidRDefault="000654FD" w:rsidP="000654FD">
      <w:pPr>
        <w:jc w:val="center"/>
        <w:rPr>
          <w:rFonts w:asciiTheme="minorHAnsi" w:hAnsiTheme="minorHAnsi"/>
          <w:color w:val="000000" w:themeColor="text1"/>
          <w:sz w:val="40"/>
        </w:rPr>
      </w:pPr>
    </w:p>
    <w:p w14:paraId="06464A33" w14:textId="77777777" w:rsidR="000654FD" w:rsidRPr="00511B5B" w:rsidRDefault="000654FD" w:rsidP="000654FD">
      <w:pPr>
        <w:jc w:val="center"/>
        <w:rPr>
          <w:rFonts w:asciiTheme="minorHAnsi" w:hAnsiTheme="minorHAnsi"/>
          <w:color w:val="000000" w:themeColor="text1"/>
          <w:sz w:val="40"/>
        </w:rPr>
      </w:pPr>
      <w:r>
        <w:rPr>
          <w:rFonts w:asciiTheme="minorHAnsi" w:hAnsiTheme="minorHAnsi"/>
          <w:color w:val="000000" w:themeColor="text1"/>
          <w:sz w:val="40"/>
        </w:rPr>
        <w:t>June 2022</w:t>
      </w:r>
    </w:p>
    <w:p w14:paraId="51992998" w14:textId="77777777" w:rsidR="000654FD" w:rsidRDefault="000654FD" w:rsidP="000654FD"/>
    <w:sdt>
      <w:sdtPr>
        <w:id w:val="-1094772436"/>
        <w:docPartObj>
          <w:docPartGallery w:val="Table of Contents"/>
          <w:docPartUnique/>
        </w:docPartObj>
      </w:sdtPr>
      <w:sdtEndPr>
        <w:rPr>
          <w:rFonts w:ascii="Times New Roman" w:eastAsiaTheme="minorHAnsi" w:hAnsi="Times New Roman" w:cstheme="minorBidi"/>
          <w:b/>
          <w:bCs/>
          <w:noProof/>
          <w:color w:val="auto"/>
          <w:sz w:val="22"/>
          <w:szCs w:val="22"/>
          <w:lang w:val="en-GB"/>
        </w:rPr>
      </w:sdtEndPr>
      <w:sdtContent>
        <w:p w14:paraId="20EB35EE" w14:textId="104FC5B4" w:rsidR="0095378A" w:rsidRDefault="0095378A">
          <w:pPr>
            <w:pStyle w:val="TOCHeading"/>
          </w:pPr>
          <w:r>
            <w:t>Contents</w:t>
          </w:r>
        </w:p>
        <w:p w14:paraId="3665E74B" w14:textId="05A55646" w:rsidR="0095378A" w:rsidRDefault="0095378A">
          <w:pPr>
            <w:pStyle w:val="TOC1"/>
            <w:tabs>
              <w:tab w:val="left" w:pos="440"/>
              <w:tab w:val="right" w:leader="dot" w:pos="9016"/>
            </w:tabs>
            <w:rPr>
              <w:noProof/>
            </w:rPr>
          </w:pPr>
          <w:r>
            <w:fldChar w:fldCharType="begin"/>
          </w:r>
          <w:r>
            <w:instrText xml:space="preserve"> TOC \o "1-3" \h \z \u </w:instrText>
          </w:r>
          <w:r>
            <w:fldChar w:fldCharType="separate"/>
          </w:r>
          <w:hyperlink w:anchor="_Toc112760751" w:history="1">
            <w:r w:rsidRPr="00747E6A">
              <w:rPr>
                <w:rStyle w:val="Hyperlink"/>
                <w:noProof/>
              </w:rPr>
              <w:t>1.</w:t>
            </w:r>
            <w:r>
              <w:rPr>
                <w:noProof/>
              </w:rPr>
              <w:tab/>
            </w:r>
            <w:r w:rsidRPr="00747E6A">
              <w:rPr>
                <w:rStyle w:val="Hyperlink"/>
                <w:noProof/>
              </w:rPr>
              <w:t>Introduction</w:t>
            </w:r>
            <w:r>
              <w:rPr>
                <w:noProof/>
                <w:webHidden/>
              </w:rPr>
              <w:tab/>
            </w:r>
            <w:r>
              <w:rPr>
                <w:noProof/>
                <w:webHidden/>
              </w:rPr>
              <w:fldChar w:fldCharType="begin"/>
            </w:r>
            <w:r>
              <w:rPr>
                <w:noProof/>
                <w:webHidden/>
              </w:rPr>
              <w:instrText xml:space="preserve"> PAGEREF _Toc112760751 \h </w:instrText>
            </w:r>
            <w:r>
              <w:rPr>
                <w:noProof/>
                <w:webHidden/>
              </w:rPr>
            </w:r>
            <w:r>
              <w:rPr>
                <w:noProof/>
                <w:webHidden/>
              </w:rPr>
              <w:fldChar w:fldCharType="separate"/>
            </w:r>
            <w:r>
              <w:rPr>
                <w:noProof/>
                <w:webHidden/>
              </w:rPr>
              <w:t>2</w:t>
            </w:r>
            <w:r>
              <w:rPr>
                <w:noProof/>
                <w:webHidden/>
              </w:rPr>
              <w:fldChar w:fldCharType="end"/>
            </w:r>
          </w:hyperlink>
        </w:p>
        <w:p w14:paraId="7E66E708" w14:textId="0DA95205" w:rsidR="0095378A" w:rsidRDefault="0095378A">
          <w:pPr>
            <w:pStyle w:val="TOC1"/>
            <w:tabs>
              <w:tab w:val="left" w:pos="440"/>
              <w:tab w:val="right" w:leader="dot" w:pos="9016"/>
            </w:tabs>
            <w:rPr>
              <w:noProof/>
            </w:rPr>
          </w:pPr>
          <w:hyperlink w:anchor="_Toc112760752" w:history="1">
            <w:r w:rsidRPr="00747E6A">
              <w:rPr>
                <w:rStyle w:val="Hyperlink"/>
                <w:noProof/>
              </w:rPr>
              <w:t>2.</w:t>
            </w:r>
            <w:r>
              <w:rPr>
                <w:noProof/>
              </w:rPr>
              <w:tab/>
            </w:r>
            <w:r w:rsidRPr="00747E6A">
              <w:rPr>
                <w:rStyle w:val="Hyperlink"/>
                <w:noProof/>
              </w:rPr>
              <w:t>Review of Current Literature</w:t>
            </w:r>
            <w:r>
              <w:rPr>
                <w:noProof/>
                <w:webHidden/>
              </w:rPr>
              <w:tab/>
            </w:r>
            <w:r>
              <w:rPr>
                <w:noProof/>
                <w:webHidden/>
              </w:rPr>
              <w:fldChar w:fldCharType="begin"/>
            </w:r>
            <w:r>
              <w:rPr>
                <w:noProof/>
                <w:webHidden/>
              </w:rPr>
              <w:instrText xml:space="preserve"> PAGEREF _Toc112760752 \h </w:instrText>
            </w:r>
            <w:r>
              <w:rPr>
                <w:noProof/>
                <w:webHidden/>
              </w:rPr>
            </w:r>
            <w:r>
              <w:rPr>
                <w:noProof/>
                <w:webHidden/>
              </w:rPr>
              <w:fldChar w:fldCharType="separate"/>
            </w:r>
            <w:r>
              <w:rPr>
                <w:noProof/>
                <w:webHidden/>
              </w:rPr>
              <w:t>5</w:t>
            </w:r>
            <w:r>
              <w:rPr>
                <w:noProof/>
                <w:webHidden/>
              </w:rPr>
              <w:fldChar w:fldCharType="end"/>
            </w:r>
          </w:hyperlink>
        </w:p>
        <w:p w14:paraId="4CBA265A" w14:textId="2463D3B2" w:rsidR="0095378A" w:rsidRDefault="0095378A">
          <w:pPr>
            <w:pStyle w:val="TOC2"/>
            <w:tabs>
              <w:tab w:val="left" w:pos="880"/>
              <w:tab w:val="right" w:leader="dot" w:pos="9016"/>
            </w:tabs>
            <w:rPr>
              <w:noProof/>
            </w:rPr>
          </w:pPr>
          <w:hyperlink w:anchor="_Toc112760753" w:history="1">
            <w:r w:rsidRPr="00747E6A">
              <w:rPr>
                <w:rStyle w:val="Hyperlink"/>
                <w:noProof/>
              </w:rPr>
              <w:t>2.1</w:t>
            </w:r>
            <w:r>
              <w:rPr>
                <w:noProof/>
              </w:rPr>
              <w:tab/>
            </w:r>
            <w:r w:rsidRPr="00747E6A">
              <w:rPr>
                <w:rStyle w:val="Hyperlink"/>
                <w:noProof/>
              </w:rPr>
              <w:t>A brief introduction to Citrix</w:t>
            </w:r>
            <w:r>
              <w:rPr>
                <w:noProof/>
                <w:webHidden/>
              </w:rPr>
              <w:tab/>
            </w:r>
            <w:r>
              <w:rPr>
                <w:noProof/>
                <w:webHidden/>
              </w:rPr>
              <w:fldChar w:fldCharType="begin"/>
            </w:r>
            <w:r>
              <w:rPr>
                <w:noProof/>
                <w:webHidden/>
              </w:rPr>
              <w:instrText xml:space="preserve"> PAGEREF _Toc112760753 \h </w:instrText>
            </w:r>
            <w:r>
              <w:rPr>
                <w:noProof/>
                <w:webHidden/>
              </w:rPr>
            </w:r>
            <w:r>
              <w:rPr>
                <w:noProof/>
                <w:webHidden/>
              </w:rPr>
              <w:fldChar w:fldCharType="separate"/>
            </w:r>
            <w:r>
              <w:rPr>
                <w:noProof/>
                <w:webHidden/>
              </w:rPr>
              <w:t>5</w:t>
            </w:r>
            <w:r>
              <w:rPr>
                <w:noProof/>
                <w:webHidden/>
              </w:rPr>
              <w:fldChar w:fldCharType="end"/>
            </w:r>
          </w:hyperlink>
        </w:p>
        <w:p w14:paraId="1C5E1BB2" w14:textId="0AAD0249" w:rsidR="0095378A" w:rsidRDefault="0095378A">
          <w:pPr>
            <w:pStyle w:val="TOC2"/>
            <w:tabs>
              <w:tab w:val="left" w:pos="880"/>
              <w:tab w:val="right" w:leader="dot" w:pos="9016"/>
            </w:tabs>
            <w:rPr>
              <w:noProof/>
            </w:rPr>
          </w:pPr>
          <w:hyperlink w:anchor="_Toc112760754" w:history="1">
            <w:r w:rsidRPr="00747E6A">
              <w:rPr>
                <w:rStyle w:val="Hyperlink"/>
                <w:noProof/>
              </w:rPr>
              <w:t>2.2</w:t>
            </w:r>
            <w:r>
              <w:rPr>
                <w:noProof/>
              </w:rPr>
              <w:tab/>
            </w:r>
            <w:r w:rsidRPr="00747E6A">
              <w:rPr>
                <w:rStyle w:val="Hyperlink"/>
                <w:noProof/>
              </w:rPr>
              <w:t>Enterprise Innovation</w:t>
            </w:r>
            <w:r>
              <w:rPr>
                <w:noProof/>
                <w:webHidden/>
              </w:rPr>
              <w:tab/>
            </w:r>
            <w:r>
              <w:rPr>
                <w:noProof/>
                <w:webHidden/>
              </w:rPr>
              <w:fldChar w:fldCharType="begin"/>
            </w:r>
            <w:r>
              <w:rPr>
                <w:noProof/>
                <w:webHidden/>
              </w:rPr>
              <w:instrText xml:space="preserve"> PAGEREF _Toc112760754 \h </w:instrText>
            </w:r>
            <w:r>
              <w:rPr>
                <w:noProof/>
                <w:webHidden/>
              </w:rPr>
            </w:r>
            <w:r>
              <w:rPr>
                <w:noProof/>
                <w:webHidden/>
              </w:rPr>
              <w:fldChar w:fldCharType="separate"/>
            </w:r>
            <w:r>
              <w:rPr>
                <w:noProof/>
                <w:webHidden/>
              </w:rPr>
              <w:t>5</w:t>
            </w:r>
            <w:r>
              <w:rPr>
                <w:noProof/>
                <w:webHidden/>
              </w:rPr>
              <w:fldChar w:fldCharType="end"/>
            </w:r>
          </w:hyperlink>
        </w:p>
        <w:p w14:paraId="61593CB3" w14:textId="33F673DB" w:rsidR="0095378A" w:rsidRDefault="0095378A">
          <w:pPr>
            <w:pStyle w:val="TOC2"/>
            <w:tabs>
              <w:tab w:val="left" w:pos="880"/>
              <w:tab w:val="right" w:leader="dot" w:pos="9016"/>
            </w:tabs>
            <w:rPr>
              <w:noProof/>
            </w:rPr>
          </w:pPr>
          <w:hyperlink w:anchor="_Toc112760755" w:history="1">
            <w:r w:rsidRPr="00747E6A">
              <w:rPr>
                <w:rStyle w:val="Hyperlink"/>
                <w:noProof/>
              </w:rPr>
              <w:t>2.3</w:t>
            </w:r>
            <w:r>
              <w:rPr>
                <w:noProof/>
              </w:rPr>
              <w:tab/>
            </w:r>
            <w:r w:rsidRPr="00747E6A">
              <w:rPr>
                <w:rStyle w:val="Hyperlink"/>
                <w:noProof/>
              </w:rPr>
              <w:t>Previous Citrix Upgrades by DHCW</w:t>
            </w:r>
            <w:r>
              <w:rPr>
                <w:noProof/>
                <w:webHidden/>
              </w:rPr>
              <w:tab/>
            </w:r>
            <w:r>
              <w:rPr>
                <w:noProof/>
                <w:webHidden/>
              </w:rPr>
              <w:fldChar w:fldCharType="begin"/>
            </w:r>
            <w:r>
              <w:rPr>
                <w:noProof/>
                <w:webHidden/>
              </w:rPr>
              <w:instrText xml:space="preserve"> PAGEREF _Toc112760755 \h </w:instrText>
            </w:r>
            <w:r>
              <w:rPr>
                <w:noProof/>
                <w:webHidden/>
              </w:rPr>
            </w:r>
            <w:r>
              <w:rPr>
                <w:noProof/>
                <w:webHidden/>
              </w:rPr>
              <w:fldChar w:fldCharType="separate"/>
            </w:r>
            <w:r>
              <w:rPr>
                <w:noProof/>
                <w:webHidden/>
              </w:rPr>
              <w:t>6</w:t>
            </w:r>
            <w:r>
              <w:rPr>
                <w:noProof/>
                <w:webHidden/>
              </w:rPr>
              <w:fldChar w:fldCharType="end"/>
            </w:r>
          </w:hyperlink>
        </w:p>
        <w:p w14:paraId="377A9258" w14:textId="26CD67BC" w:rsidR="0095378A" w:rsidRDefault="0095378A">
          <w:pPr>
            <w:pStyle w:val="TOC2"/>
            <w:tabs>
              <w:tab w:val="left" w:pos="880"/>
              <w:tab w:val="right" w:leader="dot" w:pos="9016"/>
            </w:tabs>
            <w:rPr>
              <w:noProof/>
            </w:rPr>
          </w:pPr>
          <w:hyperlink w:anchor="_Toc112760756" w:history="1">
            <w:r w:rsidRPr="00747E6A">
              <w:rPr>
                <w:rStyle w:val="Hyperlink"/>
                <w:noProof/>
              </w:rPr>
              <w:t>2.4</w:t>
            </w:r>
            <w:r>
              <w:rPr>
                <w:noProof/>
              </w:rPr>
              <w:tab/>
            </w:r>
            <w:r w:rsidRPr="00747E6A">
              <w:rPr>
                <w:rStyle w:val="Hyperlink"/>
                <w:noProof/>
              </w:rPr>
              <w:t>NHS England Digital Upgrade</w:t>
            </w:r>
            <w:r>
              <w:rPr>
                <w:noProof/>
                <w:webHidden/>
              </w:rPr>
              <w:tab/>
            </w:r>
            <w:r>
              <w:rPr>
                <w:noProof/>
                <w:webHidden/>
              </w:rPr>
              <w:fldChar w:fldCharType="begin"/>
            </w:r>
            <w:r>
              <w:rPr>
                <w:noProof/>
                <w:webHidden/>
              </w:rPr>
              <w:instrText xml:space="preserve"> PAGEREF _Toc112760756 \h </w:instrText>
            </w:r>
            <w:r>
              <w:rPr>
                <w:noProof/>
                <w:webHidden/>
              </w:rPr>
            </w:r>
            <w:r>
              <w:rPr>
                <w:noProof/>
                <w:webHidden/>
              </w:rPr>
              <w:fldChar w:fldCharType="separate"/>
            </w:r>
            <w:r>
              <w:rPr>
                <w:noProof/>
                <w:webHidden/>
              </w:rPr>
              <w:t>7</w:t>
            </w:r>
            <w:r>
              <w:rPr>
                <w:noProof/>
                <w:webHidden/>
              </w:rPr>
              <w:fldChar w:fldCharType="end"/>
            </w:r>
          </w:hyperlink>
        </w:p>
        <w:p w14:paraId="744D0259" w14:textId="5CFA3EA9" w:rsidR="0095378A" w:rsidRDefault="0095378A">
          <w:pPr>
            <w:pStyle w:val="TOC1"/>
            <w:tabs>
              <w:tab w:val="left" w:pos="440"/>
              <w:tab w:val="right" w:leader="dot" w:pos="9016"/>
            </w:tabs>
            <w:rPr>
              <w:noProof/>
            </w:rPr>
          </w:pPr>
          <w:hyperlink w:anchor="_Toc112760757" w:history="1">
            <w:r w:rsidRPr="00747E6A">
              <w:rPr>
                <w:rStyle w:val="Hyperlink"/>
                <w:noProof/>
              </w:rPr>
              <w:t>3.</w:t>
            </w:r>
            <w:r>
              <w:rPr>
                <w:noProof/>
              </w:rPr>
              <w:tab/>
            </w:r>
            <w:r w:rsidRPr="00747E6A">
              <w:rPr>
                <w:rStyle w:val="Hyperlink"/>
                <w:noProof/>
              </w:rPr>
              <w:t>Research Methodology</w:t>
            </w:r>
            <w:r>
              <w:rPr>
                <w:noProof/>
                <w:webHidden/>
              </w:rPr>
              <w:tab/>
            </w:r>
            <w:r>
              <w:rPr>
                <w:noProof/>
                <w:webHidden/>
              </w:rPr>
              <w:fldChar w:fldCharType="begin"/>
            </w:r>
            <w:r>
              <w:rPr>
                <w:noProof/>
                <w:webHidden/>
              </w:rPr>
              <w:instrText xml:space="preserve"> PAGEREF _Toc112760757 \h </w:instrText>
            </w:r>
            <w:r>
              <w:rPr>
                <w:noProof/>
                <w:webHidden/>
              </w:rPr>
            </w:r>
            <w:r>
              <w:rPr>
                <w:noProof/>
                <w:webHidden/>
              </w:rPr>
              <w:fldChar w:fldCharType="separate"/>
            </w:r>
            <w:r>
              <w:rPr>
                <w:noProof/>
                <w:webHidden/>
              </w:rPr>
              <w:t>7</w:t>
            </w:r>
            <w:r>
              <w:rPr>
                <w:noProof/>
                <w:webHidden/>
              </w:rPr>
              <w:fldChar w:fldCharType="end"/>
            </w:r>
          </w:hyperlink>
        </w:p>
        <w:p w14:paraId="495FFC01" w14:textId="457E2468" w:rsidR="0095378A" w:rsidRDefault="0095378A">
          <w:pPr>
            <w:pStyle w:val="TOC2"/>
            <w:tabs>
              <w:tab w:val="left" w:pos="880"/>
              <w:tab w:val="right" w:leader="dot" w:pos="9016"/>
            </w:tabs>
            <w:rPr>
              <w:noProof/>
            </w:rPr>
          </w:pPr>
          <w:hyperlink w:anchor="_Toc112760758" w:history="1">
            <w:r w:rsidRPr="00747E6A">
              <w:rPr>
                <w:rStyle w:val="Hyperlink"/>
                <w:noProof/>
              </w:rPr>
              <w:t>3.1</w:t>
            </w:r>
            <w:r>
              <w:rPr>
                <w:noProof/>
              </w:rPr>
              <w:tab/>
            </w:r>
            <w:r w:rsidRPr="00747E6A">
              <w:rPr>
                <w:rStyle w:val="Hyperlink"/>
                <w:noProof/>
              </w:rPr>
              <w:t>Research Philosophy</w:t>
            </w:r>
            <w:r>
              <w:rPr>
                <w:noProof/>
                <w:webHidden/>
              </w:rPr>
              <w:tab/>
            </w:r>
            <w:r>
              <w:rPr>
                <w:noProof/>
                <w:webHidden/>
              </w:rPr>
              <w:fldChar w:fldCharType="begin"/>
            </w:r>
            <w:r>
              <w:rPr>
                <w:noProof/>
                <w:webHidden/>
              </w:rPr>
              <w:instrText xml:space="preserve"> PAGEREF _Toc112760758 \h </w:instrText>
            </w:r>
            <w:r>
              <w:rPr>
                <w:noProof/>
                <w:webHidden/>
              </w:rPr>
            </w:r>
            <w:r>
              <w:rPr>
                <w:noProof/>
                <w:webHidden/>
              </w:rPr>
              <w:fldChar w:fldCharType="separate"/>
            </w:r>
            <w:r>
              <w:rPr>
                <w:noProof/>
                <w:webHidden/>
              </w:rPr>
              <w:t>7</w:t>
            </w:r>
            <w:r>
              <w:rPr>
                <w:noProof/>
                <w:webHidden/>
              </w:rPr>
              <w:fldChar w:fldCharType="end"/>
            </w:r>
          </w:hyperlink>
        </w:p>
        <w:p w14:paraId="02538CF5" w14:textId="4077AB90" w:rsidR="0095378A" w:rsidRDefault="0095378A">
          <w:pPr>
            <w:pStyle w:val="TOC2"/>
            <w:tabs>
              <w:tab w:val="left" w:pos="880"/>
              <w:tab w:val="right" w:leader="dot" w:pos="9016"/>
            </w:tabs>
            <w:rPr>
              <w:noProof/>
            </w:rPr>
          </w:pPr>
          <w:hyperlink w:anchor="_Toc112760759" w:history="1">
            <w:r w:rsidRPr="00747E6A">
              <w:rPr>
                <w:rStyle w:val="Hyperlink"/>
                <w:noProof/>
              </w:rPr>
              <w:t>3.2</w:t>
            </w:r>
            <w:r>
              <w:rPr>
                <w:noProof/>
              </w:rPr>
              <w:tab/>
            </w:r>
            <w:r w:rsidRPr="00747E6A">
              <w:rPr>
                <w:rStyle w:val="Hyperlink"/>
                <w:noProof/>
              </w:rPr>
              <w:t>Research Approach</w:t>
            </w:r>
            <w:r>
              <w:rPr>
                <w:noProof/>
                <w:webHidden/>
              </w:rPr>
              <w:tab/>
            </w:r>
            <w:r>
              <w:rPr>
                <w:noProof/>
                <w:webHidden/>
              </w:rPr>
              <w:fldChar w:fldCharType="begin"/>
            </w:r>
            <w:r>
              <w:rPr>
                <w:noProof/>
                <w:webHidden/>
              </w:rPr>
              <w:instrText xml:space="preserve"> PAGEREF _Toc112760759 \h </w:instrText>
            </w:r>
            <w:r>
              <w:rPr>
                <w:noProof/>
                <w:webHidden/>
              </w:rPr>
            </w:r>
            <w:r>
              <w:rPr>
                <w:noProof/>
                <w:webHidden/>
              </w:rPr>
              <w:fldChar w:fldCharType="separate"/>
            </w:r>
            <w:r>
              <w:rPr>
                <w:noProof/>
                <w:webHidden/>
              </w:rPr>
              <w:t>8</w:t>
            </w:r>
            <w:r>
              <w:rPr>
                <w:noProof/>
                <w:webHidden/>
              </w:rPr>
              <w:fldChar w:fldCharType="end"/>
            </w:r>
          </w:hyperlink>
        </w:p>
        <w:p w14:paraId="5A533745" w14:textId="2D286DA4" w:rsidR="0095378A" w:rsidRDefault="0095378A">
          <w:pPr>
            <w:pStyle w:val="TOC2"/>
            <w:tabs>
              <w:tab w:val="left" w:pos="880"/>
              <w:tab w:val="right" w:leader="dot" w:pos="9016"/>
            </w:tabs>
            <w:rPr>
              <w:noProof/>
            </w:rPr>
          </w:pPr>
          <w:hyperlink w:anchor="_Toc112760760" w:history="1">
            <w:r w:rsidRPr="00747E6A">
              <w:rPr>
                <w:rStyle w:val="Hyperlink"/>
                <w:noProof/>
              </w:rPr>
              <w:t>3.3</w:t>
            </w:r>
            <w:r>
              <w:rPr>
                <w:noProof/>
              </w:rPr>
              <w:tab/>
            </w:r>
            <w:r w:rsidRPr="00747E6A">
              <w:rPr>
                <w:rStyle w:val="Hyperlink"/>
                <w:noProof/>
              </w:rPr>
              <w:t>Research Strategy</w:t>
            </w:r>
            <w:r>
              <w:rPr>
                <w:noProof/>
                <w:webHidden/>
              </w:rPr>
              <w:tab/>
            </w:r>
            <w:r>
              <w:rPr>
                <w:noProof/>
                <w:webHidden/>
              </w:rPr>
              <w:fldChar w:fldCharType="begin"/>
            </w:r>
            <w:r>
              <w:rPr>
                <w:noProof/>
                <w:webHidden/>
              </w:rPr>
              <w:instrText xml:space="preserve"> PAGEREF _Toc112760760 \h </w:instrText>
            </w:r>
            <w:r>
              <w:rPr>
                <w:noProof/>
                <w:webHidden/>
              </w:rPr>
            </w:r>
            <w:r>
              <w:rPr>
                <w:noProof/>
                <w:webHidden/>
              </w:rPr>
              <w:fldChar w:fldCharType="separate"/>
            </w:r>
            <w:r>
              <w:rPr>
                <w:noProof/>
                <w:webHidden/>
              </w:rPr>
              <w:t>8</w:t>
            </w:r>
            <w:r>
              <w:rPr>
                <w:noProof/>
                <w:webHidden/>
              </w:rPr>
              <w:fldChar w:fldCharType="end"/>
            </w:r>
          </w:hyperlink>
        </w:p>
        <w:p w14:paraId="457C289C" w14:textId="2ACD5E74" w:rsidR="0095378A" w:rsidRDefault="0095378A">
          <w:pPr>
            <w:pStyle w:val="TOC2"/>
            <w:tabs>
              <w:tab w:val="left" w:pos="880"/>
              <w:tab w:val="right" w:leader="dot" w:pos="9016"/>
            </w:tabs>
            <w:rPr>
              <w:noProof/>
            </w:rPr>
          </w:pPr>
          <w:hyperlink w:anchor="_Toc112760761" w:history="1">
            <w:r w:rsidRPr="00747E6A">
              <w:rPr>
                <w:rStyle w:val="Hyperlink"/>
                <w:noProof/>
              </w:rPr>
              <w:t>3.4</w:t>
            </w:r>
            <w:r>
              <w:rPr>
                <w:noProof/>
              </w:rPr>
              <w:tab/>
            </w:r>
            <w:r w:rsidRPr="00747E6A">
              <w:rPr>
                <w:rStyle w:val="Hyperlink"/>
                <w:noProof/>
              </w:rPr>
              <w:t>Evaluation Strategy</w:t>
            </w:r>
            <w:r>
              <w:rPr>
                <w:noProof/>
                <w:webHidden/>
              </w:rPr>
              <w:tab/>
            </w:r>
            <w:r>
              <w:rPr>
                <w:noProof/>
                <w:webHidden/>
              </w:rPr>
              <w:fldChar w:fldCharType="begin"/>
            </w:r>
            <w:r>
              <w:rPr>
                <w:noProof/>
                <w:webHidden/>
              </w:rPr>
              <w:instrText xml:space="preserve"> PAGEREF _Toc112760761 \h </w:instrText>
            </w:r>
            <w:r>
              <w:rPr>
                <w:noProof/>
                <w:webHidden/>
              </w:rPr>
            </w:r>
            <w:r>
              <w:rPr>
                <w:noProof/>
                <w:webHidden/>
              </w:rPr>
              <w:fldChar w:fldCharType="separate"/>
            </w:r>
            <w:r>
              <w:rPr>
                <w:noProof/>
                <w:webHidden/>
              </w:rPr>
              <w:t>8</w:t>
            </w:r>
            <w:r>
              <w:rPr>
                <w:noProof/>
                <w:webHidden/>
              </w:rPr>
              <w:fldChar w:fldCharType="end"/>
            </w:r>
          </w:hyperlink>
        </w:p>
        <w:p w14:paraId="472ED1A5" w14:textId="53ABCABF" w:rsidR="0095378A" w:rsidRDefault="0095378A">
          <w:pPr>
            <w:pStyle w:val="TOC1"/>
            <w:tabs>
              <w:tab w:val="left" w:pos="440"/>
              <w:tab w:val="right" w:leader="dot" w:pos="9016"/>
            </w:tabs>
            <w:rPr>
              <w:noProof/>
            </w:rPr>
          </w:pPr>
          <w:hyperlink w:anchor="_Toc112760762" w:history="1">
            <w:r w:rsidRPr="00747E6A">
              <w:rPr>
                <w:rStyle w:val="Hyperlink"/>
                <w:noProof/>
              </w:rPr>
              <w:t>4.</w:t>
            </w:r>
            <w:r>
              <w:rPr>
                <w:noProof/>
              </w:rPr>
              <w:tab/>
            </w:r>
            <w:r w:rsidRPr="00747E6A">
              <w:rPr>
                <w:rStyle w:val="Hyperlink"/>
                <w:noProof/>
              </w:rPr>
              <w:t>Planning &amp; Implementation</w:t>
            </w:r>
            <w:r>
              <w:rPr>
                <w:noProof/>
                <w:webHidden/>
              </w:rPr>
              <w:tab/>
            </w:r>
            <w:r>
              <w:rPr>
                <w:noProof/>
                <w:webHidden/>
              </w:rPr>
              <w:fldChar w:fldCharType="begin"/>
            </w:r>
            <w:r>
              <w:rPr>
                <w:noProof/>
                <w:webHidden/>
              </w:rPr>
              <w:instrText xml:space="preserve"> PAGEREF _Toc112760762 \h </w:instrText>
            </w:r>
            <w:r>
              <w:rPr>
                <w:noProof/>
                <w:webHidden/>
              </w:rPr>
            </w:r>
            <w:r>
              <w:rPr>
                <w:noProof/>
                <w:webHidden/>
              </w:rPr>
              <w:fldChar w:fldCharType="separate"/>
            </w:r>
            <w:r>
              <w:rPr>
                <w:noProof/>
                <w:webHidden/>
              </w:rPr>
              <w:t>11</w:t>
            </w:r>
            <w:r>
              <w:rPr>
                <w:noProof/>
                <w:webHidden/>
              </w:rPr>
              <w:fldChar w:fldCharType="end"/>
            </w:r>
          </w:hyperlink>
        </w:p>
        <w:p w14:paraId="6A2D9323" w14:textId="6B3B4B1A" w:rsidR="0095378A" w:rsidRDefault="0095378A">
          <w:pPr>
            <w:pStyle w:val="TOC2"/>
            <w:tabs>
              <w:tab w:val="left" w:pos="880"/>
              <w:tab w:val="right" w:leader="dot" w:pos="9016"/>
            </w:tabs>
            <w:rPr>
              <w:noProof/>
            </w:rPr>
          </w:pPr>
          <w:hyperlink w:anchor="_Toc112760763" w:history="1">
            <w:r w:rsidRPr="00747E6A">
              <w:rPr>
                <w:rStyle w:val="Hyperlink"/>
                <w:noProof/>
              </w:rPr>
              <w:t>4.1</w:t>
            </w:r>
            <w:r>
              <w:rPr>
                <w:noProof/>
              </w:rPr>
              <w:tab/>
            </w:r>
            <w:r w:rsidRPr="00747E6A">
              <w:rPr>
                <w:rStyle w:val="Hyperlink"/>
                <w:noProof/>
              </w:rPr>
              <w:t>Planning the Upgrade</w:t>
            </w:r>
            <w:r>
              <w:rPr>
                <w:noProof/>
                <w:webHidden/>
              </w:rPr>
              <w:tab/>
            </w:r>
            <w:r>
              <w:rPr>
                <w:noProof/>
                <w:webHidden/>
              </w:rPr>
              <w:fldChar w:fldCharType="begin"/>
            </w:r>
            <w:r>
              <w:rPr>
                <w:noProof/>
                <w:webHidden/>
              </w:rPr>
              <w:instrText xml:space="preserve"> PAGEREF _Toc112760763 \h </w:instrText>
            </w:r>
            <w:r>
              <w:rPr>
                <w:noProof/>
                <w:webHidden/>
              </w:rPr>
            </w:r>
            <w:r>
              <w:rPr>
                <w:noProof/>
                <w:webHidden/>
              </w:rPr>
              <w:fldChar w:fldCharType="separate"/>
            </w:r>
            <w:r>
              <w:rPr>
                <w:noProof/>
                <w:webHidden/>
              </w:rPr>
              <w:t>11</w:t>
            </w:r>
            <w:r>
              <w:rPr>
                <w:noProof/>
                <w:webHidden/>
              </w:rPr>
              <w:fldChar w:fldCharType="end"/>
            </w:r>
          </w:hyperlink>
        </w:p>
        <w:p w14:paraId="71728AA4" w14:textId="755BBDF0" w:rsidR="0095378A" w:rsidRDefault="0095378A">
          <w:pPr>
            <w:pStyle w:val="TOC2"/>
            <w:tabs>
              <w:tab w:val="left" w:pos="880"/>
              <w:tab w:val="right" w:leader="dot" w:pos="9016"/>
            </w:tabs>
            <w:rPr>
              <w:noProof/>
            </w:rPr>
          </w:pPr>
          <w:hyperlink w:anchor="_Toc112760764" w:history="1">
            <w:r w:rsidRPr="00747E6A">
              <w:rPr>
                <w:rStyle w:val="Hyperlink"/>
                <w:noProof/>
              </w:rPr>
              <w:t>4.2</w:t>
            </w:r>
            <w:r>
              <w:rPr>
                <w:noProof/>
              </w:rPr>
              <w:tab/>
            </w:r>
            <w:r w:rsidRPr="00747E6A">
              <w:rPr>
                <w:rStyle w:val="Hyperlink"/>
                <w:noProof/>
              </w:rPr>
              <w:t>Implementing the Upgrade</w:t>
            </w:r>
            <w:r>
              <w:rPr>
                <w:noProof/>
                <w:webHidden/>
              </w:rPr>
              <w:tab/>
            </w:r>
            <w:r>
              <w:rPr>
                <w:noProof/>
                <w:webHidden/>
              </w:rPr>
              <w:fldChar w:fldCharType="begin"/>
            </w:r>
            <w:r>
              <w:rPr>
                <w:noProof/>
                <w:webHidden/>
              </w:rPr>
              <w:instrText xml:space="preserve"> PAGEREF _Toc112760764 \h </w:instrText>
            </w:r>
            <w:r>
              <w:rPr>
                <w:noProof/>
                <w:webHidden/>
              </w:rPr>
            </w:r>
            <w:r>
              <w:rPr>
                <w:noProof/>
                <w:webHidden/>
              </w:rPr>
              <w:fldChar w:fldCharType="separate"/>
            </w:r>
            <w:r>
              <w:rPr>
                <w:noProof/>
                <w:webHidden/>
              </w:rPr>
              <w:t>14</w:t>
            </w:r>
            <w:r>
              <w:rPr>
                <w:noProof/>
                <w:webHidden/>
              </w:rPr>
              <w:fldChar w:fldCharType="end"/>
            </w:r>
          </w:hyperlink>
        </w:p>
        <w:p w14:paraId="523DA91E" w14:textId="4C93E3FB" w:rsidR="0095378A" w:rsidRDefault="0095378A">
          <w:pPr>
            <w:pStyle w:val="TOC2"/>
            <w:tabs>
              <w:tab w:val="left" w:pos="880"/>
              <w:tab w:val="right" w:leader="dot" w:pos="9016"/>
            </w:tabs>
            <w:rPr>
              <w:noProof/>
            </w:rPr>
          </w:pPr>
          <w:hyperlink w:anchor="_Toc112760765" w:history="1">
            <w:r w:rsidRPr="00747E6A">
              <w:rPr>
                <w:rStyle w:val="Hyperlink"/>
                <w:noProof/>
              </w:rPr>
              <w:t>4.3</w:t>
            </w:r>
            <w:r>
              <w:rPr>
                <w:noProof/>
              </w:rPr>
              <w:tab/>
            </w:r>
            <w:r w:rsidRPr="00747E6A">
              <w:rPr>
                <w:rStyle w:val="Hyperlink"/>
                <w:noProof/>
              </w:rPr>
              <w:t>Issues Encountered During the Upgrade</w:t>
            </w:r>
            <w:r>
              <w:rPr>
                <w:noProof/>
                <w:webHidden/>
              </w:rPr>
              <w:tab/>
            </w:r>
            <w:r>
              <w:rPr>
                <w:noProof/>
                <w:webHidden/>
              </w:rPr>
              <w:fldChar w:fldCharType="begin"/>
            </w:r>
            <w:r>
              <w:rPr>
                <w:noProof/>
                <w:webHidden/>
              </w:rPr>
              <w:instrText xml:space="preserve"> PAGEREF _Toc112760765 \h </w:instrText>
            </w:r>
            <w:r>
              <w:rPr>
                <w:noProof/>
                <w:webHidden/>
              </w:rPr>
            </w:r>
            <w:r>
              <w:rPr>
                <w:noProof/>
                <w:webHidden/>
              </w:rPr>
              <w:fldChar w:fldCharType="separate"/>
            </w:r>
            <w:r>
              <w:rPr>
                <w:noProof/>
                <w:webHidden/>
              </w:rPr>
              <w:t>18</w:t>
            </w:r>
            <w:r>
              <w:rPr>
                <w:noProof/>
                <w:webHidden/>
              </w:rPr>
              <w:fldChar w:fldCharType="end"/>
            </w:r>
          </w:hyperlink>
        </w:p>
        <w:p w14:paraId="228DC156" w14:textId="618B3934" w:rsidR="0095378A" w:rsidRDefault="0095378A">
          <w:pPr>
            <w:pStyle w:val="TOC1"/>
            <w:tabs>
              <w:tab w:val="left" w:pos="440"/>
              <w:tab w:val="right" w:leader="dot" w:pos="9016"/>
            </w:tabs>
            <w:rPr>
              <w:noProof/>
            </w:rPr>
          </w:pPr>
          <w:hyperlink w:anchor="_Toc112760766" w:history="1">
            <w:r w:rsidRPr="00747E6A">
              <w:rPr>
                <w:rStyle w:val="Hyperlink"/>
                <w:noProof/>
              </w:rPr>
              <w:t>5.</w:t>
            </w:r>
            <w:r>
              <w:rPr>
                <w:noProof/>
              </w:rPr>
              <w:tab/>
            </w:r>
            <w:r w:rsidRPr="00747E6A">
              <w:rPr>
                <w:rStyle w:val="Hyperlink"/>
                <w:noProof/>
              </w:rPr>
              <w:t>Results &amp; Analysis</w:t>
            </w:r>
            <w:r>
              <w:rPr>
                <w:noProof/>
                <w:webHidden/>
              </w:rPr>
              <w:tab/>
            </w:r>
            <w:r>
              <w:rPr>
                <w:noProof/>
                <w:webHidden/>
              </w:rPr>
              <w:fldChar w:fldCharType="begin"/>
            </w:r>
            <w:r>
              <w:rPr>
                <w:noProof/>
                <w:webHidden/>
              </w:rPr>
              <w:instrText xml:space="preserve"> PAGEREF _Toc112760766 \h </w:instrText>
            </w:r>
            <w:r>
              <w:rPr>
                <w:noProof/>
                <w:webHidden/>
              </w:rPr>
            </w:r>
            <w:r>
              <w:rPr>
                <w:noProof/>
                <w:webHidden/>
              </w:rPr>
              <w:fldChar w:fldCharType="separate"/>
            </w:r>
            <w:r>
              <w:rPr>
                <w:noProof/>
                <w:webHidden/>
              </w:rPr>
              <w:t>19</w:t>
            </w:r>
            <w:r>
              <w:rPr>
                <w:noProof/>
                <w:webHidden/>
              </w:rPr>
              <w:fldChar w:fldCharType="end"/>
            </w:r>
          </w:hyperlink>
        </w:p>
        <w:p w14:paraId="333EC720" w14:textId="34826BE7" w:rsidR="0095378A" w:rsidRDefault="0095378A">
          <w:pPr>
            <w:pStyle w:val="TOC2"/>
            <w:tabs>
              <w:tab w:val="left" w:pos="880"/>
              <w:tab w:val="right" w:leader="dot" w:pos="9016"/>
            </w:tabs>
            <w:rPr>
              <w:noProof/>
            </w:rPr>
          </w:pPr>
          <w:hyperlink w:anchor="_Toc112760767" w:history="1">
            <w:r w:rsidRPr="00747E6A">
              <w:rPr>
                <w:rStyle w:val="Hyperlink"/>
                <w:noProof/>
              </w:rPr>
              <w:t>5.1</w:t>
            </w:r>
            <w:r>
              <w:rPr>
                <w:noProof/>
              </w:rPr>
              <w:tab/>
            </w:r>
            <w:r w:rsidRPr="00747E6A">
              <w:rPr>
                <w:rStyle w:val="Hyperlink"/>
                <w:noProof/>
              </w:rPr>
              <w:t>Number of Unregistered Machines</w:t>
            </w:r>
            <w:r>
              <w:rPr>
                <w:noProof/>
                <w:webHidden/>
              </w:rPr>
              <w:tab/>
            </w:r>
            <w:r>
              <w:rPr>
                <w:noProof/>
                <w:webHidden/>
              </w:rPr>
              <w:fldChar w:fldCharType="begin"/>
            </w:r>
            <w:r>
              <w:rPr>
                <w:noProof/>
                <w:webHidden/>
              </w:rPr>
              <w:instrText xml:space="preserve"> PAGEREF _Toc112760767 \h </w:instrText>
            </w:r>
            <w:r>
              <w:rPr>
                <w:noProof/>
                <w:webHidden/>
              </w:rPr>
            </w:r>
            <w:r>
              <w:rPr>
                <w:noProof/>
                <w:webHidden/>
              </w:rPr>
              <w:fldChar w:fldCharType="separate"/>
            </w:r>
            <w:r>
              <w:rPr>
                <w:noProof/>
                <w:webHidden/>
              </w:rPr>
              <w:t>20</w:t>
            </w:r>
            <w:r>
              <w:rPr>
                <w:noProof/>
                <w:webHidden/>
              </w:rPr>
              <w:fldChar w:fldCharType="end"/>
            </w:r>
          </w:hyperlink>
        </w:p>
        <w:p w14:paraId="0A69EA06" w14:textId="56FA6ADC" w:rsidR="0095378A" w:rsidRDefault="0095378A">
          <w:pPr>
            <w:pStyle w:val="TOC2"/>
            <w:tabs>
              <w:tab w:val="left" w:pos="880"/>
              <w:tab w:val="right" w:leader="dot" w:pos="9016"/>
            </w:tabs>
            <w:rPr>
              <w:noProof/>
            </w:rPr>
          </w:pPr>
          <w:hyperlink w:anchor="_Toc112760768" w:history="1">
            <w:r w:rsidRPr="00747E6A">
              <w:rPr>
                <w:rStyle w:val="Hyperlink"/>
                <w:noProof/>
              </w:rPr>
              <w:t>5.2</w:t>
            </w:r>
            <w:r>
              <w:rPr>
                <w:noProof/>
              </w:rPr>
              <w:tab/>
            </w:r>
            <w:r w:rsidRPr="00747E6A">
              <w:rPr>
                <w:rStyle w:val="Hyperlink"/>
                <w:noProof/>
              </w:rPr>
              <w:t>Load Index</w:t>
            </w:r>
            <w:r>
              <w:rPr>
                <w:noProof/>
                <w:webHidden/>
              </w:rPr>
              <w:tab/>
            </w:r>
            <w:r>
              <w:rPr>
                <w:noProof/>
                <w:webHidden/>
              </w:rPr>
              <w:fldChar w:fldCharType="begin"/>
            </w:r>
            <w:r>
              <w:rPr>
                <w:noProof/>
                <w:webHidden/>
              </w:rPr>
              <w:instrText xml:space="preserve"> PAGEREF _Toc112760768 \h </w:instrText>
            </w:r>
            <w:r>
              <w:rPr>
                <w:noProof/>
                <w:webHidden/>
              </w:rPr>
            </w:r>
            <w:r>
              <w:rPr>
                <w:noProof/>
                <w:webHidden/>
              </w:rPr>
              <w:fldChar w:fldCharType="separate"/>
            </w:r>
            <w:r>
              <w:rPr>
                <w:noProof/>
                <w:webHidden/>
              </w:rPr>
              <w:t>21</w:t>
            </w:r>
            <w:r>
              <w:rPr>
                <w:noProof/>
                <w:webHidden/>
              </w:rPr>
              <w:fldChar w:fldCharType="end"/>
            </w:r>
          </w:hyperlink>
        </w:p>
        <w:p w14:paraId="1C43A207" w14:textId="73F91DAB" w:rsidR="0095378A" w:rsidRDefault="0095378A">
          <w:pPr>
            <w:pStyle w:val="TOC2"/>
            <w:tabs>
              <w:tab w:val="left" w:pos="880"/>
              <w:tab w:val="right" w:leader="dot" w:pos="9016"/>
            </w:tabs>
            <w:rPr>
              <w:noProof/>
            </w:rPr>
          </w:pPr>
          <w:hyperlink w:anchor="_Toc112760769" w:history="1">
            <w:r w:rsidRPr="00747E6A">
              <w:rPr>
                <w:rStyle w:val="Hyperlink"/>
                <w:noProof/>
              </w:rPr>
              <w:t>5.3</w:t>
            </w:r>
            <w:r>
              <w:rPr>
                <w:noProof/>
              </w:rPr>
              <w:tab/>
            </w:r>
            <w:r w:rsidRPr="00747E6A">
              <w:rPr>
                <w:rStyle w:val="Hyperlink"/>
                <w:noProof/>
              </w:rPr>
              <w:t>User Satisfaction</w:t>
            </w:r>
            <w:r>
              <w:rPr>
                <w:noProof/>
                <w:webHidden/>
              </w:rPr>
              <w:tab/>
            </w:r>
            <w:r>
              <w:rPr>
                <w:noProof/>
                <w:webHidden/>
              </w:rPr>
              <w:fldChar w:fldCharType="begin"/>
            </w:r>
            <w:r>
              <w:rPr>
                <w:noProof/>
                <w:webHidden/>
              </w:rPr>
              <w:instrText xml:space="preserve"> PAGEREF _Toc112760769 \h </w:instrText>
            </w:r>
            <w:r>
              <w:rPr>
                <w:noProof/>
                <w:webHidden/>
              </w:rPr>
            </w:r>
            <w:r>
              <w:rPr>
                <w:noProof/>
                <w:webHidden/>
              </w:rPr>
              <w:fldChar w:fldCharType="separate"/>
            </w:r>
            <w:r>
              <w:rPr>
                <w:noProof/>
                <w:webHidden/>
              </w:rPr>
              <w:t>22</w:t>
            </w:r>
            <w:r>
              <w:rPr>
                <w:noProof/>
                <w:webHidden/>
              </w:rPr>
              <w:fldChar w:fldCharType="end"/>
            </w:r>
          </w:hyperlink>
        </w:p>
        <w:p w14:paraId="69ABA2B5" w14:textId="3AD35B35" w:rsidR="0095378A" w:rsidRDefault="0095378A">
          <w:pPr>
            <w:pStyle w:val="TOC2"/>
            <w:tabs>
              <w:tab w:val="right" w:leader="dot" w:pos="9016"/>
            </w:tabs>
            <w:rPr>
              <w:noProof/>
            </w:rPr>
          </w:pPr>
          <w:hyperlink w:anchor="_Toc112760770" w:history="1">
            <w:r w:rsidRPr="00747E6A">
              <w:rPr>
                <w:rStyle w:val="Hyperlink"/>
                <w:noProof/>
              </w:rPr>
              <w:t>5.4 Testing Known Errors</w:t>
            </w:r>
            <w:r>
              <w:rPr>
                <w:noProof/>
                <w:webHidden/>
              </w:rPr>
              <w:tab/>
            </w:r>
            <w:r>
              <w:rPr>
                <w:noProof/>
                <w:webHidden/>
              </w:rPr>
              <w:fldChar w:fldCharType="begin"/>
            </w:r>
            <w:r>
              <w:rPr>
                <w:noProof/>
                <w:webHidden/>
              </w:rPr>
              <w:instrText xml:space="preserve"> PAGEREF _Toc112760770 \h </w:instrText>
            </w:r>
            <w:r>
              <w:rPr>
                <w:noProof/>
                <w:webHidden/>
              </w:rPr>
            </w:r>
            <w:r>
              <w:rPr>
                <w:noProof/>
                <w:webHidden/>
              </w:rPr>
              <w:fldChar w:fldCharType="separate"/>
            </w:r>
            <w:r>
              <w:rPr>
                <w:noProof/>
                <w:webHidden/>
              </w:rPr>
              <w:t>23</w:t>
            </w:r>
            <w:r>
              <w:rPr>
                <w:noProof/>
                <w:webHidden/>
              </w:rPr>
              <w:fldChar w:fldCharType="end"/>
            </w:r>
          </w:hyperlink>
        </w:p>
        <w:p w14:paraId="788DF47C" w14:textId="248086E8" w:rsidR="0095378A" w:rsidRDefault="0095378A">
          <w:pPr>
            <w:pStyle w:val="TOC2"/>
            <w:tabs>
              <w:tab w:val="right" w:leader="dot" w:pos="9016"/>
            </w:tabs>
            <w:rPr>
              <w:noProof/>
            </w:rPr>
          </w:pPr>
          <w:hyperlink w:anchor="_Toc112760771" w:history="1">
            <w:r w:rsidRPr="00747E6A">
              <w:rPr>
                <w:rStyle w:val="Hyperlink"/>
                <w:noProof/>
              </w:rPr>
              <w:t>5.5 Reviewing the Results</w:t>
            </w:r>
            <w:r>
              <w:rPr>
                <w:noProof/>
                <w:webHidden/>
              </w:rPr>
              <w:tab/>
            </w:r>
            <w:r>
              <w:rPr>
                <w:noProof/>
                <w:webHidden/>
              </w:rPr>
              <w:fldChar w:fldCharType="begin"/>
            </w:r>
            <w:r>
              <w:rPr>
                <w:noProof/>
                <w:webHidden/>
              </w:rPr>
              <w:instrText xml:space="preserve"> PAGEREF _Toc112760771 \h </w:instrText>
            </w:r>
            <w:r>
              <w:rPr>
                <w:noProof/>
                <w:webHidden/>
              </w:rPr>
            </w:r>
            <w:r>
              <w:rPr>
                <w:noProof/>
                <w:webHidden/>
              </w:rPr>
              <w:fldChar w:fldCharType="separate"/>
            </w:r>
            <w:r>
              <w:rPr>
                <w:noProof/>
                <w:webHidden/>
              </w:rPr>
              <w:t>23</w:t>
            </w:r>
            <w:r>
              <w:rPr>
                <w:noProof/>
                <w:webHidden/>
              </w:rPr>
              <w:fldChar w:fldCharType="end"/>
            </w:r>
          </w:hyperlink>
        </w:p>
        <w:p w14:paraId="78E9271D" w14:textId="0A34F3E9" w:rsidR="0095378A" w:rsidRDefault="0095378A">
          <w:pPr>
            <w:pStyle w:val="TOC1"/>
            <w:tabs>
              <w:tab w:val="left" w:pos="440"/>
              <w:tab w:val="right" w:leader="dot" w:pos="9016"/>
            </w:tabs>
            <w:rPr>
              <w:noProof/>
            </w:rPr>
          </w:pPr>
          <w:hyperlink w:anchor="_Toc112760772" w:history="1">
            <w:r w:rsidRPr="00747E6A">
              <w:rPr>
                <w:rStyle w:val="Hyperlink"/>
                <w:noProof/>
              </w:rPr>
              <w:t>6.</w:t>
            </w:r>
            <w:r>
              <w:rPr>
                <w:noProof/>
              </w:rPr>
              <w:tab/>
            </w:r>
            <w:r w:rsidRPr="00747E6A">
              <w:rPr>
                <w:rStyle w:val="Hyperlink"/>
                <w:noProof/>
              </w:rPr>
              <w:t>Conclusion and Recommendations</w:t>
            </w:r>
            <w:r>
              <w:rPr>
                <w:noProof/>
                <w:webHidden/>
              </w:rPr>
              <w:tab/>
            </w:r>
            <w:r>
              <w:rPr>
                <w:noProof/>
                <w:webHidden/>
              </w:rPr>
              <w:fldChar w:fldCharType="begin"/>
            </w:r>
            <w:r>
              <w:rPr>
                <w:noProof/>
                <w:webHidden/>
              </w:rPr>
              <w:instrText xml:space="preserve"> PAGEREF _Toc112760772 \h </w:instrText>
            </w:r>
            <w:r>
              <w:rPr>
                <w:noProof/>
                <w:webHidden/>
              </w:rPr>
            </w:r>
            <w:r>
              <w:rPr>
                <w:noProof/>
                <w:webHidden/>
              </w:rPr>
              <w:fldChar w:fldCharType="separate"/>
            </w:r>
            <w:r>
              <w:rPr>
                <w:noProof/>
                <w:webHidden/>
              </w:rPr>
              <w:t>23</w:t>
            </w:r>
            <w:r>
              <w:rPr>
                <w:noProof/>
                <w:webHidden/>
              </w:rPr>
              <w:fldChar w:fldCharType="end"/>
            </w:r>
          </w:hyperlink>
        </w:p>
        <w:p w14:paraId="238E7D4C" w14:textId="1629B9B2" w:rsidR="0095378A" w:rsidRDefault="0095378A">
          <w:pPr>
            <w:pStyle w:val="TOC1"/>
            <w:tabs>
              <w:tab w:val="left" w:pos="440"/>
              <w:tab w:val="right" w:leader="dot" w:pos="9016"/>
            </w:tabs>
            <w:rPr>
              <w:noProof/>
            </w:rPr>
          </w:pPr>
          <w:hyperlink w:anchor="_Toc112760773" w:history="1">
            <w:r w:rsidRPr="00747E6A">
              <w:rPr>
                <w:rStyle w:val="Hyperlink"/>
                <w:noProof/>
              </w:rPr>
              <w:t>7.</w:t>
            </w:r>
            <w:r>
              <w:rPr>
                <w:noProof/>
              </w:rPr>
              <w:tab/>
            </w:r>
            <w:r w:rsidRPr="00747E6A">
              <w:rPr>
                <w:rStyle w:val="Hyperlink"/>
                <w:noProof/>
              </w:rPr>
              <w:t>Reflection</w:t>
            </w:r>
            <w:r>
              <w:rPr>
                <w:noProof/>
                <w:webHidden/>
              </w:rPr>
              <w:tab/>
            </w:r>
            <w:r>
              <w:rPr>
                <w:noProof/>
                <w:webHidden/>
              </w:rPr>
              <w:fldChar w:fldCharType="begin"/>
            </w:r>
            <w:r>
              <w:rPr>
                <w:noProof/>
                <w:webHidden/>
              </w:rPr>
              <w:instrText xml:space="preserve"> PAGEREF _Toc112760773 \h </w:instrText>
            </w:r>
            <w:r>
              <w:rPr>
                <w:noProof/>
                <w:webHidden/>
              </w:rPr>
            </w:r>
            <w:r>
              <w:rPr>
                <w:noProof/>
                <w:webHidden/>
              </w:rPr>
              <w:fldChar w:fldCharType="separate"/>
            </w:r>
            <w:r>
              <w:rPr>
                <w:noProof/>
                <w:webHidden/>
              </w:rPr>
              <w:t>25</w:t>
            </w:r>
            <w:r>
              <w:rPr>
                <w:noProof/>
                <w:webHidden/>
              </w:rPr>
              <w:fldChar w:fldCharType="end"/>
            </w:r>
          </w:hyperlink>
        </w:p>
        <w:p w14:paraId="7A80B4D0" w14:textId="59C5B223" w:rsidR="0095378A" w:rsidRDefault="0095378A">
          <w:r>
            <w:rPr>
              <w:b/>
              <w:bCs/>
              <w:noProof/>
            </w:rPr>
            <w:fldChar w:fldCharType="end"/>
          </w:r>
        </w:p>
      </w:sdtContent>
    </w:sdt>
    <w:p w14:paraId="1AE838DC" w14:textId="35CEA790" w:rsidR="0095378A" w:rsidRDefault="0095378A" w:rsidP="0095378A">
      <w:pPr>
        <w:ind w:left="720" w:hanging="360"/>
      </w:pPr>
    </w:p>
    <w:p w14:paraId="1A86F26F" w14:textId="0E9A7BFE" w:rsidR="00C009A3" w:rsidRDefault="00C009A3" w:rsidP="00C009A3">
      <w:pPr>
        <w:pStyle w:val="Heading1"/>
        <w:numPr>
          <w:ilvl w:val="0"/>
          <w:numId w:val="1"/>
        </w:numPr>
      </w:pPr>
      <w:bookmarkStart w:id="0" w:name="_Toc112760751"/>
      <w:r>
        <w:t>Introduction</w:t>
      </w:r>
      <w:bookmarkEnd w:id="0"/>
    </w:p>
    <w:p w14:paraId="403A02E9" w14:textId="77777777" w:rsidR="000654FD" w:rsidRDefault="000654FD" w:rsidP="00C009A3"/>
    <w:p w14:paraId="3FB8B268" w14:textId="734E2C63" w:rsidR="00C009A3" w:rsidRDefault="001E7B77" w:rsidP="00C009A3">
      <w:r>
        <w:t>Digital Health and Care Wales (DHCW)</w:t>
      </w:r>
      <w:r w:rsidR="008A3BF1">
        <w:t xml:space="preserve"> uses a platform called Citrix Virtual Apps and Desktops (CVAD) to</w:t>
      </w:r>
      <w:r w:rsidR="00E663AB">
        <w:t xml:space="preserve"> assist in delivering some of its essential services to healthcare settings across NHS Wales. Several of these services that run on Citrix are running on an </w:t>
      </w:r>
      <w:r w:rsidR="007C613D">
        <w:t>out-of-date</w:t>
      </w:r>
      <w:r w:rsidR="00E663AB">
        <w:t xml:space="preserve"> version, causing performance </w:t>
      </w:r>
      <w:r w:rsidR="00071143">
        <w:t>issues,</w:t>
      </w:r>
      <w:r w:rsidR="00E663AB">
        <w:t xml:space="preserve"> and ultimately </w:t>
      </w:r>
      <w:r w:rsidR="00B04AA5">
        <w:t>influencing</w:t>
      </w:r>
      <w:r w:rsidR="007C613D">
        <w:t xml:space="preserve"> the patient experience.</w:t>
      </w:r>
      <w:r w:rsidR="00996FE2">
        <w:t xml:space="preserve"> DHCW</w:t>
      </w:r>
      <w:r w:rsidR="00EB0056">
        <w:t xml:space="preserve">’s priority is to ensure the patient and staff experience is a positive one, therefore </w:t>
      </w:r>
      <w:r w:rsidR="009B2C3D">
        <w:t>this problem must be addressed.</w:t>
      </w:r>
      <w:r w:rsidR="00C7323C">
        <w:t xml:space="preserve"> </w:t>
      </w:r>
      <w:r w:rsidR="007C613D">
        <w:t xml:space="preserve"> The Citrix team within DHCW</w:t>
      </w:r>
      <w:r w:rsidR="00162D1D">
        <w:t xml:space="preserve"> must de</w:t>
      </w:r>
      <w:r w:rsidR="00D976CD">
        <w:t xml:space="preserve">cide if the services are stable enough to be upgraded, and if they are, </w:t>
      </w:r>
      <w:r w:rsidR="00B04AA5">
        <w:t>form a plan to upgrade the service whilst having minimal impact on the patient experience.</w:t>
      </w:r>
    </w:p>
    <w:p w14:paraId="1352C1B9" w14:textId="5269CA0E" w:rsidR="00B66F5B" w:rsidRDefault="00D91401" w:rsidP="00C009A3">
      <w:r>
        <w:t>DHCW provides digital</w:t>
      </w:r>
      <w:r w:rsidR="00C6182E">
        <w:t xml:space="preserve"> healthcare</w:t>
      </w:r>
      <w:r>
        <w:t xml:space="preserve"> solution</w:t>
      </w:r>
      <w:r w:rsidR="00C6182E">
        <w:t>s</w:t>
      </w:r>
      <w:r>
        <w:t xml:space="preserve"> </w:t>
      </w:r>
      <w:r w:rsidR="00C6182E">
        <w:t xml:space="preserve">for NHS Wales with the aim of improving </w:t>
      </w:r>
      <w:r w:rsidR="00AE4BA1">
        <w:t xml:space="preserve">the patient and staff experience. </w:t>
      </w:r>
      <w:r w:rsidR="009B5183">
        <w:t>NHS Wales is divided up into seven health</w:t>
      </w:r>
      <w:r w:rsidR="006A194C">
        <w:t xml:space="preserve"> </w:t>
      </w:r>
      <w:r w:rsidR="009B5183">
        <w:t>boards</w:t>
      </w:r>
      <w:r w:rsidR="006A194C">
        <w:t xml:space="preserve">, each independent of each other and therefore having different IT requirements. This makes delivering essential services to end </w:t>
      </w:r>
      <w:r w:rsidR="006A194C">
        <w:lastRenderedPageBreak/>
        <w:t>devices across the health boards complicated</w:t>
      </w:r>
      <w:r w:rsidR="00503068">
        <w:t>, as devices are configured</w:t>
      </w:r>
      <w:r w:rsidR="00FE55EC">
        <w:t xml:space="preserve"> differently within each health board.</w:t>
      </w:r>
      <w:r w:rsidR="00CD31B3">
        <w:t xml:space="preserve"> Some of t</w:t>
      </w:r>
      <w:r w:rsidR="009F3BE0">
        <w:t xml:space="preserve">he services </w:t>
      </w:r>
      <w:r w:rsidR="006E1DA5">
        <w:t>DHCW deliver using Citrix are:</w:t>
      </w:r>
    </w:p>
    <w:p w14:paraId="44F98EB2" w14:textId="6EB52FEC" w:rsidR="009F3BE0" w:rsidRDefault="009F3BE0" w:rsidP="009F3BE0">
      <w:pPr>
        <w:pStyle w:val="ListParagraph"/>
        <w:numPr>
          <w:ilvl w:val="0"/>
          <w:numId w:val="2"/>
        </w:numPr>
      </w:pPr>
      <w:r>
        <w:t>Welsh Patient Administration System (WPAS)</w:t>
      </w:r>
    </w:p>
    <w:p w14:paraId="37FC61E0" w14:textId="475A3C02" w:rsidR="009F3BE0" w:rsidRDefault="009F3BE0" w:rsidP="009F3BE0">
      <w:pPr>
        <w:pStyle w:val="ListParagraph"/>
        <w:numPr>
          <w:ilvl w:val="0"/>
          <w:numId w:val="2"/>
        </w:numPr>
      </w:pPr>
      <w:proofErr w:type="spellStart"/>
      <w:r>
        <w:t>Canisc</w:t>
      </w:r>
      <w:proofErr w:type="spellEnd"/>
    </w:p>
    <w:p w14:paraId="6BBCF795" w14:textId="34E3E8A7" w:rsidR="009F3BE0" w:rsidRDefault="009F3BE0" w:rsidP="009F3BE0">
      <w:pPr>
        <w:pStyle w:val="ListParagraph"/>
        <w:numPr>
          <w:ilvl w:val="0"/>
          <w:numId w:val="2"/>
        </w:numPr>
      </w:pPr>
      <w:r>
        <w:t>Welsh Laboratory Information Management System (WLIMS)</w:t>
      </w:r>
    </w:p>
    <w:p w14:paraId="2661201E" w14:textId="3F795E4B" w:rsidR="009F3BE0" w:rsidRDefault="00F53A69" w:rsidP="009F3BE0">
      <w:pPr>
        <w:pStyle w:val="ListParagraph"/>
        <w:numPr>
          <w:ilvl w:val="0"/>
          <w:numId w:val="2"/>
        </w:numPr>
      </w:pPr>
      <w:r>
        <w:t>Hospital Pharmacy</w:t>
      </w:r>
    </w:p>
    <w:p w14:paraId="2E23299B" w14:textId="2526E519" w:rsidR="006E1DA5" w:rsidRDefault="006E1DA5" w:rsidP="006E1DA5">
      <w:proofErr w:type="gramStart"/>
      <w:r>
        <w:t>For the purpose of</w:t>
      </w:r>
      <w:proofErr w:type="gramEnd"/>
      <w:r>
        <w:t xml:space="preserve"> this report, the service that will be focused on is </w:t>
      </w:r>
      <w:proofErr w:type="spellStart"/>
      <w:r>
        <w:t>Canisc</w:t>
      </w:r>
      <w:proofErr w:type="spellEnd"/>
      <w:r>
        <w:t>.</w:t>
      </w:r>
      <w:r w:rsidR="003473A6">
        <w:t xml:space="preserve"> </w:t>
      </w:r>
      <w:proofErr w:type="spellStart"/>
      <w:r w:rsidR="003473A6">
        <w:t>Canisc</w:t>
      </w:r>
      <w:proofErr w:type="spellEnd"/>
      <w:r w:rsidR="00806881">
        <w:t xml:space="preserve"> is</w:t>
      </w:r>
      <w:r w:rsidR="00742FE9">
        <w:t xml:space="preserve"> an application</w:t>
      </w:r>
      <w:r w:rsidR="00806881">
        <w:t xml:space="preserve"> used by health care professionals across NHS Wales to access cancer patient information</w:t>
      </w:r>
      <w:r w:rsidR="00742FE9">
        <w:t xml:space="preserve">, however </w:t>
      </w:r>
      <w:proofErr w:type="spellStart"/>
      <w:r w:rsidR="00742FE9">
        <w:t>Canisc</w:t>
      </w:r>
      <w:proofErr w:type="spellEnd"/>
      <w:r w:rsidR="00742FE9">
        <w:t xml:space="preserve"> is gradually being phased out due to the outdated nature of the software</w:t>
      </w:r>
      <w:sdt>
        <w:sdtPr>
          <w:id w:val="-2115900169"/>
          <w:citation/>
        </w:sdtPr>
        <w:sdtEndPr/>
        <w:sdtContent>
          <w:r w:rsidR="0034434B">
            <w:fldChar w:fldCharType="begin"/>
          </w:r>
          <w:r w:rsidR="0034434B">
            <w:instrText xml:space="preserve"> CITATION Can22 \l 2057 </w:instrText>
          </w:r>
          <w:r w:rsidR="0034434B">
            <w:fldChar w:fldCharType="separate"/>
          </w:r>
          <w:r w:rsidR="0034434B">
            <w:rPr>
              <w:noProof/>
            </w:rPr>
            <w:t xml:space="preserve"> </w:t>
          </w:r>
          <w:r w:rsidR="0034434B" w:rsidRPr="0034434B">
            <w:rPr>
              <w:noProof/>
            </w:rPr>
            <w:t>[1]</w:t>
          </w:r>
          <w:r w:rsidR="0034434B">
            <w:fldChar w:fldCharType="end"/>
          </w:r>
        </w:sdtContent>
      </w:sdt>
      <w:r w:rsidR="00742FE9">
        <w:t>.</w:t>
      </w:r>
      <w:r w:rsidR="00B7427C">
        <w:t xml:space="preserve"> As </w:t>
      </w:r>
      <w:proofErr w:type="spellStart"/>
      <w:r w:rsidR="00B7427C">
        <w:t>Canisc</w:t>
      </w:r>
      <w:proofErr w:type="spellEnd"/>
      <w:r w:rsidR="00B7427C">
        <w:t xml:space="preserve"> is </w:t>
      </w:r>
      <w:r w:rsidR="006B034F">
        <w:t>being phased out, the application is not receiving updates, despite it still being required by users</w:t>
      </w:r>
      <w:r w:rsidR="0071749B">
        <w:t xml:space="preserve">. The application runs </w:t>
      </w:r>
      <w:proofErr w:type="gramStart"/>
      <w:r w:rsidR="0071749B">
        <w:t>poorly</w:t>
      </w:r>
      <w:proofErr w:type="gramEnd"/>
      <w:r w:rsidR="0071749B">
        <w:t xml:space="preserve"> and end users often vent their frustration with DHCW. For users in </w:t>
      </w:r>
      <w:proofErr w:type="spellStart"/>
      <w:r w:rsidR="0071749B">
        <w:t>Velindre</w:t>
      </w:r>
      <w:proofErr w:type="spellEnd"/>
      <w:r w:rsidR="0071749B">
        <w:t xml:space="preserve"> Cancer Hospital,</w:t>
      </w:r>
      <w:r w:rsidR="00614929">
        <w:t xml:space="preserve"> </w:t>
      </w:r>
      <w:r w:rsidR="008E5EAA">
        <w:t xml:space="preserve">issues with </w:t>
      </w:r>
      <w:proofErr w:type="spellStart"/>
      <w:r w:rsidR="008E5EAA">
        <w:t>Canisc</w:t>
      </w:r>
      <w:proofErr w:type="spellEnd"/>
      <w:r w:rsidR="008E5EAA">
        <w:t xml:space="preserve"> occur too frequently</w:t>
      </w:r>
      <w:r w:rsidR="00637C43">
        <w:t xml:space="preserve"> for the patient to have a positive experience. The application is over twenty years out of date and is vulnerable to cyber threats</w:t>
      </w:r>
      <w:sdt>
        <w:sdtPr>
          <w:id w:val="-305853014"/>
          <w:citation/>
        </w:sdtPr>
        <w:sdtEndPr/>
        <w:sdtContent>
          <w:r w:rsidR="006D1DF4">
            <w:fldChar w:fldCharType="begin"/>
          </w:r>
          <w:r w:rsidR="006D1DF4">
            <w:instrText xml:space="preserve"> CITATION Can18 \l 2057 </w:instrText>
          </w:r>
          <w:r w:rsidR="006D1DF4">
            <w:fldChar w:fldCharType="separate"/>
          </w:r>
          <w:r w:rsidR="006D1DF4">
            <w:rPr>
              <w:noProof/>
            </w:rPr>
            <w:t xml:space="preserve"> </w:t>
          </w:r>
          <w:r w:rsidR="006D1DF4" w:rsidRPr="006D1DF4">
            <w:rPr>
              <w:noProof/>
            </w:rPr>
            <w:t>[2]</w:t>
          </w:r>
          <w:r w:rsidR="006D1DF4">
            <w:fldChar w:fldCharType="end"/>
          </w:r>
        </w:sdtContent>
      </w:sdt>
      <w:r w:rsidR="00637C43">
        <w:t>.</w:t>
      </w:r>
    </w:p>
    <w:p w14:paraId="602FC520" w14:textId="3E9C3168" w:rsidR="00B57CDB" w:rsidRDefault="00B57CDB" w:rsidP="006E1DA5">
      <w:r>
        <w:t xml:space="preserve">The </w:t>
      </w:r>
      <w:proofErr w:type="spellStart"/>
      <w:r>
        <w:t>Canisc</w:t>
      </w:r>
      <w:proofErr w:type="spellEnd"/>
      <w:r>
        <w:t xml:space="preserve"> application is delivered to </w:t>
      </w:r>
      <w:r w:rsidR="003060F7">
        <w:t>NHS Wales users using a virtualization solution called Citrix</w:t>
      </w:r>
      <w:r w:rsidR="00FC026C">
        <w:t>, more specifically, a Citrix product called Citrix Virtual Apps and Desktops (CVAD)</w:t>
      </w:r>
      <w:r w:rsidR="00382C8A">
        <w:t>. CVAD delivers applications and desktops through a dedicated storefron</w:t>
      </w:r>
      <w:r w:rsidR="00700605">
        <w:t>t, giving users the ability to work anywhere and on any device, so long as they have the Citrix workspace application installed</w:t>
      </w:r>
      <w:sdt>
        <w:sdtPr>
          <w:id w:val="-391589902"/>
          <w:citation/>
        </w:sdtPr>
        <w:sdtEndPr/>
        <w:sdtContent>
          <w:r w:rsidR="00BD0951">
            <w:fldChar w:fldCharType="begin"/>
          </w:r>
          <w:r w:rsidR="00BD0951">
            <w:instrText xml:space="preserve"> CITATION Cit22 \l 2057 </w:instrText>
          </w:r>
          <w:r w:rsidR="00BD0951">
            <w:fldChar w:fldCharType="separate"/>
          </w:r>
          <w:r w:rsidR="00BD0951">
            <w:rPr>
              <w:noProof/>
            </w:rPr>
            <w:t xml:space="preserve"> </w:t>
          </w:r>
          <w:r w:rsidR="00BD0951" w:rsidRPr="00BD0951">
            <w:rPr>
              <w:noProof/>
            </w:rPr>
            <w:t>[3]</w:t>
          </w:r>
          <w:r w:rsidR="00BD0951">
            <w:fldChar w:fldCharType="end"/>
          </w:r>
        </w:sdtContent>
      </w:sdt>
      <w:r w:rsidR="00700605">
        <w:t>.</w:t>
      </w:r>
      <w:r w:rsidR="00A95439">
        <w:t xml:space="preserve"> Given the infrastructure of NHS Wales being separated into seven health boards, each with their own IT systems, delivering </w:t>
      </w:r>
      <w:proofErr w:type="spellStart"/>
      <w:r w:rsidR="00A95439">
        <w:t>Canisc</w:t>
      </w:r>
      <w:proofErr w:type="spellEnd"/>
      <w:r w:rsidR="00A95439">
        <w:t xml:space="preserve"> via Citrix was the obvious choice for DHCW. It means the </w:t>
      </w:r>
      <w:proofErr w:type="spellStart"/>
      <w:r w:rsidR="00A95439">
        <w:t>Canisc</w:t>
      </w:r>
      <w:proofErr w:type="spellEnd"/>
      <w:r w:rsidR="00A95439">
        <w:t xml:space="preserve"> application does not have to be installed and managed on each device. Instead, it can be managed and delivered centrally</w:t>
      </w:r>
      <w:r w:rsidR="0052768F">
        <w:t xml:space="preserve">, between the </w:t>
      </w:r>
      <w:proofErr w:type="spellStart"/>
      <w:r w:rsidR="0052768F">
        <w:t>Canisc</w:t>
      </w:r>
      <w:proofErr w:type="spellEnd"/>
      <w:r w:rsidR="0052768F">
        <w:t xml:space="preserve"> Support team and the Citrix team based in DHCW.</w:t>
      </w:r>
    </w:p>
    <w:p w14:paraId="092048B0" w14:textId="43847D13" w:rsidR="00BC5673" w:rsidRDefault="00BC5673" w:rsidP="006E1DA5">
      <w:r>
        <w:t>The C</w:t>
      </w:r>
      <w:r w:rsidR="005014B2">
        <w:t xml:space="preserve">itrix infrastructure designed for </w:t>
      </w:r>
      <w:proofErr w:type="spellStart"/>
      <w:r w:rsidR="005014B2">
        <w:t>Canisc</w:t>
      </w:r>
      <w:proofErr w:type="spellEnd"/>
      <w:r w:rsidR="005014B2">
        <w:t xml:space="preserve"> contains the following </w:t>
      </w:r>
      <w:r w:rsidR="00805B3E">
        <w:t>components</w:t>
      </w:r>
      <w:r w:rsidR="007A67B8">
        <w:t>:</w:t>
      </w:r>
    </w:p>
    <w:p w14:paraId="4CBF2A34" w14:textId="27D24B7C" w:rsidR="003B2AA6" w:rsidRDefault="003B2AA6" w:rsidP="003B2AA6">
      <w:pPr>
        <w:pStyle w:val="ListParagraph"/>
        <w:numPr>
          <w:ilvl w:val="0"/>
          <w:numId w:val="2"/>
        </w:numPr>
      </w:pPr>
      <w:r>
        <w:t>Gold Image Servers</w:t>
      </w:r>
    </w:p>
    <w:p w14:paraId="2AFDEB02" w14:textId="4B158693" w:rsidR="007A67B8" w:rsidRDefault="007A67B8" w:rsidP="007A67B8">
      <w:pPr>
        <w:pStyle w:val="ListParagraph"/>
        <w:numPr>
          <w:ilvl w:val="0"/>
          <w:numId w:val="2"/>
        </w:numPr>
      </w:pPr>
      <w:r>
        <w:t>Virtual Delivery Agents (VDAs)</w:t>
      </w:r>
    </w:p>
    <w:p w14:paraId="13D88654" w14:textId="1CE855BC" w:rsidR="007A67B8" w:rsidRDefault="007A67B8" w:rsidP="007A67B8">
      <w:pPr>
        <w:pStyle w:val="ListParagraph"/>
        <w:numPr>
          <w:ilvl w:val="0"/>
          <w:numId w:val="2"/>
        </w:numPr>
      </w:pPr>
      <w:r>
        <w:t>Delivery Controllers (DDCs)</w:t>
      </w:r>
    </w:p>
    <w:p w14:paraId="182DCCB0" w14:textId="763B665A" w:rsidR="007A67B8" w:rsidRDefault="007A67B8" w:rsidP="007A67B8">
      <w:pPr>
        <w:pStyle w:val="ListParagraph"/>
        <w:numPr>
          <w:ilvl w:val="0"/>
          <w:numId w:val="2"/>
        </w:numPr>
      </w:pPr>
      <w:r>
        <w:t>SQL Database</w:t>
      </w:r>
    </w:p>
    <w:p w14:paraId="5FD277DD" w14:textId="3EB4C703" w:rsidR="007A67B8" w:rsidRDefault="007A67B8" w:rsidP="007A67B8">
      <w:pPr>
        <w:pStyle w:val="ListParagraph"/>
        <w:numPr>
          <w:ilvl w:val="0"/>
          <w:numId w:val="2"/>
        </w:numPr>
      </w:pPr>
      <w:r>
        <w:t>Storefront Servers</w:t>
      </w:r>
    </w:p>
    <w:p w14:paraId="38438665" w14:textId="69A03E57" w:rsidR="007A67B8" w:rsidRDefault="007A67B8" w:rsidP="003B2AA6">
      <w:pPr>
        <w:pStyle w:val="ListParagraph"/>
      </w:pPr>
    </w:p>
    <w:p w14:paraId="77FAA768" w14:textId="1284F1EB" w:rsidR="00020995" w:rsidRDefault="003B2AA6" w:rsidP="00020995">
      <w:r>
        <w:t>The gold image server acts as a template for the VDAs</w:t>
      </w:r>
      <w:r w:rsidR="00C00D14">
        <w:t xml:space="preserve">. All configuration needed for </w:t>
      </w:r>
      <w:proofErr w:type="spellStart"/>
      <w:r w:rsidR="00C00D14">
        <w:t>Canisc</w:t>
      </w:r>
      <w:proofErr w:type="spellEnd"/>
      <w:r w:rsidR="00C00D14">
        <w:t xml:space="preserve"> to run is installed on the gold image, including the </w:t>
      </w:r>
      <w:proofErr w:type="spellStart"/>
      <w:r w:rsidR="00C00D14">
        <w:t>Canisc</w:t>
      </w:r>
      <w:proofErr w:type="spellEnd"/>
      <w:r w:rsidR="00C00D14">
        <w:t xml:space="preserve"> application itself. This gold image is then “sealed”</w:t>
      </w:r>
      <w:r w:rsidR="00547B1F">
        <w:t xml:space="preserve">, which means a snapshot of the gold image is taken in its current state, which is then applied to the </w:t>
      </w:r>
      <w:r w:rsidR="00B22C36">
        <w:t>that registers with the DDC</w:t>
      </w:r>
      <w:r w:rsidR="00854EC8">
        <w:t xml:space="preserve"> and is managed by being assigned to a machine catalogue. </w:t>
      </w:r>
      <w:proofErr w:type="spellStart"/>
      <w:r w:rsidR="00854EC8">
        <w:t>Canisc</w:t>
      </w:r>
      <w:proofErr w:type="spellEnd"/>
      <w:r w:rsidR="00854EC8">
        <w:t xml:space="preserve"> VDAs are all hosted within one machine catalogue</w:t>
      </w:r>
      <w:r w:rsidR="00363AA0">
        <w:t xml:space="preserve">, allowing the DHCW Citrix team to apply the gold image to all </w:t>
      </w:r>
      <w:proofErr w:type="spellStart"/>
      <w:r w:rsidR="00363AA0">
        <w:t>Canisc</w:t>
      </w:r>
      <w:proofErr w:type="spellEnd"/>
      <w:r w:rsidR="00363AA0">
        <w:t xml:space="preserve"> VDAs at once, as well as manage User Access Control (UAC) and the power state of machines.</w:t>
      </w:r>
      <w:r w:rsidR="004A5520">
        <w:t xml:space="preserve"> The role of the DDCs</w:t>
      </w:r>
      <w:r w:rsidR="00DB4024">
        <w:t xml:space="preserve"> is to allow the administrators to manage user access and Machine Creation Services (MCS), which creates the desktops and server images with the gold images.</w:t>
      </w:r>
      <w:r w:rsidR="00831B50">
        <w:t xml:space="preserve"> A VDA can only function if it is registered with the DDC</w:t>
      </w:r>
      <w:r w:rsidR="0017116C">
        <w:t>. Each DDC installed for an environment communicates with the sites SQL Database</w:t>
      </w:r>
      <w:sdt>
        <w:sdtPr>
          <w:id w:val="-1682881944"/>
          <w:citation/>
        </w:sdtPr>
        <w:sdtEndPr/>
        <w:sdtContent>
          <w:r w:rsidR="0017116C">
            <w:fldChar w:fldCharType="begin"/>
          </w:r>
          <w:r w:rsidR="0017116C">
            <w:instrText xml:space="preserve"> CITATION Del20 \l 2057 </w:instrText>
          </w:r>
          <w:r w:rsidR="0017116C">
            <w:fldChar w:fldCharType="separate"/>
          </w:r>
          <w:r w:rsidR="0017116C">
            <w:rPr>
              <w:noProof/>
            </w:rPr>
            <w:t xml:space="preserve"> </w:t>
          </w:r>
          <w:r w:rsidR="0017116C" w:rsidRPr="0017116C">
            <w:rPr>
              <w:noProof/>
            </w:rPr>
            <w:t>[4]</w:t>
          </w:r>
          <w:r w:rsidR="0017116C">
            <w:fldChar w:fldCharType="end"/>
          </w:r>
        </w:sdtContent>
      </w:sdt>
      <w:r w:rsidR="0017116C">
        <w:t>.</w:t>
      </w:r>
      <w:r w:rsidR="005360FE">
        <w:t xml:space="preserve"> The storefront server is where the administrators create the store for end users to access their applications or desktops.</w:t>
      </w:r>
      <w:r w:rsidR="00331A3A">
        <w:t xml:space="preserve"> Users browse to the storefront URL and, if they have the correct access configured,</w:t>
      </w:r>
      <w:r w:rsidR="00440B4B">
        <w:t xml:space="preserve"> they will be presented with the relevant apps</w:t>
      </w:r>
      <w:r w:rsidR="00B35DF9">
        <w:t xml:space="preserve"> and </w:t>
      </w:r>
      <w:r w:rsidR="00B35DF9">
        <w:lastRenderedPageBreak/>
        <w:t xml:space="preserve">desktops. </w:t>
      </w:r>
      <w:r w:rsidR="00020995">
        <w:t>Figure 1 below shows an example</w:t>
      </w:r>
      <w:r w:rsidR="002E246B">
        <w:t xml:space="preserve"> Citrix deployment to help visualize how </w:t>
      </w:r>
      <w:proofErr w:type="spellStart"/>
      <w:r w:rsidR="002E246B">
        <w:t>Canisc</w:t>
      </w:r>
      <w:proofErr w:type="spellEnd"/>
      <w:r w:rsidR="002E246B">
        <w:t xml:space="preserve"> works </w:t>
      </w:r>
      <w:r w:rsidR="00F95445">
        <w:rPr>
          <w:noProof/>
        </w:rPr>
        <mc:AlternateContent>
          <mc:Choice Requires="wps">
            <w:drawing>
              <wp:anchor distT="0" distB="0" distL="114300" distR="114300" simplePos="0" relativeHeight="251620864" behindDoc="1" locked="0" layoutInCell="1" allowOverlap="1" wp14:anchorId="114174C7" wp14:editId="3DDCF7BB">
                <wp:simplePos x="0" y="0"/>
                <wp:positionH relativeFrom="column">
                  <wp:posOffset>-28575</wp:posOffset>
                </wp:positionH>
                <wp:positionV relativeFrom="paragraph">
                  <wp:posOffset>5176520</wp:posOffset>
                </wp:positionV>
                <wp:extent cx="573151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DDF861" w14:textId="40D78F64" w:rsidR="00F95445" w:rsidRPr="00B8516C" w:rsidRDefault="00F95445" w:rsidP="00F95445">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1</w:t>
                            </w:r>
                            <w:r w:rsidR="007F1363">
                              <w:rPr>
                                <w:noProof/>
                              </w:rPr>
                              <w:fldChar w:fldCharType="end"/>
                            </w:r>
                            <w:r>
                              <w:t xml:space="preserve"> Example Citrix Infrastructure</w:t>
                            </w:r>
                            <w:r w:rsidR="0086618F">
                              <w:t xml:space="preserve"> </w:t>
                            </w:r>
                            <w:sdt>
                              <w:sdtPr>
                                <w:id w:val="1668282683"/>
                                <w:citation/>
                              </w:sdtPr>
                              <w:sdtContent>
                                <w:r w:rsidR="00294942">
                                  <w:fldChar w:fldCharType="begin"/>
                                </w:r>
                                <w:r w:rsidR="00294942">
                                  <w:instrText xml:space="preserve"> CITATION Ref22 \l 2057 </w:instrText>
                                </w:r>
                                <w:r w:rsidR="00294942">
                                  <w:fldChar w:fldCharType="separate"/>
                                </w:r>
                                <w:r w:rsidR="00294942" w:rsidRPr="00294942">
                                  <w:rPr>
                                    <w:noProof/>
                                  </w:rPr>
                                  <w:t>[24]</w:t>
                                </w:r>
                                <w:r w:rsidR="0029494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4174C7" id="_x0000_t202" coordsize="21600,21600" o:spt="202" path="m,l,21600r21600,l21600,xe">
                <v:stroke joinstyle="miter"/>
                <v:path gradientshapeok="t" o:connecttype="rect"/>
              </v:shapetype>
              <v:shape id="Text Box 1" o:spid="_x0000_s1026" type="#_x0000_t202" style="position:absolute;margin-left:-2.25pt;margin-top:407.6pt;width:451.3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" stroked="f">
                <v:textbox style="mso-fit-shape-to-text:t" inset="0,0,0,0">
                  <w:txbxContent>
                    <w:p w14:paraId="31DDF861" w14:textId="40D78F64" w:rsidR="00F95445" w:rsidRPr="00B8516C" w:rsidRDefault="00F95445" w:rsidP="00F95445">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1</w:t>
                      </w:r>
                      <w:r w:rsidR="007F1363">
                        <w:rPr>
                          <w:noProof/>
                        </w:rPr>
                        <w:fldChar w:fldCharType="end"/>
                      </w:r>
                      <w:r>
                        <w:t xml:space="preserve"> Example Citrix Infrastructure</w:t>
                      </w:r>
                      <w:r w:rsidR="0086618F">
                        <w:t xml:space="preserve"> </w:t>
                      </w:r>
                      <w:sdt>
                        <w:sdtPr>
                          <w:id w:val="1668282683"/>
                          <w:citation/>
                        </w:sdtPr>
                        <w:sdtContent>
                          <w:r w:rsidR="00294942">
                            <w:fldChar w:fldCharType="begin"/>
                          </w:r>
                          <w:r w:rsidR="00294942">
                            <w:instrText xml:space="preserve"> CITATION Ref22 \l 2057 </w:instrText>
                          </w:r>
                          <w:r w:rsidR="00294942">
                            <w:fldChar w:fldCharType="separate"/>
                          </w:r>
                          <w:r w:rsidR="00294942" w:rsidRPr="00294942">
                            <w:rPr>
                              <w:noProof/>
                            </w:rPr>
                            <w:t>[24]</w:t>
                          </w:r>
                          <w:r w:rsidR="00294942">
                            <w:fldChar w:fldCharType="end"/>
                          </w:r>
                        </w:sdtContent>
                      </w:sdt>
                    </w:p>
                  </w:txbxContent>
                </v:textbox>
                <w10:wrap type="tight"/>
              </v:shape>
            </w:pict>
          </mc:Fallback>
        </mc:AlternateContent>
      </w:r>
      <w:r w:rsidR="00F95445">
        <w:rPr>
          <w:noProof/>
        </w:rPr>
        <w:drawing>
          <wp:anchor distT="0" distB="0" distL="114300" distR="114300" simplePos="0" relativeHeight="251619840" behindDoc="1" locked="0" layoutInCell="1" allowOverlap="1" wp14:anchorId="4E40909D" wp14:editId="0CA26B31">
            <wp:simplePos x="0" y="0"/>
            <wp:positionH relativeFrom="column">
              <wp:posOffset>-28575</wp:posOffset>
            </wp:positionH>
            <wp:positionV relativeFrom="paragraph">
              <wp:posOffset>2295525</wp:posOffset>
            </wp:positionV>
            <wp:extent cx="5731510" cy="2823845"/>
            <wp:effectExtent l="0" t="0" r="2540" b="0"/>
            <wp:wrapTight wrapText="bothSides">
              <wp:wrapPolygon edited="0">
                <wp:start x="0" y="0"/>
                <wp:lineTo x="0" y="21420"/>
                <wp:lineTo x="21538" y="21420"/>
                <wp:lineTo x="21538"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anchor>
        </w:drawing>
      </w:r>
      <w:r w:rsidR="002E246B">
        <w:t>for the end user.</w:t>
      </w:r>
    </w:p>
    <w:p w14:paraId="632EAF26" w14:textId="77777777" w:rsidR="00F95445" w:rsidRDefault="00F95445" w:rsidP="00020995"/>
    <w:p w14:paraId="5AF722AB" w14:textId="62D1BC7E" w:rsidR="00E5111B" w:rsidRPr="00C009A3" w:rsidRDefault="00E5111B" w:rsidP="00020995">
      <w:r>
        <w:rPr>
          <w:noProof/>
        </w:rPr>
        <mc:AlternateContent>
          <mc:Choice Requires="wps">
            <w:drawing>
              <wp:anchor distT="0" distB="0" distL="114300" distR="114300" simplePos="0" relativeHeight="251617792" behindDoc="1" locked="0" layoutInCell="1" allowOverlap="1" wp14:anchorId="6E56A990" wp14:editId="5EBF8F67">
                <wp:simplePos x="0" y="0"/>
                <wp:positionH relativeFrom="column">
                  <wp:posOffset>142875</wp:posOffset>
                </wp:positionH>
                <wp:positionV relativeFrom="paragraph">
                  <wp:posOffset>2795905</wp:posOffset>
                </wp:positionV>
                <wp:extent cx="1981200" cy="314325"/>
                <wp:effectExtent l="0" t="0" r="0" b="9525"/>
                <wp:wrapTight wrapText="bothSides">
                  <wp:wrapPolygon edited="0">
                    <wp:start x="0" y="0"/>
                    <wp:lineTo x="0" y="20945"/>
                    <wp:lineTo x="21392" y="20945"/>
                    <wp:lineTo x="21392"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981200" cy="314325"/>
                        </a:xfrm>
                        <a:prstGeom prst="rect">
                          <a:avLst/>
                        </a:prstGeom>
                        <a:solidFill>
                          <a:prstClr val="white"/>
                        </a:solidFill>
                        <a:ln>
                          <a:noFill/>
                        </a:ln>
                      </wps:spPr>
                      <wps:txbx>
                        <w:txbxContent>
                          <w:p w14:paraId="480C8294" w14:textId="37B265A5" w:rsidR="00E5111B" w:rsidRPr="002C566C" w:rsidRDefault="00E5111B" w:rsidP="00E5111B">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2</w:t>
                            </w:r>
                            <w:r w:rsidR="007F1363">
                              <w:rPr>
                                <w:noProof/>
                              </w:rPr>
                              <w:fldChar w:fldCharType="end"/>
                            </w:r>
                            <w:r>
                              <w:t xml:space="preserve"> Example of Citrix Infrastructure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6A990" id="Text Box 2" o:spid="_x0000_s1027" type="#_x0000_t202" style="position:absolute;margin-left:11.25pt;margin-top:220.15pt;width:156pt;height:24.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" stroked="f">
                <v:textbox inset="0,0,0,0">
                  <w:txbxContent>
                    <w:p w14:paraId="480C8294" w14:textId="37B265A5" w:rsidR="00E5111B" w:rsidRPr="002C566C" w:rsidRDefault="00E5111B" w:rsidP="00E5111B">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2</w:t>
                      </w:r>
                      <w:r w:rsidR="007F1363">
                        <w:rPr>
                          <w:noProof/>
                        </w:rPr>
                        <w:fldChar w:fldCharType="end"/>
                      </w:r>
                      <w:r>
                        <w:t xml:space="preserve"> Example of Citrix Infrastructure</w:t>
                      </w:r>
                    </w:p>
                  </w:txbxContent>
                </v:textbox>
                <w10:wrap type="tight"/>
              </v:shape>
            </w:pict>
          </mc:Fallback>
        </mc:AlternateContent>
      </w:r>
    </w:p>
    <w:p w14:paraId="52AAA629" w14:textId="1F629F96" w:rsidR="00C009A3" w:rsidRDefault="00C009A3">
      <w:pPr>
        <w:rPr>
          <w:b/>
          <w:bCs/>
          <w:u w:val="single"/>
        </w:rPr>
      </w:pPr>
    </w:p>
    <w:p w14:paraId="259102E1" w14:textId="79741CD9" w:rsidR="00585E4B" w:rsidRPr="00585E4B" w:rsidRDefault="00585E4B">
      <w:r>
        <w:t xml:space="preserve">As seen in figure </w:t>
      </w:r>
      <w:r w:rsidR="009171C0">
        <w:t xml:space="preserve">1, the user starts their </w:t>
      </w:r>
      <w:proofErr w:type="spellStart"/>
      <w:r w:rsidR="009171C0">
        <w:t>Canisc</w:t>
      </w:r>
      <w:proofErr w:type="spellEnd"/>
      <w:r w:rsidR="009171C0">
        <w:t xml:space="preserve"> journey by logging in to their device, which can be any device, and </w:t>
      </w:r>
      <w:r w:rsidR="001E4343">
        <w:t xml:space="preserve">passing through the firewall to reach the </w:t>
      </w:r>
      <w:proofErr w:type="spellStart"/>
      <w:r w:rsidR="001E4343">
        <w:t>Netscaler</w:t>
      </w:r>
      <w:proofErr w:type="spellEnd"/>
      <w:r w:rsidR="001E4343">
        <w:t xml:space="preserve"> gateway. This </w:t>
      </w:r>
      <w:proofErr w:type="spellStart"/>
      <w:r w:rsidR="001E4343">
        <w:t>Netscaler</w:t>
      </w:r>
      <w:proofErr w:type="spellEnd"/>
      <w:r w:rsidR="001E4343">
        <w:t xml:space="preserve"> gateway gives the user access to the Storefront</w:t>
      </w:r>
      <w:r w:rsidR="004E5FD2">
        <w:t>. The Storefront communicates with the Delivery Controller</w:t>
      </w:r>
      <w:r w:rsidR="00B354DB">
        <w:t xml:space="preserve">, which holds the data from the SQL server. </w:t>
      </w:r>
      <w:r w:rsidR="00887534">
        <w:t>As a result of this</w:t>
      </w:r>
      <w:r w:rsidR="00B354DB">
        <w:t xml:space="preserve"> communication, the user is presented with the relevant apps and desktops</w:t>
      </w:r>
      <w:r w:rsidR="007C1339">
        <w:t xml:space="preserve">, in this case </w:t>
      </w:r>
      <w:proofErr w:type="spellStart"/>
      <w:r w:rsidR="007C1339">
        <w:t>Canisc</w:t>
      </w:r>
      <w:proofErr w:type="spellEnd"/>
      <w:r w:rsidR="007C1339">
        <w:t>.</w:t>
      </w:r>
    </w:p>
    <w:p w14:paraId="02618D8F" w14:textId="41098278" w:rsidR="00C009A3" w:rsidRDefault="00D67E44">
      <w:r>
        <w:t xml:space="preserve">For redundancy purposes, DHCW utilise two data centres to delivery its digital solutions. This means that, in case of an emergency, services running out of one data centre and be failed over to the other in the case of service outage. For </w:t>
      </w:r>
      <w:proofErr w:type="spellStart"/>
      <w:r>
        <w:t>Canisc</w:t>
      </w:r>
      <w:proofErr w:type="spellEnd"/>
      <w:r>
        <w:t xml:space="preserve">, this means the infrastructure must </w:t>
      </w:r>
      <w:r w:rsidR="00E605DC">
        <w:t xml:space="preserve">be identical in both data centres. Each data centre contains the following </w:t>
      </w:r>
      <w:proofErr w:type="spellStart"/>
      <w:r w:rsidR="00E605DC">
        <w:t>Canisc</w:t>
      </w:r>
      <w:proofErr w:type="spellEnd"/>
      <w:r w:rsidR="00E605DC">
        <w:t xml:space="preserve"> components:</w:t>
      </w:r>
    </w:p>
    <w:p w14:paraId="24DF04B8" w14:textId="0C94A870" w:rsidR="00E605DC" w:rsidRDefault="00E605DC" w:rsidP="00E605DC">
      <w:pPr>
        <w:pStyle w:val="ListParagraph"/>
        <w:numPr>
          <w:ilvl w:val="0"/>
          <w:numId w:val="2"/>
        </w:numPr>
      </w:pPr>
      <w:r>
        <w:t>Two DDCs</w:t>
      </w:r>
    </w:p>
    <w:p w14:paraId="3E0E8A88" w14:textId="211502E4" w:rsidR="00E605DC" w:rsidRDefault="00E605DC" w:rsidP="00E605DC">
      <w:pPr>
        <w:pStyle w:val="ListParagraph"/>
        <w:numPr>
          <w:ilvl w:val="0"/>
          <w:numId w:val="2"/>
        </w:numPr>
      </w:pPr>
      <w:r>
        <w:t>Two Storefront Servers</w:t>
      </w:r>
    </w:p>
    <w:p w14:paraId="3E1C9CE0" w14:textId="2F0632C7" w:rsidR="00E605DC" w:rsidRDefault="00E605DC" w:rsidP="00E605DC">
      <w:pPr>
        <w:pStyle w:val="ListParagraph"/>
        <w:numPr>
          <w:ilvl w:val="0"/>
          <w:numId w:val="2"/>
        </w:numPr>
      </w:pPr>
      <w:r>
        <w:t>One Gold Image Server</w:t>
      </w:r>
    </w:p>
    <w:p w14:paraId="1BD6D11D" w14:textId="0863B719" w:rsidR="00E605DC" w:rsidRDefault="006546D5" w:rsidP="00E605DC">
      <w:pPr>
        <w:pStyle w:val="ListParagraph"/>
        <w:numPr>
          <w:ilvl w:val="0"/>
          <w:numId w:val="2"/>
        </w:numPr>
      </w:pPr>
      <w:r>
        <w:t>Two</w:t>
      </w:r>
      <w:r w:rsidR="00555197">
        <w:t xml:space="preserve"> SQL Server</w:t>
      </w:r>
    </w:p>
    <w:p w14:paraId="1D4ADF33" w14:textId="7473EDC8" w:rsidR="00555197" w:rsidRDefault="00555197" w:rsidP="00E605DC">
      <w:pPr>
        <w:pStyle w:val="ListParagraph"/>
        <w:numPr>
          <w:ilvl w:val="0"/>
          <w:numId w:val="2"/>
        </w:numPr>
      </w:pPr>
      <w:r>
        <w:t>Thirteen VDAs</w:t>
      </w:r>
      <w:r w:rsidR="00A12472">
        <w:t xml:space="preserve"> </w:t>
      </w:r>
    </w:p>
    <w:p w14:paraId="1E75F83C" w14:textId="08D4F359" w:rsidR="006546D5" w:rsidRDefault="006546D5" w:rsidP="006546D5">
      <w:r>
        <w:t xml:space="preserve">Having more than one component, apart from the gold </w:t>
      </w:r>
      <w:proofErr w:type="gramStart"/>
      <w:r>
        <w:t>image</w:t>
      </w:r>
      <w:proofErr w:type="gramEnd"/>
      <w:r>
        <w:t xml:space="preserve"> which is not live, allows for redundancy in the event of a server becoming unavailable.</w:t>
      </w:r>
    </w:p>
    <w:p w14:paraId="6C884D5C" w14:textId="440CACD2" w:rsidR="00ED3337" w:rsidRDefault="00ED3337" w:rsidP="006546D5"/>
    <w:p w14:paraId="354ECB6F" w14:textId="3532DEF8" w:rsidR="00ED3337" w:rsidRDefault="003A48E1" w:rsidP="006546D5">
      <w:proofErr w:type="spellStart"/>
      <w:r>
        <w:t>Canisc</w:t>
      </w:r>
      <w:proofErr w:type="spellEnd"/>
      <w:r>
        <w:t xml:space="preserve"> is currently running of Citrix CVAD 7.15, an </w:t>
      </w:r>
      <w:proofErr w:type="gramStart"/>
      <w:r>
        <w:t>out of date</w:t>
      </w:r>
      <w:proofErr w:type="gramEnd"/>
      <w:r>
        <w:t xml:space="preserve"> version of Citrix CVAD</w:t>
      </w:r>
      <w:r w:rsidR="00F76017">
        <w:t xml:space="preserve"> that reaches end of life August 2022</w:t>
      </w:r>
      <w:sdt>
        <w:sdtPr>
          <w:id w:val="-819343750"/>
          <w:citation/>
        </w:sdtPr>
        <w:sdtEndPr/>
        <w:sdtContent>
          <w:r w:rsidR="00F76017">
            <w:fldChar w:fldCharType="begin"/>
          </w:r>
          <w:r w:rsidR="00F76017">
            <w:instrText xml:space="preserve"> CITATION Coh22 \l 2057 </w:instrText>
          </w:r>
          <w:r w:rsidR="00F76017">
            <w:fldChar w:fldCharType="separate"/>
          </w:r>
          <w:r w:rsidR="00E3159E">
            <w:rPr>
              <w:noProof/>
            </w:rPr>
            <w:t xml:space="preserve"> </w:t>
          </w:r>
          <w:r w:rsidR="00E3159E" w:rsidRPr="00E3159E">
            <w:rPr>
              <w:noProof/>
            </w:rPr>
            <w:t>[5]</w:t>
          </w:r>
          <w:r w:rsidR="00F76017">
            <w:fldChar w:fldCharType="end"/>
          </w:r>
        </w:sdtContent>
      </w:sdt>
      <w:r w:rsidR="00F76017">
        <w:t>.</w:t>
      </w:r>
      <w:r w:rsidR="007C66C0">
        <w:t xml:space="preserve"> Therefore</w:t>
      </w:r>
      <w:r w:rsidR="0011180B">
        <w:t>,</w:t>
      </w:r>
      <w:r w:rsidR="007C66C0">
        <w:t xml:space="preserve"> it is essential the DHCW Citrix team upgrade </w:t>
      </w:r>
      <w:r w:rsidR="002247BB">
        <w:t xml:space="preserve">the </w:t>
      </w:r>
      <w:proofErr w:type="spellStart"/>
      <w:proofErr w:type="gramStart"/>
      <w:r w:rsidR="007C66C0">
        <w:t>Canisc</w:t>
      </w:r>
      <w:proofErr w:type="spellEnd"/>
      <w:r w:rsidR="007C66C0">
        <w:t xml:space="preserve"> </w:t>
      </w:r>
      <w:r w:rsidR="002247BB">
        <w:t xml:space="preserve"> Citrix</w:t>
      </w:r>
      <w:proofErr w:type="gramEnd"/>
      <w:r w:rsidR="002247BB">
        <w:t xml:space="preserve"> environment </w:t>
      </w:r>
      <w:r w:rsidR="007C66C0">
        <w:t xml:space="preserve">before then. The current version DHCW aims to have all Citrix </w:t>
      </w:r>
      <w:r w:rsidR="0011180B">
        <w:t>services running on is Citrix LTSR 1912.</w:t>
      </w:r>
      <w:r w:rsidR="00F04A9D">
        <w:t xml:space="preserve"> However, the problem facing the Citrix team is the instability of </w:t>
      </w:r>
      <w:proofErr w:type="spellStart"/>
      <w:r w:rsidR="00F04A9D">
        <w:t>Canisc</w:t>
      </w:r>
      <w:proofErr w:type="spellEnd"/>
      <w:r w:rsidR="00F04A9D">
        <w:t xml:space="preserve">, with the application being severely out of date </w:t>
      </w:r>
      <w:r w:rsidR="00735662">
        <w:t xml:space="preserve">as well as the Citrix version. Upgrading the Citrix version </w:t>
      </w:r>
      <w:r w:rsidR="00735662">
        <w:lastRenderedPageBreak/>
        <w:t xml:space="preserve">requires taking </w:t>
      </w:r>
      <w:proofErr w:type="spellStart"/>
      <w:r w:rsidR="00735662">
        <w:t>Canisc</w:t>
      </w:r>
      <w:proofErr w:type="spellEnd"/>
      <w:r w:rsidR="00735662">
        <w:t xml:space="preserve"> offline in one data centre, leaving </w:t>
      </w:r>
      <w:r w:rsidR="007004CD">
        <w:t>no redundancy whilst the upgrade is being carried out.</w:t>
      </w:r>
      <w:r w:rsidR="004B3D29">
        <w:t xml:space="preserve"> The Citrix team must </w:t>
      </w:r>
      <w:r w:rsidR="00654807">
        <w:t xml:space="preserve">establish if upgrading the </w:t>
      </w:r>
      <w:proofErr w:type="spellStart"/>
      <w:r w:rsidR="00654807">
        <w:t>Canisc</w:t>
      </w:r>
      <w:proofErr w:type="spellEnd"/>
      <w:r w:rsidR="00654807">
        <w:t xml:space="preserve"> Citrix environment to the latest version will improve the performance and devise a plan</w:t>
      </w:r>
      <w:r w:rsidR="00FD6D75">
        <w:t xml:space="preserve"> to carry out the upgrade in a way that will not affect the service performance.</w:t>
      </w:r>
      <w:r w:rsidR="006866E3">
        <w:t xml:space="preserve"> To do this, </w:t>
      </w:r>
      <w:r w:rsidR="00D93B16">
        <w:t>the following objectives have been established</w:t>
      </w:r>
      <w:r w:rsidR="00A06AFF">
        <w:t xml:space="preserve"> to assist the author in ensuring the upgrade is carried out successfully whilst gaining valuable experience in their job role.</w:t>
      </w:r>
    </w:p>
    <w:p w14:paraId="4D944614" w14:textId="36D778C0" w:rsidR="006866E3" w:rsidRDefault="003307FE" w:rsidP="006866E3">
      <w:pPr>
        <w:pStyle w:val="ListParagraph"/>
        <w:numPr>
          <w:ilvl w:val="0"/>
          <w:numId w:val="2"/>
        </w:numPr>
      </w:pPr>
      <w:r>
        <w:t xml:space="preserve">Assess the viability of upgrading </w:t>
      </w:r>
      <w:proofErr w:type="spellStart"/>
      <w:r>
        <w:t>Canisc</w:t>
      </w:r>
      <w:proofErr w:type="spellEnd"/>
    </w:p>
    <w:p w14:paraId="02738772" w14:textId="5B268AB3" w:rsidR="005775B1" w:rsidRDefault="00BA5A4E" w:rsidP="006866E3">
      <w:pPr>
        <w:pStyle w:val="ListParagraph"/>
        <w:numPr>
          <w:ilvl w:val="0"/>
          <w:numId w:val="2"/>
        </w:numPr>
      </w:pPr>
      <w:r>
        <w:t>Review current literature around the topic of upgrading Citrix, particularly looking at case studies</w:t>
      </w:r>
    </w:p>
    <w:p w14:paraId="70A3D861" w14:textId="734F8D61" w:rsidR="00BA5A4E" w:rsidRDefault="00F37E11" w:rsidP="006866E3">
      <w:pPr>
        <w:pStyle w:val="ListParagraph"/>
        <w:numPr>
          <w:ilvl w:val="0"/>
          <w:numId w:val="2"/>
        </w:numPr>
      </w:pPr>
      <w:r>
        <w:t xml:space="preserve">Work with the </w:t>
      </w:r>
      <w:proofErr w:type="spellStart"/>
      <w:r>
        <w:t>Canisc</w:t>
      </w:r>
      <w:proofErr w:type="spellEnd"/>
      <w:r>
        <w:t xml:space="preserve"> support team to establish whether the upgrade must be carried out during working hours or out of hours</w:t>
      </w:r>
    </w:p>
    <w:p w14:paraId="4DEFC2D1" w14:textId="3FAD1865" w:rsidR="00F37E11" w:rsidRDefault="00F37E11" w:rsidP="006866E3">
      <w:pPr>
        <w:pStyle w:val="ListParagraph"/>
        <w:numPr>
          <w:ilvl w:val="0"/>
          <w:numId w:val="2"/>
        </w:numPr>
      </w:pPr>
      <w:r>
        <w:t xml:space="preserve">Establish a </w:t>
      </w:r>
      <w:r w:rsidR="000E2C85">
        <w:t>step-by-step</w:t>
      </w:r>
      <w:r>
        <w:t xml:space="preserve"> plan on carrying out the upgrade, including </w:t>
      </w:r>
      <w:r w:rsidR="00C25741">
        <w:t>backout plans in the event of errors</w:t>
      </w:r>
    </w:p>
    <w:p w14:paraId="6E8DBF9E" w14:textId="6815E3BF" w:rsidR="000E2C85" w:rsidRDefault="000E2C85" w:rsidP="006866E3">
      <w:pPr>
        <w:pStyle w:val="ListParagraph"/>
        <w:numPr>
          <w:ilvl w:val="0"/>
          <w:numId w:val="2"/>
        </w:numPr>
      </w:pPr>
      <w:r>
        <w:t>Document the upgrade, carrying lessons learned to future Citrix upgrades</w:t>
      </w:r>
    </w:p>
    <w:p w14:paraId="2ACF1132" w14:textId="65653BC5" w:rsidR="000E2C85" w:rsidRDefault="000E2C85" w:rsidP="006866E3">
      <w:pPr>
        <w:pStyle w:val="ListParagraph"/>
        <w:numPr>
          <w:ilvl w:val="0"/>
          <w:numId w:val="2"/>
        </w:numPr>
      </w:pPr>
      <w:r>
        <w:t xml:space="preserve">Obtain feedback from users to </w:t>
      </w:r>
      <w:r w:rsidR="007944CD">
        <w:t>assess the impact the upgrade has had on end user experience</w:t>
      </w:r>
    </w:p>
    <w:p w14:paraId="0C9299F3" w14:textId="77777777" w:rsidR="00A44996" w:rsidRDefault="00A44996" w:rsidP="00904F38">
      <w:pPr>
        <w:jc w:val="center"/>
      </w:pPr>
    </w:p>
    <w:p w14:paraId="25C8B1C2" w14:textId="4250132E" w:rsidR="000E2C85" w:rsidRDefault="00C555AB" w:rsidP="000E2C85">
      <w:r>
        <w:t xml:space="preserve">From here, the </w:t>
      </w:r>
      <w:r w:rsidR="00C31AEF">
        <w:t>author</w:t>
      </w:r>
      <w:r>
        <w:t xml:space="preserve"> will review </w:t>
      </w:r>
      <w:r w:rsidR="0081085F">
        <w:t xml:space="preserve">pieces of literature related to the Citrix upgrade, helping the author assess the impact upgrading the </w:t>
      </w:r>
      <w:proofErr w:type="spellStart"/>
      <w:r w:rsidR="0081085F">
        <w:t>Canisc</w:t>
      </w:r>
      <w:proofErr w:type="spellEnd"/>
      <w:r w:rsidR="0081085F">
        <w:t xml:space="preserve"> Citrix environment to Citrix 1912 LTSR</w:t>
      </w:r>
      <w:r w:rsidR="00F40B0C">
        <w:t xml:space="preserve"> will have on the patient experience. Then, a detailed plan will be included that lays out a timeline for the upgrade,</w:t>
      </w:r>
      <w:r w:rsidR="002B3A20">
        <w:t xml:space="preserve"> a </w:t>
      </w:r>
      <w:proofErr w:type="gramStart"/>
      <w:r w:rsidR="002B3A20">
        <w:t>step by step</w:t>
      </w:r>
      <w:proofErr w:type="gramEnd"/>
      <w:r w:rsidR="002B3A20">
        <w:t xml:space="preserve"> approach to upgrading the environment and a</w:t>
      </w:r>
      <w:r w:rsidR="00A46A8A">
        <w:t xml:space="preserve"> contingency plan to prevent service outage. </w:t>
      </w:r>
      <w:r w:rsidR="005B3EA7">
        <w:t xml:space="preserve">Screenshots of the upgrade process will be included, including a brief description of what was being carried out at the time. Finally, the outcome of the upgrade will be addressed, including feedback from the </w:t>
      </w:r>
      <w:proofErr w:type="spellStart"/>
      <w:r w:rsidR="006B17BA">
        <w:t>Canisc</w:t>
      </w:r>
      <w:proofErr w:type="spellEnd"/>
      <w:r w:rsidR="006B17BA">
        <w:t xml:space="preserve"> support team on the impact the upgrade has had, if any. This final section will also include lessons learned for future upgrades.</w:t>
      </w:r>
    </w:p>
    <w:p w14:paraId="6E2B60DD" w14:textId="60767B09" w:rsidR="007944CD" w:rsidRDefault="00C945F7" w:rsidP="000E2C85">
      <w:r>
        <w:t>The re</w:t>
      </w:r>
      <w:r w:rsidR="00E91920">
        <w:t xml:space="preserve">mainder of the report will include a review of current literature, establishing facts about Citrix and why the upgrade will be necessary to improving the </w:t>
      </w:r>
      <w:r w:rsidR="00F97A81">
        <w:t xml:space="preserve">delivery of </w:t>
      </w:r>
      <w:proofErr w:type="spellStart"/>
      <w:r w:rsidR="00F97A81">
        <w:t>Canisc</w:t>
      </w:r>
      <w:proofErr w:type="spellEnd"/>
      <w:r w:rsidR="00F97A81">
        <w:t>. Then, the author will state their research strategy and justify their choices for using the selected research strategies.</w:t>
      </w:r>
      <w:r w:rsidR="00B33F01">
        <w:t xml:space="preserve"> The implementation will follow this, describing the steps involved in the upgrade, including screenshots of</w:t>
      </w:r>
      <w:r w:rsidR="003E3579">
        <w:t xml:space="preserve"> the upgrade and any issues encountered. The final sections will conclude the report, describing what was learned following the upgrade and </w:t>
      </w:r>
      <w:proofErr w:type="gramStart"/>
      <w:r w:rsidR="003E3579">
        <w:t>whether or not</w:t>
      </w:r>
      <w:proofErr w:type="gramEnd"/>
      <w:r w:rsidR="003E3579">
        <w:t xml:space="preserve"> it can be considered successful. </w:t>
      </w:r>
      <w:r w:rsidR="00C17038">
        <w:t xml:space="preserve">Recommendations will be made for further work and the benefits of the upgrade will be discussed, both to </w:t>
      </w:r>
      <w:proofErr w:type="spellStart"/>
      <w:r w:rsidR="00C17038">
        <w:t>Canisc</w:t>
      </w:r>
      <w:proofErr w:type="spellEnd"/>
      <w:r w:rsidR="00C17038">
        <w:t xml:space="preserve"> and </w:t>
      </w:r>
      <w:r w:rsidR="001E2B37">
        <w:t xml:space="preserve">the author. Finally, the project will be evaluated, describing what could </w:t>
      </w:r>
      <w:proofErr w:type="gramStart"/>
      <w:r w:rsidR="001E2B37">
        <w:t>we</w:t>
      </w:r>
      <w:proofErr w:type="gramEnd"/>
      <w:r w:rsidR="001E2B37">
        <w:t xml:space="preserve"> done better and </w:t>
      </w:r>
      <w:r w:rsidR="00142C2C">
        <w:t>what further work is to be carried out.</w:t>
      </w:r>
    </w:p>
    <w:p w14:paraId="066A54CB" w14:textId="77777777" w:rsidR="00142C2C" w:rsidRDefault="00142C2C" w:rsidP="000E2C85"/>
    <w:p w14:paraId="188B7458" w14:textId="77777777" w:rsidR="00142C2C" w:rsidRDefault="00142C2C" w:rsidP="000E2C85"/>
    <w:p w14:paraId="128A2461" w14:textId="77777777" w:rsidR="00142C2C" w:rsidRDefault="00142C2C" w:rsidP="000E2C85"/>
    <w:p w14:paraId="6974A651" w14:textId="77777777" w:rsidR="00142C2C" w:rsidRPr="00D67E44" w:rsidRDefault="00142C2C" w:rsidP="000E2C85"/>
    <w:p w14:paraId="3DECEBE9" w14:textId="315A41ED" w:rsidR="00044EA7" w:rsidRDefault="007C574A" w:rsidP="007C574A">
      <w:pPr>
        <w:pStyle w:val="Heading1"/>
        <w:numPr>
          <w:ilvl w:val="0"/>
          <w:numId w:val="1"/>
        </w:numPr>
      </w:pPr>
      <w:bookmarkStart w:id="1" w:name="_Toc112760752"/>
      <w:r>
        <w:t>Review of Current Literature</w:t>
      </w:r>
      <w:bookmarkEnd w:id="1"/>
    </w:p>
    <w:p w14:paraId="6E9FE115" w14:textId="77777777" w:rsidR="007C574A" w:rsidRDefault="007C574A" w:rsidP="007C574A"/>
    <w:p w14:paraId="730D45A0" w14:textId="45B3FB77" w:rsidR="00142C2C" w:rsidRPr="007C574A" w:rsidRDefault="00142C2C" w:rsidP="007C574A">
      <w:r>
        <w:t>This section will cite several pieces of text</w:t>
      </w:r>
      <w:r w:rsidR="00395771">
        <w:t xml:space="preserve"> that will help </w:t>
      </w:r>
      <w:r w:rsidR="00E44D88">
        <w:t>solve problems described and identify potential solutions. These texts will be used to justify the need for the upgrade</w:t>
      </w:r>
      <w:r w:rsidR="002929FC">
        <w:t xml:space="preserve">, what benefits the upgrade could bring to the performance of </w:t>
      </w:r>
      <w:proofErr w:type="spellStart"/>
      <w:r w:rsidR="002929FC">
        <w:t>Canisc</w:t>
      </w:r>
      <w:proofErr w:type="spellEnd"/>
      <w:r w:rsidR="002929FC">
        <w:t xml:space="preserve"> and any issues that can be expected to see during the upgrade.</w:t>
      </w:r>
    </w:p>
    <w:p w14:paraId="7F5E5552" w14:textId="60FC3794" w:rsidR="00D071A4" w:rsidRDefault="00D071A4">
      <w:pPr>
        <w:rPr>
          <w:b/>
          <w:bCs/>
          <w:u w:val="single"/>
        </w:rPr>
      </w:pPr>
    </w:p>
    <w:p w14:paraId="46ED0E4B" w14:textId="277ECB71" w:rsidR="00D071A4" w:rsidRDefault="00B923FA" w:rsidP="00880780">
      <w:pPr>
        <w:pStyle w:val="Heading2"/>
        <w:numPr>
          <w:ilvl w:val="1"/>
          <w:numId w:val="1"/>
        </w:numPr>
      </w:pPr>
      <w:bookmarkStart w:id="2" w:name="_Toc112760753"/>
      <w:r>
        <w:lastRenderedPageBreak/>
        <w:t>A brief introduction to Citrix</w:t>
      </w:r>
      <w:bookmarkEnd w:id="2"/>
    </w:p>
    <w:p w14:paraId="0CC5C568" w14:textId="77777777" w:rsidR="00880780" w:rsidRPr="00880780" w:rsidRDefault="00880780" w:rsidP="00880780">
      <w:pPr>
        <w:ind w:left="360"/>
      </w:pPr>
    </w:p>
    <w:p w14:paraId="0808BEAC" w14:textId="1E42E879" w:rsidR="001816C2" w:rsidRDefault="001816C2">
      <w:r>
        <w:t>Citrix offers a virtualization solution to its customers</w:t>
      </w:r>
      <w:r w:rsidR="00F05B47">
        <w:t xml:space="preserve"> by delivering applications and desktops</w:t>
      </w:r>
      <w:r w:rsidR="007B2643">
        <w:t xml:space="preserve"> to end users and allowing them to access these on any device.</w:t>
      </w:r>
      <w:r w:rsidR="00206C3B">
        <w:t xml:space="preserve"> </w:t>
      </w:r>
      <w:r w:rsidR="0020429C">
        <w:t>An article in a magazine called IT Pro offers an insight into the history of Citrix and what features it offers its customers, giving an insight into why DHCW chose Citrix.</w:t>
      </w:r>
    </w:p>
    <w:p w14:paraId="07DD3C75" w14:textId="7905BA65" w:rsidR="0020429C" w:rsidRDefault="0064082D">
      <w:r>
        <w:t xml:space="preserve">The primary feature Citrix offer that appeals to DHCW is its </w:t>
      </w:r>
      <w:r w:rsidR="007B6EAD">
        <w:t>Virtual Apps and Desktops. This allows end users to access their relevant apps or desktops on any device through what is called a Storefront.</w:t>
      </w:r>
      <w:r w:rsidR="00D71BDF">
        <w:t xml:space="preserve"> All apps and desktops are managed using </w:t>
      </w:r>
      <w:proofErr w:type="gramStart"/>
      <w:r w:rsidR="00D71BDF">
        <w:t>role based</w:t>
      </w:r>
      <w:proofErr w:type="gramEnd"/>
      <w:r w:rsidR="00D71BDF">
        <w:t xml:space="preserve"> access to keep data secure, which in a healthcare environment such as DHCW is essential.</w:t>
      </w:r>
      <w:r w:rsidR="00945AD8">
        <w:t xml:space="preserve"> Citrix is also capitalising on the emerging Cloud market</w:t>
      </w:r>
      <w:r w:rsidR="00266AAD">
        <w:t xml:space="preserve"> to launch new products that fall under the Software as a Service (SaaS) and Infrastructure as a Service (IaaS).</w:t>
      </w:r>
      <w:r w:rsidR="00F27583">
        <w:t xml:space="preserve"> A key network feature that DHCW rely on is the Citrix </w:t>
      </w:r>
      <w:proofErr w:type="spellStart"/>
      <w:r w:rsidR="00F27583">
        <w:t>Netscaler</w:t>
      </w:r>
      <w:proofErr w:type="spellEnd"/>
      <w:r w:rsidR="00364F0A">
        <w:t>, this acts as an endpoint for the user and allows for load balancing to improve site performance.</w:t>
      </w:r>
      <w:r w:rsidR="009434EB">
        <w:t xml:space="preserve"> Citrix as a company has been growing rapidly in recent time, given the sudden move to working from home. Companies have </w:t>
      </w:r>
      <w:r w:rsidR="0015223E">
        <w:t>utilised Citrix to allow for their services to still run and allow employees to work remotely. This has allowed Citrix to expand into new markets</w:t>
      </w:r>
      <w:r w:rsidR="00D80387">
        <w:t xml:space="preserve"> to improve its services to its customers</w:t>
      </w:r>
      <w:sdt>
        <w:sdtPr>
          <w:id w:val="-1038434762"/>
          <w:citation/>
        </w:sdtPr>
        <w:sdtEndPr/>
        <w:sdtContent>
          <w:r w:rsidR="0000310B">
            <w:fldChar w:fldCharType="begin"/>
          </w:r>
          <w:r w:rsidR="0000310B">
            <w:instrText xml:space="preserve"> CITATION Afi19 \l 2057 </w:instrText>
          </w:r>
          <w:r w:rsidR="0000310B">
            <w:fldChar w:fldCharType="separate"/>
          </w:r>
          <w:r w:rsidR="0061265F">
            <w:rPr>
              <w:noProof/>
            </w:rPr>
            <w:t xml:space="preserve"> </w:t>
          </w:r>
          <w:r w:rsidR="0061265F" w:rsidRPr="0061265F">
            <w:rPr>
              <w:noProof/>
            </w:rPr>
            <w:t>[6]</w:t>
          </w:r>
          <w:r w:rsidR="0000310B">
            <w:fldChar w:fldCharType="end"/>
          </w:r>
        </w:sdtContent>
      </w:sdt>
      <w:r w:rsidR="00D80387">
        <w:t>. Part of the service it gives to DHCW is 24/7 support for Citrix related issues.</w:t>
      </w:r>
    </w:p>
    <w:p w14:paraId="08A0728B" w14:textId="5446A535" w:rsidR="00743269" w:rsidRPr="001816C2" w:rsidRDefault="00B830B0">
      <w:r>
        <w:t xml:space="preserve">This piece of literature was chosen as it offers a concise summary of </w:t>
      </w:r>
      <w:r w:rsidR="0050181C">
        <w:t xml:space="preserve">the role Citrix plays in an organisation. </w:t>
      </w:r>
      <w:r w:rsidR="0062732C">
        <w:t>It justifies the reasoning of DHCW choosing Citrix as its solution to delivering its</w:t>
      </w:r>
      <w:r w:rsidR="009E13D2">
        <w:t xml:space="preserve"> essential services, as it is the most efficient application and desktop delivery method available to the organisation. </w:t>
      </w:r>
      <w:r w:rsidR="00743269">
        <w:t>The text is written by IT Pro,</w:t>
      </w:r>
      <w:r w:rsidR="00954C41">
        <w:t xml:space="preserve"> a news outlet that specialises in IT. Their aim to is aid businesses in making </w:t>
      </w:r>
      <w:r w:rsidR="007B0605">
        <w:t>decisions when it comes to IT products. It is a relatively recent piece of text and is very positive about Citrix.</w:t>
      </w:r>
      <w:r w:rsidR="00231D1F">
        <w:t xml:space="preserve"> As the aim of the text is to guide real-world IT decisions</w:t>
      </w:r>
      <w:sdt>
        <w:sdtPr>
          <w:id w:val="532778975"/>
          <w:citation/>
        </w:sdtPr>
        <w:sdtEndPr/>
        <w:sdtContent>
          <w:r w:rsidR="00231D1F">
            <w:fldChar w:fldCharType="begin"/>
          </w:r>
          <w:r w:rsidR="00231D1F">
            <w:instrText xml:space="preserve"> CITATION ITP22 \l 2057 </w:instrText>
          </w:r>
          <w:r w:rsidR="00231D1F">
            <w:fldChar w:fldCharType="separate"/>
          </w:r>
          <w:r w:rsidR="0061265F">
            <w:rPr>
              <w:noProof/>
            </w:rPr>
            <w:t xml:space="preserve"> </w:t>
          </w:r>
          <w:r w:rsidR="0061265F" w:rsidRPr="0061265F">
            <w:rPr>
              <w:noProof/>
            </w:rPr>
            <w:t>[7]</w:t>
          </w:r>
          <w:r w:rsidR="00231D1F">
            <w:fldChar w:fldCharType="end"/>
          </w:r>
        </w:sdtContent>
      </w:sdt>
      <w:r w:rsidR="00C01056">
        <w:t>, it can be considered a reliable source to inform about Citrix.</w:t>
      </w:r>
      <w:r w:rsidR="00E55985">
        <w:t xml:space="preserve"> </w:t>
      </w:r>
      <w:r w:rsidR="00FB3A4D">
        <w:t>DHCW use several of the features listed in the text and are soon to be using new features such as Citrix Cloud.</w:t>
      </w:r>
    </w:p>
    <w:p w14:paraId="345E855E" w14:textId="77777777" w:rsidR="001816C2" w:rsidRPr="001816C2" w:rsidRDefault="001816C2"/>
    <w:p w14:paraId="65D283D6" w14:textId="58188CB2" w:rsidR="00571E76" w:rsidRDefault="00571E76">
      <w:pPr>
        <w:rPr>
          <w:b/>
          <w:bCs/>
          <w:u w:val="single"/>
        </w:rPr>
      </w:pPr>
    </w:p>
    <w:p w14:paraId="40DA6E58" w14:textId="01393AEA" w:rsidR="00571E76" w:rsidRDefault="00571E76" w:rsidP="00C20C57">
      <w:pPr>
        <w:pStyle w:val="Heading2"/>
        <w:numPr>
          <w:ilvl w:val="1"/>
          <w:numId w:val="1"/>
        </w:numPr>
      </w:pPr>
      <w:bookmarkStart w:id="3" w:name="_Toc112760754"/>
      <w:r>
        <w:t>Enterprise Innovation</w:t>
      </w:r>
      <w:bookmarkEnd w:id="3"/>
      <w:r>
        <w:t xml:space="preserve"> </w:t>
      </w:r>
    </w:p>
    <w:p w14:paraId="63B3BBD1" w14:textId="77777777" w:rsidR="00C20C57" w:rsidRPr="00C20C57" w:rsidRDefault="00C20C57" w:rsidP="00C20C57">
      <w:pPr>
        <w:pStyle w:val="ListParagraph"/>
        <w:ind w:left="750"/>
      </w:pPr>
    </w:p>
    <w:p w14:paraId="5F0B1183" w14:textId="7F1EE0E9" w:rsidR="00D8587A" w:rsidRDefault="00D151FA">
      <w:r>
        <w:t xml:space="preserve">Since one of the main reasons for upgrading the </w:t>
      </w:r>
      <w:proofErr w:type="spellStart"/>
      <w:r>
        <w:t>Canisc</w:t>
      </w:r>
      <w:proofErr w:type="spellEnd"/>
      <w:r>
        <w:t xml:space="preserve"> Citrix environment is due to the poor performance of the service. Whils</w:t>
      </w:r>
      <w:r w:rsidR="00C67034">
        <w:t xml:space="preserve">t there are several factors contributing to </w:t>
      </w:r>
      <w:proofErr w:type="spellStart"/>
      <w:r w:rsidR="00C67034">
        <w:t>Canisc’s</w:t>
      </w:r>
      <w:proofErr w:type="spellEnd"/>
      <w:r w:rsidR="00C67034">
        <w:t xml:space="preserve"> poor performance</w:t>
      </w:r>
      <w:r w:rsidR="00E00177">
        <w:t xml:space="preserve">, other literatures suggest that Citrix LTSR 1912 would almost certainly improve its performance. However, </w:t>
      </w:r>
      <w:r w:rsidR="00580BCA">
        <w:t>it is possible for DHCW to move away from Citrix all together and utilise other virtualization tools on the market.</w:t>
      </w:r>
      <w:r w:rsidR="00B54017">
        <w:t xml:space="preserve"> DHCW should justify its reason for sticking with Citrix, and </w:t>
      </w:r>
      <w:r w:rsidR="00A243C2">
        <w:t>the below trade journal</w:t>
      </w:r>
      <w:r w:rsidR="00442042">
        <w:t xml:space="preserve"> article</w:t>
      </w:r>
      <w:r w:rsidR="00A243C2">
        <w:t xml:space="preserve"> entr</w:t>
      </w:r>
      <w:r w:rsidR="00F50E7E">
        <w:t>y</w:t>
      </w:r>
      <w:r w:rsidR="00A243C2">
        <w:t xml:space="preserve"> backs this decision.</w:t>
      </w:r>
    </w:p>
    <w:p w14:paraId="620D75CD" w14:textId="506D2D3D" w:rsidR="005C1F4D" w:rsidRDefault="005C1F4D">
      <w:r>
        <w:t>The study</w:t>
      </w:r>
      <w:r w:rsidR="00273148">
        <w:t xml:space="preserve"> describes the Singapore Health Ministry’s decision to </w:t>
      </w:r>
      <w:r w:rsidR="002E028A">
        <w:t xml:space="preserve">use Citrix </w:t>
      </w:r>
      <w:proofErr w:type="gramStart"/>
      <w:r w:rsidR="002E028A">
        <w:t>in an attempt to</w:t>
      </w:r>
      <w:proofErr w:type="gramEnd"/>
      <w:r w:rsidR="002E028A">
        <w:t xml:space="preserve"> improve productivity and mobility of staff that work in the public healthcare</w:t>
      </w:r>
      <w:r w:rsidR="004124BD">
        <w:t>.</w:t>
      </w:r>
      <w:r w:rsidR="00DF0101">
        <w:t xml:space="preserve"> </w:t>
      </w:r>
      <w:r w:rsidR="002C4D5F">
        <w:t>Citrix being utilised in this environment allows for healthcare staff to use any device to access patient data</w:t>
      </w:r>
      <w:r w:rsidR="001B40C4">
        <w:t xml:space="preserve"> or review treatment orders</w:t>
      </w:r>
      <w:r w:rsidR="007B7956">
        <w:t xml:space="preserve">, </w:t>
      </w:r>
      <w:r w:rsidR="0078624E">
        <w:t>with data being stored in a central database rather than on individual devices. Staff can use their own devices to access information</w:t>
      </w:r>
      <w:r w:rsidR="001528E2">
        <w:t xml:space="preserve"> beyond offices and hospitals to improve efficiency of patient care</w:t>
      </w:r>
      <w:sdt>
        <w:sdtPr>
          <w:id w:val="-1341229124"/>
          <w:citation/>
        </w:sdtPr>
        <w:sdtEndPr/>
        <w:sdtContent>
          <w:r w:rsidR="00871F1D">
            <w:fldChar w:fldCharType="begin"/>
          </w:r>
          <w:r w:rsidR="00871F1D">
            <w:instrText xml:space="preserve"> CITATION Ent14 \l 2057 </w:instrText>
          </w:r>
          <w:r w:rsidR="00871F1D">
            <w:fldChar w:fldCharType="separate"/>
          </w:r>
          <w:r w:rsidR="0061265F">
            <w:rPr>
              <w:noProof/>
            </w:rPr>
            <w:t xml:space="preserve"> </w:t>
          </w:r>
          <w:r w:rsidR="0061265F" w:rsidRPr="0061265F">
            <w:rPr>
              <w:noProof/>
            </w:rPr>
            <w:t>[8]</w:t>
          </w:r>
          <w:r w:rsidR="00871F1D">
            <w:fldChar w:fldCharType="end"/>
          </w:r>
        </w:sdtContent>
      </w:sdt>
      <w:r w:rsidR="001528E2">
        <w:t>.</w:t>
      </w:r>
      <w:r w:rsidR="0031639D">
        <w:t xml:space="preserve"> By </w:t>
      </w:r>
      <w:r w:rsidR="005E7B2D">
        <w:t xml:space="preserve">taking advantage of Citrix’s virtual solutions, applications and data can be delivered to any device across healthcare settings, without the need of </w:t>
      </w:r>
      <w:r w:rsidR="00442042">
        <w:t>each device being configured individually.</w:t>
      </w:r>
    </w:p>
    <w:p w14:paraId="75F11436" w14:textId="196E91BA" w:rsidR="00442042" w:rsidRDefault="00442042">
      <w:r>
        <w:t>The article certainly supports DHCW’s decision to use Citrix to delivery</w:t>
      </w:r>
      <w:r w:rsidR="00A84930">
        <w:t xml:space="preserve"> services across NHS Wales</w:t>
      </w:r>
      <w:r w:rsidR="00ED1F1E">
        <w:t>, however the purpose of the article must be considered.</w:t>
      </w:r>
      <w:r w:rsidR="00D919C6">
        <w:t xml:space="preserve"> It was chosen due to </w:t>
      </w:r>
      <w:r w:rsidR="00076454">
        <w:t xml:space="preserve">it relating to Citrix within a healthcare environment </w:t>
      </w:r>
      <w:proofErr w:type="gramStart"/>
      <w:r w:rsidR="00076454">
        <w:t>similar to</w:t>
      </w:r>
      <w:proofErr w:type="gramEnd"/>
      <w:r w:rsidR="00076454">
        <w:t xml:space="preserve"> DHCW.</w:t>
      </w:r>
      <w:r w:rsidR="009B5C01">
        <w:t xml:space="preserve"> The article was written prior to Citrix being deployed </w:t>
      </w:r>
      <w:r w:rsidR="000920E1">
        <w:t xml:space="preserve">to </w:t>
      </w:r>
      <w:r w:rsidR="000920E1">
        <w:lastRenderedPageBreak/>
        <w:t xml:space="preserve">Singapore Healthcare </w:t>
      </w:r>
      <w:r w:rsidR="00AB5843">
        <w:t>sites;</w:t>
      </w:r>
      <w:r w:rsidR="000920E1">
        <w:t xml:space="preserve"> </w:t>
      </w:r>
      <w:proofErr w:type="gramStart"/>
      <w:r w:rsidR="000920E1">
        <w:t>therefore</w:t>
      </w:r>
      <w:proofErr w:type="gramEnd"/>
      <w:r w:rsidR="000920E1">
        <w:t xml:space="preserve"> it is not guaranteed that deploying Citrix in this environment achieved the </w:t>
      </w:r>
      <w:r w:rsidR="00032D76">
        <w:t>results it had hoped for.</w:t>
      </w:r>
      <w:r w:rsidR="008F4334">
        <w:t xml:space="preserve"> It makes claims about the benefits </w:t>
      </w:r>
      <w:r w:rsidR="00151294">
        <w:t>deploying Citrix will bring, however as there is no data to support this claim, it must be carefully considered.</w:t>
      </w:r>
      <w:r w:rsidR="00623506">
        <w:t xml:space="preserve"> It is also stated that it hopes to support 30,000 staff</w:t>
      </w:r>
      <w:r w:rsidR="003958D7">
        <w:t>, whereas NHS Wales employs over double this number</w:t>
      </w:r>
      <w:sdt>
        <w:sdtPr>
          <w:id w:val="-1043055506"/>
          <w:citation/>
        </w:sdtPr>
        <w:sdtEndPr/>
        <w:sdtContent>
          <w:r w:rsidR="008D177F">
            <w:fldChar w:fldCharType="begin"/>
          </w:r>
          <w:r w:rsidR="008D177F">
            <w:instrText xml:space="preserve"> CITATION NHS22 \l 2057 </w:instrText>
          </w:r>
          <w:r w:rsidR="008D177F">
            <w:fldChar w:fldCharType="separate"/>
          </w:r>
          <w:r w:rsidR="0061265F">
            <w:rPr>
              <w:noProof/>
            </w:rPr>
            <w:t xml:space="preserve"> </w:t>
          </w:r>
          <w:r w:rsidR="0061265F" w:rsidRPr="0061265F">
            <w:rPr>
              <w:noProof/>
            </w:rPr>
            <w:t>[9]</w:t>
          </w:r>
          <w:r w:rsidR="008D177F">
            <w:fldChar w:fldCharType="end"/>
          </w:r>
        </w:sdtContent>
      </w:sdt>
      <w:r w:rsidR="00C655E6">
        <w:t xml:space="preserve">. This must be considered when </w:t>
      </w:r>
      <w:r w:rsidR="008D177F">
        <w:t xml:space="preserve">upgrading the Citrix infrastructure. </w:t>
      </w:r>
      <w:r w:rsidR="00E61193">
        <w:t xml:space="preserve">In summary, DHCW should continue to pursue </w:t>
      </w:r>
      <w:r w:rsidR="00B32150">
        <w:t xml:space="preserve">Citrix as its virtualization solution based on this article as </w:t>
      </w:r>
      <w:r w:rsidR="00DE4331">
        <w:t xml:space="preserve">the services it delivers have been designed to suit Citrix’s features. However, the </w:t>
      </w:r>
      <w:proofErr w:type="spellStart"/>
      <w:r w:rsidR="00DE4331">
        <w:t>Canisc</w:t>
      </w:r>
      <w:proofErr w:type="spellEnd"/>
      <w:r w:rsidR="00DE4331">
        <w:t xml:space="preserve"> environment must be upgraded to the latest version to improve its performance.</w:t>
      </w:r>
    </w:p>
    <w:p w14:paraId="41D95480" w14:textId="498B9ABA" w:rsidR="00AE43FC" w:rsidRDefault="00AE43FC"/>
    <w:p w14:paraId="0BBB9E73" w14:textId="77777777" w:rsidR="00AE43FC" w:rsidRDefault="00AE43FC"/>
    <w:p w14:paraId="5B29531F" w14:textId="27BA6993" w:rsidR="00076454" w:rsidRDefault="00AE43FC" w:rsidP="00AE43FC">
      <w:pPr>
        <w:pStyle w:val="Heading2"/>
        <w:numPr>
          <w:ilvl w:val="1"/>
          <w:numId w:val="1"/>
        </w:numPr>
      </w:pPr>
      <w:bookmarkStart w:id="4" w:name="_Toc112760755"/>
      <w:r>
        <w:t>Previous Citrix Upgrades by DHCW</w:t>
      </w:r>
      <w:bookmarkEnd w:id="4"/>
    </w:p>
    <w:p w14:paraId="047C183C" w14:textId="7D6AF91A" w:rsidR="00AE43FC" w:rsidRDefault="00AE43FC" w:rsidP="00AE43FC"/>
    <w:p w14:paraId="0BE35F39" w14:textId="23F04BAA" w:rsidR="00AE43FC" w:rsidRDefault="00B25705" w:rsidP="00AE43FC">
      <w:r>
        <w:t>Since DHCW</w:t>
      </w:r>
      <w:r w:rsidR="00E945E9">
        <w:t xml:space="preserve"> delivers several essential healthcare services using Citrix, it is possible to view previous installations or upgrades of Citrix </w:t>
      </w:r>
      <w:r w:rsidR="00A915E8">
        <w:t>environments for analysis. Most recently, the Citrix team upgraded its WPAS environment to Citrix 1912</w:t>
      </w:r>
      <w:r w:rsidR="002D3BBD">
        <w:t xml:space="preserve"> LTSR, the same version </w:t>
      </w:r>
      <w:proofErr w:type="spellStart"/>
      <w:r w:rsidR="002D3BBD">
        <w:t>Canisc</w:t>
      </w:r>
      <w:proofErr w:type="spellEnd"/>
      <w:r w:rsidR="002D3BBD">
        <w:t xml:space="preserve"> will be moved to. This makes analysing this case study valuable </w:t>
      </w:r>
      <w:r w:rsidR="008D7972">
        <w:t>to this project.</w:t>
      </w:r>
      <w:r w:rsidR="00A460D4">
        <w:t xml:space="preserve"> </w:t>
      </w:r>
      <w:proofErr w:type="spellStart"/>
      <w:r w:rsidR="00AE3E2D">
        <w:t>Canisc</w:t>
      </w:r>
      <w:proofErr w:type="spellEnd"/>
      <w:r w:rsidR="00AE3E2D">
        <w:t xml:space="preserve"> was on an older version of Citrix compared to the version WPAS was on prior to it being upgraded, this means the reasons for upgrading</w:t>
      </w:r>
      <w:r w:rsidR="005B3433">
        <w:t xml:space="preserve"> will be similar, if not identical.</w:t>
      </w:r>
      <w:r w:rsidR="00D02323">
        <w:t xml:space="preserve"> The Citrix team stated that their primary reasons for upgrading WPAS to Citrix 1912 are:</w:t>
      </w:r>
    </w:p>
    <w:p w14:paraId="54938D6D" w14:textId="0D277766" w:rsidR="00D02323" w:rsidRDefault="00D02323" w:rsidP="00D02323">
      <w:pPr>
        <w:pStyle w:val="ListParagraph"/>
        <w:numPr>
          <w:ilvl w:val="0"/>
          <w:numId w:val="2"/>
        </w:numPr>
      </w:pPr>
      <w:r>
        <w:t>Security Reasons</w:t>
      </w:r>
    </w:p>
    <w:p w14:paraId="3E1C3FEC" w14:textId="2AA26BDB" w:rsidR="00D02323" w:rsidRDefault="00D02323" w:rsidP="00D02323">
      <w:pPr>
        <w:pStyle w:val="ListParagraph"/>
        <w:numPr>
          <w:ilvl w:val="0"/>
          <w:numId w:val="2"/>
        </w:numPr>
      </w:pPr>
      <w:r>
        <w:t>Bug Fixes</w:t>
      </w:r>
    </w:p>
    <w:p w14:paraId="3410798A" w14:textId="156F6F3C" w:rsidR="00D02323" w:rsidRDefault="00D02323" w:rsidP="00D02323">
      <w:pPr>
        <w:pStyle w:val="ListParagraph"/>
        <w:numPr>
          <w:ilvl w:val="0"/>
          <w:numId w:val="2"/>
        </w:numPr>
      </w:pPr>
      <w:r>
        <w:t>Performance enhancements</w:t>
      </w:r>
    </w:p>
    <w:p w14:paraId="6F0B016C" w14:textId="27E49CE1" w:rsidR="00D02323" w:rsidRDefault="004156A0" w:rsidP="00D02323">
      <w:r>
        <w:t xml:space="preserve">These are broad yet vague reasons for upgrading the environment, however due to the role of </w:t>
      </w:r>
      <w:proofErr w:type="spellStart"/>
      <w:r>
        <w:t>Canisc</w:t>
      </w:r>
      <w:proofErr w:type="spellEnd"/>
      <w:r>
        <w:t xml:space="preserve"> in NHS Wales</w:t>
      </w:r>
      <w:r w:rsidR="0084755E">
        <w:t xml:space="preserve">, it is essential that the </w:t>
      </w:r>
      <w:proofErr w:type="spellStart"/>
      <w:r w:rsidR="0084755E">
        <w:t>Canisc</w:t>
      </w:r>
      <w:proofErr w:type="spellEnd"/>
      <w:r w:rsidR="0084755E">
        <w:t xml:space="preserve"> environment is as secure as possible.</w:t>
      </w:r>
      <w:r w:rsidR="00F90652">
        <w:t xml:space="preserve"> A known vulnerability has been discovered that affects the hypervisor </w:t>
      </w:r>
      <w:proofErr w:type="spellStart"/>
      <w:r w:rsidR="00F90652">
        <w:t>Canisc</w:t>
      </w:r>
      <w:proofErr w:type="spellEnd"/>
      <w:r w:rsidR="00F90652">
        <w:t xml:space="preserve"> is hosted on, VMWare. All servers relating to </w:t>
      </w:r>
      <w:proofErr w:type="spellStart"/>
      <w:r w:rsidR="00F90652">
        <w:t>Canisc</w:t>
      </w:r>
      <w:proofErr w:type="spellEnd"/>
      <w:r w:rsidR="00F90652">
        <w:t xml:space="preserve"> are hosted in the</w:t>
      </w:r>
      <w:r w:rsidR="000709F7">
        <w:t xml:space="preserve"> VMWare environment, therefore are all susceptible to this threat. The threat is known as Apache Log4J</w:t>
      </w:r>
      <w:r w:rsidR="006A4BE2">
        <w:t>, a</w:t>
      </w:r>
      <w:r w:rsidR="00AA00D1">
        <w:t>nd if the threat is executed, cyber attackers could have the ability to execute malicious code on a VDA</w:t>
      </w:r>
      <w:r w:rsidR="008661C1">
        <w:t xml:space="preserve"> and cause a denial of service</w:t>
      </w:r>
      <w:r w:rsidR="00105356">
        <w:t xml:space="preserve">. Upgrading the </w:t>
      </w:r>
      <w:proofErr w:type="spellStart"/>
      <w:r w:rsidR="00105356">
        <w:t>Canisc</w:t>
      </w:r>
      <w:proofErr w:type="spellEnd"/>
      <w:r w:rsidR="00105356">
        <w:t xml:space="preserve"> Citrix environment to Citrix 1912 can eliminate the threat</w:t>
      </w:r>
      <w:sdt>
        <w:sdtPr>
          <w:id w:val="144020139"/>
          <w:citation/>
        </w:sdtPr>
        <w:sdtEndPr/>
        <w:sdtContent>
          <w:r w:rsidR="00983066">
            <w:fldChar w:fldCharType="begin"/>
          </w:r>
          <w:r w:rsidR="00983066">
            <w:instrText xml:space="preserve"> CITATION Cit213 \l 2057 </w:instrText>
          </w:r>
          <w:r w:rsidR="00983066">
            <w:fldChar w:fldCharType="separate"/>
          </w:r>
          <w:r w:rsidR="00983066">
            <w:rPr>
              <w:noProof/>
            </w:rPr>
            <w:t xml:space="preserve"> </w:t>
          </w:r>
          <w:r w:rsidR="00983066" w:rsidRPr="00983066">
            <w:rPr>
              <w:noProof/>
            </w:rPr>
            <w:t>[10]</w:t>
          </w:r>
          <w:r w:rsidR="00983066">
            <w:fldChar w:fldCharType="end"/>
          </w:r>
        </w:sdtContent>
      </w:sdt>
      <w:r w:rsidR="008661C1">
        <w:t>.</w:t>
      </w:r>
      <w:r w:rsidR="00DB7897">
        <w:t xml:space="preserve"> </w:t>
      </w:r>
      <w:r w:rsidR="00E30972">
        <w:t>In an environment such as NHS Wales,</w:t>
      </w:r>
      <w:r w:rsidR="00D07615">
        <w:t xml:space="preserve"> removing the threat of Apache Log4</w:t>
      </w:r>
      <w:r w:rsidR="008B7CF0">
        <w:t>J</w:t>
      </w:r>
      <w:r w:rsidR="00D07615">
        <w:t xml:space="preserve"> should be an absolute priority.</w:t>
      </w:r>
      <w:r w:rsidR="008B7CF0">
        <w:t xml:space="preserve"> Citrix have recommended all customers installing the latest updates to counteract Apache Log4J</w:t>
      </w:r>
      <w:r w:rsidR="001E317E">
        <w:t xml:space="preserve">. The DHCW do not necessarily need to upgrade the environment to remove the threat, they could simply install the latest Citrix updates. However, since the </w:t>
      </w:r>
      <w:proofErr w:type="spellStart"/>
      <w:r w:rsidR="001E317E">
        <w:t>Canisc</w:t>
      </w:r>
      <w:proofErr w:type="spellEnd"/>
      <w:r w:rsidR="001E317E">
        <w:t xml:space="preserve"> Citrix environment is already overdue an upgrade, upgrading the environment is the obvious </w:t>
      </w:r>
      <w:r w:rsidR="001F45C7">
        <w:t>choice. Apache Log4J puts patient data and the patient experience at risk,</w:t>
      </w:r>
      <w:r w:rsidR="004C3B63">
        <w:t xml:space="preserve"> several services are hosted on VMWare, therefore all services should be upgraded to Citrix 1912 if they are currently on an earlier version.</w:t>
      </w:r>
    </w:p>
    <w:p w14:paraId="08632D79" w14:textId="2E23BDB7" w:rsidR="003C481C" w:rsidRDefault="00BD46D4" w:rsidP="00D02323">
      <w:r>
        <w:t>Looking at previous upgrade</w:t>
      </w:r>
      <w:r w:rsidR="00084455">
        <w:t xml:space="preserve"> tasks in DHCW proves to be beneficial to the project as it can highlight</w:t>
      </w:r>
      <w:r w:rsidR="0046154A">
        <w:t xml:space="preserve"> issues such as Apache Log4J</w:t>
      </w:r>
      <w:r w:rsidR="00174FD5">
        <w:t>, as well as give the Citrix team the opportunity to analyse the performance of the service post upgrade.</w:t>
      </w:r>
      <w:r w:rsidR="004D320C">
        <w:t xml:space="preserve"> However, it must be taken into consideration that not all</w:t>
      </w:r>
      <w:r w:rsidR="002C7A14">
        <w:t xml:space="preserve"> DHCW services are the same. When looking at WPAS, it is not considered to be an unstable service like </w:t>
      </w:r>
      <w:proofErr w:type="spellStart"/>
      <w:r w:rsidR="002C7A14">
        <w:t>Canisc</w:t>
      </w:r>
      <w:proofErr w:type="spellEnd"/>
      <w:r w:rsidR="002C7A14">
        <w:t>,</w:t>
      </w:r>
      <w:r w:rsidR="00B457B2">
        <w:t xml:space="preserve"> and</w:t>
      </w:r>
      <w:r w:rsidR="00CC17E8">
        <w:t xml:space="preserve"> </w:t>
      </w:r>
      <w:r w:rsidR="00B457B2">
        <w:t xml:space="preserve">experiences far higher traffic than </w:t>
      </w:r>
      <w:proofErr w:type="spellStart"/>
      <w:r w:rsidR="00B457B2">
        <w:t>Canisc</w:t>
      </w:r>
      <w:proofErr w:type="spellEnd"/>
      <w:r w:rsidR="00B457B2">
        <w:t>.</w:t>
      </w:r>
      <w:r w:rsidR="00CC17E8">
        <w:t xml:space="preserve"> The two environments may not respond the same to being upgraded to Citrix 1912</w:t>
      </w:r>
      <w:r w:rsidR="00985ACB">
        <w:t xml:space="preserve">, especially considering the instability of </w:t>
      </w:r>
      <w:proofErr w:type="spellStart"/>
      <w:r w:rsidR="00985ACB">
        <w:t>Canisc</w:t>
      </w:r>
      <w:proofErr w:type="spellEnd"/>
      <w:r w:rsidR="00985ACB">
        <w:t>.</w:t>
      </w:r>
    </w:p>
    <w:p w14:paraId="2C31D326" w14:textId="0E7E1F17" w:rsidR="005842C1" w:rsidRDefault="005842C1" w:rsidP="00D02323"/>
    <w:p w14:paraId="177B775F" w14:textId="02A66D18" w:rsidR="005842C1" w:rsidRDefault="00DC1856" w:rsidP="00DC1856">
      <w:pPr>
        <w:pStyle w:val="Heading2"/>
        <w:numPr>
          <w:ilvl w:val="1"/>
          <w:numId w:val="1"/>
        </w:numPr>
      </w:pPr>
      <w:bookmarkStart w:id="5" w:name="_Toc112760756"/>
      <w:r>
        <w:t>NHS England Digital Upgrade</w:t>
      </w:r>
      <w:bookmarkEnd w:id="5"/>
    </w:p>
    <w:p w14:paraId="2783B43E" w14:textId="602F741C" w:rsidR="00DC1856" w:rsidRDefault="00DC1856" w:rsidP="00DC1856"/>
    <w:p w14:paraId="17863ACE" w14:textId="312B0FE1" w:rsidR="00DC1856" w:rsidRPr="00DC1856" w:rsidRDefault="00CF2CD1" w:rsidP="00DC1856">
      <w:r>
        <w:lastRenderedPageBreak/>
        <w:t xml:space="preserve">The </w:t>
      </w:r>
      <w:proofErr w:type="spellStart"/>
      <w:r>
        <w:t>Canisc</w:t>
      </w:r>
      <w:proofErr w:type="spellEnd"/>
      <w:r>
        <w:t xml:space="preserve"> Citrix environment currently runs on Citrix </w:t>
      </w:r>
      <w:r w:rsidR="00FA1627">
        <w:t>7.15. In July 2021, NHS England published guidance to its health boards</w:t>
      </w:r>
      <w:r w:rsidR="008D5240">
        <w:t xml:space="preserve"> recommending</w:t>
      </w:r>
      <w:r w:rsidR="006237A6">
        <w:t xml:space="preserve"> any environments running off this version be upgraded to Citrix 1912 as a minimum, due to a newly discovered explo</w:t>
      </w:r>
      <w:r w:rsidR="005D7568">
        <w:t>i</w:t>
      </w:r>
      <w:r w:rsidR="006237A6">
        <w:t>t affecting Citrix 7.15.</w:t>
      </w:r>
      <w:r w:rsidR="009C4D8F">
        <w:t xml:space="preserve"> </w:t>
      </w:r>
      <w:r w:rsidR="00FE15E7">
        <w:t>This text is relevant to the project as it is</w:t>
      </w:r>
      <w:r w:rsidR="005D7568">
        <w:t xml:space="preserve"> both set in a healthcare environment and directed at Citrix environments</w:t>
      </w:r>
      <w:r w:rsidR="00BE6BE3">
        <w:t xml:space="preserve"> on the same version as </w:t>
      </w:r>
      <w:proofErr w:type="spellStart"/>
      <w:r w:rsidR="00BE6BE3">
        <w:t>Canisc</w:t>
      </w:r>
      <w:proofErr w:type="spellEnd"/>
      <w:r w:rsidR="00BE6BE3">
        <w:t>.</w:t>
      </w:r>
      <w:r w:rsidR="003C26A7">
        <w:t xml:space="preserve"> The vulnerability </w:t>
      </w:r>
      <w:r w:rsidR="006672EF">
        <w:t xml:space="preserve">poses a serious threat to the </w:t>
      </w:r>
      <w:proofErr w:type="spellStart"/>
      <w:r w:rsidR="006672EF">
        <w:t>Canisc</w:t>
      </w:r>
      <w:proofErr w:type="spellEnd"/>
      <w:r w:rsidR="006672EF">
        <w:t xml:space="preserve"> environment </w:t>
      </w:r>
      <w:proofErr w:type="gramStart"/>
      <w:r w:rsidR="006672EF">
        <w:t>as long as</w:t>
      </w:r>
      <w:proofErr w:type="gramEnd"/>
      <w:r w:rsidR="006672EF">
        <w:t xml:space="preserve"> it remains on Citrix 7.15.</w:t>
      </w:r>
      <w:r w:rsidR="006336CD">
        <w:t xml:space="preserve"> It allows users to gain administrator access on a VDA which, particularly in a healthcare environment,</w:t>
      </w:r>
      <w:r w:rsidR="001A2F39">
        <w:t xml:space="preserve"> poses a great risk of data loss</w:t>
      </w:r>
      <w:sdt>
        <w:sdtPr>
          <w:id w:val="1485273785"/>
          <w:citation/>
        </w:sdtPr>
        <w:sdtEndPr/>
        <w:sdtContent>
          <w:r w:rsidR="00A8355D">
            <w:fldChar w:fldCharType="begin"/>
          </w:r>
          <w:r w:rsidR="00A8355D">
            <w:instrText xml:space="preserve"> CITATION Cit214 \l 2057 </w:instrText>
          </w:r>
          <w:r w:rsidR="00A8355D">
            <w:fldChar w:fldCharType="separate"/>
          </w:r>
          <w:r w:rsidR="00A8355D">
            <w:rPr>
              <w:noProof/>
            </w:rPr>
            <w:t xml:space="preserve"> </w:t>
          </w:r>
          <w:r w:rsidR="00A8355D" w:rsidRPr="00A8355D">
            <w:rPr>
              <w:noProof/>
            </w:rPr>
            <w:t>[11]</w:t>
          </w:r>
          <w:r w:rsidR="00A8355D">
            <w:fldChar w:fldCharType="end"/>
          </w:r>
        </w:sdtContent>
      </w:sdt>
      <w:r w:rsidR="001A2F39">
        <w:t>.</w:t>
      </w:r>
      <w:r w:rsidR="005D7568">
        <w:t xml:space="preserve"> </w:t>
      </w:r>
      <w:r w:rsidR="00867CD1">
        <w:t xml:space="preserve"> </w:t>
      </w:r>
      <w:proofErr w:type="spellStart"/>
      <w:r w:rsidR="00867CD1">
        <w:t>Canisc</w:t>
      </w:r>
      <w:proofErr w:type="spellEnd"/>
      <w:r w:rsidR="00867CD1">
        <w:t xml:space="preserve"> handles sensitive data, therefore it is essential the threat is eliminated</w:t>
      </w:r>
      <w:r w:rsidR="007117D0">
        <w:t>. However, the text suggests that a hotfix can patch the vulnerability, meaning a</w:t>
      </w:r>
      <w:r w:rsidR="00425031">
        <w:t xml:space="preserve">n upgrade is not necessary. As with the previous piece of literature, it </w:t>
      </w:r>
      <w:r w:rsidR="003432CC">
        <w:t xml:space="preserve">is assumed that upgrading </w:t>
      </w:r>
      <w:proofErr w:type="spellStart"/>
      <w:r w:rsidR="003432CC">
        <w:t>Canisc</w:t>
      </w:r>
      <w:proofErr w:type="spellEnd"/>
      <w:r w:rsidR="003432CC">
        <w:t xml:space="preserve"> to the latest version of Citrix 1912 is the most obvious way forward.</w:t>
      </w:r>
      <w:r w:rsidR="002245D3">
        <w:t xml:space="preserve"> If the DHCW Citrix team feel the vulnerability needs to be patched immediately, it can apply the hotfix</w:t>
      </w:r>
      <w:r w:rsidR="00FE4616">
        <w:t xml:space="preserve">, though since an upgrade to </w:t>
      </w:r>
      <w:proofErr w:type="spellStart"/>
      <w:r w:rsidR="00FE4616">
        <w:t>Canisc</w:t>
      </w:r>
      <w:proofErr w:type="spellEnd"/>
      <w:r w:rsidR="00FE4616">
        <w:t xml:space="preserve"> is essential it should proceed with the upgrade.</w:t>
      </w:r>
    </w:p>
    <w:p w14:paraId="0E9E63BB" w14:textId="3990B067" w:rsidR="007C574A" w:rsidRDefault="007C574A"/>
    <w:p w14:paraId="7ECC2E17" w14:textId="7A111DEA" w:rsidR="007C574A" w:rsidRDefault="007C574A"/>
    <w:p w14:paraId="7DB59A0F" w14:textId="4272DC49" w:rsidR="007C574A" w:rsidRDefault="007C574A" w:rsidP="007C574A">
      <w:pPr>
        <w:pStyle w:val="Heading1"/>
        <w:numPr>
          <w:ilvl w:val="0"/>
          <w:numId w:val="1"/>
        </w:numPr>
      </w:pPr>
      <w:bookmarkStart w:id="6" w:name="_Toc112760757"/>
      <w:r>
        <w:t>Research Methodology</w:t>
      </w:r>
      <w:bookmarkEnd w:id="6"/>
    </w:p>
    <w:p w14:paraId="0EF94D58" w14:textId="77777777" w:rsidR="00470A1A" w:rsidRDefault="00470A1A" w:rsidP="00470A1A"/>
    <w:p w14:paraId="3BD90C0B" w14:textId="744F97FB" w:rsidR="00F6403F" w:rsidRPr="00EB1A00" w:rsidRDefault="00470A1A" w:rsidP="00470A1A">
      <w:pPr>
        <w:rPr>
          <w:i/>
          <w:iCs/>
        </w:rPr>
      </w:pPr>
      <w:r>
        <w:t>This section will address the research philosophy</w:t>
      </w:r>
      <w:r w:rsidR="002073BF">
        <w:t xml:space="preserve">, approach and strategy </w:t>
      </w:r>
      <w:r w:rsidR="00F66802">
        <w:t>and justify why they are thought to be the most suitable</w:t>
      </w:r>
      <w:r w:rsidR="00C87740">
        <w:t xml:space="preserve"> options for this project.</w:t>
      </w:r>
      <w:r w:rsidR="00EB1A00">
        <w:t xml:space="preserve"> The hypothesis set out to be tested in this project is </w:t>
      </w:r>
      <w:r w:rsidR="00EB1A00">
        <w:rPr>
          <w:i/>
          <w:iCs/>
        </w:rPr>
        <w:t xml:space="preserve">Upgrading </w:t>
      </w:r>
      <w:r w:rsidR="00F6403F">
        <w:rPr>
          <w:i/>
          <w:iCs/>
        </w:rPr>
        <w:t>an essential service in a healthcare environment to the latest version of Citrix will improve the efficiency of the service.</w:t>
      </w:r>
    </w:p>
    <w:p w14:paraId="1B0B38D2" w14:textId="77777777" w:rsidR="00C87740" w:rsidRDefault="00C87740" w:rsidP="00470A1A"/>
    <w:p w14:paraId="561D7819" w14:textId="04B15334" w:rsidR="00C87740" w:rsidRDefault="00C87740" w:rsidP="002247BB">
      <w:pPr>
        <w:pStyle w:val="Heading2"/>
        <w:numPr>
          <w:ilvl w:val="1"/>
          <w:numId w:val="1"/>
        </w:numPr>
      </w:pPr>
      <w:bookmarkStart w:id="7" w:name="_Toc112760758"/>
      <w:r>
        <w:t>Research Philosophy</w:t>
      </w:r>
      <w:bookmarkEnd w:id="7"/>
    </w:p>
    <w:p w14:paraId="667A80F0" w14:textId="77777777" w:rsidR="002247BB" w:rsidRDefault="002247BB" w:rsidP="009058B9"/>
    <w:p w14:paraId="5A7F3542" w14:textId="595DE237" w:rsidR="009058B9" w:rsidRDefault="009058B9" w:rsidP="009058B9">
      <w:r>
        <w:t>There are two schools of research philosophies to be considered for this project, these are:</w:t>
      </w:r>
    </w:p>
    <w:p w14:paraId="08BAC57E" w14:textId="0D2550C0" w:rsidR="009058B9" w:rsidRDefault="00EE655A" w:rsidP="009058B9">
      <w:pPr>
        <w:pStyle w:val="ListParagraph"/>
        <w:numPr>
          <w:ilvl w:val="0"/>
          <w:numId w:val="3"/>
        </w:numPr>
      </w:pPr>
      <w:r>
        <w:t>Phenomenology</w:t>
      </w:r>
    </w:p>
    <w:p w14:paraId="2DA97C91" w14:textId="041B2906" w:rsidR="00EE655A" w:rsidRDefault="00EE655A" w:rsidP="009058B9">
      <w:pPr>
        <w:pStyle w:val="ListParagraph"/>
        <w:numPr>
          <w:ilvl w:val="0"/>
          <w:numId w:val="3"/>
        </w:numPr>
      </w:pPr>
      <w:r>
        <w:t>Positivism</w:t>
      </w:r>
    </w:p>
    <w:p w14:paraId="50D1DDFA" w14:textId="2D4E9572" w:rsidR="00EE655A" w:rsidRDefault="001E26E6" w:rsidP="00EE655A">
      <w:r>
        <w:t>The phenomenology philosophy</w:t>
      </w:r>
      <w:r w:rsidR="00416AC6">
        <w:t xml:space="preserve"> </w:t>
      </w:r>
      <w:r w:rsidR="00DC43D6">
        <w:t xml:space="preserve">is a qualitative </w:t>
      </w:r>
      <w:r w:rsidR="005A721A">
        <w:t xml:space="preserve">form of research, utilising case studies and document analysis to offer that helps the </w:t>
      </w:r>
      <w:r w:rsidR="00FA00F3">
        <w:t>researchers study things that exist or have been experienced</w:t>
      </w:r>
      <w:sdt>
        <w:sdtPr>
          <w:id w:val="-628083838"/>
          <w:citation/>
        </w:sdtPr>
        <w:sdtEndPr/>
        <w:sdtContent>
          <w:r w:rsidR="000C6FB2">
            <w:fldChar w:fldCharType="begin"/>
          </w:r>
          <w:r w:rsidR="000C6FB2">
            <w:instrText xml:space="preserve"> CITATION Con12 \l 2057 </w:instrText>
          </w:r>
          <w:r w:rsidR="000C6FB2">
            <w:fldChar w:fldCharType="separate"/>
          </w:r>
          <w:r w:rsidR="000C6FB2">
            <w:rPr>
              <w:noProof/>
            </w:rPr>
            <w:t xml:space="preserve"> </w:t>
          </w:r>
          <w:r w:rsidR="000C6FB2" w:rsidRPr="000C6FB2">
            <w:rPr>
              <w:noProof/>
            </w:rPr>
            <w:t>[12]</w:t>
          </w:r>
          <w:r w:rsidR="000C6FB2">
            <w:fldChar w:fldCharType="end"/>
          </w:r>
        </w:sdtContent>
      </w:sdt>
      <w:r w:rsidR="007F76D1">
        <w:t>.</w:t>
      </w:r>
      <w:r w:rsidR="000C3295">
        <w:t xml:space="preserve"> Positivism holds the view that knowledge must be gained through observations</w:t>
      </w:r>
      <w:r w:rsidR="00626ADD">
        <w:t xml:space="preserve"> that are quantifiable</w:t>
      </w:r>
      <w:r w:rsidR="00FD5B49">
        <w:t>, allowing the researcher to test a theory against statistical data</w:t>
      </w:r>
      <w:r w:rsidR="00E00AC1">
        <w:t>. The researcher would need access to literature such as surveys and experiments to perform this form of research</w:t>
      </w:r>
      <w:sdt>
        <w:sdtPr>
          <w:id w:val="749464504"/>
          <w:citation/>
        </w:sdtPr>
        <w:sdtEndPr/>
        <w:sdtContent>
          <w:r w:rsidR="00E36ADE">
            <w:fldChar w:fldCharType="begin"/>
          </w:r>
          <w:r w:rsidR="00E36ADE">
            <w:instrText xml:space="preserve"> CITATION Fel15 \l 2057 </w:instrText>
          </w:r>
          <w:r w:rsidR="00E36ADE">
            <w:fldChar w:fldCharType="separate"/>
          </w:r>
          <w:r w:rsidR="000C6FB2">
            <w:rPr>
              <w:noProof/>
            </w:rPr>
            <w:t xml:space="preserve"> </w:t>
          </w:r>
          <w:r w:rsidR="000C6FB2" w:rsidRPr="000C6FB2">
            <w:rPr>
              <w:noProof/>
            </w:rPr>
            <w:t>[13]</w:t>
          </w:r>
          <w:r w:rsidR="00E36ADE">
            <w:fldChar w:fldCharType="end"/>
          </w:r>
        </w:sdtContent>
      </w:sdt>
      <w:r w:rsidR="00E00AC1">
        <w:t>.</w:t>
      </w:r>
    </w:p>
    <w:p w14:paraId="7C895FFA" w14:textId="423A65A5" w:rsidR="00ED11FC" w:rsidRDefault="00ED11FC" w:rsidP="00EE655A">
      <w:r>
        <w:t xml:space="preserve">For this project, </w:t>
      </w:r>
      <w:r w:rsidR="00C21DCA">
        <w:t xml:space="preserve">positivism has been chosen as the research philosophy. Using case studies </w:t>
      </w:r>
      <w:r w:rsidR="001F3FB6">
        <w:t xml:space="preserve">to understand previous Citrix upgrades and understand what </w:t>
      </w:r>
      <w:r w:rsidR="005F5FDB">
        <w:t>the DHCW Citrix team will experience aligns with the positivism philosophy. Positivism allows for more flexibility</w:t>
      </w:r>
      <w:r w:rsidR="00B90947">
        <w:t xml:space="preserve"> when </w:t>
      </w:r>
      <w:r w:rsidR="0017056E">
        <w:t>planning the approach to carrying out the upgrade</w:t>
      </w:r>
      <w:r w:rsidR="00146463">
        <w:t xml:space="preserve"> and if the upgrade will have a positive impact on </w:t>
      </w:r>
      <w:proofErr w:type="spellStart"/>
      <w:r w:rsidR="00146463">
        <w:t>Canisc</w:t>
      </w:r>
      <w:proofErr w:type="spellEnd"/>
      <w:sdt>
        <w:sdtPr>
          <w:id w:val="291572014"/>
          <w:citation/>
        </w:sdtPr>
        <w:sdtEndPr/>
        <w:sdtContent>
          <w:r w:rsidR="00CF1E54">
            <w:fldChar w:fldCharType="begin"/>
          </w:r>
          <w:r w:rsidR="00CF1E54">
            <w:instrText xml:space="preserve"> CITATION Tho08 \l 2057 </w:instrText>
          </w:r>
          <w:r w:rsidR="00CF1E54">
            <w:fldChar w:fldCharType="separate"/>
          </w:r>
          <w:r w:rsidR="00CF1E54">
            <w:rPr>
              <w:noProof/>
            </w:rPr>
            <w:t xml:space="preserve"> </w:t>
          </w:r>
          <w:r w:rsidR="00CF1E54" w:rsidRPr="00CF1E54">
            <w:rPr>
              <w:noProof/>
            </w:rPr>
            <w:t>[14]</w:t>
          </w:r>
          <w:r w:rsidR="00CF1E54">
            <w:fldChar w:fldCharType="end"/>
          </w:r>
        </w:sdtContent>
      </w:sdt>
      <w:r w:rsidR="009D048E">
        <w:t xml:space="preserve">. New ideas could emerge prior to upgrading, or circumstances could change surrounding </w:t>
      </w:r>
      <w:proofErr w:type="spellStart"/>
      <w:r w:rsidR="009D048E">
        <w:t>Canisc</w:t>
      </w:r>
      <w:proofErr w:type="spellEnd"/>
      <w:r w:rsidR="009D048E">
        <w:t>, therefore flexibility is important to the project.</w:t>
      </w:r>
    </w:p>
    <w:p w14:paraId="508F1A41" w14:textId="77777777" w:rsidR="000D6A94" w:rsidRDefault="000D6A94" w:rsidP="00EE655A"/>
    <w:p w14:paraId="185903AE" w14:textId="50A36DC8" w:rsidR="000D6A94" w:rsidRDefault="00C76B1C" w:rsidP="007256EA">
      <w:pPr>
        <w:pStyle w:val="Heading2"/>
        <w:numPr>
          <w:ilvl w:val="1"/>
          <w:numId w:val="1"/>
        </w:numPr>
      </w:pPr>
      <w:bookmarkStart w:id="8" w:name="_Toc112760759"/>
      <w:r>
        <w:t>Research Approach</w:t>
      </w:r>
      <w:bookmarkEnd w:id="8"/>
    </w:p>
    <w:p w14:paraId="6950824B" w14:textId="77777777" w:rsidR="007256EA" w:rsidRDefault="007256EA" w:rsidP="007256EA"/>
    <w:p w14:paraId="3B707ED7" w14:textId="4E6C4348" w:rsidR="007256EA" w:rsidRDefault="00600E1A" w:rsidP="007256EA">
      <w:r>
        <w:t>One of the following research approaches must be chosen for the project:</w:t>
      </w:r>
    </w:p>
    <w:p w14:paraId="7130E8CA" w14:textId="4CD19B40" w:rsidR="00600E1A" w:rsidRDefault="00600E1A" w:rsidP="00600E1A">
      <w:pPr>
        <w:pStyle w:val="ListParagraph"/>
        <w:numPr>
          <w:ilvl w:val="0"/>
          <w:numId w:val="4"/>
        </w:numPr>
      </w:pPr>
      <w:r>
        <w:lastRenderedPageBreak/>
        <w:t>Inductive Research</w:t>
      </w:r>
    </w:p>
    <w:p w14:paraId="7F603D19" w14:textId="32D73830" w:rsidR="00600E1A" w:rsidRDefault="00600E1A" w:rsidP="00600E1A">
      <w:pPr>
        <w:pStyle w:val="ListParagraph"/>
        <w:numPr>
          <w:ilvl w:val="0"/>
          <w:numId w:val="4"/>
        </w:numPr>
      </w:pPr>
      <w:r>
        <w:t>Deductive Research</w:t>
      </w:r>
    </w:p>
    <w:p w14:paraId="7DF35EE6" w14:textId="470ECBFA" w:rsidR="00600E1A" w:rsidRDefault="00637A4B" w:rsidP="00600E1A">
      <w:r>
        <w:t>Inductive research</w:t>
      </w:r>
      <w:r w:rsidR="00764028">
        <w:t xml:space="preserve"> aims to develop a theory and</w:t>
      </w:r>
      <w:r>
        <w:t xml:space="preserve"> focuses on observations to reach a conclusion, whereas deductive research</w:t>
      </w:r>
      <w:r w:rsidR="00764028">
        <w:t xml:space="preserve"> aims to test an existing theory</w:t>
      </w:r>
      <w:sdt>
        <w:sdtPr>
          <w:id w:val="1615173514"/>
          <w:citation/>
        </w:sdtPr>
        <w:sdtEndPr/>
        <w:sdtContent>
          <w:r w:rsidR="001D64CF">
            <w:fldChar w:fldCharType="begin"/>
          </w:r>
          <w:r w:rsidR="001D64CF">
            <w:instrText xml:space="preserve"> CITATION Res21 \l 2057 </w:instrText>
          </w:r>
          <w:r w:rsidR="001D64CF">
            <w:fldChar w:fldCharType="separate"/>
          </w:r>
          <w:r w:rsidR="001D64CF">
            <w:rPr>
              <w:noProof/>
            </w:rPr>
            <w:t xml:space="preserve"> </w:t>
          </w:r>
          <w:r w:rsidR="001D64CF" w:rsidRPr="001D64CF">
            <w:rPr>
              <w:noProof/>
            </w:rPr>
            <w:t>[15]</w:t>
          </w:r>
          <w:r w:rsidR="001D64CF">
            <w:fldChar w:fldCharType="end"/>
          </w:r>
        </w:sdtContent>
      </w:sdt>
      <w:r w:rsidR="00764028">
        <w:t>.</w:t>
      </w:r>
      <w:r w:rsidR="006302E2">
        <w:t xml:space="preserve"> For this project</w:t>
      </w:r>
      <w:r w:rsidR="00216A45">
        <w:t>, an inductive approach to research will be most suitable</w:t>
      </w:r>
      <w:r w:rsidR="00997E92">
        <w:t xml:space="preserve">. There is little literature available related to the topic, with case studies providing </w:t>
      </w:r>
      <w:r w:rsidR="00717D88">
        <w:t>most</w:t>
      </w:r>
      <w:r w:rsidR="00997E92">
        <w:t xml:space="preserve"> literature. </w:t>
      </w:r>
      <w:r w:rsidR="005062A4">
        <w:t xml:space="preserve">There is also no way that the hypothesis can be proven, however it can be disproven. </w:t>
      </w:r>
      <w:proofErr w:type="spellStart"/>
      <w:r w:rsidR="005062A4">
        <w:t>Canisc</w:t>
      </w:r>
      <w:proofErr w:type="spellEnd"/>
      <w:r w:rsidR="005062A4">
        <w:t xml:space="preserve"> may perform better following an upgrade, however it </w:t>
      </w:r>
      <w:r w:rsidR="00700A6F">
        <w:t>cannot be assumed that it is solely down to the upgrade</w:t>
      </w:r>
      <w:r w:rsidR="00851B63">
        <w:t xml:space="preserve">, there could be other factors that affect the performance of the service. For a deductive approach to be chosen, </w:t>
      </w:r>
      <w:r w:rsidR="00BA6588">
        <w:t>all premises must be true for the conclusion to be true</w:t>
      </w:r>
      <w:sdt>
        <w:sdtPr>
          <w:id w:val="-1171411655"/>
          <w:citation/>
        </w:sdtPr>
        <w:sdtEndPr/>
        <w:sdtContent>
          <w:r w:rsidR="00FB2E10">
            <w:fldChar w:fldCharType="begin"/>
          </w:r>
          <w:r w:rsidR="00FB2E10">
            <w:instrText xml:space="preserve"> CITATION Rai19 \l 2057 </w:instrText>
          </w:r>
          <w:r w:rsidR="00FB2E10">
            <w:fldChar w:fldCharType="separate"/>
          </w:r>
          <w:r w:rsidR="00FB2E10">
            <w:rPr>
              <w:noProof/>
            </w:rPr>
            <w:t xml:space="preserve"> </w:t>
          </w:r>
          <w:r w:rsidR="00FB2E10" w:rsidRPr="00FB2E10">
            <w:rPr>
              <w:noProof/>
            </w:rPr>
            <w:t>[16]</w:t>
          </w:r>
          <w:r w:rsidR="00FB2E10">
            <w:fldChar w:fldCharType="end"/>
          </w:r>
        </w:sdtContent>
      </w:sdt>
      <w:r w:rsidR="004F6D7E">
        <w:t xml:space="preserve">, which cannot be guaranteed for this project. </w:t>
      </w:r>
      <w:r w:rsidR="00F6403F">
        <w:t>Therefore</w:t>
      </w:r>
      <w:r w:rsidR="00906BE4">
        <w:t>,</w:t>
      </w:r>
      <w:r w:rsidR="004F6D7E">
        <w:t xml:space="preserve"> an inductive approach has been chosen.</w:t>
      </w:r>
    </w:p>
    <w:p w14:paraId="1DA1B0E6" w14:textId="77777777" w:rsidR="00906BE4" w:rsidRDefault="00906BE4" w:rsidP="00600E1A"/>
    <w:p w14:paraId="629235CB" w14:textId="77777777" w:rsidR="00906BE4" w:rsidRDefault="00906BE4" w:rsidP="00600E1A"/>
    <w:p w14:paraId="27526398" w14:textId="21E7846D" w:rsidR="00906BE4" w:rsidRDefault="00D703A7" w:rsidP="00D703A7">
      <w:pPr>
        <w:pStyle w:val="Heading2"/>
        <w:numPr>
          <w:ilvl w:val="1"/>
          <w:numId w:val="1"/>
        </w:numPr>
      </w:pPr>
      <w:bookmarkStart w:id="9" w:name="_Toc112760760"/>
      <w:r>
        <w:t>Research Strategy</w:t>
      </w:r>
      <w:bookmarkEnd w:id="9"/>
    </w:p>
    <w:p w14:paraId="3CF519B2" w14:textId="77777777" w:rsidR="00D703A7" w:rsidRDefault="00D703A7" w:rsidP="00D703A7"/>
    <w:p w14:paraId="4D17A897" w14:textId="6A85A07F" w:rsidR="00D703A7" w:rsidRDefault="006C4594" w:rsidP="00D703A7">
      <w:r>
        <w:t xml:space="preserve">Choosing the most suitable research strategy is vital to </w:t>
      </w:r>
      <w:r w:rsidR="00062F33">
        <w:t>the success of the project as</w:t>
      </w:r>
      <w:r w:rsidR="00960A5A">
        <w:t xml:space="preserve"> it allows the researcher to come to the most accurate conclusion. For this project, the below two </w:t>
      </w:r>
      <w:r w:rsidR="00305336">
        <w:t>resources have been used in the research strategy:</w:t>
      </w:r>
    </w:p>
    <w:p w14:paraId="5E53E1AB" w14:textId="5208E497" w:rsidR="00305336" w:rsidRDefault="00305336" w:rsidP="00305336">
      <w:pPr>
        <w:pStyle w:val="ListParagraph"/>
        <w:numPr>
          <w:ilvl w:val="0"/>
          <w:numId w:val="5"/>
        </w:numPr>
      </w:pPr>
      <w:r>
        <w:t>Online literature stating reasons for upgrading Citrix</w:t>
      </w:r>
    </w:p>
    <w:p w14:paraId="69053CAD" w14:textId="0529AF82" w:rsidR="00305336" w:rsidRDefault="00305336" w:rsidP="00305336">
      <w:pPr>
        <w:pStyle w:val="ListParagraph"/>
        <w:numPr>
          <w:ilvl w:val="0"/>
          <w:numId w:val="5"/>
        </w:numPr>
      </w:pPr>
      <w:r>
        <w:t>Case Studies</w:t>
      </w:r>
    </w:p>
    <w:p w14:paraId="2040F795" w14:textId="45702B70" w:rsidR="00305336" w:rsidRDefault="00EB7BE0" w:rsidP="00305336">
      <w:r>
        <w:t>Case</w:t>
      </w:r>
      <w:r w:rsidR="00061BB4">
        <w:t xml:space="preserve"> studies of previous Citrix upgrade, ideally to Citrix 1912, will allow the DHCW Citrix team to observe the experiences</w:t>
      </w:r>
      <w:r w:rsidR="002857D1">
        <w:t xml:space="preserve"> of others going through the same process, potentially allowing them to prepare for issues</w:t>
      </w:r>
      <w:r w:rsidR="00A11784">
        <w:t xml:space="preserve"> that often occur during upgrades. However, when analysing case studies</w:t>
      </w:r>
      <w:r w:rsidR="00494E77">
        <w:t xml:space="preserve">, it must be considered that circumstances between different cases vary and </w:t>
      </w:r>
      <w:proofErr w:type="spellStart"/>
      <w:r w:rsidR="00494E77">
        <w:t>can not</w:t>
      </w:r>
      <w:proofErr w:type="spellEnd"/>
      <w:r w:rsidR="00494E77">
        <w:t xml:space="preserve"> </w:t>
      </w:r>
      <w:r w:rsidR="00A071ED">
        <w:t>guarantee that DHCW will go through the same experience. This could be different resources available or different infrastructure, potentially affecting the outcome of the upgrade.</w:t>
      </w:r>
      <w:r w:rsidR="002B1187">
        <w:t xml:space="preserve"> Online literature will be used to back up the case studies</w:t>
      </w:r>
      <w:r w:rsidR="00795068">
        <w:t>, including items that explain why Citrix users</w:t>
      </w:r>
      <w:r w:rsidR="007E61A4">
        <w:t xml:space="preserve"> should upgrade to the latest version of Citrix.</w:t>
      </w:r>
    </w:p>
    <w:p w14:paraId="695A8006" w14:textId="77777777" w:rsidR="00B97ED7" w:rsidRDefault="00B97ED7" w:rsidP="00305336"/>
    <w:p w14:paraId="039080AE" w14:textId="11B843EE" w:rsidR="00B97ED7" w:rsidRDefault="00933D0C" w:rsidP="00933D0C">
      <w:pPr>
        <w:pStyle w:val="Heading2"/>
        <w:numPr>
          <w:ilvl w:val="1"/>
          <w:numId w:val="1"/>
        </w:numPr>
      </w:pPr>
      <w:bookmarkStart w:id="10" w:name="_Toc112760761"/>
      <w:r>
        <w:t>Evaluation Strategy</w:t>
      </w:r>
      <w:bookmarkEnd w:id="10"/>
    </w:p>
    <w:p w14:paraId="0F0A1AF1" w14:textId="77777777" w:rsidR="00933D0C" w:rsidRDefault="00933D0C" w:rsidP="00933D0C"/>
    <w:p w14:paraId="78738DF8" w14:textId="667B53DB" w:rsidR="00641178" w:rsidRDefault="00641178" w:rsidP="00933D0C">
      <w:r>
        <w:t>The experimental hypothesis for this project is:</w:t>
      </w:r>
    </w:p>
    <w:p w14:paraId="37DEE34A" w14:textId="729AC380" w:rsidR="00641178" w:rsidRDefault="00641178" w:rsidP="00933D0C">
      <w:pPr>
        <w:rPr>
          <w:i/>
          <w:iCs/>
        </w:rPr>
      </w:pPr>
      <w:r>
        <w:t>“</w:t>
      </w:r>
      <w:r w:rsidR="005C172D" w:rsidRPr="005C172D">
        <w:rPr>
          <w:i/>
          <w:iCs/>
        </w:rPr>
        <w:t xml:space="preserve">Upgrading the </w:t>
      </w:r>
      <w:proofErr w:type="spellStart"/>
      <w:r w:rsidR="005C172D" w:rsidRPr="005C172D">
        <w:rPr>
          <w:i/>
          <w:iCs/>
        </w:rPr>
        <w:t>Canisc</w:t>
      </w:r>
      <w:proofErr w:type="spellEnd"/>
      <w:r w:rsidR="005C172D" w:rsidRPr="005C172D">
        <w:rPr>
          <w:i/>
          <w:iCs/>
        </w:rPr>
        <w:t xml:space="preserve"> Citrix Environment to Citrix LTSR 1912 will improve the overall performance of the service</w:t>
      </w:r>
      <w:r w:rsidR="005C172D">
        <w:rPr>
          <w:i/>
          <w:iCs/>
        </w:rPr>
        <w:t>”.</w:t>
      </w:r>
    </w:p>
    <w:p w14:paraId="5BF6E09E" w14:textId="7C22154B" w:rsidR="005C172D" w:rsidRDefault="005C172D" w:rsidP="005C172D">
      <w:r>
        <w:t>To evaluate the success of this experiment will be a challenge due to the different factors being studied to judge its success. For this report, the factors will be studied across a short period of time, however the DHCW Citrix team must continue to study these factors in the long term if they truly wish to see the impact the Citrix upgrade has had.</w:t>
      </w:r>
      <w:r w:rsidR="00E07D02">
        <w:t xml:space="preserve"> </w:t>
      </w:r>
      <w:r w:rsidR="00656F40">
        <w:t xml:space="preserve">To see if the Citrix upgrade has improved the efficiency of </w:t>
      </w:r>
      <w:proofErr w:type="spellStart"/>
      <w:r w:rsidR="00656F40">
        <w:t>Canisc</w:t>
      </w:r>
      <w:proofErr w:type="spellEnd"/>
      <w:r w:rsidR="00656F40">
        <w:t>, a base line must first be established</w:t>
      </w:r>
      <w:r w:rsidR="00DF768F">
        <w:t xml:space="preserve">. Without a baseline to compare the post experiment results against, the results will be </w:t>
      </w:r>
      <w:r w:rsidR="006576D9">
        <w:t>meaningless,</w:t>
      </w:r>
      <w:r w:rsidR="00436223">
        <w:t xml:space="preserve"> and the experiment will be unreliable</w:t>
      </w:r>
      <w:r w:rsidR="0051235C">
        <w:t>.</w:t>
      </w:r>
    </w:p>
    <w:p w14:paraId="58FA2BA9" w14:textId="46E48550" w:rsidR="006576D9" w:rsidRDefault="0005508C" w:rsidP="005C172D">
      <w:r>
        <w:t xml:space="preserve">A baseline for the data will need to be established before the upgrade is carried out. </w:t>
      </w:r>
      <w:r w:rsidR="006576D9">
        <w:t xml:space="preserve">The </w:t>
      </w:r>
      <w:r w:rsidR="00283EDA">
        <w:t>data that will be analysed to measure whether the upgrade has been a success are as follows:</w:t>
      </w:r>
    </w:p>
    <w:p w14:paraId="56496338" w14:textId="52C56D0F" w:rsidR="00283EDA" w:rsidRDefault="00F35542" w:rsidP="00283EDA">
      <w:pPr>
        <w:pStyle w:val="ListParagraph"/>
        <w:numPr>
          <w:ilvl w:val="0"/>
          <w:numId w:val="2"/>
        </w:numPr>
      </w:pPr>
      <w:r>
        <w:t>N</w:t>
      </w:r>
      <w:r w:rsidR="00D774AF">
        <w:t>umber of unregistered machines</w:t>
      </w:r>
    </w:p>
    <w:p w14:paraId="4191525A" w14:textId="4271FA51" w:rsidR="00EF6765" w:rsidRDefault="00521FD4" w:rsidP="00283EDA">
      <w:pPr>
        <w:pStyle w:val="ListParagraph"/>
        <w:numPr>
          <w:ilvl w:val="0"/>
          <w:numId w:val="2"/>
        </w:numPr>
      </w:pPr>
      <w:r>
        <w:lastRenderedPageBreak/>
        <w:t>Load Index</w:t>
      </w:r>
    </w:p>
    <w:p w14:paraId="0254B806" w14:textId="7BB5411C" w:rsidR="00521FD4" w:rsidRDefault="00521FD4" w:rsidP="00283EDA">
      <w:pPr>
        <w:pStyle w:val="ListParagraph"/>
        <w:numPr>
          <w:ilvl w:val="0"/>
          <w:numId w:val="2"/>
        </w:numPr>
      </w:pPr>
      <w:r>
        <w:t>User Satisfaction</w:t>
      </w:r>
    </w:p>
    <w:p w14:paraId="060D7A8C" w14:textId="0183D0AE" w:rsidR="006745B4" w:rsidRDefault="006745B4" w:rsidP="00283EDA">
      <w:pPr>
        <w:pStyle w:val="ListParagraph"/>
        <w:numPr>
          <w:ilvl w:val="0"/>
          <w:numId w:val="2"/>
        </w:numPr>
      </w:pPr>
      <w:r>
        <w:t>Testing known errors</w:t>
      </w:r>
    </w:p>
    <w:p w14:paraId="688A684F" w14:textId="348ECAF2" w:rsidR="006745B4" w:rsidRDefault="004F100A" w:rsidP="006745B4">
      <w:r>
        <w:t xml:space="preserve"> </w:t>
      </w:r>
      <w:r w:rsidR="00E86701">
        <w:t>The number of registered machines relates to the daily health checks received by the DHCW Citrix team</w:t>
      </w:r>
      <w:r w:rsidR="000D6E87">
        <w:t xml:space="preserve">. Each morning, a report is sent to the Citrix team containing the health of each </w:t>
      </w:r>
      <w:proofErr w:type="spellStart"/>
      <w:r w:rsidR="000D6E87">
        <w:t>Canisc</w:t>
      </w:r>
      <w:proofErr w:type="spellEnd"/>
      <w:r w:rsidR="000D6E87">
        <w:t xml:space="preserve"> server, as seen in figure</w:t>
      </w:r>
      <w:r w:rsidR="00247CCE">
        <w:t xml:space="preserve"> 2</w:t>
      </w:r>
      <w:r w:rsidR="000D6E87">
        <w:t xml:space="preserve"> below</w:t>
      </w:r>
      <w:r w:rsidR="00247CCE">
        <w:t>.</w:t>
      </w:r>
    </w:p>
    <w:p w14:paraId="4DC9DAD7" w14:textId="77777777" w:rsidR="00B5385D" w:rsidRDefault="00B5385D" w:rsidP="00247CCE">
      <w:pPr>
        <w:keepNext/>
        <w:rPr>
          <w:noProof/>
        </w:rPr>
      </w:pPr>
    </w:p>
    <w:p w14:paraId="5BCCCC90" w14:textId="71F7E2EF" w:rsidR="00247CCE" w:rsidRDefault="000D6E87" w:rsidP="00247CCE">
      <w:pPr>
        <w:keepNext/>
      </w:pPr>
      <w:r>
        <w:rPr>
          <w:noProof/>
        </w:rPr>
        <w:drawing>
          <wp:inline distT="0" distB="0" distL="0" distR="0" wp14:anchorId="4B4ED78A" wp14:editId="7C598A8E">
            <wp:extent cx="4019550" cy="3492396"/>
            <wp:effectExtent l="0" t="0" r="0" b="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rotWithShape="1">
                    <a:blip r:embed="rId10">
                      <a:extLst>
                        <a:ext uri="{28A0092B-C50C-407E-A947-70E740481C1C}">
                          <a14:useLocalDpi xmlns:a14="http://schemas.microsoft.com/office/drawing/2010/main" val="0"/>
                        </a:ext>
                      </a:extLst>
                    </a:blip>
                    <a:srcRect r="49313" b="2693"/>
                    <a:stretch/>
                  </pic:blipFill>
                  <pic:spPr bwMode="auto">
                    <a:xfrm>
                      <a:off x="0" y="0"/>
                      <a:ext cx="4023892" cy="3496169"/>
                    </a:xfrm>
                    <a:prstGeom prst="rect">
                      <a:avLst/>
                    </a:prstGeom>
                    <a:ln>
                      <a:noFill/>
                    </a:ln>
                    <a:extLst>
                      <a:ext uri="{53640926-AAD7-44D8-BBD7-CCE9431645EC}">
                        <a14:shadowObscured xmlns:a14="http://schemas.microsoft.com/office/drawing/2010/main"/>
                      </a:ext>
                    </a:extLst>
                  </pic:spPr>
                </pic:pic>
              </a:graphicData>
            </a:graphic>
          </wp:inline>
        </w:drawing>
      </w:r>
    </w:p>
    <w:p w14:paraId="3DE54C46" w14:textId="291EBFD4" w:rsidR="000D6E87" w:rsidRDefault="00247CCE" w:rsidP="00247CCE">
      <w:pPr>
        <w:pStyle w:val="Caption"/>
      </w:pPr>
      <w:r>
        <w:t xml:space="preserve">Figure </w:t>
      </w:r>
      <w:r w:rsidR="00B816C4">
        <w:t>2</w:t>
      </w:r>
      <w:r>
        <w:t xml:space="preserve"> </w:t>
      </w:r>
      <w:proofErr w:type="spellStart"/>
      <w:r>
        <w:t>Canisc</w:t>
      </w:r>
      <w:proofErr w:type="spellEnd"/>
      <w:r>
        <w:t xml:space="preserve"> Health Checks</w:t>
      </w:r>
    </w:p>
    <w:p w14:paraId="325AAEF6" w14:textId="77777777" w:rsidR="005C172D" w:rsidRDefault="005C172D" w:rsidP="00933D0C">
      <w:pPr>
        <w:rPr>
          <w:i/>
          <w:iCs/>
        </w:rPr>
      </w:pPr>
    </w:p>
    <w:p w14:paraId="1257DD3C" w14:textId="77777777" w:rsidR="000D6370" w:rsidRDefault="00247CCE" w:rsidP="00933D0C">
      <w:r>
        <w:t xml:space="preserve">Figure 2 shows a health check </w:t>
      </w:r>
      <w:r w:rsidR="000D6370">
        <w:t>containing:</w:t>
      </w:r>
    </w:p>
    <w:p w14:paraId="767A23E5" w14:textId="5647A693" w:rsidR="005C172D" w:rsidRDefault="000D6370" w:rsidP="000D6370">
      <w:pPr>
        <w:pStyle w:val="ListParagraph"/>
        <w:numPr>
          <w:ilvl w:val="0"/>
          <w:numId w:val="2"/>
        </w:numPr>
      </w:pPr>
      <w:r>
        <w:t>S</w:t>
      </w:r>
      <w:r w:rsidR="00247CCE">
        <w:t>erver names in the first column (</w:t>
      </w:r>
      <w:r>
        <w:t>Full name removed for security reasons)</w:t>
      </w:r>
    </w:p>
    <w:p w14:paraId="6FB727BA" w14:textId="31BE530F" w:rsidR="003712E2" w:rsidRDefault="003712E2" w:rsidP="000D6370">
      <w:pPr>
        <w:pStyle w:val="ListParagraph"/>
        <w:numPr>
          <w:ilvl w:val="0"/>
          <w:numId w:val="2"/>
        </w:numPr>
      </w:pPr>
      <w:r>
        <w:t>Server environment</w:t>
      </w:r>
    </w:p>
    <w:p w14:paraId="2C22A701" w14:textId="45FCF4C8" w:rsidR="003712E2" w:rsidRDefault="003712E2" w:rsidP="000D6370">
      <w:pPr>
        <w:pStyle w:val="ListParagraph"/>
        <w:numPr>
          <w:ilvl w:val="0"/>
          <w:numId w:val="2"/>
        </w:numPr>
      </w:pPr>
      <w:r>
        <w:t>Machine Catalogue</w:t>
      </w:r>
    </w:p>
    <w:p w14:paraId="12944F17" w14:textId="7E20CD2F" w:rsidR="003712E2" w:rsidRDefault="003712E2" w:rsidP="000D6370">
      <w:pPr>
        <w:pStyle w:val="ListParagraph"/>
        <w:numPr>
          <w:ilvl w:val="0"/>
          <w:numId w:val="2"/>
        </w:numPr>
      </w:pPr>
      <w:r>
        <w:t>Number of Users</w:t>
      </w:r>
    </w:p>
    <w:p w14:paraId="1BF356CA" w14:textId="71091600" w:rsidR="003712E2" w:rsidRDefault="003712E2" w:rsidP="000D6370">
      <w:pPr>
        <w:pStyle w:val="ListParagraph"/>
        <w:numPr>
          <w:ilvl w:val="0"/>
          <w:numId w:val="2"/>
        </w:numPr>
      </w:pPr>
      <w:r>
        <w:t>Ping Response</w:t>
      </w:r>
    </w:p>
    <w:p w14:paraId="549B874E" w14:textId="6C0C1396" w:rsidR="003712E2" w:rsidRDefault="003712E2" w:rsidP="000D6370">
      <w:pPr>
        <w:pStyle w:val="ListParagraph"/>
        <w:numPr>
          <w:ilvl w:val="0"/>
          <w:numId w:val="2"/>
        </w:numPr>
      </w:pPr>
      <w:r>
        <w:t>Maintenance Mode Status</w:t>
      </w:r>
    </w:p>
    <w:p w14:paraId="526F3D95" w14:textId="451B493D" w:rsidR="009A5D18" w:rsidRDefault="004F44F2" w:rsidP="009A5D18">
      <w:r>
        <w:t xml:space="preserve">This health </w:t>
      </w:r>
      <w:r w:rsidR="003B403E">
        <w:t xml:space="preserve">report is a common occurrence in the </w:t>
      </w:r>
      <w:proofErr w:type="spellStart"/>
      <w:r w:rsidR="003B403E">
        <w:t>Canisc</w:t>
      </w:r>
      <w:proofErr w:type="spellEnd"/>
      <w:r w:rsidR="003B403E">
        <w:t xml:space="preserve"> environment for DHCW and poses a serious issue. All machines are showing a failed ping response</w:t>
      </w:r>
      <w:r w:rsidR="00B5385D">
        <w:t>, meaning the machines have not registered.</w:t>
      </w:r>
      <w:r w:rsidR="004C3A55">
        <w:t xml:space="preserve"> This is a known issue to the DHCW Citrix team as it happens often, therefore they know the cause of this issue is the Citrix Servers not </w:t>
      </w:r>
      <w:r w:rsidR="007A767F">
        <w:t>obtaining their IP through DHCP following their nightly reboot. Since the servers boot up without an IP address, they fail to respond to a ping test and show up unregistered.</w:t>
      </w:r>
      <w:r w:rsidR="005439EF">
        <w:t xml:space="preserve"> This prevents users from logging on to the </w:t>
      </w:r>
      <w:proofErr w:type="spellStart"/>
      <w:r w:rsidR="005439EF">
        <w:t>Canisc</w:t>
      </w:r>
      <w:proofErr w:type="spellEnd"/>
      <w:r w:rsidR="005439EF">
        <w:t xml:space="preserve"> servers, meaning the service is offline and </w:t>
      </w:r>
      <w:r w:rsidR="00CE451B">
        <w:t xml:space="preserve">poses a serious threat to patients and staff. To </w:t>
      </w:r>
      <w:r w:rsidR="002F57E4">
        <w:t xml:space="preserve">temporarily </w:t>
      </w:r>
      <w:r w:rsidR="00CE451B">
        <w:t>fix this issue, Citrix recommends</w:t>
      </w:r>
      <w:r w:rsidR="002F57E4">
        <w:t xml:space="preserve"> restarting the Citrix</w:t>
      </w:r>
      <w:r w:rsidR="009126E3">
        <w:t xml:space="preserve"> Desktop Service to force the machines to register and obtain and IP address</w:t>
      </w:r>
      <w:sdt>
        <w:sdtPr>
          <w:id w:val="-1492553453"/>
          <w:citation/>
        </w:sdtPr>
        <w:sdtEndPr/>
        <w:sdtContent>
          <w:r w:rsidR="009126E3">
            <w:fldChar w:fldCharType="begin"/>
          </w:r>
          <w:r w:rsidR="009126E3">
            <w:instrText xml:space="preserve"> CITATION VDA15 \l 2057 </w:instrText>
          </w:r>
          <w:r w:rsidR="009126E3">
            <w:fldChar w:fldCharType="separate"/>
          </w:r>
          <w:r w:rsidR="009126E3">
            <w:rPr>
              <w:noProof/>
            </w:rPr>
            <w:t xml:space="preserve"> </w:t>
          </w:r>
          <w:r w:rsidR="009126E3" w:rsidRPr="009126E3">
            <w:rPr>
              <w:noProof/>
            </w:rPr>
            <w:t>[17]</w:t>
          </w:r>
          <w:r w:rsidR="009126E3">
            <w:fldChar w:fldCharType="end"/>
          </w:r>
        </w:sdtContent>
      </w:sdt>
      <w:r w:rsidR="00054FFC">
        <w:t>.</w:t>
      </w:r>
      <w:r w:rsidR="00610671">
        <w:t xml:space="preserve"> Once the upgrade has been carried out, </w:t>
      </w:r>
      <w:r w:rsidR="00B81935">
        <w:t>the health checks will be compared against the baseline shown in figure 2</w:t>
      </w:r>
      <w:r w:rsidR="00DF3A04">
        <w:t xml:space="preserve"> to</w:t>
      </w:r>
      <w:r w:rsidR="00351EF1">
        <w:t xml:space="preserve"> assess the impact the upgrade has had.</w:t>
      </w:r>
    </w:p>
    <w:p w14:paraId="12FB7517" w14:textId="06F639A1" w:rsidR="00351EF1" w:rsidRDefault="00351EF1" w:rsidP="009A5D18">
      <w:r>
        <w:lastRenderedPageBreak/>
        <w:t>The load index of a Citrix environment is a feature that refers to load management of a VDA</w:t>
      </w:r>
      <w:r w:rsidR="00EC3316">
        <w:t xml:space="preserve">. A VDA’s load index tells administrators </w:t>
      </w:r>
      <w:r w:rsidR="00034A73">
        <w:t>the likelihood of a VDA accepting connections from end users.</w:t>
      </w:r>
      <w:r w:rsidR="005265EB">
        <w:t xml:space="preserve"> The higher the load index of a VDA, the less likely it is going to accept new connections</w:t>
      </w:r>
      <w:r w:rsidR="00FA4B29">
        <w:t xml:space="preserve"> due to the volume of traffic.</w:t>
      </w:r>
      <w:r w:rsidR="00FC74E7">
        <w:t xml:space="preserve"> The load index features ensures</w:t>
      </w:r>
      <w:r w:rsidR="000D37D8">
        <w:t xml:space="preserve"> that each of the ten VDAs </w:t>
      </w:r>
      <w:proofErr w:type="spellStart"/>
      <w:r w:rsidR="000D37D8">
        <w:t>Canisc</w:t>
      </w:r>
      <w:proofErr w:type="spellEnd"/>
      <w:r w:rsidR="000D37D8">
        <w:t xml:space="preserve"> runs on has a similar number of users connected to distribute traffic evenly</w:t>
      </w:r>
      <w:sdt>
        <w:sdtPr>
          <w:id w:val="1334876262"/>
          <w:citation/>
        </w:sdtPr>
        <w:sdtEndPr/>
        <w:sdtContent>
          <w:r w:rsidR="00036A00">
            <w:fldChar w:fldCharType="begin"/>
          </w:r>
          <w:r w:rsidR="00036A00">
            <w:instrText xml:space="preserve"> CITATION And192 \l 2057 </w:instrText>
          </w:r>
          <w:r w:rsidR="00036A00">
            <w:fldChar w:fldCharType="separate"/>
          </w:r>
          <w:r w:rsidR="00036A00">
            <w:rPr>
              <w:noProof/>
            </w:rPr>
            <w:t xml:space="preserve"> </w:t>
          </w:r>
          <w:r w:rsidR="00036A00" w:rsidRPr="00036A00">
            <w:rPr>
              <w:noProof/>
            </w:rPr>
            <w:t>[18]</w:t>
          </w:r>
          <w:r w:rsidR="00036A00">
            <w:fldChar w:fldCharType="end"/>
          </w:r>
        </w:sdtContent>
      </w:sdt>
      <w:r w:rsidR="000D37D8">
        <w:t>.</w:t>
      </w:r>
    </w:p>
    <w:p w14:paraId="7B6B5F45" w14:textId="5C2B2107" w:rsidR="00C67844" w:rsidRDefault="0059365D" w:rsidP="009A5D18">
      <w:r>
        <w:t xml:space="preserve">Load index can be used to measure different values relating to a VDA. The DHCW Citrix team have several </w:t>
      </w:r>
      <w:r w:rsidR="00617C8A">
        <w:t xml:space="preserve">values they can choose from, however for the </w:t>
      </w:r>
      <w:proofErr w:type="spellStart"/>
      <w:r w:rsidR="00617C8A">
        <w:t>Canisc</w:t>
      </w:r>
      <w:proofErr w:type="spellEnd"/>
      <w:r w:rsidR="00617C8A">
        <w:t xml:space="preserve"> environment, they have chosen the maximum number of sessions as their value. The maximum number of ses</w:t>
      </w:r>
      <w:r w:rsidR="00C03FBF">
        <w:t xml:space="preserve">sions specifies the highest number of sessions an individual VDA can accept. The default is set to 250 sessions, however for </w:t>
      </w:r>
      <w:proofErr w:type="spellStart"/>
      <w:r w:rsidR="00C03FBF">
        <w:t>Canisc</w:t>
      </w:r>
      <w:proofErr w:type="spellEnd"/>
      <w:r w:rsidR="00C03FBF">
        <w:t xml:space="preserve"> it is set to 70</w:t>
      </w:r>
      <w:sdt>
        <w:sdtPr>
          <w:id w:val="-1447150629"/>
          <w:citation/>
        </w:sdtPr>
        <w:sdtEndPr/>
        <w:sdtContent>
          <w:r w:rsidR="00C55AE6">
            <w:fldChar w:fldCharType="begin"/>
          </w:r>
          <w:r w:rsidR="00C55AE6">
            <w:instrText xml:space="preserve"> CITATION Loa20 \l 2057 </w:instrText>
          </w:r>
          <w:r w:rsidR="00C55AE6">
            <w:fldChar w:fldCharType="separate"/>
          </w:r>
          <w:r w:rsidR="00C55AE6">
            <w:rPr>
              <w:noProof/>
            </w:rPr>
            <w:t xml:space="preserve"> </w:t>
          </w:r>
          <w:r w:rsidR="00C55AE6" w:rsidRPr="00C55AE6">
            <w:rPr>
              <w:noProof/>
            </w:rPr>
            <w:t>[19]</w:t>
          </w:r>
          <w:r w:rsidR="00C55AE6">
            <w:fldChar w:fldCharType="end"/>
          </w:r>
        </w:sdtContent>
      </w:sdt>
      <w:r w:rsidR="00C03FBF">
        <w:t>.</w:t>
      </w:r>
      <w:r w:rsidR="00005BB7">
        <w:t xml:space="preserve"> The load index can be calculated using Citrix Director, which will present the load index as a percentage. The lower the load index percentage, the more likely that VDA will be to accept new sessions</w:t>
      </w:r>
      <w:sdt>
        <w:sdtPr>
          <w:id w:val="1083637745"/>
          <w:citation/>
        </w:sdtPr>
        <w:sdtEndPr/>
        <w:sdtContent>
          <w:r w:rsidR="009D1989">
            <w:fldChar w:fldCharType="begin"/>
          </w:r>
          <w:r w:rsidR="009D1989">
            <w:instrText xml:space="preserve"> CITATION How15 \l 2057 </w:instrText>
          </w:r>
          <w:r w:rsidR="009D1989">
            <w:fldChar w:fldCharType="separate"/>
          </w:r>
          <w:r w:rsidR="009D1989">
            <w:rPr>
              <w:noProof/>
            </w:rPr>
            <w:t xml:space="preserve"> </w:t>
          </w:r>
          <w:r w:rsidR="009D1989" w:rsidRPr="009D1989">
            <w:rPr>
              <w:noProof/>
            </w:rPr>
            <w:t>[20]</w:t>
          </w:r>
          <w:r w:rsidR="009D1989">
            <w:fldChar w:fldCharType="end"/>
          </w:r>
        </w:sdtContent>
      </w:sdt>
      <w:r w:rsidR="00005BB7">
        <w:t>.</w:t>
      </w:r>
    </w:p>
    <w:p w14:paraId="5BA30040" w14:textId="374A0BEB" w:rsidR="00511D21" w:rsidRDefault="00511D21" w:rsidP="009A5D18">
      <w:r>
        <w:t xml:space="preserve">What can this tell us </w:t>
      </w:r>
      <w:r w:rsidR="00247847">
        <w:t xml:space="preserve">about the performance of </w:t>
      </w:r>
      <w:proofErr w:type="spellStart"/>
      <w:r w:rsidR="00247847">
        <w:t>Canisc</w:t>
      </w:r>
      <w:proofErr w:type="spellEnd"/>
      <w:r w:rsidR="00247847">
        <w:t xml:space="preserve"> following the upgrade? Using Citrix director, the author can get the average load index for the VDAs in the week prior to the upgrade</w:t>
      </w:r>
      <w:r w:rsidR="00843538">
        <w:t xml:space="preserve">. Following the upgrade, the average load index for the week after the upgraded Citrix VDAs first start to accept users will be gathered from director and compared to see if there is a difference. </w:t>
      </w:r>
      <w:r w:rsidR="009538F9">
        <w:t>The issue of unregistered machines</w:t>
      </w:r>
      <w:r w:rsidR="008E3D43">
        <w:t xml:space="preserve"> causes higher load index on VDAs as it means some of the ten VDAs are unable to accept </w:t>
      </w:r>
      <w:r w:rsidR="00BE009A">
        <w:t xml:space="preserve">users. If the upgrade fixes the unregistered machine issue as hoped, it should prevent the load index from </w:t>
      </w:r>
      <w:r w:rsidR="00751536">
        <w:t>being high because all VDAs should be able to accept machines if they are all registered.</w:t>
      </w:r>
    </w:p>
    <w:p w14:paraId="3B53DB51" w14:textId="42B87E5A" w:rsidR="005973D8" w:rsidRDefault="00E47112" w:rsidP="009A5D18">
      <w:r>
        <w:t xml:space="preserve">After the upgrade, the DHCW Citrix team will collaborate with the </w:t>
      </w:r>
      <w:proofErr w:type="spellStart"/>
      <w:r>
        <w:t>Canisc</w:t>
      </w:r>
      <w:proofErr w:type="spellEnd"/>
      <w:r>
        <w:t xml:space="preserve"> support team to send out user satisfaction surveys to a select number of </w:t>
      </w:r>
      <w:proofErr w:type="spellStart"/>
      <w:r>
        <w:t>Canisc</w:t>
      </w:r>
      <w:proofErr w:type="spellEnd"/>
      <w:r>
        <w:t xml:space="preserve"> users. </w:t>
      </w:r>
      <w:r w:rsidR="00515242">
        <w:t>After past upgrades, it is common for no users to respond to the survey</w:t>
      </w:r>
      <w:r w:rsidR="0022008D">
        <w:t xml:space="preserve">. If this happens, the </w:t>
      </w:r>
      <w:proofErr w:type="spellStart"/>
      <w:r w:rsidR="0022008D">
        <w:t>Canisc</w:t>
      </w:r>
      <w:proofErr w:type="spellEnd"/>
      <w:r w:rsidR="0022008D">
        <w:t xml:space="preserve"> support team have created test accounts to replicate the user experience when using the </w:t>
      </w:r>
      <w:proofErr w:type="spellStart"/>
      <w:r w:rsidR="0022008D">
        <w:t>Canisc</w:t>
      </w:r>
      <w:proofErr w:type="spellEnd"/>
      <w:r w:rsidR="0022008D">
        <w:t xml:space="preserve"> application. If no responses are recorded from end users, the </w:t>
      </w:r>
      <w:proofErr w:type="spellStart"/>
      <w:r w:rsidR="0022008D">
        <w:t>Canisc</w:t>
      </w:r>
      <w:proofErr w:type="spellEnd"/>
      <w:r w:rsidR="0022008D">
        <w:t xml:space="preserve"> support team will</w:t>
      </w:r>
      <w:r w:rsidR="00CB1685">
        <w:t xml:space="preserve"> provide feedback to the Citrix team describing </w:t>
      </w:r>
      <w:proofErr w:type="spellStart"/>
      <w:r w:rsidR="00CB1685">
        <w:t>Canisc</w:t>
      </w:r>
      <w:proofErr w:type="spellEnd"/>
      <w:r w:rsidR="00CB1685">
        <w:t xml:space="preserve"> performance.</w:t>
      </w:r>
      <w:r w:rsidR="005A4FE3">
        <w:t xml:space="preserve"> Whilst this feedback will not provide </w:t>
      </w:r>
      <w:proofErr w:type="spellStart"/>
      <w:r w:rsidR="005A4FE3">
        <w:t>quantative</w:t>
      </w:r>
      <w:proofErr w:type="spellEnd"/>
      <w:r w:rsidR="005A4FE3">
        <w:t xml:space="preserve"> data, it gives the Citrix team </w:t>
      </w:r>
      <w:r w:rsidR="00516BDD">
        <w:t xml:space="preserve">some idea of the end user experience when using </w:t>
      </w:r>
      <w:proofErr w:type="spellStart"/>
      <w:r w:rsidR="00516BDD">
        <w:t>Canisc</w:t>
      </w:r>
      <w:proofErr w:type="spellEnd"/>
      <w:r w:rsidR="00516BDD">
        <w:t>.</w:t>
      </w:r>
    </w:p>
    <w:p w14:paraId="345941E4" w14:textId="133D7541" w:rsidR="00A11F73" w:rsidRDefault="00A11F73" w:rsidP="009A5D18">
      <w:r>
        <w:t>As discussed in section 2.4</w:t>
      </w:r>
      <w:r w:rsidR="001C5DC8">
        <w:t>, Citrix 7.15 is vulnerable to a threat whereby a standard user can grant themselves administrator level privileges.</w:t>
      </w:r>
      <w:r w:rsidR="005B3B03">
        <w:t xml:space="preserve"> </w:t>
      </w:r>
      <w:r w:rsidR="001062A8">
        <w:t xml:space="preserve">It is hoped that upgrading the </w:t>
      </w:r>
      <w:proofErr w:type="spellStart"/>
      <w:r w:rsidR="001062A8">
        <w:t>Canisc</w:t>
      </w:r>
      <w:proofErr w:type="spellEnd"/>
      <w:r w:rsidR="001062A8">
        <w:t xml:space="preserve"> environment to Citrix 1912 will prevent </w:t>
      </w:r>
      <w:r w:rsidR="006523CC">
        <w:t xml:space="preserve">users from having access to do this. The Citrix team will test this following the upgrade by creating a standard test user account and attempting to grant themselves </w:t>
      </w:r>
      <w:r w:rsidR="008751FA">
        <w:t>administrator privileges. If it is blocked following the upgrade, then the upgrade has patched a serious threat.</w:t>
      </w:r>
    </w:p>
    <w:p w14:paraId="032E127F" w14:textId="6CF01F31" w:rsidR="008751FA" w:rsidRDefault="008751FA" w:rsidP="009A5D18">
      <w:r>
        <w:t>These factors are how the author will measure the success of the upgrade</w:t>
      </w:r>
      <w:r w:rsidR="00EA4D8D">
        <w:t xml:space="preserve">. The known issue of unregistered machines and the load index </w:t>
      </w:r>
      <w:r w:rsidR="00396DCE">
        <w:t>will tell the Citrix team if</w:t>
      </w:r>
      <w:r w:rsidR="00885DAC">
        <w:t xml:space="preserve"> they can rely on the </w:t>
      </w:r>
      <w:proofErr w:type="spellStart"/>
      <w:r w:rsidR="00885DAC">
        <w:t>Canisc</w:t>
      </w:r>
      <w:proofErr w:type="spellEnd"/>
      <w:r w:rsidR="00885DAC">
        <w:t xml:space="preserve"> VDAs to register each morning and take on an equal number of users to maintain </w:t>
      </w:r>
      <w:r w:rsidR="00EF763D">
        <w:t xml:space="preserve">performance for </w:t>
      </w:r>
      <w:proofErr w:type="spellStart"/>
      <w:r w:rsidR="00EF763D">
        <w:t>Canisc</w:t>
      </w:r>
      <w:proofErr w:type="spellEnd"/>
      <w:r w:rsidR="00EF763D">
        <w:t xml:space="preserve">. If the machines are still unregistering after the upgrade, the load index will be </w:t>
      </w:r>
      <w:r w:rsidR="00AD7FB0">
        <w:t>higher,</w:t>
      </w:r>
      <w:r w:rsidR="00EF763D">
        <w:t xml:space="preserve"> and traffic will bottleneck on certain VDAs.</w:t>
      </w:r>
      <w:r w:rsidR="00530581">
        <w:t xml:space="preserve"> User satisfaction surveys give a </w:t>
      </w:r>
      <w:r w:rsidR="00AD7FB0">
        <w:t>real-world</w:t>
      </w:r>
      <w:r w:rsidR="00530581">
        <w:t xml:space="preserve"> view into the impact the upgrade has had, if any, whilst testing the known vulnerabilities </w:t>
      </w:r>
      <w:r w:rsidR="00175DE4">
        <w:t xml:space="preserve">can give the Citrix team </w:t>
      </w:r>
      <w:r w:rsidR="00AD7FB0">
        <w:t xml:space="preserve">assurance as to whether the upgrade has made the </w:t>
      </w:r>
      <w:proofErr w:type="spellStart"/>
      <w:r w:rsidR="00AD7FB0">
        <w:t>Canisc</w:t>
      </w:r>
      <w:proofErr w:type="spellEnd"/>
      <w:r w:rsidR="00AD7FB0">
        <w:t xml:space="preserve"> environment more secure.</w:t>
      </w:r>
    </w:p>
    <w:p w14:paraId="2F435FEE" w14:textId="77777777" w:rsidR="00AD7FB0" w:rsidRDefault="00AD7FB0" w:rsidP="009A5D18"/>
    <w:p w14:paraId="65E38E7A" w14:textId="4F63F0E5" w:rsidR="00AD7FB0" w:rsidRDefault="002C50F7" w:rsidP="002C50F7">
      <w:pPr>
        <w:pStyle w:val="Heading1"/>
        <w:numPr>
          <w:ilvl w:val="0"/>
          <w:numId w:val="1"/>
        </w:numPr>
      </w:pPr>
      <w:bookmarkStart w:id="11" w:name="_Toc112760762"/>
      <w:r>
        <w:t>Planning &amp; Implementation</w:t>
      </w:r>
      <w:bookmarkEnd w:id="11"/>
    </w:p>
    <w:p w14:paraId="6BB06444" w14:textId="77777777" w:rsidR="001B6176" w:rsidRDefault="001B6176" w:rsidP="001B6176"/>
    <w:p w14:paraId="44094CE4" w14:textId="0BBE0A57" w:rsidR="001B6176" w:rsidRDefault="001B6176" w:rsidP="001B6176">
      <w:r>
        <w:t xml:space="preserve">This section covers how the DHCW Citrix team, with the help of the </w:t>
      </w:r>
      <w:proofErr w:type="spellStart"/>
      <w:r>
        <w:t>Canisc</w:t>
      </w:r>
      <w:proofErr w:type="spellEnd"/>
      <w:r>
        <w:t xml:space="preserve"> support team, will assemble a plan for upgrading the </w:t>
      </w:r>
      <w:proofErr w:type="spellStart"/>
      <w:r>
        <w:t>Canisc</w:t>
      </w:r>
      <w:proofErr w:type="spellEnd"/>
      <w:r>
        <w:t xml:space="preserve"> environment and </w:t>
      </w:r>
      <w:r w:rsidR="009638C4">
        <w:t>the implementation of the upgrade, including screenshots and any issues encountered during the upgrade.</w:t>
      </w:r>
    </w:p>
    <w:p w14:paraId="433A4157" w14:textId="77777777" w:rsidR="009638C4" w:rsidRDefault="009638C4" w:rsidP="001B6176"/>
    <w:p w14:paraId="1669F626" w14:textId="77777777" w:rsidR="009638C4" w:rsidRPr="001B6176" w:rsidRDefault="009638C4" w:rsidP="001B6176"/>
    <w:p w14:paraId="5AAB94C1" w14:textId="77777777" w:rsidR="001B6176" w:rsidRDefault="001B6176" w:rsidP="001B6176"/>
    <w:p w14:paraId="792C1E0E" w14:textId="5C008D8A" w:rsidR="001B6176" w:rsidRDefault="001B6176" w:rsidP="001B6176">
      <w:pPr>
        <w:pStyle w:val="Heading2"/>
        <w:numPr>
          <w:ilvl w:val="1"/>
          <w:numId w:val="1"/>
        </w:numPr>
      </w:pPr>
      <w:bookmarkStart w:id="12" w:name="_Toc112760763"/>
      <w:r>
        <w:t>Planning the Upgrade</w:t>
      </w:r>
      <w:bookmarkEnd w:id="12"/>
    </w:p>
    <w:p w14:paraId="7D5C60F5" w14:textId="77777777" w:rsidR="001B6176" w:rsidRDefault="001B6176" w:rsidP="001B6176"/>
    <w:p w14:paraId="0666EC17" w14:textId="77777777" w:rsidR="001B6176" w:rsidRPr="001B6176" w:rsidRDefault="001B6176" w:rsidP="001B6176"/>
    <w:p w14:paraId="2AF79F89" w14:textId="77777777" w:rsidR="002C50F7" w:rsidRDefault="002C50F7" w:rsidP="002C50F7"/>
    <w:p w14:paraId="14AAD230" w14:textId="24E73763" w:rsidR="002C50F7" w:rsidRDefault="00F61EC5" w:rsidP="002C50F7">
      <w:r>
        <w:t>Implementing an upgrade of a Citrix environment within DHCW is considered a straightforward tas</w:t>
      </w:r>
      <w:r w:rsidR="00477AFE">
        <w:t>k, however this depends on the planning and preparation carried out prior to the upgrade. Since DHCW</w:t>
      </w:r>
      <w:r w:rsidR="00D64A40">
        <w:t xml:space="preserve"> deals with technology in a healthcare setting, a thorough planning process has been put in place to ensure all potential outcomes of a task have been considered.</w:t>
      </w:r>
      <w:r w:rsidR="00B1198F">
        <w:t xml:space="preserve"> </w:t>
      </w:r>
      <w:proofErr w:type="spellStart"/>
      <w:r w:rsidR="00B1198F">
        <w:t>Canisc</w:t>
      </w:r>
      <w:proofErr w:type="spellEnd"/>
      <w:r w:rsidR="00B1198F">
        <w:t xml:space="preserve"> is essential to the care of cancer patients in Wales, therefore the upgrade must be planned and approved before it can be carried out.</w:t>
      </w:r>
    </w:p>
    <w:p w14:paraId="27477F93" w14:textId="77777777" w:rsidR="00E92277" w:rsidRDefault="00E92277" w:rsidP="002C50F7"/>
    <w:p w14:paraId="02D749AD" w14:textId="14D6913F" w:rsidR="00E92277" w:rsidRPr="002C50F7" w:rsidRDefault="00B816C4" w:rsidP="002C50F7">
      <w:r>
        <w:rPr>
          <w:noProof/>
        </w:rPr>
        <mc:AlternateContent>
          <mc:Choice Requires="wps">
            <w:drawing>
              <wp:anchor distT="0" distB="0" distL="114300" distR="114300" simplePos="0" relativeHeight="251621888" behindDoc="1" locked="0" layoutInCell="1" allowOverlap="1" wp14:anchorId="068EE047" wp14:editId="2A51110E">
                <wp:simplePos x="0" y="0"/>
                <wp:positionH relativeFrom="column">
                  <wp:posOffset>0</wp:posOffset>
                </wp:positionH>
                <wp:positionV relativeFrom="paragraph">
                  <wp:posOffset>3952875</wp:posOffset>
                </wp:positionV>
                <wp:extent cx="35814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581400" cy="635"/>
                        </a:xfrm>
                        <a:prstGeom prst="rect">
                          <a:avLst/>
                        </a:prstGeom>
                        <a:solidFill>
                          <a:prstClr val="white"/>
                        </a:solidFill>
                        <a:ln>
                          <a:noFill/>
                        </a:ln>
                      </wps:spPr>
                      <wps:txbx>
                        <w:txbxContent>
                          <w:p w14:paraId="613055ED" w14:textId="35899187" w:rsidR="00B816C4" w:rsidRPr="00A51A3C" w:rsidRDefault="00B816C4" w:rsidP="00B816C4">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3</w:t>
                            </w:r>
                            <w:r w:rsidR="007F1363">
                              <w:rPr>
                                <w:noProof/>
                              </w:rPr>
                              <w:fldChar w:fldCharType="end"/>
                            </w:r>
                            <w:r>
                              <w:t xml:space="preserve"> DHCW Approach to Planning</w:t>
                            </w:r>
                            <w:r w:rsidR="00AE630C">
                              <w:t xml:space="preserve"> </w:t>
                            </w:r>
                            <w:sdt>
                              <w:sdtPr>
                                <w:id w:val="1241372136"/>
                                <w:citation/>
                              </w:sdtPr>
                              <w:sdtContent>
                                <w:r w:rsidR="00BB5093">
                                  <w:fldChar w:fldCharType="begin"/>
                                </w:r>
                                <w:r w:rsidR="00BB5093">
                                  <w:instrText xml:space="preserve"> CITATION Bus22 \l 2057 </w:instrText>
                                </w:r>
                                <w:r w:rsidR="00BB5093">
                                  <w:fldChar w:fldCharType="separate"/>
                                </w:r>
                                <w:r w:rsidR="00BB5093" w:rsidRPr="00BB5093">
                                  <w:rPr>
                                    <w:noProof/>
                                  </w:rPr>
                                  <w:t>[25]</w:t>
                                </w:r>
                                <w:r w:rsidR="00BB509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EE047" id="Text Box 7" o:spid="_x0000_s1028" type="#_x0000_t202" style="position:absolute;margin-left:0;margin-top:311.25pt;width:282pt;height:.05pt;z-index:-25169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XwC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17ezz1M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" stroked="f">
                <v:textbox style="mso-fit-shape-to-text:t" inset="0,0,0,0">
                  <w:txbxContent>
                    <w:p w14:paraId="613055ED" w14:textId="35899187" w:rsidR="00B816C4" w:rsidRPr="00A51A3C" w:rsidRDefault="00B816C4" w:rsidP="00B816C4">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3</w:t>
                      </w:r>
                      <w:r w:rsidR="007F1363">
                        <w:rPr>
                          <w:noProof/>
                        </w:rPr>
                        <w:fldChar w:fldCharType="end"/>
                      </w:r>
                      <w:r>
                        <w:t xml:space="preserve"> DHCW Approach to Planning</w:t>
                      </w:r>
                      <w:r w:rsidR="00AE630C">
                        <w:t xml:space="preserve"> </w:t>
                      </w:r>
                      <w:sdt>
                        <w:sdtPr>
                          <w:id w:val="1241372136"/>
                          <w:citation/>
                        </w:sdtPr>
                        <w:sdtContent>
                          <w:r w:rsidR="00BB5093">
                            <w:fldChar w:fldCharType="begin"/>
                          </w:r>
                          <w:r w:rsidR="00BB5093">
                            <w:instrText xml:space="preserve"> CITATION Bus22 \l 2057 </w:instrText>
                          </w:r>
                          <w:r w:rsidR="00BB5093">
                            <w:fldChar w:fldCharType="separate"/>
                          </w:r>
                          <w:r w:rsidR="00BB5093" w:rsidRPr="00BB5093">
                            <w:rPr>
                              <w:noProof/>
                            </w:rPr>
                            <w:t>[25]</w:t>
                          </w:r>
                          <w:r w:rsidR="00BB5093">
                            <w:fldChar w:fldCharType="end"/>
                          </w:r>
                        </w:sdtContent>
                      </w:sdt>
                    </w:p>
                  </w:txbxContent>
                </v:textbox>
                <w10:wrap type="tight"/>
              </v:shape>
            </w:pict>
          </mc:Fallback>
        </mc:AlternateContent>
      </w:r>
      <w:r w:rsidR="00E92277">
        <w:rPr>
          <w:noProof/>
        </w:rPr>
        <w:drawing>
          <wp:anchor distT="0" distB="0" distL="114300" distR="114300" simplePos="0" relativeHeight="251618816" behindDoc="1" locked="0" layoutInCell="1" allowOverlap="1" wp14:anchorId="57AEE8BD" wp14:editId="6C237C84">
            <wp:simplePos x="0" y="0"/>
            <wp:positionH relativeFrom="margin">
              <wp:posOffset>0</wp:posOffset>
            </wp:positionH>
            <wp:positionV relativeFrom="paragraph">
              <wp:posOffset>276225</wp:posOffset>
            </wp:positionV>
            <wp:extent cx="3581400" cy="3619500"/>
            <wp:effectExtent l="0" t="0" r="0" b="0"/>
            <wp:wrapTight wrapText="bothSides">
              <wp:wrapPolygon edited="0">
                <wp:start x="0" y="0"/>
                <wp:lineTo x="0" y="21486"/>
                <wp:lineTo x="21485" y="21486"/>
                <wp:lineTo x="21485"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81400" cy="3619500"/>
                    </a:xfrm>
                    <a:prstGeom prst="rect">
                      <a:avLst/>
                    </a:prstGeom>
                  </pic:spPr>
                </pic:pic>
              </a:graphicData>
            </a:graphic>
          </wp:anchor>
        </w:drawing>
      </w:r>
    </w:p>
    <w:p w14:paraId="75ED2A39" w14:textId="5FDC6433" w:rsidR="00516BDD" w:rsidRDefault="003A6AFD" w:rsidP="009A5D18">
      <w:r>
        <w:t>Figure 3 on the left is a</w:t>
      </w:r>
      <w:r w:rsidR="0088444D">
        <w:t xml:space="preserve"> visual aid demonstrating the DHCW approach to business change for all service teams across the organisation.</w:t>
      </w:r>
      <w:r w:rsidR="00A67A40">
        <w:t xml:space="preserve"> Note that the one constant throughout any business change is engagement, this could mean engagement with:</w:t>
      </w:r>
    </w:p>
    <w:p w14:paraId="1707594F" w14:textId="61901005" w:rsidR="00A67A40" w:rsidRDefault="00A67A40" w:rsidP="00A67A40">
      <w:pPr>
        <w:pStyle w:val="ListParagraph"/>
        <w:numPr>
          <w:ilvl w:val="0"/>
          <w:numId w:val="2"/>
        </w:numPr>
      </w:pPr>
      <w:r>
        <w:t>End users</w:t>
      </w:r>
    </w:p>
    <w:p w14:paraId="5BF529F7" w14:textId="2AFDF254" w:rsidR="00A67A40" w:rsidRDefault="00A67A40" w:rsidP="00A67A40">
      <w:pPr>
        <w:pStyle w:val="ListParagraph"/>
        <w:numPr>
          <w:ilvl w:val="0"/>
          <w:numId w:val="2"/>
        </w:numPr>
      </w:pPr>
      <w:r>
        <w:t>Support Teams</w:t>
      </w:r>
    </w:p>
    <w:p w14:paraId="02CEE036" w14:textId="515E7C8E" w:rsidR="00A67A40" w:rsidRDefault="00A67A40" w:rsidP="00A67A40">
      <w:pPr>
        <w:pStyle w:val="ListParagraph"/>
        <w:numPr>
          <w:ilvl w:val="0"/>
          <w:numId w:val="2"/>
        </w:numPr>
      </w:pPr>
      <w:r>
        <w:t>Stakehol</w:t>
      </w:r>
      <w:r w:rsidR="00992231">
        <w:t>ders</w:t>
      </w:r>
    </w:p>
    <w:p w14:paraId="118579CC" w14:textId="77777777" w:rsidR="001C4B74" w:rsidRDefault="001C4B74" w:rsidP="001C4B74"/>
    <w:p w14:paraId="576A9786" w14:textId="7B151846" w:rsidR="001C4B74" w:rsidRDefault="001C4B74" w:rsidP="001C4B74">
      <w:r>
        <w:t xml:space="preserve">The suggestion of upgrading </w:t>
      </w:r>
      <w:proofErr w:type="spellStart"/>
      <w:r>
        <w:t>Canisc</w:t>
      </w:r>
      <w:proofErr w:type="spellEnd"/>
      <w:r>
        <w:t xml:space="preserve"> is a result of </w:t>
      </w:r>
      <w:r w:rsidR="00A17E6A">
        <w:t xml:space="preserve">feedback from end users and support teams. </w:t>
      </w:r>
      <w:proofErr w:type="spellStart"/>
      <w:r w:rsidR="00A17E6A">
        <w:t>Canisc’s</w:t>
      </w:r>
      <w:proofErr w:type="spellEnd"/>
      <w:r w:rsidR="00A17E6A">
        <w:t xml:space="preserve"> performance is poor, it is running on </w:t>
      </w:r>
      <w:r w:rsidR="00B72CC3">
        <w:t>out-of-date</w:t>
      </w:r>
      <w:r w:rsidR="00A17E6A">
        <w:t xml:space="preserve"> operating systems and there are known vulnerabilities posing a threat to the environment. </w:t>
      </w:r>
    </w:p>
    <w:p w14:paraId="23DEB744" w14:textId="0A0F209A" w:rsidR="00B72CC3" w:rsidRDefault="004317A7" w:rsidP="001C4B74">
      <w:r>
        <w:t xml:space="preserve">To begin planning, the DHCW Citrix and </w:t>
      </w:r>
      <w:proofErr w:type="spellStart"/>
      <w:r>
        <w:t>Canisc</w:t>
      </w:r>
      <w:proofErr w:type="spellEnd"/>
      <w:r>
        <w:t xml:space="preserve"> team must agree</w:t>
      </w:r>
      <w:r w:rsidR="005A1F75">
        <w:t xml:space="preserve"> the most suitable approach to upgrading as one side of </w:t>
      </w:r>
      <w:proofErr w:type="spellStart"/>
      <w:r w:rsidR="005A1F75">
        <w:t>Canisc</w:t>
      </w:r>
      <w:proofErr w:type="spellEnd"/>
      <w:r w:rsidR="005A1F75">
        <w:t xml:space="preserve"> will have to be offline during the upgrade, leaving the service at a higher risk of being offline. The teams have the option to carry out the upgrade out of hours, however this will require more resources</w:t>
      </w:r>
      <w:r w:rsidR="00524334">
        <w:t xml:space="preserve"> and still carries the same risk. Therefore, it is not necessary to upgrade </w:t>
      </w:r>
      <w:proofErr w:type="spellStart"/>
      <w:r w:rsidR="00524334">
        <w:t>Canisc</w:t>
      </w:r>
      <w:proofErr w:type="spellEnd"/>
      <w:r w:rsidR="00524334">
        <w:t xml:space="preserve"> out of hours</w:t>
      </w:r>
      <w:r w:rsidR="006B11B7">
        <w:t xml:space="preserve">, however both teams must consider the possibility of the service going offline. With </w:t>
      </w:r>
      <w:proofErr w:type="spellStart"/>
      <w:r w:rsidR="006B11B7">
        <w:t>Canisc</w:t>
      </w:r>
      <w:proofErr w:type="spellEnd"/>
      <w:r w:rsidR="006B11B7">
        <w:t xml:space="preserve"> only being available in one of two data centres during the upgrade</w:t>
      </w:r>
      <w:r w:rsidR="00D630F3">
        <w:t xml:space="preserve">, if any issues affect the live side of </w:t>
      </w:r>
      <w:proofErr w:type="spellStart"/>
      <w:r w:rsidR="00D630F3">
        <w:t>Canisc</w:t>
      </w:r>
      <w:proofErr w:type="spellEnd"/>
      <w:r w:rsidR="00D630F3">
        <w:t xml:space="preserve"> during the upgrade, the service will be offline for all users. </w:t>
      </w:r>
      <w:r w:rsidR="009E1197">
        <w:t xml:space="preserve">This has been a known possibility since DHCW began using Citrix, therefore </w:t>
      </w:r>
      <w:r w:rsidR="0057518A">
        <w:t xml:space="preserve">the </w:t>
      </w:r>
      <w:proofErr w:type="spellStart"/>
      <w:r w:rsidR="0057518A">
        <w:t>Canisc</w:t>
      </w:r>
      <w:proofErr w:type="spellEnd"/>
      <w:r w:rsidR="0057518A">
        <w:t xml:space="preserve"> support team have designed </w:t>
      </w:r>
      <w:proofErr w:type="spellStart"/>
      <w:r w:rsidR="0057518A">
        <w:lastRenderedPageBreak/>
        <w:t>powershell</w:t>
      </w:r>
      <w:proofErr w:type="spellEnd"/>
      <w:r w:rsidR="0057518A">
        <w:t xml:space="preserve"> scripts to test the </w:t>
      </w:r>
      <w:proofErr w:type="spellStart"/>
      <w:r w:rsidR="0057518A">
        <w:t>Canisc</w:t>
      </w:r>
      <w:proofErr w:type="spellEnd"/>
      <w:r w:rsidR="0057518A">
        <w:t xml:space="preserve"> sites. They will run the tests prior to upgrading to ensure there are no issues with the environment.</w:t>
      </w:r>
    </w:p>
    <w:p w14:paraId="0A0AF7B4" w14:textId="6FA6DC6F" w:rsidR="006B50D8" w:rsidRDefault="008B222A" w:rsidP="001C4B74">
      <w:r>
        <w:t xml:space="preserve">Both DHCW Citrix and </w:t>
      </w:r>
      <w:proofErr w:type="spellStart"/>
      <w:r>
        <w:t>Canisc</w:t>
      </w:r>
      <w:proofErr w:type="spellEnd"/>
      <w:r>
        <w:t xml:space="preserve"> team</w:t>
      </w:r>
      <w:r w:rsidR="00142198">
        <w:t xml:space="preserve"> must log a Change Record (CR) to outline their plan and submit it to the Change Board for approval. A CR is a detailed plan that covers the following:</w:t>
      </w:r>
    </w:p>
    <w:p w14:paraId="56E73F3E" w14:textId="77777777" w:rsidR="00142198" w:rsidRDefault="00142198" w:rsidP="001C4B74"/>
    <w:p w14:paraId="2034DDCF" w14:textId="77777777" w:rsidR="00D67E11" w:rsidRDefault="00D67E11" w:rsidP="00D67E11">
      <w:pPr>
        <w:pStyle w:val="ListParagraph"/>
        <w:numPr>
          <w:ilvl w:val="0"/>
          <w:numId w:val="6"/>
        </w:numPr>
        <w:spacing w:after="0" w:line="240" w:lineRule="auto"/>
      </w:pPr>
      <w:r>
        <w:t>Reason for the change</w:t>
      </w:r>
    </w:p>
    <w:p w14:paraId="272E208C" w14:textId="77777777" w:rsidR="00D67E11" w:rsidRDefault="00D67E11" w:rsidP="00D67E11">
      <w:pPr>
        <w:pStyle w:val="ListParagraph"/>
        <w:numPr>
          <w:ilvl w:val="0"/>
          <w:numId w:val="6"/>
        </w:numPr>
        <w:spacing w:after="0" w:line="240" w:lineRule="auto"/>
      </w:pPr>
      <w:r>
        <w:t>A brief but technical description of the work to be carried out</w:t>
      </w:r>
    </w:p>
    <w:p w14:paraId="2FA3663D" w14:textId="77777777" w:rsidR="00D67E11" w:rsidRDefault="00D67E11" w:rsidP="00D67E11">
      <w:pPr>
        <w:pStyle w:val="ListParagraph"/>
        <w:numPr>
          <w:ilvl w:val="0"/>
          <w:numId w:val="6"/>
        </w:numPr>
        <w:spacing w:after="0" w:line="240" w:lineRule="auto"/>
      </w:pPr>
      <w:r>
        <w:t>Scheduled date for work to be carried out</w:t>
      </w:r>
    </w:p>
    <w:p w14:paraId="2A9601A9" w14:textId="77777777" w:rsidR="00D67E11" w:rsidRDefault="00D67E11" w:rsidP="00D67E11">
      <w:pPr>
        <w:pStyle w:val="ListParagraph"/>
        <w:numPr>
          <w:ilvl w:val="0"/>
          <w:numId w:val="6"/>
        </w:numPr>
        <w:spacing w:after="0" w:line="240" w:lineRule="auto"/>
      </w:pPr>
      <w:r>
        <w:t>If the Cyber Security team need to be involved</w:t>
      </w:r>
    </w:p>
    <w:p w14:paraId="57CA7F85" w14:textId="77777777" w:rsidR="00D67E11" w:rsidRDefault="00D67E11" w:rsidP="00D67E11">
      <w:pPr>
        <w:pStyle w:val="ListParagraph"/>
        <w:numPr>
          <w:ilvl w:val="0"/>
          <w:numId w:val="6"/>
        </w:numPr>
        <w:spacing w:after="0" w:line="240" w:lineRule="auto"/>
      </w:pPr>
      <w:r>
        <w:t>Pre-Change steps</w:t>
      </w:r>
    </w:p>
    <w:p w14:paraId="0E8AE3F7" w14:textId="77777777" w:rsidR="00D67E11" w:rsidRDefault="00D67E11" w:rsidP="00D67E11">
      <w:pPr>
        <w:pStyle w:val="ListParagraph"/>
        <w:numPr>
          <w:ilvl w:val="0"/>
          <w:numId w:val="6"/>
        </w:numPr>
        <w:spacing w:after="0" w:line="240" w:lineRule="auto"/>
      </w:pPr>
      <w:r>
        <w:t>Implementation plan (Step by Step)</w:t>
      </w:r>
    </w:p>
    <w:p w14:paraId="01583B9F" w14:textId="77777777" w:rsidR="00D67E11" w:rsidRDefault="00D67E11" w:rsidP="00D67E11">
      <w:pPr>
        <w:pStyle w:val="ListParagraph"/>
        <w:numPr>
          <w:ilvl w:val="0"/>
          <w:numId w:val="6"/>
        </w:numPr>
        <w:spacing w:after="0" w:line="240" w:lineRule="auto"/>
      </w:pPr>
      <w:r>
        <w:t>Post-Change steps</w:t>
      </w:r>
    </w:p>
    <w:p w14:paraId="30F401C7" w14:textId="77777777" w:rsidR="00D67E11" w:rsidRDefault="00D67E11" w:rsidP="00D67E11">
      <w:pPr>
        <w:pStyle w:val="ListParagraph"/>
        <w:numPr>
          <w:ilvl w:val="0"/>
          <w:numId w:val="6"/>
        </w:numPr>
        <w:spacing w:after="0" w:line="240" w:lineRule="auto"/>
      </w:pPr>
      <w:r>
        <w:t>Backout plan (in case of unexpected issues)</w:t>
      </w:r>
    </w:p>
    <w:p w14:paraId="1BF4FFEB" w14:textId="77777777" w:rsidR="00D67E11" w:rsidRDefault="00D67E11" w:rsidP="00D67E11">
      <w:pPr>
        <w:pStyle w:val="ListParagraph"/>
        <w:numPr>
          <w:ilvl w:val="0"/>
          <w:numId w:val="6"/>
        </w:numPr>
        <w:spacing w:after="0" w:line="240" w:lineRule="auto"/>
      </w:pPr>
      <w:r>
        <w:t>How the success of the change will be measured</w:t>
      </w:r>
    </w:p>
    <w:p w14:paraId="210AAA6F" w14:textId="77777777" w:rsidR="00D67E11" w:rsidRDefault="00D67E11" w:rsidP="00D67E11">
      <w:pPr>
        <w:pStyle w:val="ListParagraph"/>
        <w:numPr>
          <w:ilvl w:val="0"/>
          <w:numId w:val="6"/>
        </w:numPr>
        <w:spacing w:after="0" w:line="240" w:lineRule="auto"/>
      </w:pPr>
      <w:r>
        <w:t>Technicians involved in the steps</w:t>
      </w:r>
    </w:p>
    <w:p w14:paraId="31392E2B" w14:textId="77777777" w:rsidR="00D67E11" w:rsidRDefault="00D67E11" w:rsidP="00D67E11">
      <w:pPr>
        <w:pStyle w:val="ListParagraph"/>
        <w:numPr>
          <w:ilvl w:val="0"/>
          <w:numId w:val="6"/>
        </w:numPr>
        <w:spacing w:after="0" w:line="240" w:lineRule="auto"/>
      </w:pPr>
      <w:r>
        <w:t>Date of completion</w:t>
      </w:r>
    </w:p>
    <w:p w14:paraId="79ACEE8A" w14:textId="77777777" w:rsidR="00D67E11" w:rsidRDefault="00D67E11" w:rsidP="00D67E11">
      <w:pPr>
        <w:pStyle w:val="ListParagraph"/>
        <w:numPr>
          <w:ilvl w:val="0"/>
          <w:numId w:val="6"/>
        </w:numPr>
        <w:spacing w:after="0" w:line="240" w:lineRule="auto"/>
      </w:pPr>
      <w:r>
        <w:t>Date of review</w:t>
      </w:r>
    </w:p>
    <w:p w14:paraId="3B9CE596" w14:textId="77777777" w:rsidR="00126033" w:rsidRDefault="00C9798E" w:rsidP="00126033">
      <w:r>
        <w:t xml:space="preserve">Once the change has been completed, it is submitted to the Change Board for approval. This is a group of team leaders who assess the CR and decide whether the team have justified their reason for carrying out the change or if it poses too much a risk to the service. </w:t>
      </w:r>
    </w:p>
    <w:p w14:paraId="305AC593" w14:textId="71C98B38" w:rsidR="00126033" w:rsidRDefault="00C9798E" w:rsidP="00126033">
      <w:r>
        <w:t xml:space="preserve">The CR must outline its objectives clearly so the success of the change can be measured clearly. Perhaps the most important step in the CR is the backout plan. There must be a plan in the event of unexpected issues arising. Without a valid backout plan, it is extremely likely that the CR will be rejected by the Change Board. The </w:t>
      </w:r>
      <w:proofErr w:type="spellStart"/>
      <w:r w:rsidR="00126033">
        <w:t>Canisc</w:t>
      </w:r>
      <w:proofErr w:type="spellEnd"/>
      <w:r>
        <w:t xml:space="preserve"> support team and the Citrix team must log their own changes and can then link them together, although the upgrade will be carried out by the Citrix team alone. The </w:t>
      </w:r>
      <w:proofErr w:type="spellStart"/>
      <w:r w:rsidR="00126033">
        <w:t>Canisc</w:t>
      </w:r>
      <w:proofErr w:type="spellEnd"/>
      <w:r>
        <w:t xml:space="preserve"> team </w:t>
      </w:r>
      <w:r w:rsidR="00126033">
        <w:t>oversee</w:t>
      </w:r>
      <w:r>
        <w:t xml:space="preserve"> communication with end users both prior to and following the change. End user feedback will be received by the </w:t>
      </w:r>
      <w:proofErr w:type="spellStart"/>
      <w:r w:rsidR="00CC4847">
        <w:t>Canisc</w:t>
      </w:r>
      <w:proofErr w:type="spellEnd"/>
      <w:r>
        <w:t xml:space="preserve"> team who will use this to sustain the hopeful success of the change. If the upgrade did not achieve the key objectives, the service will need to be reviewed before the upgrade is carried out on </w:t>
      </w:r>
      <w:proofErr w:type="spellStart"/>
      <w:r w:rsidR="00CC4847">
        <w:t>Canisc</w:t>
      </w:r>
      <w:proofErr w:type="spellEnd"/>
      <w:r>
        <w:t xml:space="preserve"> hosted in other data centres. </w:t>
      </w:r>
    </w:p>
    <w:p w14:paraId="49B3DC7E" w14:textId="68FFEF2D" w:rsidR="00FB24B6" w:rsidRDefault="00C9798E" w:rsidP="00126033">
      <w:r>
        <w:t xml:space="preserve">The success of the upgrade, if approved by the change board, will be measured differently between the </w:t>
      </w:r>
      <w:proofErr w:type="spellStart"/>
      <w:r w:rsidR="00CC4847">
        <w:t>Canisc</w:t>
      </w:r>
      <w:proofErr w:type="spellEnd"/>
      <w:r>
        <w:t xml:space="preserve"> team and the Citrix team. The </w:t>
      </w:r>
      <w:proofErr w:type="spellStart"/>
      <w:r w:rsidR="00CC4847">
        <w:t>Canisc</w:t>
      </w:r>
      <w:proofErr w:type="spellEnd"/>
      <w:r>
        <w:t xml:space="preserve"> team will base the success of the upgrade on end user feedback. If the performance of the service improves, then the </w:t>
      </w:r>
      <w:proofErr w:type="spellStart"/>
      <w:r w:rsidR="00CC4847">
        <w:t>Canisc</w:t>
      </w:r>
      <w:proofErr w:type="spellEnd"/>
      <w:r>
        <w:t xml:space="preserve"> team will consider the upgrade a success. However, from the perspective of the Citrix team, they will focus on the vulnerabilities highlighted in the literature review. If the vulnerabilities pose less of a threat following the upgrade, then it will be considered a success. The Citrix team must also see if the upgrade resolves the issues where VDAs randomly become unregistered. There was no evidence to suggest an upgrade would fix the issue, however no other fixes have worked so far. There is a small chance the upgrade will fix the </w:t>
      </w:r>
      <w:proofErr w:type="gramStart"/>
      <w:r>
        <w:t>issue,</w:t>
      </w:r>
      <w:proofErr w:type="gramEnd"/>
      <w:r>
        <w:t xml:space="preserve"> however it is almost certain it will not make it worse. The planning stage is key to making the upgrade a success. The </w:t>
      </w:r>
      <w:proofErr w:type="spellStart"/>
      <w:r w:rsidR="00CC4847">
        <w:t>Canisc</w:t>
      </w:r>
      <w:proofErr w:type="spellEnd"/>
      <w:r>
        <w:t xml:space="preserve"> team and the Citrix team have identified the need for the service to be upgraded, however if the CR does not justify their reasons enough, there is a change of the CR being denied</w:t>
      </w:r>
      <w:sdt>
        <w:sdtPr>
          <w:id w:val="1081494255"/>
          <w:citation/>
        </w:sdtPr>
        <w:sdtEndPr/>
        <w:sdtContent>
          <w:r w:rsidR="00204850">
            <w:fldChar w:fldCharType="begin"/>
          </w:r>
          <w:r w:rsidR="00204850">
            <w:instrText xml:space="preserve"> CITATION Gar22 \l 2057 </w:instrText>
          </w:r>
          <w:r w:rsidR="00204850">
            <w:fldChar w:fldCharType="separate"/>
          </w:r>
          <w:r w:rsidR="00204850">
            <w:rPr>
              <w:noProof/>
            </w:rPr>
            <w:t xml:space="preserve"> </w:t>
          </w:r>
          <w:r w:rsidR="00204850" w:rsidRPr="00204850">
            <w:rPr>
              <w:noProof/>
            </w:rPr>
            <w:t>[21]</w:t>
          </w:r>
          <w:r w:rsidR="00204850">
            <w:fldChar w:fldCharType="end"/>
          </w:r>
        </w:sdtContent>
      </w:sdt>
      <w:r>
        <w:t>.</w:t>
      </w:r>
    </w:p>
    <w:p w14:paraId="13DC4BED" w14:textId="2155C870" w:rsidR="002749B9" w:rsidRDefault="002749B9" w:rsidP="00126033">
      <w:r>
        <w:t>Below in figure 4 is a Gantt chart displaying the desired dates for the upgrade and targets that cover each step of the upgrade, including getting the CR approved.</w:t>
      </w:r>
      <w:r w:rsidR="00B542A3">
        <w:t xml:space="preserve"> The complete Gantt chart will be included in the implementation section of the report once the upgrade has been complete.</w:t>
      </w:r>
    </w:p>
    <w:p w14:paraId="4F30B5E9" w14:textId="6BC50574" w:rsidR="009E787E" w:rsidRDefault="002749B9" w:rsidP="009E787E">
      <w:pPr>
        <w:keepNext/>
      </w:pPr>
      <w:r>
        <w:rPr>
          <w:noProof/>
        </w:rPr>
        <w:lastRenderedPageBreak/>
        <w:drawing>
          <wp:inline distT="0" distB="0" distL="0" distR="0" wp14:anchorId="4528432F" wp14:editId="42376991">
            <wp:extent cx="5731510" cy="2928620"/>
            <wp:effectExtent l="0" t="0" r="2540" b="508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7115F7DA" w14:textId="4EF3BA82" w:rsidR="002749B9" w:rsidRDefault="009E787E" w:rsidP="009E787E">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4</w:t>
      </w:r>
      <w:r w:rsidR="007F1363">
        <w:rPr>
          <w:noProof/>
        </w:rPr>
        <w:fldChar w:fldCharType="end"/>
      </w:r>
      <w:r>
        <w:t xml:space="preserve"> Gantt Chart </w:t>
      </w:r>
      <w:proofErr w:type="gramStart"/>
      <w:r>
        <w:t>Pre Upgrade</w:t>
      </w:r>
      <w:proofErr w:type="gramEnd"/>
    </w:p>
    <w:p w14:paraId="61141244" w14:textId="77777777" w:rsidR="001B6176" w:rsidRDefault="001B6176" w:rsidP="001C4B74"/>
    <w:p w14:paraId="38818233" w14:textId="44454ED7" w:rsidR="005C5E35" w:rsidRDefault="005C5E35" w:rsidP="005C5E35">
      <w:pPr>
        <w:pStyle w:val="Heading2"/>
        <w:numPr>
          <w:ilvl w:val="1"/>
          <w:numId w:val="1"/>
        </w:numPr>
      </w:pPr>
      <w:bookmarkStart w:id="13" w:name="_Toc112760764"/>
      <w:r>
        <w:t>Implementing the Upgrade</w:t>
      </w:r>
      <w:bookmarkEnd w:id="13"/>
    </w:p>
    <w:p w14:paraId="79EAEAF9" w14:textId="7F8A1689" w:rsidR="005C5E35" w:rsidRDefault="005C5E35" w:rsidP="005C5E35"/>
    <w:p w14:paraId="167C987A" w14:textId="583D1E65" w:rsidR="005C5E35" w:rsidRDefault="0065421E" w:rsidP="005C5E35">
      <w:r>
        <w:rPr>
          <w:noProof/>
        </w:rPr>
        <w:drawing>
          <wp:anchor distT="0" distB="0" distL="114300" distR="114300" simplePos="0" relativeHeight="251622912" behindDoc="1" locked="0" layoutInCell="1" allowOverlap="1" wp14:anchorId="1B670240" wp14:editId="658E44CD">
            <wp:simplePos x="0" y="0"/>
            <wp:positionH relativeFrom="margin">
              <wp:align>right</wp:align>
            </wp:positionH>
            <wp:positionV relativeFrom="paragraph">
              <wp:posOffset>1473835</wp:posOffset>
            </wp:positionV>
            <wp:extent cx="5731510" cy="2863215"/>
            <wp:effectExtent l="0" t="0" r="2540" b="0"/>
            <wp:wrapTight wrapText="bothSides">
              <wp:wrapPolygon edited="0">
                <wp:start x="0" y="0"/>
                <wp:lineTo x="0" y="21413"/>
                <wp:lineTo x="21538" y="21413"/>
                <wp:lineTo x="2153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t="4145"/>
                    <a:stretch/>
                  </pic:blipFill>
                  <pic:spPr bwMode="auto">
                    <a:xfrm>
                      <a:off x="0" y="0"/>
                      <a:ext cx="5731510" cy="28632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D4B49">
        <w:t xml:space="preserve">A CR has been logged and approved for the Citrix team to carry out the upgrade as per the dates </w:t>
      </w:r>
      <w:r w:rsidR="006974AA">
        <w:t xml:space="preserve">seen in the Gantt chart. </w:t>
      </w:r>
      <w:r w:rsidR="00C3218F">
        <w:t xml:space="preserve">The author of this report will be leading the upgrade. </w:t>
      </w:r>
      <w:r w:rsidR="008558DE">
        <w:t xml:space="preserve">The DHCW Citrix team have designed a </w:t>
      </w:r>
      <w:r w:rsidR="007457AE">
        <w:t xml:space="preserve">template document that describes each step to carrying out a Citrix upgrade of any </w:t>
      </w:r>
      <w:r w:rsidR="00366690">
        <w:t>environment. This document has been attached as an appendix to this report.</w:t>
      </w:r>
      <w:r w:rsidR="00B60986">
        <w:t xml:space="preserve"> It is advised that the reader of this report </w:t>
      </w:r>
      <w:r w:rsidR="003F5731">
        <w:t>studies the document in the appendix whilst reading this section to further understand how the upgrade was completed.</w:t>
      </w:r>
      <w:r w:rsidR="00AC7436">
        <w:t xml:space="preserve"> Below are screenshots from the upgrade as it was carried out within one data centre</w:t>
      </w:r>
      <w:r w:rsidR="00F4336D">
        <w:t xml:space="preserve">. The Citrix team encountered errors whilst carrying out the upgrade, these errors will be described </w:t>
      </w:r>
    </w:p>
    <w:p w14:paraId="129C37ED" w14:textId="6B7A5598" w:rsidR="006974AA" w:rsidRDefault="0065421E" w:rsidP="005C5E35">
      <w:pPr>
        <w:rPr>
          <w:noProof/>
        </w:rPr>
      </w:pPr>
      <w:r>
        <w:rPr>
          <w:noProof/>
        </w:rPr>
        <mc:AlternateContent>
          <mc:Choice Requires="wps">
            <w:drawing>
              <wp:anchor distT="0" distB="0" distL="114300" distR="114300" simplePos="0" relativeHeight="251623936" behindDoc="1" locked="0" layoutInCell="1" allowOverlap="1" wp14:anchorId="760AE103" wp14:editId="4F3292D7">
                <wp:simplePos x="0" y="0"/>
                <wp:positionH relativeFrom="margin">
                  <wp:align>left</wp:align>
                </wp:positionH>
                <wp:positionV relativeFrom="paragraph">
                  <wp:posOffset>2897505</wp:posOffset>
                </wp:positionV>
                <wp:extent cx="1219200" cy="238125"/>
                <wp:effectExtent l="0" t="0" r="0" b="9525"/>
                <wp:wrapTight wrapText="bothSides">
                  <wp:wrapPolygon edited="0">
                    <wp:start x="0" y="0"/>
                    <wp:lineTo x="0" y="20736"/>
                    <wp:lineTo x="21263" y="20736"/>
                    <wp:lineTo x="2126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219200" cy="238125"/>
                        </a:xfrm>
                        <a:prstGeom prst="rect">
                          <a:avLst/>
                        </a:prstGeom>
                        <a:solidFill>
                          <a:prstClr val="white"/>
                        </a:solidFill>
                        <a:ln>
                          <a:noFill/>
                        </a:ln>
                      </wps:spPr>
                      <wps:txbx>
                        <w:txbxContent>
                          <w:p w14:paraId="6B16760E" w14:textId="67DD3097" w:rsidR="00A25C02" w:rsidRPr="00833609" w:rsidRDefault="00A25C02" w:rsidP="00A25C02">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5</w:t>
                            </w:r>
                            <w:r w:rsidR="007F1363">
                              <w:rPr>
                                <w:noProof/>
                              </w:rPr>
                              <w:fldChar w:fldCharType="end"/>
                            </w:r>
                            <w:r>
                              <w:t xml:space="preserve"> Testing the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AE103" id="Text Box 10" o:spid="_x0000_s1029" type="#_x0000_t202" style="position:absolute;margin-left:0;margin-top:228.15pt;width:96pt;height:18.75pt;z-index:-251692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" stroked="f">
                <v:textbox inset="0,0,0,0">
                  <w:txbxContent>
                    <w:p w14:paraId="6B16760E" w14:textId="67DD3097" w:rsidR="00A25C02" w:rsidRPr="00833609" w:rsidRDefault="00A25C02" w:rsidP="00A25C02">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5</w:t>
                      </w:r>
                      <w:r w:rsidR="007F1363">
                        <w:rPr>
                          <w:noProof/>
                        </w:rPr>
                        <w:fldChar w:fldCharType="end"/>
                      </w:r>
                      <w:r>
                        <w:t xml:space="preserve"> Testing the Site</w:t>
                      </w:r>
                    </w:p>
                  </w:txbxContent>
                </v:textbox>
                <w10:wrap type="tight" anchorx="margin"/>
              </v:shape>
            </w:pict>
          </mc:Fallback>
        </mc:AlternateContent>
      </w:r>
    </w:p>
    <w:p w14:paraId="0DBD28CD" w14:textId="6EA282A1" w:rsidR="006974AA" w:rsidRDefault="006974AA" w:rsidP="005C5E35"/>
    <w:p w14:paraId="3BA258E1" w14:textId="2E45D310" w:rsidR="00B32628" w:rsidRDefault="001439D3" w:rsidP="005C5E35">
      <w:r>
        <w:rPr>
          <w:noProof/>
        </w:rPr>
        <w:drawing>
          <wp:anchor distT="0" distB="0" distL="114300" distR="114300" simplePos="0" relativeHeight="251624960" behindDoc="1" locked="0" layoutInCell="1" allowOverlap="1" wp14:anchorId="6EB46F8F" wp14:editId="47BED891">
            <wp:simplePos x="0" y="0"/>
            <wp:positionH relativeFrom="margin">
              <wp:align>center</wp:align>
            </wp:positionH>
            <wp:positionV relativeFrom="paragraph">
              <wp:posOffset>991870</wp:posOffset>
            </wp:positionV>
            <wp:extent cx="6500371" cy="2657475"/>
            <wp:effectExtent l="0" t="0" r="0" b="0"/>
            <wp:wrapTight wrapText="bothSides">
              <wp:wrapPolygon edited="0">
                <wp:start x="0" y="0"/>
                <wp:lineTo x="0" y="21368"/>
                <wp:lineTo x="21524" y="21368"/>
                <wp:lineTo x="21524" y="0"/>
                <wp:lineTo x="0" y="0"/>
              </wp:wrapPolygon>
            </wp:wrapTight>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500371" cy="2657475"/>
                    </a:xfrm>
                    <a:prstGeom prst="rect">
                      <a:avLst/>
                    </a:prstGeom>
                  </pic:spPr>
                </pic:pic>
              </a:graphicData>
            </a:graphic>
          </wp:anchor>
        </w:drawing>
      </w:r>
      <w:r w:rsidR="006974AA">
        <w:t xml:space="preserve">Figure 5 shows the first step taken by the Citrix team </w:t>
      </w:r>
      <w:r w:rsidR="00C3218F">
        <w:t xml:space="preserve">on the </w:t>
      </w:r>
      <w:proofErr w:type="spellStart"/>
      <w:r w:rsidR="00C3218F">
        <w:t>Canisc</w:t>
      </w:r>
      <w:proofErr w:type="spellEnd"/>
      <w:r w:rsidR="00C3218F">
        <w:t xml:space="preserve"> environment, testing the </w:t>
      </w:r>
      <w:proofErr w:type="spellStart"/>
      <w:r w:rsidR="00C3218F">
        <w:t>Canisc</w:t>
      </w:r>
      <w:proofErr w:type="spellEnd"/>
      <w:r w:rsidR="00C3218F">
        <w:t xml:space="preserve"> site. T</w:t>
      </w:r>
      <w:r w:rsidR="00426C1C">
        <w:t xml:space="preserve">his is done by logging on to the </w:t>
      </w:r>
      <w:proofErr w:type="spellStart"/>
      <w:r w:rsidR="00426C1C">
        <w:t>Canisc</w:t>
      </w:r>
      <w:proofErr w:type="spellEnd"/>
      <w:r w:rsidR="00426C1C">
        <w:t xml:space="preserve"> DDC</w:t>
      </w:r>
      <w:r w:rsidR="00CF3B0B">
        <w:t xml:space="preserve">, launching Studio and selecting the “Test site” option, this runs a series of predetermined tests built </w:t>
      </w:r>
      <w:r w:rsidR="00430134">
        <w:t>into</w:t>
      </w:r>
      <w:r w:rsidR="00CF3B0B">
        <w:t xml:space="preserve"> Studio that establish if the </w:t>
      </w:r>
      <w:proofErr w:type="spellStart"/>
      <w:r w:rsidR="00CF3B0B">
        <w:t>Canisc</w:t>
      </w:r>
      <w:proofErr w:type="spellEnd"/>
      <w:r w:rsidR="00CF3B0B">
        <w:t xml:space="preserve"> environment is </w:t>
      </w:r>
      <w:r w:rsidR="000135EC">
        <w:t>functioning prior to upgrading.</w:t>
      </w:r>
      <w:r w:rsidR="003A649A">
        <w:t xml:space="preserve"> Two of the tests failed</w:t>
      </w:r>
      <w:r w:rsidR="0065421E">
        <w:t xml:space="preserve"> when this was run. The failed tests are exported into a report which can be seen in figure 6 below</w:t>
      </w:r>
      <w:r w:rsidR="00693076">
        <w:t>.</w:t>
      </w:r>
    </w:p>
    <w:p w14:paraId="41E76A47" w14:textId="7A807CEF" w:rsidR="00693076" w:rsidRDefault="00693076" w:rsidP="00693076">
      <w:pPr>
        <w:keepNext/>
      </w:pPr>
    </w:p>
    <w:p w14:paraId="7F23E23B" w14:textId="7DB08A75" w:rsidR="00693076" w:rsidRDefault="00693076" w:rsidP="00693076">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6</w:t>
      </w:r>
      <w:r w:rsidR="007F1363">
        <w:rPr>
          <w:noProof/>
        </w:rPr>
        <w:fldChar w:fldCharType="end"/>
      </w:r>
      <w:r>
        <w:t xml:space="preserve"> Site Test Failures</w:t>
      </w:r>
    </w:p>
    <w:p w14:paraId="3B0F845D" w14:textId="219021F5" w:rsidR="00693076" w:rsidRDefault="00693076" w:rsidP="00693076">
      <w:r>
        <w:t xml:space="preserve">The two failures related to </w:t>
      </w:r>
      <w:r w:rsidR="00AB4EDF">
        <w:t xml:space="preserve">active directory groups that exist in Studio, </w:t>
      </w:r>
      <w:r w:rsidR="006F4D4F">
        <w:t>however,</w:t>
      </w:r>
      <w:r w:rsidR="00AB4EDF">
        <w:t xml:space="preserve"> have been removed from active directory</w:t>
      </w:r>
      <w:r w:rsidR="006F4D4F">
        <w:t>. This causes errors within Studio when trying to authenticate which users have access to certain machine catalogues, delivery groups or apps.</w:t>
      </w:r>
      <w:r w:rsidR="008A5A42">
        <w:t xml:space="preserve"> To rectify this issue,</w:t>
      </w:r>
      <w:r w:rsidR="001439D3">
        <w:t xml:space="preserve"> the group with the SID seen in figure 6 had to be removed from the </w:t>
      </w:r>
      <w:r w:rsidR="00B44F80">
        <w:t>following sections:</w:t>
      </w:r>
    </w:p>
    <w:p w14:paraId="3799FA36" w14:textId="796A37EE" w:rsidR="00B44F80" w:rsidRDefault="00B44F80" w:rsidP="00B44F80">
      <w:pPr>
        <w:pStyle w:val="ListParagraph"/>
        <w:numPr>
          <w:ilvl w:val="0"/>
          <w:numId w:val="2"/>
        </w:numPr>
      </w:pPr>
      <w:r>
        <w:t>Delivery group “Groups” (</w:t>
      </w:r>
      <w:r w:rsidR="00404009">
        <w:t>Grants AD groups access to machines)</w:t>
      </w:r>
    </w:p>
    <w:p w14:paraId="6C79BFAF" w14:textId="3AC82968" w:rsidR="00404009" w:rsidRDefault="00404009" w:rsidP="00B44F80">
      <w:pPr>
        <w:pStyle w:val="ListParagraph"/>
        <w:numPr>
          <w:ilvl w:val="0"/>
          <w:numId w:val="2"/>
        </w:numPr>
      </w:pPr>
      <w:r>
        <w:t>Application “Limit Visibility” (Limits apps that appear on storefront based on AD groups)</w:t>
      </w:r>
    </w:p>
    <w:p w14:paraId="3234DFDD" w14:textId="6691B437" w:rsidR="00404009" w:rsidRDefault="000D5618" w:rsidP="00B44F80">
      <w:pPr>
        <w:pStyle w:val="ListParagraph"/>
        <w:numPr>
          <w:ilvl w:val="0"/>
          <w:numId w:val="2"/>
        </w:numPr>
      </w:pPr>
      <w:r>
        <w:t>Any Scopes or Roles that include the specified AD group</w:t>
      </w:r>
    </w:p>
    <w:p w14:paraId="7CABF4E0" w14:textId="43308DE4" w:rsidR="000D5618" w:rsidRDefault="0054613D" w:rsidP="000D5618">
      <w:r>
        <w:t>After completing this, the site test</w:t>
      </w:r>
      <w:r w:rsidR="00DF015E">
        <w:t xml:space="preserve"> completed successfully, meaning the upgrade was ready to begin. The Citrix 1912 install </w:t>
      </w:r>
      <w:r w:rsidR="003307D1">
        <w:t>ISO file was placed on each server that required upgrading, these servers are:</w:t>
      </w:r>
    </w:p>
    <w:p w14:paraId="41A5FF52" w14:textId="06B8AB74" w:rsidR="003307D1" w:rsidRDefault="003307D1" w:rsidP="003307D1">
      <w:pPr>
        <w:pStyle w:val="ListParagraph"/>
        <w:numPr>
          <w:ilvl w:val="0"/>
          <w:numId w:val="2"/>
        </w:numPr>
      </w:pPr>
      <w:r>
        <w:t>Delivery Controllers</w:t>
      </w:r>
    </w:p>
    <w:p w14:paraId="1C22FD75" w14:textId="09B3DB97" w:rsidR="003307D1" w:rsidRDefault="003307D1" w:rsidP="003307D1">
      <w:pPr>
        <w:pStyle w:val="ListParagraph"/>
        <w:numPr>
          <w:ilvl w:val="0"/>
          <w:numId w:val="2"/>
        </w:numPr>
      </w:pPr>
      <w:r>
        <w:t>Storefront Servers</w:t>
      </w:r>
    </w:p>
    <w:p w14:paraId="7F86D9FB" w14:textId="1DF95037" w:rsidR="003307D1" w:rsidRDefault="003307D1" w:rsidP="003307D1">
      <w:pPr>
        <w:pStyle w:val="ListParagraph"/>
        <w:numPr>
          <w:ilvl w:val="0"/>
          <w:numId w:val="2"/>
        </w:numPr>
      </w:pPr>
      <w:r>
        <w:t>Gold Images</w:t>
      </w:r>
    </w:p>
    <w:p w14:paraId="448C843E" w14:textId="6EAA0F82" w:rsidR="00EA6989" w:rsidRDefault="00607C79" w:rsidP="00EA6989">
      <w:r>
        <w:t>Running the ISO file as administrator presents the user carrying out the upgrade with the panel seen in figure 7 below.</w:t>
      </w:r>
    </w:p>
    <w:p w14:paraId="37272C50" w14:textId="43954641" w:rsidR="00607C79" w:rsidRDefault="00607C79" w:rsidP="00607C79">
      <w:pPr>
        <w:keepNext/>
      </w:pPr>
      <w:r>
        <w:rPr>
          <w:noProof/>
        </w:rPr>
        <w:lastRenderedPageBreak/>
        <w:drawing>
          <wp:inline distT="0" distB="0" distL="0" distR="0" wp14:anchorId="34B839F5" wp14:editId="4D3CF230">
            <wp:extent cx="5708943" cy="4280120"/>
            <wp:effectExtent l="0" t="0" r="6350" b="635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08943" cy="4280120"/>
                    </a:xfrm>
                    <a:prstGeom prst="rect">
                      <a:avLst/>
                    </a:prstGeom>
                  </pic:spPr>
                </pic:pic>
              </a:graphicData>
            </a:graphic>
          </wp:inline>
        </w:drawing>
      </w:r>
    </w:p>
    <w:p w14:paraId="682F7604" w14:textId="5B3538F9" w:rsidR="00607C79" w:rsidRDefault="00607C79" w:rsidP="00607C79">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7</w:t>
      </w:r>
      <w:r w:rsidR="007F1363">
        <w:rPr>
          <w:noProof/>
        </w:rPr>
        <w:fldChar w:fldCharType="end"/>
      </w:r>
      <w:r>
        <w:t xml:space="preserve"> Upgrade Panel</w:t>
      </w:r>
    </w:p>
    <w:p w14:paraId="18D9822A" w14:textId="3F6BC63B" w:rsidR="00635127" w:rsidRDefault="00635127" w:rsidP="00635127">
      <w:r>
        <w:t xml:space="preserve">The upgrade panel </w:t>
      </w:r>
      <w:r w:rsidR="00C40A97">
        <w:t xml:space="preserve">contains all options needed to upgrade all aspects of the </w:t>
      </w:r>
      <w:proofErr w:type="spellStart"/>
      <w:r w:rsidR="00C40A97">
        <w:t>Canisc</w:t>
      </w:r>
      <w:proofErr w:type="spellEnd"/>
      <w:r w:rsidR="00C40A97">
        <w:t xml:space="preserve"> environment. The first server type upgraded was the DDC</w:t>
      </w:r>
      <w:r w:rsidR="0002336D">
        <w:t>s. There is no required order to carrying out the upgrade, however the DDCs tend to take the longest, therefore these were chosen to be upgraded first.</w:t>
      </w:r>
      <w:r w:rsidR="00B93D1E">
        <w:t xml:space="preserve"> To upgrade the DDC, the “Studio and Server Components” option must be selected, as seen in figure 7. This must be carried out on both delivery controllers</w:t>
      </w:r>
      <w:r w:rsidR="00FE1831">
        <w:t>. This option will upgrade both the delivery controller and the Studio application.</w:t>
      </w:r>
      <w:r w:rsidR="00727F35">
        <w:t xml:space="preserve"> Figure 8 below shows the upgrade running. During this process, the controller will need to reboot several times.</w:t>
      </w:r>
    </w:p>
    <w:p w14:paraId="2BE49DB1" w14:textId="209AFF66" w:rsidR="00727F35" w:rsidRDefault="00727F35" w:rsidP="00635127">
      <w:r>
        <w:rPr>
          <w:noProof/>
        </w:rPr>
        <mc:AlternateContent>
          <mc:Choice Requires="wps">
            <w:drawing>
              <wp:anchor distT="0" distB="0" distL="114300" distR="114300" simplePos="0" relativeHeight="251627008" behindDoc="1" locked="0" layoutInCell="1" allowOverlap="1" wp14:anchorId="7544B302" wp14:editId="0671D474">
                <wp:simplePos x="0" y="0"/>
                <wp:positionH relativeFrom="column">
                  <wp:posOffset>571500</wp:posOffset>
                </wp:positionH>
                <wp:positionV relativeFrom="paragraph">
                  <wp:posOffset>2627630</wp:posOffset>
                </wp:positionV>
                <wp:extent cx="409575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095750" cy="635"/>
                        </a:xfrm>
                        <a:prstGeom prst="rect">
                          <a:avLst/>
                        </a:prstGeom>
                        <a:solidFill>
                          <a:prstClr val="white"/>
                        </a:solidFill>
                        <a:ln>
                          <a:noFill/>
                        </a:ln>
                      </wps:spPr>
                      <wps:txbx>
                        <w:txbxContent>
                          <w:p w14:paraId="267BF49D" w14:textId="30F21473" w:rsidR="00727F35" w:rsidRPr="00B82EFB" w:rsidRDefault="00727F35" w:rsidP="00727F35">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8</w:t>
                            </w:r>
                            <w:r w:rsidR="007F1363">
                              <w:rPr>
                                <w:noProof/>
                              </w:rPr>
                              <w:fldChar w:fldCharType="end"/>
                            </w:r>
                            <w:r>
                              <w:t xml:space="preserve"> During DDC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4B302" id="Text Box 14" o:spid="_x0000_s1030" type="#_x0000_t202" style="position:absolute;margin-left:45pt;margin-top:206.9pt;width:322.5pt;height:.05pt;z-index:-25168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" stroked="f">
                <v:textbox style="mso-fit-shape-to-text:t" inset="0,0,0,0">
                  <w:txbxContent>
                    <w:p w14:paraId="267BF49D" w14:textId="30F21473" w:rsidR="00727F35" w:rsidRPr="00B82EFB" w:rsidRDefault="00727F35" w:rsidP="00727F35">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8</w:t>
                      </w:r>
                      <w:r w:rsidR="007F1363">
                        <w:rPr>
                          <w:noProof/>
                        </w:rPr>
                        <w:fldChar w:fldCharType="end"/>
                      </w:r>
                      <w:r>
                        <w:t xml:space="preserve"> During DDC Upgrade</w:t>
                      </w:r>
                    </w:p>
                  </w:txbxContent>
                </v:textbox>
                <w10:wrap type="tight"/>
              </v:shape>
            </w:pict>
          </mc:Fallback>
        </mc:AlternateContent>
      </w:r>
      <w:r>
        <w:rPr>
          <w:noProof/>
        </w:rPr>
        <w:drawing>
          <wp:anchor distT="0" distB="0" distL="114300" distR="114300" simplePos="0" relativeHeight="251625984" behindDoc="1" locked="0" layoutInCell="1" allowOverlap="1" wp14:anchorId="25B769A1" wp14:editId="31174201">
            <wp:simplePos x="0" y="0"/>
            <wp:positionH relativeFrom="margin">
              <wp:posOffset>571500</wp:posOffset>
            </wp:positionH>
            <wp:positionV relativeFrom="paragraph">
              <wp:posOffset>85725</wp:posOffset>
            </wp:positionV>
            <wp:extent cx="4095750" cy="2792730"/>
            <wp:effectExtent l="0" t="0" r="0" b="7620"/>
            <wp:wrapTight wrapText="bothSides">
              <wp:wrapPolygon edited="0">
                <wp:start x="0" y="0"/>
                <wp:lineTo x="0" y="21512"/>
                <wp:lineTo x="21500" y="21512"/>
                <wp:lineTo x="21500"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95750" cy="2792730"/>
                    </a:xfrm>
                    <a:prstGeom prst="rect">
                      <a:avLst/>
                    </a:prstGeom>
                  </pic:spPr>
                </pic:pic>
              </a:graphicData>
            </a:graphic>
            <wp14:sizeRelH relativeFrom="margin">
              <wp14:pctWidth>0</wp14:pctWidth>
            </wp14:sizeRelH>
            <wp14:sizeRelV relativeFrom="margin">
              <wp14:pctHeight>0</wp14:pctHeight>
            </wp14:sizeRelV>
          </wp:anchor>
        </w:drawing>
      </w:r>
    </w:p>
    <w:p w14:paraId="7EA70AAB" w14:textId="77777777" w:rsidR="00727F35" w:rsidRPr="00727F35" w:rsidRDefault="00727F35" w:rsidP="00727F35"/>
    <w:p w14:paraId="6A0BE2B2" w14:textId="77777777" w:rsidR="00727F35" w:rsidRPr="00727F35" w:rsidRDefault="00727F35" w:rsidP="00727F35"/>
    <w:p w14:paraId="7FD5CC47" w14:textId="77777777" w:rsidR="00727F35" w:rsidRPr="00727F35" w:rsidRDefault="00727F35" w:rsidP="00727F35"/>
    <w:p w14:paraId="607FBF48" w14:textId="77777777" w:rsidR="00727F35" w:rsidRPr="00727F35" w:rsidRDefault="00727F35" w:rsidP="00727F35"/>
    <w:p w14:paraId="0A485671" w14:textId="77777777" w:rsidR="00727F35" w:rsidRPr="00727F35" w:rsidRDefault="00727F35" w:rsidP="00727F35"/>
    <w:p w14:paraId="7FC74660" w14:textId="77777777" w:rsidR="00727F35" w:rsidRPr="00727F35" w:rsidRDefault="00727F35" w:rsidP="00727F35"/>
    <w:p w14:paraId="2F437053" w14:textId="77777777" w:rsidR="00727F35" w:rsidRDefault="00727F35" w:rsidP="00727F35"/>
    <w:p w14:paraId="26F8982F" w14:textId="77777777" w:rsidR="00727F35" w:rsidRDefault="00727F35" w:rsidP="00727F35"/>
    <w:p w14:paraId="6C560973" w14:textId="77777777" w:rsidR="00727F35" w:rsidRDefault="00727F35" w:rsidP="00727F35"/>
    <w:p w14:paraId="38ACC259" w14:textId="5D1FBFCE" w:rsidR="00727F35" w:rsidRDefault="00700F20" w:rsidP="00727F35">
      <w:r>
        <w:lastRenderedPageBreak/>
        <w:t xml:space="preserve">This process takes a substantial amount of time and must be carried out on both controllers, therefore whilst this is happening, </w:t>
      </w:r>
      <w:r w:rsidR="0025008C">
        <w:t>the upgrade process is started on the gold image to save time.</w:t>
      </w:r>
      <w:r w:rsidR="00A65A26">
        <w:t xml:space="preserve"> As explained previously in the report, the gold image acts as a template server for the ten VDA’s that </w:t>
      </w:r>
      <w:proofErr w:type="spellStart"/>
      <w:r w:rsidR="00A65A26">
        <w:t>Canisc</w:t>
      </w:r>
      <w:proofErr w:type="spellEnd"/>
      <w:r w:rsidR="00A65A26">
        <w:t xml:space="preserve"> runs on</w:t>
      </w:r>
      <w:r w:rsidR="00DF73D9">
        <w:t xml:space="preserve">. Instead of upgrading each VDA individually, the Citrix team mount the Citrix 1912 ISO on the gold image, upgrade it to </w:t>
      </w:r>
      <w:r w:rsidR="00EB7C99">
        <w:t>version 1912 by selecting “Upgrading Machines and Image” as seen in figure 7,</w:t>
      </w:r>
      <w:r w:rsidR="002338F4">
        <w:t xml:space="preserve"> and then rolling the gold image out to all the VDAs contained within the </w:t>
      </w:r>
      <w:proofErr w:type="spellStart"/>
      <w:r w:rsidR="002338F4">
        <w:t>Canisc</w:t>
      </w:r>
      <w:proofErr w:type="spellEnd"/>
      <w:r w:rsidR="002338F4">
        <w:t xml:space="preserve"> MC.</w:t>
      </w:r>
    </w:p>
    <w:p w14:paraId="02B03E51" w14:textId="77777777" w:rsidR="00594C3A" w:rsidRDefault="00594C3A" w:rsidP="00727F35"/>
    <w:p w14:paraId="1F8FF68D" w14:textId="5E3FAEEB" w:rsidR="00594C3A" w:rsidRDefault="00594C3A" w:rsidP="00727F35">
      <w:r>
        <w:t>Once the install is complete, t</w:t>
      </w:r>
      <w:r w:rsidR="004C4A05">
        <w:t>he screen seen in figure 9 below will be presented.</w:t>
      </w:r>
      <w:r w:rsidR="007310F2">
        <w:t xml:space="preserve"> This screen confirms the core components hosted on the DDC have successfully upgraded.</w:t>
      </w:r>
    </w:p>
    <w:p w14:paraId="3ADAB30C" w14:textId="77777777" w:rsidR="009416FA" w:rsidRDefault="007310F2" w:rsidP="009416FA">
      <w:pPr>
        <w:keepNext/>
      </w:pPr>
      <w:r>
        <w:rPr>
          <w:noProof/>
        </w:rPr>
        <w:drawing>
          <wp:inline distT="0" distB="0" distL="0" distR="0" wp14:anchorId="12AF6AA3" wp14:editId="0BE5790F">
            <wp:extent cx="5727994" cy="4108661"/>
            <wp:effectExtent l="0" t="0" r="6350" b="635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994" cy="4108661"/>
                    </a:xfrm>
                    <a:prstGeom prst="rect">
                      <a:avLst/>
                    </a:prstGeom>
                  </pic:spPr>
                </pic:pic>
              </a:graphicData>
            </a:graphic>
          </wp:inline>
        </w:drawing>
      </w:r>
    </w:p>
    <w:p w14:paraId="03804CA0" w14:textId="4E0789A4" w:rsidR="007310F2" w:rsidRDefault="009416FA" w:rsidP="009416FA">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9</w:t>
      </w:r>
      <w:r w:rsidR="007F1363">
        <w:rPr>
          <w:noProof/>
        </w:rPr>
        <w:fldChar w:fldCharType="end"/>
      </w:r>
      <w:r>
        <w:t xml:space="preserve"> Install Complete</w:t>
      </w:r>
    </w:p>
    <w:p w14:paraId="66391F6B" w14:textId="19F76A31" w:rsidR="009416FA" w:rsidRDefault="009416FA" w:rsidP="009416FA">
      <w:r>
        <w:t xml:space="preserve">To complete the upgrade of Citrix Studio, the Studio application must be launched following a restart of the DDC. </w:t>
      </w:r>
      <w:r w:rsidR="00C661BC">
        <w:t xml:space="preserve">An automatic upgrade should be selected at this point. </w:t>
      </w:r>
      <w:r>
        <w:t xml:space="preserve">This will </w:t>
      </w:r>
      <w:r w:rsidR="00E11AE9">
        <w:t>present the screen seen in figure 10 and carry out an additional site test. The site test performed successfully</w:t>
      </w:r>
      <w:r w:rsidR="002D223C">
        <w:t>, meaning the DDC has been upgraded to Citrix 1912.</w:t>
      </w:r>
    </w:p>
    <w:p w14:paraId="3040F20F" w14:textId="77777777" w:rsidR="002D223C" w:rsidRDefault="00AB3D83" w:rsidP="002D223C">
      <w:pPr>
        <w:keepNext/>
      </w:pPr>
      <w:r>
        <w:rPr>
          <w:noProof/>
        </w:rPr>
        <w:lastRenderedPageBreak/>
        <w:drawing>
          <wp:inline distT="0" distB="0" distL="0" distR="0" wp14:anchorId="3220609B" wp14:editId="17916FEE">
            <wp:extent cx="5731510" cy="289687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896870"/>
                    </a:xfrm>
                    <a:prstGeom prst="rect">
                      <a:avLst/>
                    </a:prstGeom>
                  </pic:spPr>
                </pic:pic>
              </a:graphicData>
            </a:graphic>
          </wp:inline>
        </w:drawing>
      </w:r>
    </w:p>
    <w:p w14:paraId="58F568B0" w14:textId="5DBF2B36" w:rsidR="00AB3D83" w:rsidRDefault="002D223C" w:rsidP="002D223C">
      <w:pPr>
        <w:pStyle w:val="Caption"/>
      </w:pPr>
      <w:r>
        <w:t xml:space="preserve">Figure </w:t>
      </w:r>
      <w:r w:rsidR="007F1363">
        <w:fldChar w:fldCharType="begin"/>
      </w:r>
      <w:r w:rsidR="007F1363">
        <w:instrText xml:space="preserve"> SEQ Figure \* ARABIC </w:instrText>
      </w:r>
      <w:r w:rsidR="007F1363">
        <w:fldChar w:fldCharType="separate"/>
      </w:r>
      <w:r w:rsidR="0071747C">
        <w:rPr>
          <w:noProof/>
        </w:rPr>
        <w:t>10</w:t>
      </w:r>
      <w:r w:rsidR="007F1363">
        <w:rPr>
          <w:noProof/>
        </w:rPr>
        <w:fldChar w:fldCharType="end"/>
      </w:r>
      <w:r>
        <w:t xml:space="preserve"> Finalising DDC Upgrade</w:t>
      </w:r>
    </w:p>
    <w:p w14:paraId="15ADEE3B" w14:textId="49703E83" w:rsidR="00F23CAF" w:rsidRDefault="00E52936" w:rsidP="00F23CAF">
      <w:r>
        <w:rPr>
          <w:noProof/>
        </w:rPr>
        <mc:AlternateContent>
          <mc:Choice Requires="wps">
            <w:drawing>
              <wp:anchor distT="0" distB="0" distL="114300" distR="114300" simplePos="0" relativeHeight="251629056" behindDoc="1" locked="0" layoutInCell="1" allowOverlap="1" wp14:anchorId="721AFD62" wp14:editId="6E027481">
                <wp:simplePos x="0" y="0"/>
                <wp:positionH relativeFrom="column">
                  <wp:posOffset>-744220</wp:posOffset>
                </wp:positionH>
                <wp:positionV relativeFrom="paragraph">
                  <wp:posOffset>4207510</wp:posOffset>
                </wp:positionV>
                <wp:extent cx="721233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7212330" cy="635"/>
                        </a:xfrm>
                        <a:prstGeom prst="rect">
                          <a:avLst/>
                        </a:prstGeom>
                        <a:solidFill>
                          <a:prstClr val="white"/>
                        </a:solidFill>
                        <a:ln>
                          <a:noFill/>
                        </a:ln>
                      </wps:spPr>
                      <wps:txbx>
                        <w:txbxContent>
                          <w:p w14:paraId="0B2E09B2" w14:textId="6B6C1BF3" w:rsidR="00E52936" w:rsidRPr="00FC190D" w:rsidRDefault="00E52936" w:rsidP="00E52936">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11</w:t>
                            </w:r>
                            <w:r w:rsidR="007F1363">
                              <w:rPr>
                                <w:noProof/>
                              </w:rPr>
                              <w:fldChar w:fldCharType="end"/>
                            </w:r>
                            <w:r>
                              <w:t xml:space="preserve"> Upgrading Machine Catalogue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AFD62" id="Text Box 18" o:spid="_x0000_s1031" type="#_x0000_t202" style="position:absolute;margin-left:-58.6pt;margin-top:331.3pt;width:567.9pt;height:.05pt;z-index:-251687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" stroked="f">
                <v:textbox style="mso-fit-shape-to-text:t" inset="0,0,0,0">
                  <w:txbxContent>
                    <w:p w14:paraId="0B2E09B2" w14:textId="6B6C1BF3" w:rsidR="00E52936" w:rsidRPr="00FC190D" w:rsidRDefault="00E52936" w:rsidP="00E52936">
                      <w:pPr>
                        <w:pStyle w:val="Caption"/>
                        <w:rPr>
                          <w:noProof/>
                        </w:rPr>
                      </w:pPr>
                      <w:r>
                        <w:t xml:space="preserve">Figure </w:t>
                      </w:r>
                      <w:r w:rsidR="007F1363">
                        <w:fldChar w:fldCharType="begin"/>
                      </w:r>
                      <w:r w:rsidR="007F1363">
                        <w:instrText xml:space="preserve"> SEQ Figure \* ARABIC </w:instrText>
                      </w:r>
                      <w:r w:rsidR="007F1363">
                        <w:fldChar w:fldCharType="separate"/>
                      </w:r>
                      <w:r w:rsidR="0071747C">
                        <w:rPr>
                          <w:noProof/>
                        </w:rPr>
                        <w:t>11</w:t>
                      </w:r>
                      <w:r w:rsidR="007F1363">
                        <w:rPr>
                          <w:noProof/>
                        </w:rPr>
                        <w:fldChar w:fldCharType="end"/>
                      </w:r>
                      <w:r>
                        <w:t xml:space="preserve"> Upgrading Machine Catalogue</w:t>
                      </w:r>
                    </w:p>
                  </w:txbxContent>
                </v:textbox>
                <w10:wrap type="tight"/>
              </v:shape>
            </w:pict>
          </mc:Fallback>
        </mc:AlternateContent>
      </w:r>
      <w:r>
        <w:rPr>
          <w:noProof/>
        </w:rPr>
        <w:drawing>
          <wp:anchor distT="0" distB="0" distL="114300" distR="114300" simplePos="0" relativeHeight="251628032" behindDoc="1" locked="0" layoutInCell="1" allowOverlap="1" wp14:anchorId="01C68EDA" wp14:editId="22ABD204">
            <wp:simplePos x="0" y="0"/>
            <wp:positionH relativeFrom="margin">
              <wp:align>center</wp:align>
            </wp:positionH>
            <wp:positionV relativeFrom="paragraph">
              <wp:posOffset>959485</wp:posOffset>
            </wp:positionV>
            <wp:extent cx="7212832" cy="3190875"/>
            <wp:effectExtent l="0" t="0" r="7620" b="0"/>
            <wp:wrapTight wrapText="bothSides">
              <wp:wrapPolygon edited="0">
                <wp:start x="0" y="0"/>
                <wp:lineTo x="0" y="21407"/>
                <wp:lineTo x="21566" y="21407"/>
                <wp:lineTo x="2156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a:extLst>
                        <a:ext uri="{28A0092B-C50C-407E-A947-70E740481C1C}">
                          <a14:useLocalDpi xmlns:a14="http://schemas.microsoft.com/office/drawing/2010/main" val="0"/>
                        </a:ext>
                      </a:extLst>
                    </a:blip>
                    <a:stretch>
                      <a:fillRect/>
                    </a:stretch>
                  </pic:blipFill>
                  <pic:spPr>
                    <a:xfrm>
                      <a:off x="0" y="0"/>
                      <a:ext cx="7212832" cy="3190875"/>
                    </a:xfrm>
                    <a:prstGeom prst="rect">
                      <a:avLst/>
                    </a:prstGeom>
                  </pic:spPr>
                </pic:pic>
              </a:graphicData>
            </a:graphic>
          </wp:anchor>
        </w:drawing>
      </w:r>
      <w:r w:rsidR="00F23CAF">
        <w:t xml:space="preserve">The above steps </w:t>
      </w:r>
      <w:r w:rsidR="00AB48DD">
        <w:t xml:space="preserve">were carried out on the remaining DDC and the storefront servers, all completing </w:t>
      </w:r>
      <w:r w:rsidR="003B7F49">
        <w:t>successfully.</w:t>
      </w:r>
      <w:r w:rsidR="003864C8">
        <w:t xml:space="preserve"> Once the gold image has been upgraded, it </w:t>
      </w:r>
      <w:r w:rsidR="00463336">
        <w:t xml:space="preserve">is then sealed up and a snapshot of the server is taken. As </w:t>
      </w:r>
      <w:proofErr w:type="gramStart"/>
      <w:r w:rsidR="00463336">
        <w:t>it’s</w:t>
      </w:r>
      <w:proofErr w:type="gramEnd"/>
      <w:r w:rsidR="00463336">
        <w:t xml:space="preserve"> Citrix version is now 1912, once this snapshot is applied to the machine catalogue, the VDAs will all then be on Citrix 1912. Figure 11 shows the machine catalogue being updated with the latest snapshot.</w:t>
      </w:r>
    </w:p>
    <w:p w14:paraId="36950D8A" w14:textId="08BC70A2" w:rsidR="00463336" w:rsidRDefault="00F135D6" w:rsidP="00F23CAF">
      <w:r>
        <w:t xml:space="preserve">After the VDAs have been upgraded, the upgrade is complete. The </w:t>
      </w:r>
      <w:proofErr w:type="spellStart"/>
      <w:r>
        <w:t>Canisc</w:t>
      </w:r>
      <w:proofErr w:type="spellEnd"/>
      <w:r>
        <w:t xml:space="preserve"> support team then have one week to carry out testing </w:t>
      </w:r>
      <w:r w:rsidR="006B1769">
        <w:t xml:space="preserve">before the service is failed over so that it is running off the upgraded side of </w:t>
      </w:r>
      <w:proofErr w:type="spellStart"/>
      <w:r w:rsidR="006B1769">
        <w:t>Canisc</w:t>
      </w:r>
      <w:proofErr w:type="spellEnd"/>
      <w:r w:rsidR="006B1769">
        <w:t xml:space="preserve">. Once </w:t>
      </w:r>
      <w:proofErr w:type="spellStart"/>
      <w:r w:rsidR="006B1769">
        <w:t>Canisc</w:t>
      </w:r>
      <w:proofErr w:type="spellEnd"/>
      <w:r w:rsidR="006B1769">
        <w:t xml:space="preserve"> is running out of the upgraded side</w:t>
      </w:r>
      <w:r w:rsidR="004E64C0">
        <w:t xml:space="preserve">, there is then a week cool off to see if end users experience issues or performance problems. </w:t>
      </w:r>
      <w:r w:rsidR="00AF1A15">
        <w:t>If</w:t>
      </w:r>
      <w:r w:rsidR="004E64C0">
        <w:t xml:space="preserve"> no issues are reported, the Citrix team can upgrade the remainder of the </w:t>
      </w:r>
      <w:proofErr w:type="spellStart"/>
      <w:r w:rsidR="004E64C0">
        <w:t>Canisc</w:t>
      </w:r>
      <w:proofErr w:type="spellEnd"/>
      <w:r w:rsidR="004E64C0">
        <w:t xml:space="preserve"> environment. They will follow the same steps as described above</w:t>
      </w:r>
      <w:r w:rsidR="00AF1A15">
        <w:t>.</w:t>
      </w:r>
    </w:p>
    <w:p w14:paraId="6B847F76" w14:textId="3DBFF8AE" w:rsidR="003D02C9" w:rsidRDefault="003D02C9" w:rsidP="003D02C9">
      <w:pPr>
        <w:pStyle w:val="Heading2"/>
        <w:numPr>
          <w:ilvl w:val="1"/>
          <w:numId w:val="1"/>
        </w:numPr>
      </w:pPr>
      <w:bookmarkStart w:id="14" w:name="_Toc112760765"/>
      <w:r>
        <w:lastRenderedPageBreak/>
        <w:t>Issues Encountered During the Upgrade</w:t>
      </w:r>
      <w:bookmarkEnd w:id="14"/>
    </w:p>
    <w:p w14:paraId="2B141D97" w14:textId="2DD9969D" w:rsidR="003D02C9" w:rsidRDefault="003D02C9" w:rsidP="003D02C9"/>
    <w:p w14:paraId="54F5574E" w14:textId="4E33F8C0" w:rsidR="003D02C9" w:rsidRDefault="00DC7675" w:rsidP="003D02C9">
      <w:r>
        <w:t xml:space="preserve">Fortunately, whilst carrying out the upgrade to </w:t>
      </w:r>
      <w:proofErr w:type="spellStart"/>
      <w:r>
        <w:t>Canisc</w:t>
      </w:r>
      <w:proofErr w:type="spellEnd"/>
      <w:r>
        <w:t>, only one issue was encountered. Figure 12 below is a snapshot that was taken when trying to upgrade one of the storefront servers.</w:t>
      </w:r>
      <w:r w:rsidR="00022F46">
        <w:t xml:space="preserve"> The storefront server failed to upgrade to Citrix 1912</w:t>
      </w:r>
      <w:r w:rsidR="00924A8A">
        <w:t>, this was down to two issues.:</w:t>
      </w:r>
    </w:p>
    <w:p w14:paraId="07FBBD34" w14:textId="7830445E" w:rsidR="00924A8A" w:rsidRDefault="009A6EEB" w:rsidP="00924A8A">
      <w:pPr>
        <w:pStyle w:val="ListParagraph"/>
        <w:numPr>
          <w:ilvl w:val="0"/>
          <w:numId w:val="2"/>
        </w:numPr>
      </w:pPr>
      <w:r>
        <w:t>An unknown AD group</w:t>
      </w:r>
      <w:r w:rsidR="00043D99">
        <w:t xml:space="preserve"> was still applied to an administrator role f</w:t>
      </w:r>
      <w:r w:rsidR="009C4C10">
        <w:t>o</w:t>
      </w:r>
      <w:r w:rsidR="00043D99">
        <w:t>r this environment.</w:t>
      </w:r>
    </w:p>
    <w:p w14:paraId="7F29AF28" w14:textId="4AB04419" w:rsidR="00043D99" w:rsidRDefault="0008426E" w:rsidP="00924A8A">
      <w:pPr>
        <w:pStyle w:val="ListParagraph"/>
        <w:numPr>
          <w:ilvl w:val="0"/>
          <w:numId w:val="2"/>
        </w:numPr>
      </w:pPr>
      <w:r>
        <w:rPr>
          <w:noProof/>
        </w:rPr>
        <mc:AlternateContent>
          <mc:Choice Requires="wps">
            <w:drawing>
              <wp:anchor distT="0" distB="0" distL="114300" distR="114300" simplePos="0" relativeHeight="251664896" behindDoc="1" locked="0" layoutInCell="1" allowOverlap="1" wp14:anchorId="6731492C" wp14:editId="108942E0">
                <wp:simplePos x="0" y="0"/>
                <wp:positionH relativeFrom="column">
                  <wp:posOffset>-161925</wp:posOffset>
                </wp:positionH>
                <wp:positionV relativeFrom="paragraph">
                  <wp:posOffset>6106795</wp:posOffset>
                </wp:positionV>
                <wp:extent cx="1714500" cy="219075"/>
                <wp:effectExtent l="0" t="0" r="0" b="9525"/>
                <wp:wrapTight wrapText="bothSides">
                  <wp:wrapPolygon edited="0">
                    <wp:start x="0" y="0"/>
                    <wp:lineTo x="0" y="20661"/>
                    <wp:lineTo x="21360" y="20661"/>
                    <wp:lineTo x="2136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714500" cy="219075"/>
                        </a:xfrm>
                        <a:prstGeom prst="rect">
                          <a:avLst/>
                        </a:prstGeom>
                        <a:solidFill>
                          <a:prstClr val="white"/>
                        </a:solidFill>
                        <a:ln>
                          <a:noFill/>
                        </a:ln>
                      </wps:spPr>
                      <wps:txbx>
                        <w:txbxContent>
                          <w:p w14:paraId="78D3AD0A" w14:textId="141B400D" w:rsidR="0008426E" w:rsidRPr="00386408" w:rsidRDefault="0008426E" w:rsidP="0008426E">
                            <w:pPr>
                              <w:pStyle w:val="Caption"/>
                              <w:rPr>
                                <w:noProof/>
                              </w:rPr>
                            </w:pPr>
                            <w:r>
                              <w:t xml:space="preserve">Figure 13 </w:t>
                            </w:r>
                            <w:r w:rsidR="003D6451">
                              <w:t>M</w:t>
                            </w:r>
                            <w:r>
                              <w:t>icrosoft APM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1492C" id="Text Box 23" o:spid="_x0000_s1032" type="#_x0000_t202" style="position:absolute;left:0;text-align:left;margin-left:-12.75pt;margin-top:480.85pt;width:135pt;height:17.2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" stroked="f">
                <v:textbox inset="0,0,0,0">
                  <w:txbxContent>
                    <w:p w14:paraId="78D3AD0A" w14:textId="141B400D" w:rsidR="0008426E" w:rsidRPr="00386408" w:rsidRDefault="0008426E" w:rsidP="0008426E">
                      <w:pPr>
                        <w:pStyle w:val="Caption"/>
                        <w:rPr>
                          <w:noProof/>
                        </w:rPr>
                      </w:pPr>
                      <w:r>
                        <w:t xml:space="preserve">Figure 13 </w:t>
                      </w:r>
                      <w:r w:rsidR="003D6451">
                        <w:t>M</w:t>
                      </w:r>
                      <w:r>
                        <w:t>icrosoft APM Running</w:t>
                      </w:r>
                    </w:p>
                  </w:txbxContent>
                </v:textbox>
                <w10:wrap type="tight"/>
              </v:shape>
            </w:pict>
          </mc:Fallback>
        </mc:AlternateContent>
      </w:r>
      <w:r>
        <w:rPr>
          <w:noProof/>
        </w:rPr>
        <w:drawing>
          <wp:anchor distT="0" distB="0" distL="114300" distR="114300" simplePos="0" relativeHeight="251643392" behindDoc="1" locked="0" layoutInCell="1" allowOverlap="1" wp14:anchorId="3E0D4D88" wp14:editId="4D92D6E9">
            <wp:simplePos x="0" y="0"/>
            <wp:positionH relativeFrom="column">
              <wp:posOffset>-161925</wp:posOffset>
            </wp:positionH>
            <wp:positionV relativeFrom="paragraph">
              <wp:posOffset>3603625</wp:posOffset>
            </wp:positionV>
            <wp:extent cx="5731510" cy="2449830"/>
            <wp:effectExtent l="0" t="0" r="2540" b="7620"/>
            <wp:wrapTight wrapText="bothSides">
              <wp:wrapPolygon edited="0">
                <wp:start x="0" y="0"/>
                <wp:lineTo x="0" y="21499"/>
                <wp:lineTo x="21538" y="21499"/>
                <wp:lineTo x="21538" y="0"/>
                <wp:lineTo x="0" y="0"/>
              </wp:wrapPolygon>
            </wp:wrapTight>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449830"/>
                    </a:xfrm>
                    <a:prstGeom prst="rect">
                      <a:avLst/>
                    </a:prstGeom>
                  </pic:spPr>
                </pic:pic>
              </a:graphicData>
            </a:graphic>
          </wp:anchor>
        </w:drawing>
      </w:r>
      <w:r>
        <w:rPr>
          <w:noProof/>
        </w:rPr>
        <mc:AlternateContent>
          <mc:Choice Requires="wps">
            <w:drawing>
              <wp:anchor distT="0" distB="0" distL="114300" distR="114300" simplePos="0" relativeHeight="251663872" behindDoc="1" locked="0" layoutInCell="1" allowOverlap="1" wp14:anchorId="56D66FDB" wp14:editId="47379F26">
                <wp:simplePos x="0" y="0"/>
                <wp:positionH relativeFrom="column">
                  <wp:posOffset>571500</wp:posOffset>
                </wp:positionH>
                <wp:positionV relativeFrom="paragraph">
                  <wp:posOffset>3287395</wp:posOffset>
                </wp:positionV>
                <wp:extent cx="1819275" cy="285750"/>
                <wp:effectExtent l="0" t="0" r="9525" b="0"/>
                <wp:wrapTight wrapText="bothSides">
                  <wp:wrapPolygon edited="0">
                    <wp:start x="0" y="0"/>
                    <wp:lineTo x="0" y="20160"/>
                    <wp:lineTo x="21487" y="20160"/>
                    <wp:lineTo x="21487"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819275" cy="285750"/>
                        </a:xfrm>
                        <a:prstGeom prst="rect">
                          <a:avLst/>
                        </a:prstGeom>
                        <a:solidFill>
                          <a:prstClr val="white"/>
                        </a:solidFill>
                        <a:ln>
                          <a:noFill/>
                        </a:ln>
                      </wps:spPr>
                      <wps:txbx>
                        <w:txbxContent>
                          <w:p w14:paraId="2876FA8E" w14:textId="03E46F1A" w:rsidR="00DC7675" w:rsidRPr="00472516" w:rsidRDefault="00DC7675" w:rsidP="00DC7675">
                            <w:pPr>
                              <w:pStyle w:val="Caption"/>
                              <w:rPr>
                                <w:noProof/>
                              </w:rPr>
                            </w:pPr>
                            <w:r>
                              <w:t xml:space="preserve">Figure </w:t>
                            </w:r>
                            <w:fldSimple w:instr=" SEQ Figure \* ARABIC ">
                              <w:r w:rsidR="0071747C">
                                <w:rPr>
                                  <w:noProof/>
                                </w:rPr>
                                <w:t>12</w:t>
                              </w:r>
                            </w:fldSimple>
                            <w:r>
                              <w:t xml:space="preserve"> Storefront Upgrade Issue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66FDB" id="Text Box 22" o:spid="_x0000_s1033" type="#_x0000_t202" style="position:absolute;left:0;text-align:left;margin-left:45pt;margin-top:258.85pt;width:143.25pt;height:22.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" stroked="f">
                <v:textbox inset="0,0,0,0">
                  <w:txbxContent>
                    <w:p w14:paraId="2876FA8E" w14:textId="03E46F1A" w:rsidR="00DC7675" w:rsidRPr="00472516" w:rsidRDefault="00DC7675" w:rsidP="00DC7675">
                      <w:pPr>
                        <w:pStyle w:val="Caption"/>
                        <w:rPr>
                          <w:noProof/>
                        </w:rPr>
                      </w:pPr>
                      <w:r>
                        <w:t xml:space="preserve">Figure </w:t>
                      </w:r>
                      <w:fldSimple w:instr=" SEQ Figure \* ARABIC ">
                        <w:r w:rsidR="0071747C">
                          <w:rPr>
                            <w:noProof/>
                          </w:rPr>
                          <w:t>12</w:t>
                        </w:r>
                      </w:fldSimple>
                      <w:r>
                        <w:t xml:space="preserve"> Storefront Upgrade Issue</w:t>
                      </w:r>
                    </w:p>
                  </w:txbxContent>
                </v:textbox>
                <w10:wrap type="tight"/>
              </v:shape>
            </w:pict>
          </mc:Fallback>
        </mc:AlternateContent>
      </w:r>
      <w:r>
        <w:rPr>
          <w:noProof/>
        </w:rPr>
        <w:drawing>
          <wp:anchor distT="0" distB="0" distL="114300" distR="114300" simplePos="0" relativeHeight="251656704" behindDoc="1" locked="0" layoutInCell="1" allowOverlap="1" wp14:anchorId="2CDC9111" wp14:editId="0ED73D2E">
            <wp:simplePos x="0" y="0"/>
            <wp:positionH relativeFrom="column">
              <wp:posOffset>590550</wp:posOffset>
            </wp:positionH>
            <wp:positionV relativeFrom="paragraph">
              <wp:posOffset>496570</wp:posOffset>
            </wp:positionV>
            <wp:extent cx="3799840" cy="2733040"/>
            <wp:effectExtent l="0" t="0" r="0" b="0"/>
            <wp:wrapTight wrapText="bothSides">
              <wp:wrapPolygon edited="0">
                <wp:start x="0" y="0"/>
                <wp:lineTo x="0" y="21379"/>
                <wp:lineTo x="21441" y="21379"/>
                <wp:lineTo x="21441" y="0"/>
                <wp:lineTo x="0" y="0"/>
              </wp:wrapPolygon>
            </wp:wrapTight>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799840" cy="2733040"/>
                    </a:xfrm>
                    <a:prstGeom prst="rect">
                      <a:avLst/>
                    </a:prstGeom>
                  </pic:spPr>
                </pic:pic>
              </a:graphicData>
            </a:graphic>
          </wp:anchor>
        </w:drawing>
      </w:r>
      <w:r w:rsidR="00803150">
        <w:t xml:space="preserve">The Microsoft </w:t>
      </w:r>
      <w:r>
        <w:t xml:space="preserve">Monitoring Agent APM service was enabled and running, this service needs to be disabled within the </w:t>
      </w:r>
      <w:proofErr w:type="spellStart"/>
      <w:r>
        <w:t>Canisc</w:t>
      </w:r>
      <w:proofErr w:type="spellEnd"/>
      <w:r>
        <w:t xml:space="preserve"> environment (see figure 13 for reference)</w:t>
      </w:r>
    </w:p>
    <w:p w14:paraId="6434B5E9" w14:textId="77777777" w:rsidR="00C47B0E" w:rsidRPr="00C47B0E" w:rsidRDefault="00C47B0E" w:rsidP="00C47B0E"/>
    <w:p w14:paraId="37B99382" w14:textId="77777777" w:rsidR="00C47B0E" w:rsidRPr="00C47B0E" w:rsidRDefault="00C47B0E" w:rsidP="00C47B0E"/>
    <w:p w14:paraId="31236FCC" w14:textId="77777777" w:rsidR="00C47B0E" w:rsidRPr="00C47B0E" w:rsidRDefault="00C47B0E" w:rsidP="00C47B0E"/>
    <w:p w14:paraId="7A36C69A" w14:textId="77777777" w:rsidR="00C47B0E" w:rsidRPr="00C47B0E" w:rsidRDefault="00C47B0E" w:rsidP="00C47B0E"/>
    <w:p w14:paraId="7080871E" w14:textId="77777777" w:rsidR="00C47B0E" w:rsidRPr="00C47B0E" w:rsidRDefault="00C47B0E" w:rsidP="00C47B0E"/>
    <w:p w14:paraId="7B8A313A" w14:textId="77777777" w:rsidR="00C47B0E" w:rsidRPr="00C47B0E" w:rsidRDefault="00C47B0E" w:rsidP="00C47B0E"/>
    <w:p w14:paraId="3BAD5AA1" w14:textId="77777777" w:rsidR="00C47B0E" w:rsidRPr="00C47B0E" w:rsidRDefault="00C47B0E" w:rsidP="00C47B0E"/>
    <w:p w14:paraId="6DBC8C04" w14:textId="77777777" w:rsidR="00C47B0E" w:rsidRPr="00C47B0E" w:rsidRDefault="00C47B0E" w:rsidP="00C47B0E"/>
    <w:p w14:paraId="449FBADD" w14:textId="77777777" w:rsidR="00C47B0E" w:rsidRPr="00C47B0E" w:rsidRDefault="00C47B0E" w:rsidP="00C47B0E"/>
    <w:p w14:paraId="61D3F959" w14:textId="77777777" w:rsidR="00C47B0E" w:rsidRPr="00C47B0E" w:rsidRDefault="00C47B0E" w:rsidP="00C47B0E"/>
    <w:p w14:paraId="6C3F578D" w14:textId="77777777" w:rsidR="00C47B0E" w:rsidRPr="00C47B0E" w:rsidRDefault="00C47B0E" w:rsidP="00C47B0E"/>
    <w:p w14:paraId="2DFB5A67" w14:textId="77777777" w:rsidR="00C47B0E" w:rsidRPr="00C47B0E" w:rsidRDefault="00C47B0E" w:rsidP="00C47B0E"/>
    <w:p w14:paraId="76C2DE62" w14:textId="6E64055E" w:rsidR="00C47B0E" w:rsidRDefault="00C47B0E" w:rsidP="00C47B0E">
      <w:r>
        <w:t xml:space="preserve">Once the above issues were rectified, the upgrade progressed as expected and completed successfully. The </w:t>
      </w:r>
      <w:proofErr w:type="spellStart"/>
      <w:r>
        <w:t>Canisc</w:t>
      </w:r>
      <w:proofErr w:type="spellEnd"/>
      <w:r>
        <w:t xml:space="preserve"> support team then tested being able to open the </w:t>
      </w:r>
      <w:proofErr w:type="spellStart"/>
      <w:r>
        <w:t>Canisc</w:t>
      </w:r>
      <w:proofErr w:type="spellEnd"/>
      <w:r>
        <w:t xml:space="preserve"> application, which launched successfully</w:t>
      </w:r>
      <w:r w:rsidR="009F7F3F">
        <w:t>.</w:t>
      </w:r>
    </w:p>
    <w:p w14:paraId="37AAC23D" w14:textId="77777777" w:rsidR="009F7F3F" w:rsidRDefault="009F7F3F" w:rsidP="00C47B0E"/>
    <w:p w14:paraId="37052C76" w14:textId="5AFA8429" w:rsidR="009F7F3F" w:rsidRDefault="009F7F3F" w:rsidP="00C47B0E"/>
    <w:p w14:paraId="55514D0E" w14:textId="222CE6B6" w:rsidR="009F7F3F" w:rsidRDefault="00B46836" w:rsidP="00B46836">
      <w:pPr>
        <w:pStyle w:val="Heading1"/>
        <w:numPr>
          <w:ilvl w:val="0"/>
          <w:numId w:val="1"/>
        </w:numPr>
      </w:pPr>
      <w:bookmarkStart w:id="15" w:name="_Toc112760766"/>
      <w:r>
        <w:lastRenderedPageBreak/>
        <w:t>Results &amp; Analysis</w:t>
      </w:r>
      <w:bookmarkEnd w:id="15"/>
    </w:p>
    <w:p w14:paraId="7EE3EA69" w14:textId="77777777" w:rsidR="00B46836" w:rsidRDefault="00B46836" w:rsidP="00B46836"/>
    <w:p w14:paraId="322759AA" w14:textId="29FA2E64" w:rsidR="00B46836" w:rsidRDefault="00B46836" w:rsidP="00B46836">
      <w:r>
        <w:t>This section will</w:t>
      </w:r>
      <w:r w:rsidR="006B586F">
        <w:t xml:space="preserve"> cover the outcome of </w:t>
      </w:r>
      <w:r w:rsidR="00CD2ECF">
        <w:t xml:space="preserve">upgrading the </w:t>
      </w:r>
      <w:proofErr w:type="spellStart"/>
      <w:r w:rsidR="00CD2ECF">
        <w:t>Canisc</w:t>
      </w:r>
      <w:proofErr w:type="spellEnd"/>
      <w:r w:rsidR="00CD2ECF">
        <w:t xml:space="preserve"> environment and whether the metrics </w:t>
      </w:r>
      <w:r w:rsidR="0085026C">
        <w:t xml:space="preserve">described previously prove if upgrading the </w:t>
      </w:r>
      <w:proofErr w:type="spellStart"/>
      <w:r w:rsidR="0085026C">
        <w:t>Canisc</w:t>
      </w:r>
      <w:proofErr w:type="spellEnd"/>
      <w:r w:rsidR="0085026C">
        <w:t xml:space="preserve"> </w:t>
      </w:r>
      <w:proofErr w:type="spellStart"/>
      <w:r w:rsidR="0085026C">
        <w:t>citrix</w:t>
      </w:r>
      <w:proofErr w:type="spellEnd"/>
      <w:r w:rsidR="0085026C">
        <w:t xml:space="preserve"> environment had an impact on the performance of the service.</w:t>
      </w:r>
      <w:r w:rsidR="00202AB8">
        <w:t xml:space="preserve"> These metrics were:</w:t>
      </w:r>
    </w:p>
    <w:p w14:paraId="0E8973D1" w14:textId="07237C02" w:rsidR="00202AB8" w:rsidRDefault="00202AB8" w:rsidP="00202AB8">
      <w:pPr>
        <w:pStyle w:val="ListParagraph"/>
        <w:numPr>
          <w:ilvl w:val="0"/>
          <w:numId w:val="2"/>
        </w:numPr>
      </w:pPr>
      <w:r>
        <w:t>Number of unregistered machines</w:t>
      </w:r>
    </w:p>
    <w:p w14:paraId="4A2CC0B6" w14:textId="77777777" w:rsidR="00202AB8" w:rsidRDefault="00202AB8" w:rsidP="00202AB8">
      <w:pPr>
        <w:pStyle w:val="ListParagraph"/>
        <w:numPr>
          <w:ilvl w:val="0"/>
          <w:numId w:val="2"/>
        </w:numPr>
      </w:pPr>
      <w:r>
        <w:t>Load Index</w:t>
      </w:r>
    </w:p>
    <w:p w14:paraId="31E9F144" w14:textId="77777777" w:rsidR="00202AB8" w:rsidRDefault="00202AB8" w:rsidP="00202AB8">
      <w:pPr>
        <w:pStyle w:val="ListParagraph"/>
        <w:numPr>
          <w:ilvl w:val="0"/>
          <w:numId w:val="2"/>
        </w:numPr>
      </w:pPr>
      <w:r>
        <w:t>User Satisfaction</w:t>
      </w:r>
    </w:p>
    <w:p w14:paraId="76D98DCC" w14:textId="1D114F3E" w:rsidR="00202AB8" w:rsidRDefault="00202AB8" w:rsidP="00202AB8">
      <w:pPr>
        <w:pStyle w:val="ListParagraph"/>
        <w:numPr>
          <w:ilvl w:val="0"/>
          <w:numId w:val="2"/>
        </w:numPr>
      </w:pPr>
      <w:r>
        <w:t>Testing known errors</w:t>
      </w:r>
    </w:p>
    <w:p w14:paraId="6AFD328E" w14:textId="77777777" w:rsidR="00202AB8" w:rsidRDefault="00202AB8" w:rsidP="00B46836"/>
    <w:p w14:paraId="654FE3B2" w14:textId="3C4934C8" w:rsidR="0085026C" w:rsidRDefault="0085026C" w:rsidP="00B46836"/>
    <w:p w14:paraId="3ACF829A" w14:textId="584DE78C" w:rsidR="0085026C" w:rsidRDefault="00E02CA1" w:rsidP="00BC0DDC">
      <w:pPr>
        <w:pStyle w:val="Heading2"/>
        <w:numPr>
          <w:ilvl w:val="1"/>
          <w:numId w:val="1"/>
        </w:numPr>
      </w:pPr>
      <w:bookmarkStart w:id="16" w:name="_Toc112760767"/>
      <w:r>
        <w:t>Number of Unregistered Machines</w:t>
      </w:r>
      <w:bookmarkEnd w:id="16"/>
    </w:p>
    <w:p w14:paraId="73DA4D48" w14:textId="77777777" w:rsidR="00E02CA1" w:rsidRDefault="00E02CA1" w:rsidP="00E02CA1"/>
    <w:p w14:paraId="0CEF49B6" w14:textId="0ED6CF31" w:rsidR="00E02CA1" w:rsidRDefault="002C1250" w:rsidP="00E02CA1">
      <w:r>
        <w:t xml:space="preserve">There are ten VDAs </w:t>
      </w:r>
      <w:r w:rsidR="00C0102B">
        <w:t>that were upgraded for this upgrade</w:t>
      </w:r>
      <w:r w:rsidR="00337884">
        <w:t xml:space="preserve">. The literature review and previous Citrix environment upgrades carried out by </w:t>
      </w:r>
      <w:r w:rsidR="001A46C0">
        <w:t>DHCW led the Citrix team to believe that upgrading the VDAs to Citrix 1912 would resolve the reoccurring issue of machines appearing unregistered following their nightly reboots, however this proved not to be the case.</w:t>
      </w:r>
    </w:p>
    <w:p w14:paraId="17D5C10F" w14:textId="6813ABD7" w:rsidR="005D0BBA" w:rsidRDefault="009052EC" w:rsidP="00E02CA1">
      <w:r>
        <w:rPr>
          <w:noProof/>
        </w:rPr>
        <mc:AlternateContent>
          <mc:Choice Requires="wps">
            <w:drawing>
              <wp:anchor distT="0" distB="0" distL="114300" distR="114300" simplePos="0" relativeHeight="251676160" behindDoc="1" locked="0" layoutInCell="1" allowOverlap="1" wp14:anchorId="73E6EF12" wp14:editId="375AC024">
                <wp:simplePos x="0" y="0"/>
                <wp:positionH relativeFrom="column">
                  <wp:posOffset>-657225</wp:posOffset>
                </wp:positionH>
                <wp:positionV relativeFrom="paragraph">
                  <wp:posOffset>3508375</wp:posOffset>
                </wp:positionV>
                <wp:extent cx="2657475" cy="342900"/>
                <wp:effectExtent l="0" t="0" r="9525" b="0"/>
                <wp:wrapTight wrapText="bothSides">
                  <wp:wrapPolygon edited="0">
                    <wp:start x="0" y="0"/>
                    <wp:lineTo x="0" y="20400"/>
                    <wp:lineTo x="21523" y="20400"/>
                    <wp:lineTo x="21523"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657475" cy="342900"/>
                        </a:xfrm>
                        <a:prstGeom prst="rect">
                          <a:avLst/>
                        </a:prstGeom>
                        <a:solidFill>
                          <a:prstClr val="white"/>
                        </a:solidFill>
                        <a:ln>
                          <a:noFill/>
                        </a:ln>
                      </wps:spPr>
                      <wps:txbx>
                        <w:txbxContent>
                          <w:p w14:paraId="1D3509E2" w14:textId="08D95229" w:rsidR="00CC6055" w:rsidRPr="005C49CD" w:rsidRDefault="00CC6055" w:rsidP="00CC6055">
                            <w:pPr>
                              <w:pStyle w:val="Caption"/>
                              <w:rPr>
                                <w:noProof/>
                              </w:rPr>
                            </w:pPr>
                            <w:r>
                              <w:t xml:space="preserve">Figure </w:t>
                            </w:r>
                            <w:fldSimple w:instr=" SEQ Figure \* ARABIC ">
                              <w:r w:rsidR="0071747C">
                                <w:rPr>
                                  <w:noProof/>
                                </w:rPr>
                                <w:t>13</w:t>
                              </w:r>
                            </w:fldSimple>
                            <w:r>
                              <w:t xml:space="preserve"> Unregistered machines following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6EF12" id="Text Box 25" o:spid="_x0000_s1034" type="#_x0000_t202" style="position:absolute;margin-left:-51.75pt;margin-top:276.25pt;width:209.25pt;height:27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" stroked="f">
                <v:textbox inset="0,0,0,0">
                  <w:txbxContent>
                    <w:p w14:paraId="1D3509E2" w14:textId="08D95229" w:rsidR="00CC6055" w:rsidRPr="005C49CD" w:rsidRDefault="00CC6055" w:rsidP="00CC6055">
                      <w:pPr>
                        <w:pStyle w:val="Caption"/>
                        <w:rPr>
                          <w:noProof/>
                        </w:rPr>
                      </w:pPr>
                      <w:r>
                        <w:t xml:space="preserve">Figure </w:t>
                      </w:r>
                      <w:fldSimple w:instr=" SEQ Figure \* ARABIC ">
                        <w:r w:rsidR="0071747C">
                          <w:rPr>
                            <w:noProof/>
                          </w:rPr>
                          <w:t>13</w:t>
                        </w:r>
                      </w:fldSimple>
                      <w:r>
                        <w:t xml:space="preserve"> Unregistered machines following upgrade</w:t>
                      </w:r>
                    </w:p>
                  </w:txbxContent>
                </v:textbox>
                <w10:wrap type="tight"/>
              </v:shape>
            </w:pict>
          </mc:Fallback>
        </mc:AlternateContent>
      </w:r>
      <w:r>
        <w:rPr>
          <w:noProof/>
        </w:rPr>
        <w:drawing>
          <wp:anchor distT="0" distB="0" distL="114300" distR="114300" simplePos="0" relativeHeight="251671040" behindDoc="1" locked="0" layoutInCell="1" allowOverlap="1" wp14:anchorId="34CF3F85" wp14:editId="4726CD57">
            <wp:simplePos x="0" y="0"/>
            <wp:positionH relativeFrom="column">
              <wp:posOffset>-591185</wp:posOffset>
            </wp:positionH>
            <wp:positionV relativeFrom="paragraph">
              <wp:posOffset>584200</wp:posOffset>
            </wp:positionV>
            <wp:extent cx="6657340" cy="2952750"/>
            <wp:effectExtent l="0" t="0" r="0" b="0"/>
            <wp:wrapTight wrapText="bothSides">
              <wp:wrapPolygon edited="0">
                <wp:start x="0" y="0"/>
                <wp:lineTo x="0" y="21461"/>
                <wp:lineTo x="21509" y="21461"/>
                <wp:lineTo x="21509" y="0"/>
                <wp:lineTo x="0" y="0"/>
              </wp:wrapPolygon>
            </wp:wrapTight>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57340" cy="2952750"/>
                    </a:xfrm>
                    <a:prstGeom prst="rect">
                      <a:avLst/>
                    </a:prstGeom>
                  </pic:spPr>
                </pic:pic>
              </a:graphicData>
            </a:graphic>
            <wp14:sizeRelH relativeFrom="margin">
              <wp14:pctWidth>0</wp14:pctWidth>
            </wp14:sizeRelH>
            <wp14:sizeRelV relativeFrom="margin">
              <wp14:pctHeight>0</wp14:pctHeight>
            </wp14:sizeRelV>
          </wp:anchor>
        </w:drawing>
      </w:r>
      <w:r w:rsidR="00CC6055">
        <w:t xml:space="preserve">The days following the upgrade, the Citrix team reviewed the health checks for the upgraded </w:t>
      </w:r>
      <w:proofErr w:type="spellStart"/>
      <w:r w:rsidR="00CC6055">
        <w:t>Canisc</w:t>
      </w:r>
      <w:proofErr w:type="spellEnd"/>
      <w:r w:rsidR="00CC6055">
        <w:t xml:space="preserve"> environment and discovered the machines were still not booting up correctly.</w:t>
      </w:r>
      <w:r w:rsidR="001F1C9E">
        <w:t xml:space="preserve"> Figure 13 below shows the view seen in Citrix Studio </w:t>
      </w:r>
      <w:r>
        <w:t>where all the VDAs were appearing as unregistered.</w:t>
      </w:r>
    </w:p>
    <w:p w14:paraId="78F1AEA9" w14:textId="183371C1" w:rsidR="00CC6055" w:rsidRPr="00E02CA1" w:rsidRDefault="00CC6055" w:rsidP="00E02CA1"/>
    <w:p w14:paraId="06261017" w14:textId="072AF7CB" w:rsidR="00BC0DDC" w:rsidRDefault="00BC0DDC" w:rsidP="00BC0DDC"/>
    <w:p w14:paraId="76C0C310" w14:textId="0F92FCDE" w:rsidR="00BC0DDC" w:rsidRDefault="00F45E06" w:rsidP="00BC0DDC">
      <w:r>
        <w:t>All machines showing as unregistered</w:t>
      </w:r>
      <w:r w:rsidR="004055E3">
        <w:t xml:space="preserve"> consistently across several days caused serious concern for the Citrix team as they were under the impression that the issue would be resolved following the upgrade.</w:t>
      </w:r>
      <w:r w:rsidR="00405C02">
        <w:t xml:space="preserve"> This meant the upgrade of the remaining </w:t>
      </w:r>
      <w:proofErr w:type="spellStart"/>
      <w:r w:rsidR="00405C02">
        <w:t>Canisc</w:t>
      </w:r>
      <w:proofErr w:type="spellEnd"/>
      <w:r w:rsidR="00405C02">
        <w:t xml:space="preserve"> environment had to be put on hold until the issue was resolved.</w:t>
      </w:r>
      <w:r w:rsidR="00E22AC9">
        <w:t xml:space="preserve"> </w:t>
      </w:r>
    </w:p>
    <w:p w14:paraId="7F066F17" w14:textId="420CCC7F" w:rsidR="005C7195" w:rsidRDefault="005C7195" w:rsidP="00BC0DDC">
      <w:r>
        <w:lastRenderedPageBreak/>
        <w:t xml:space="preserve">An online </w:t>
      </w:r>
      <w:r w:rsidR="009C2129">
        <w:t>Citrix forum suggested a resolution that involved disabling a tool called D</w:t>
      </w:r>
      <w:r w:rsidR="00CD7EC9">
        <w:t>istributed Resource Scheduler (DRS). DRS is a feature that provides</w:t>
      </w:r>
      <w:r w:rsidR="00296BAE">
        <w:t xml:space="preserve"> management capabilities such as load balancing and VM placement,</w:t>
      </w:r>
      <w:r w:rsidR="00CA1D15">
        <w:t xml:space="preserve"> aiming to grant the VMs the resources required to perform as efficiently as possible. DRS monitors activity of the machines</w:t>
      </w:r>
      <w:r w:rsidR="004E1A4F">
        <w:t xml:space="preserve"> and responds to any new activity that would cause an imbalance in machine performance</w:t>
      </w:r>
      <w:sdt>
        <w:sdtPr>
          <w:id w:val="1951894361"/>
          <w:citation/>
        </w:sdtPr>
        <w:sdtContent>
          <w:r w:rsidR="004E1A4F">
            <w:fldChar w:fldCharType="begin"/>
          </w:r>
          <w:r w:rsidR="004E1A4F">
            <w:instrText xml:space="preserve"> CITATION Und16 \l 2057 </w:instrText>
          </w:r>
          <w:r w:rsidR="004E1A4F">
            <w:fldChar w:fldCharType="separate"/>
          </w:r>
          <w:r w:rsidR="004E1A4F">
            <w:rPr>
              <w:noProof/>
            </w:rPr>
            <w:t xml:space="preserve"> </w:t>
          </w:r>
          <w:r w:rsidR="004E1A4F" w:rsidRPr="004E1A4F">
            <w:rPr>
              <w:noProof/>
            </w:rPr>
            <w:t>[22]</w:t>
          </w:r>
          <w:r w:rsidR="004E1A4F">
            <w:fldChar w:fldCharType="end"/>
          </w:r>
        </w:sdtContent>
      </w:sdt>
      <w:r w:rsidR="004E1A4F">
        <w:t>.</w:t>
      </w:r>
      <w:r w:rsidR="00550FE6">
        <w:t xml:space="preserve"> The author of the post on the forum </w:t>
      </w:r>
      <w:r w:rsidR="00BB72B6">
        <w:t>opened a case with Citrix with the same issue of VDAs being unstable and booting up unregistered</w:t>
      </w:r>
      <w:r w:rsidR="00C757C4">
        <w:t>, however this issue was affecting a Citrix environment running on version 7.15</w:t>
      </w:r>
      <w:sdt>
        <w:sdtPr>
          <w:id w:val="1266113922"/>
          <w:citation/>
        </w:sdtPr>
        <w:sdtContent>
          <w:r w:rsidR="003965A0">
            <w:fldChar w:fldCharType="begin"/>
          </w:r>
          <w:r w:rsidR="003965A0">
            <w:instrText xml:space="preserve"> CITATION Cit215 \l 2057 </w:instrText>
          </w:r>
          <w:r w:rsidR="003965A0">
            <w:fldChar w:fldCharType="separate"/>
          </w:r>
          <w:r w:rsidR="003965A0">
            <w:rPr>
              <w:noProof/>
            </w:rPr>
            <w:t xml:space="preserve"> </w:t>
          </w:r>
          <w:r w:rsidR="003965A0" w:rsidRPr="003965A0">
            <w:rPr>
              <w:noProof/>
            </w:rPr>
            <w:t>[23]</w:t>
          </w:r>
          <w:r w:rsidR="003965A0">
            <w:fldChar w:fldCharType="end"/>
          </w:r>
        </w:sdtContent>
      </w:sdt>
      <w:r w:rsidR="00C757C4">
        <w:t xml:space="preserve">. </w:t>
      </w:r>
      <w:r w:rsidR="00B14764">
        <w:t xml:space="preserve">The </w:t>
      </w:r>
      <w:proofErr w:type="spellStart"/>
      <w:r w:rsidR="00B14764">
        <w:t>Canisc</w:t>
      </w:r>
      <w:proofErr w:type="spellEnd"/>
      <w:r w:rsidR="00B14764">
        <w:t xml:space="preserve"> Citrix environment is now running on version 1912, therefore the DHCW Citrix team were hesitant </w:t>
      </w:r>
      <w:r w:rsidR="00AC08BC">
        <w:t>to try this fix as it applied to an older version of Citrix.</w:t>
      </w:r>
      <w:r w:rsidR="000128EA">
        <w:t xml:space="preserve"> However, further investigation returned no other </w:t>
      </w:r>
      <w:r w:rsidR="00E127A6">
        <w:t xml:space="preserve">fixes that were relevant to this issue, therefore the Citrix team disabled DRS on the </w:t>
      </w:r>
      <w:proofErr w:type="spellStart"/>
      <w:r w:rsidR="00E127A6">
        <w:t>Canisc</w:t>
      </w:r>
      <w:proofErr w:type="spellEnd"/>
      <w:r w:rsidR="00E127A6">
        <w:t xml:space="preserve"> Gold Image and rolled the image out to the ten VDAs. After this, the machines</w:t>
      </w:r>
      <w:r w:rsidR="00D033B4">
        <w:t xml:space="preserve"> performed more stable and were no longer unregistering after a reboot. This was monitored over several days and no further issues were seen.</w:t>
      </w:r>
    </w:p>
    <w:p w14:paraId="3A684D2A" w14:textId="0B359B04" w:rsidR="009D1D8C" w:rsidRDefault="00306240" w:rsidP="00BC0DDC">
      <w:r>
        <w:t>The DHCW Citrix team were anticipating the upgrade resolving the unregistered machine issue, however it appeared t</w:t>
      </w:r>
      <w:r w:rsidR="00833E49">
        <w:t xml:space="preserve">o have not resolved the issue. </w:t>
      </w:r>
      <w:r w:rsidR="00CD11D2">
        <w:t>The results suggest</w:t>
      </w:r>
      <w:r w:rsidR="00833E49">
        <w:t xml:space="preserve"> that </w:t>
      </w:r>
      <w:r w:rsidR="008E4AD8">
        <w:t>the Citrix version does not impact the stability of the VDAs, instead</w:t>
      </w:r>
      <w:r w:rsidR="009D1D4A">
        <w:t xml:space="preserve"> it is down to the features enabled or disabled on the VDAs.</w:t>
      </w:r>
    </w:p>
    <w:p w14:paraId="54770ABE" w14:textId="558B525F" w:rsidR="00CD11D2" w:rsidRDefault="00CD11D2" w:rsidP="00BC0DDC"/>
    <w:p w14:paraId="48630F5C" w14:textId="63D47EFA" w:rsidR="00CD11D2" w:rsidRDefault="00CD11D2" w:rsidP="00CD11D2">
      <w:pPr>
        <w:pStyle w:val="Heading2"/>
        <w:numPr>
          <w:ilvl w:val="1"/>
          <w:numId w:val="1"/>
        </w:numPr>
      </w:pPr>
      <w:bookmarkStart w:id="17" w:name="_Toc112760768"/>
      <w:r>
        <w:t>Load Index</w:t>
      </w:r>
      <w:bookmarkEnd w:id="17"/>
    </w:p>
    <w:p w14:paraId="5B7CF51F" w14:textId="77777777" w:rsidR="00CD11D2" w:rsidRDefault="00CD11D2" w:rsidP="00CD11D2"/>
    <w:p w14:paraId="506E3EEE" w14:textId="053A7EEE" w:rsidR="00CD11D2" w:rsidRPr="00CD11D2" w:rsidRDefault="00776835" w:rsidP="00CD11D2">
      <w:r>
        <w:t xml:space="preserve">The Load Index of the </w:t>
      </w:r>
      <w:proofErr w:type="spellStart"/>
      <w:r>
        <w:t>Canisc</w:t>
      </w:r>
      <w:proofErr w:type="spellEnd"/>
      <w:r>
        <w:t xml:space="preserve"> environment </w:t>
      </w:r>
      <w:r w:rsidR="00E5719C">
        <w:t xml:space="preserve">has to be compared to pre upgrade performance to assess if the upgrade has </w:t>
      </w:r>
      <w:proofErr w:type="gramStart"/>
      <w:r w:rsidR="00E5719C">
        <w:t>cause</w:t>
      </w:r>
      <w:proofErr w:type="gramEnd"/>
      <w:r w:rsidR="00E5719C">
        <w:t xml:space="preserve"> an improvement to service performance.</w:t>
      </w:r>
      <w:r w:rsidR="00164AAE">
        <w:t xml:space="preserve"> Figure 14 below is a graph </w:t>
      </w:r>
      <w:r w:rsidR="00FB4D7D">
        <w:t>generated within Citrix Director that shows the Load Index before and after the upgrade.</w:t>
      </w:r>
      <w:r w:rsidR="00AF3E5A">
        <w:t xml:space="preserve"> The Load Evaluator Index (LEI) is represented by the blue bars and is presented as a percentage</w:t>
      </w:r>
      <w:r w:rsidR="005214F9">
        <w:t xml:space="preserve"> on the graph</w:t>
      </w:r>
      <w:r w:rsidR="00AF3E5A">
        <w:t xml:space="preserve">. The higher the percentage, </w:t>
      </w:r>
      <w:r w:rsidR="00952710">
        <w:t>the higher the load index and the less efficient the performance.</w:t>
      </w:r>
    </w:p>
    <w:p w14:paraId="4B745BB0" w14:textId="2169F56D" w:rsidR="00C47B0E" w:rsidRDefault="00164AAE" w:rsidP="00C47B0E">
      <w:r>
        <w:rPr>
          <w:noProof/>
        </w:rPr>
        <w:drawing>
          <wp:anchor distT="0" distB="0" distL="114300" distR="114300" simplePos="0" relativeHeight="251681280" behindDoc="1" locked="0" layoutInCell="1" allowOverlap="1" wp14:anchorId="291B46D8" wp14:editId="44827551">
            <wp:simplePos x="0" y="0"/>
            <wp:positionH relativeFrom="column">
              <wp:posOffset>-9525</wp:posOffset>
            </wp:positionH>
            <wp:positionV relativeFrom="paragraph">
              <wp:posOffset>86995</wp:posOffset>
            </wp:positionV>
            <wp:extent cx="3429000" cy="3327400"/>
            <wp:effectExtent l="0" t="0" r="0" b="6350"/>
            <wp:wrapTight wrapText="bothSides">
              <wp:wrapPolygon edited="0">
                <wp:start x="0" y="0"/>
                <wp:lineTo x="0" y="21518"/>
                <wp:lineTo x="21480" y="21518"/>
                <wp:lineTo x="21480" y="0"/>
                <wp:lineTo x="0" y="0"/>
              </wp:wrapPolygon>
            </wp:wrapTight>
            <wp:docPr id="26" name="Picture 2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29000" cy="3327400"/>
                    </a:xfrm>
                    <a:prstGeom prst="rect">
                      <a:avLst/>
                    </a:prstGeom>
                  </pic:spPr>
                </pic:pic>
              </a:graphicData>
            </a:graphic>
          </wp:anchor>
        </w:drawing>
      </w:r>
      <w:r w:rsidR="00952710">
        <w:t>The dark grey line shows the number of users connected to the environment at any one time</w:t>
      </w:r>
      <w:r w:rsidR="00ED6BEB">
        <w:t xml:space="preserve">. </w:t>
      </w:r>
      <w:r w:rsidR="00D00E1F">
        <w:t>If the LEI is consistently high, it can point at one of two issues:</w:t>
      </w:r>
    </w:p>
    <w:p w14:paraId="0615604B" w14:textId="66324B93" w:rsidR="00D00E1F" w:rsidRDefault="00D00E1F" w:rsidP="00D00E1F">
      <w:pPr>
        <w:pStyle w:val="ListParagraph"/>
        <w:numPr>
          <w:ilvl w:val="0"/>
          <w:numId w:val="2"/>
        </w:numPr>
      </w:pPr>
      <w:r>
        <w:t>The environments load balancing is not performing expected</w:t>
      </w:r>
    </w:p>
    <w:p w14:paraId="23E538C7" w14:textId="2C3DA912" w:rsidR="00D00E1F" w:rsidRDefault="00D00E1F" w:rsidP="00D00E1F">
      <w:pPr>
        <w:pStyle w:val="ListParagraph"/>
        <w:numPr>
          <w:ilvl w:val="0"/>
          <w:numId w:val="2"/>
        </w:numPr>
      </w:pPr>
      <w:r>
        <w:t>There are not enough VDAs for the service to perform efficiently</w:t>
      </w:r>
    </w:p>
    <w:p w14:paraId="4A26245E" w14:textId="7F21040E" w:rsidR="00CC6C67" w:rsidRPr="00C47B0E" w:rsidRDefault="006E57DB" w:rsidP="00CC6C67">
      <w:r>
        <w:t>Figure 14 shows the LEI was consistently high prior to the upgrade apart from one outlier</w:t>
      </w:r>
      <w:r w:rsidR="009D4AD0">
        <w:t>. During the upgrade, there is no data available as the service is running on different VDAs, therefore it is clear following the upgrade</w:t>
      </w:r>
      <w:r w:rsidR="00572215">
        <w:t xml:space="preserve"> what the data can tell us. The data suggests the LEI is not affected by the upgrade.</w:t>
      </w:r>
    </w:p>
    <w:p w14:paraId="56EEDA81" w14:textId="30A576BC" w:rsidR="00C47B0E" w:rsidRPr="00C47B0E" w:rsidRDefault="003D4A4F" w:rsidP="00C47B0E">
      <w:r>
        <w:rPr>
          <w:noProof/>
        </w:rPr>
        <mc:AlternateContent>
          <mc:Choice Requires="wps">
            <w:drawing>
              <wp:anchor distT="0" distB="0" distL="114300" distR="114300" simplePos="0" relativeHeight="251688448" behindDoc="1" locked="0" layoutInCell="1" allowOverlap="1" wp14:anchorId="244A65A0" wp14:editId="40A08955">
                <wp:simplePos x="0" y="0"/>
                <wp:positionH relativeFrom="margin">
                  <wp:posOffset>9525</wp:posOffset>
                </wp:positionH>
                <wp:positionV relativeFrom="paragraph">
                  <wp:posOffset>-2540</wp:posOffset>
                </wp:positionV>
                <wp:extent cx="2009775" cy="209550"/>
                <wp:effectExtent l="0" t="0" r="9525" b="0"/>
                <wp:wrapTight wrapText="bothSides">
                  <wp:wrapPolygon edited="0">
                    <wp:start x="0" y="0"/>
                    <wp:lineTo x="0" y="19636"/>
                    <wp:lineTo x="21498" y="19636"/>
                    <wp:lineTo x="2149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009775" cy="209550"/>
                        </a:xfrm>
                        <a:prstGeom prst="rect">
                          <a:avLst/>
                        </a:prstGeom>
                        <a:solidFill>
                          <a:prstClr val="white"/>
                        </a:solidFill>
                        <a:ln>
                          <a:noFill/>
                        </a:ln>
                      </wps:spPr>
                      <wps:txbx>
                        <w:txbxContent>
                          <w:p w14:paraId="061A457C" w14:textId="7C3A51BD" w:rsidR="00164AAE" w:rsidRPr="005443EE" w:rsidRDefault="00164AAE" w:rsidP="00164AAE">
                            <w:pPr>
                              <w:pStyle w:val="Caption"/>
                              <w:rPr>
                                <w:noProof/>
                              </w:rPr>
                            </w:pPr>
                            <w:r>
                              <w:t xml:space="preserve">Figure </w:t>
                            </w:r>
                            <w:fldSimple w:instr=" SEQ Figure \* ARABIC ">
                              <w:r w:rsidR="0071747C">
                                <w:rPr>
                                  <w:noProof/>
                                </w:rPr>
                                <w:t>14</w:t>
                              </w:r>
                            </w:fldSimple>
                            <w:r>
                              <w:t xml:space="preserve"> Load Index Pre/Post Upgrade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A65A0" id="Text Box 27" o:spid="_x0000_s1035" type="#_x0000_t202" style="position:absolute;margin-left:.75pt;margin-top:-.2pt;width:158.25pt;height:16.5pt;z-index:-251628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" stroked="f">
                <v:textbox inset="0,0,0,0">
                  <w:txbxContent>
                    <w:p w14:paraId="061A457C" w14:textId="7C3A51BD" w:rsidR="00164AAE" w:rsidRPr="005443EE" w:rsidRDefault="00164AAE" w:rsidP="00164AAE">
                      <w:pPr>
                        <w:pStyle w:val="Caption"/>
                        <w:rPr>
                          <w:noProof/>
                        </w:rPr>
                      </w:pPr>
                      <w:r>
                        <w:t xml:space="preserve">Figure </w:t>
                      </w:r>
                      <w:fldSimple w:instr=" SEQ Figure \* ARABIC ">
                        <w:r w:rsidR="0071747C">
                          <w:rPr>
                            <w:noProof/>
                          </w:rPr>
                          <w:t>14</w:t>
                        </w:r>
                      </w:fldSimple>
                      <w:r>
                        <w:t xml:space="preserve"> Load Index Pre/Post Upgrade</w:t>
                      </w:r>
                    </w:p>
                  </w:txbxContent>
                </v:textbox>
                <w10:wrap type="tight" anchorx="margin"/>
              </v:shape>
            </w:pict>
          </mc:Fallback>
        </mc:AlternateContent>
      </w:r>
    </w:p>
    <w:p w14:paraId="7DF36ADB" w14:textId="5184DDD4" w:rsidR="00C47B0E" w:rsidRPr="00C47B0E" w:rsidRDefault="00C47B0E" w:rsidP="00C47B0E"/>
    <w:p w14:paraId="7896C1C0" w14:textId="3BB84D30" w:rsidR="00C47B0E" w:rsidRPr="00C47B0E" w:rsidRDefault="00C47B0E" w:rsidP="00C47B0E"/>
    <w:p w14:paraId="27457314" w14:textId="7339277C" w:rsidR="00C47B0E" w:rsidRDefault="00F41544" w:rsidP="00C47B0E">
      <w:r>
        <w:lastRenderedPageBreak/>
        <w:t xml:space="preserve">The </w:t>
      </w:r>
      <w:r w:rsidR="00876008">
        <w:t xml:space="preserve">number of users connected is consistent following the upgrade, however the Citrix team were expecting the load balancing </w:t>
      </w:r>
      <w:r w:rsidR="00724937">
        <w:t>to improve, meaning traffic would be more evenly distributed amongst VDAs.</w:t>
      </w:r>
      <w:r w:rsidR="00045E8A">
        <w:t xml:space="preserve"> Whilst there is not much data available, the trend suggests that the LEI will follow the pattern seen before the upgrade, meaning the upgrade has not had an impact on the Load Index.</w:t>
      </w:r>
      <w:r w:rsidR="00E77727">
        <w:t xml:space="preserve"> This means that, to improve the load</w:t>
      </w:r>
      <w:r w:rsidR="00B41443">
        <w:t xml:space="preserve"> on the </w:t>
      </w:r>
      <w:proofErr w:type="spellStart"/>
      <w:r w:rsidR="00B41443">
        <w:t>Canisc</w:t>
      </w:r>
      <w:proofErr w:type="spellEnd"/>
      <w:r w:rsidR="00B41443">
        <w:t xml:space="preserve"> VDAs, more VDAs will be needed so that traffic is lower across each VDA. This currently is not possible as DHCW does not have the resources to create more VDAs</w:t>
      </w:r>
      <w:r w:rsidR="006A59A6">
        <w:t>.</w:t>
      </w:r>
    </w:p>
    <w:p w14:paraId="67D3EEF2" w14:textId="77777777" w:rsidR="006A59A6" w:rsidRDefault="006A59A6" w:rsidP="00C47B0E"/>
    <w:p w14:paraId="5511DD49" w14:textId="0DC51F44" w:rsidR="006A59A6" w:rsidRDefault="006A59A6" w:rsidP="006A59A6">
      <w:pPr>
        <w:pStyle w:val="Heading2"/>
        <w:numPr>
          <w:ilvl w:val="1"/>
          <w:numId w:val="1"/>
        </w:numPr>
      </w:pPr>
      <w:bookmarkStart w:id="18" w:name="_Toc112760769"/>
      <w:r>
        <w:t>User Satisfaction</w:t>
      </w:r>
      <w:bookmarkEnd w:id="18"/>
    </w:p>
    <w:p w14:paraId="5D868C66" w14:textId="77777777" w:rsidR="006A59A6" w:rsidRDefault="006A59A6" w:rsidP="006A59A6"/>
    <w:p w14:paraId="1F77436F" w14:textId="36577EF1" w:rsidR="006A59A6" w:rsidRDefault="007A5E04" w:rsidP="006A59A6">
      <w:r>
        <w:t xml:space="preserve">Results from user satisfaction is gathered by the </w:t>
      </w:r>
      <w:proofErr w:type="spellStart"/>
      <w:r>
        <w:t>Canisc</w:t>
      </w:r>
      <w:proofErr w:type="spellEnd"/>
      <w:r>
        <w:t xml:space="preserve"> Support team and fed back to the Citrix team, however there is no guarantee that users will respond. In this scenario, the </w:t>
      </w:r>
      <w:proofErr w:type="spellStart"/>
      <w:r>
        <w:t>Canisc</w:t>
      </w:r>
      <w:proofErr w:type="spellEnd"/>
      <w:r>
        <w:t xml:space="preserve"> support team use dummy user accounts to replicate the end user experience</w:t>
      </w:r>
      <w:r w:rsidR="00E33ECE">
        <w:t xml:space="preserve"> and test factors such as average logon time. As expected, no users responded to the questionnaire send out by the </w:t>
      </w:r>
      <w:proofErr w:type="spellStart"/>
      <w:r w:rsidR="00E33ECE">
        <w:t>Canisc</w:t>
      </w:r>
      <w:proofErr w:type="spellEnd"/>
      <w:r w:rsidR="00E33ECE">
        <w:t xml:space="preserve"> support team, therefore</w:t>
      </w:r>
      <w:r w:rsidR="00927045">
        <w:t xml:space="preserve"> tests were carried out by them. The questions sent out by the </w:t>
      </w:r>
      <w:proofErr w:type="spellStart"/>
      <w:r w:rsidR="00927045">
        <w:t>Canisc</w:t>
      </w:r>
      <w:proofErr w:type="spellEnd"/>
      <w:r w:rsidR="00927045">
        <w:t xml:space="preserve"> support team were:</w:t>
      </w:r>
    </w:p>
    <w:p w14:paraId="06194D90" w14:textId="5854BF6D" w:rsidR="00927045" w:rsidRDefault="008B01F8" w:rsidP="00927045">
      <w:pPr>
        <w:pStyle w:val="ListParagraph"/>
        <w:numPr>
          <w:ilvl w:val="0"/>
          <w:numId w:val="2"/>
        </w:numPr>
      </w:pPr>
      <w:r>
        <w:t xml:space="preserve">Have </w:t>
      </w:r>
      <w:r w:rsidR="0003112F">
        <w:t xml:space="preserve">you noticed any changes in the length of time it takes for the </w:t>
      </w:r>
      <w:proofErr w:type="spellStart"/>
      <w:r w:rsidR="0003112F">
        <w:t>Canisc</w:t>
      </w:r>
      <w:proofErr w:type="spellEnd"/>
      <w:r w:rsidR="0003112F">
        <w:t xml:space="preserve"> application to open?</w:t>
      </w:r>
    </w:p>
    <w:p w14:paraId="382D0E1E" w14:textId="40C92485" w:rsidR="0003112F" w:rsidRDefault="0042432A" w:rsidP="00927045">
      <w:pPr>
        <w:pStyle w:val="ListParagraph"/>
        <w:numPr>
          <w:ilvl w:val="0"/>
          <w:numId w:val="2"/>
        </w:numPr>
      </w:pPr>
      <w:r>
        <w:t>Are there any changes in</w:t>
      </w:r>
      <w:r w:rsidR="00121A08">
        <w:t xml:space="preserve"> the speed when navigating around the </w:t>
      </w:r>
      <w:proofErr w:type="spellStart"/>
      <w:r w:rsidR="00121A08">
        <w:t>Canisc</w:t>
      </w:r>
      <w:proofErr w:type="spellEnd"/>
      <w:r w:rsidR="00121A08">
        <w:t xml:space="preserve"> application?</w:t>
      </w:r>
    </w:p>
    <w:p w14:paraId="1219C64F" w14:textId="019BC928" w:rsidR="00521084" w:rsidRDefault="00251F1B" w:rsidP="00927045">
      <w:pPr>
        <w:pStyle w:val="ListParagraph"/>
        <w:numPr>
          <w:ilvl w:val="0"/>
          <w:numId w:val="2"/>
        </w:numPr>
      </w:pPr>
      <w:r>
        <w:t xml:space="preserve">Is the </w:t>
      </w:r>
      <w:proofErr w:type="spellStart"/>
      <w:r>
        <w:t>Canisc</w:t>
      </w:r>
      <w:proofErr w:type="spellEnd"/>
      <w:r>
        <w:t xml:space="preserve"> Storefront more user friendly since the environment was upgraded?</w:t>
      </w:r>
    </w:p>
    <w:p w14:paraId="71FCFBCC" w14:textId="64923D95" w:rsidR="00251F1B" w:rsidRDefault="00251F1B" w:rsidP="00927045">
      <w:pPr>
        <w:pStyle w:val="ListParagraph"/>
        <w:numPr>
          <w:ilvl w:val="0"/>
          <w:numId w:val="2"/>
        </w:numPr>
      </w:pPr>
      <w:r>
        <w:t xml:space="preserve">Are there any other differences to be noted since the </w:t>
      </w:r>
      <w:proofErr w:type="spellStart"/>
      <w:r>
        <w:t>Canisc</w:t>
      </w:r>
      <w:proofErr w:type="spellEnd"/>
      <w:r>
        <w:t xml:space="preserve"> environment was upgraded?</w:t>
      </w:r>
    </w:p>
    <w:p w14:paraId="1A42B601" w14:textId="77777777" w:rsidR="003952E3" w:rsidRDefault="003952E3" w:rsidP="003952E3"/>
    <w:p w14:paraId="37272686" w14:textId="3E0174ED" w:rsidR="003952E3" w:rsidRDefault="003952E3" w:rsidP="003952E3">
      <w:r>
        <w:t xml:space="preserve">The </w:t>
      </w:r>
      <w:proofErr w:type="spellStart"/>
      <w:r>
        <w:t>Canisc</w:t>
      </w:r>
      <w:proofErr w:type="spellEnd"/>
      <w:r>
        <w:t xml:space="preserve"> support team send the average logon time taken to log in to Citrix to the Citrix team. Figure 15 below</w:t>
      </w:r>
      <w:r w:rsidR="00CD0D7D">
        <w:t xml:space="preserve"> shows the average logon time before and after the upgrade, the data was pulled from Citrix </w:t>
      </w:r>
      <w:r w:rsidR="008201C5">
        <w:t>Director</w:t>
      </w:r>
      <w:r w:rsidR="00816A43">
        <w:t>.</w:t>
      </w:r>
    </w:p>
    <w:p w14:paraId="6E3E3A8A" w14:textId="77777777" w:rsidR="005F46C3" w:rsidRDefault="005F46C3" w:rsidP="003952E3">
      <w:r>
        <w:rPr>
          <w:noProof/>
        </w:rPr>
        <mc:AlternateContent>
          <mc:Choice Requires="wps">
            <w:drawing>
              <wp:anchor distT="0" distB="0" distL="114300" distR="114300" simplePos="0" relativeHeight="251697664" behindDoc="1" locked="0" layoutInCell="1" allowOverlap="1" wp14:anchorId="6BAA65B9" wp14:editId="5C906E60">
                <wp:simplePos x="0" y="0"/>
                <wp:positionH relativeFrom="margin">
                  <wp:posOffset>219075</wp:posOffset>
                </wp:positionH>
                <wp:positionV relativeFrom="paragraph">
                  <wp:posOffset>2437765</wp:posOffset>
                </wp:positionV>
                <wp:extent cx="1495425" cy="285750"/>
                <wp:effectExtent l="0" t="0" r="9525" b="0"/>
                <wp:wrapTight wrapText="bothSides">
                  <wp:wrapPolygon edited="0">
                    <wp:start x="0" y="0"/>
                    <wp:lineTo x="0" y="20160"/>
                    <wp:lineTo x="21462" y="20160"/>
                    <wp:lineTo x="2146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495425" cy="285750"/>
                        </a:xfrm>
                        <a:prstGeom prst="rect">
                          <a:avLst/>
                        </a:prstGeom>
                        <a:solidFill>
                          <a:prstClr val="white"/>
                        </a:solidFill>
                        <a:ln>
                          <a:noFill/>
                        </a:ln>
                      </wps:spPr>
                      <wps:txbx>
                        <w:txbxContent>
                          <w:p w14:paraId="34A3E3D6" w14:textId="5F13BF04" w:rsidR="0071747C" w:rsidRPr="0031767A" w:rsidRDefault="0071747C" w:rsidP="0071747C">
                            <w:pPr>
                              <w:pStyle w:val="Caption"/>
                              <w:rPr>
                                <w:noProof/>
                              </w:rPr>
                            </w:pPr>
                            <w:r>
                              <w:t xml:space="preserve">Figure </w:t>
                            </w:r>
                            <w:fldSimple w:instr=" SEQ Figure \* ARABIC ">
                              <w:r>
                                <w:rPr>
                                  <w:noProof/>
                                </w:rPr>
                                <w:t>15</w:t>
                              </w:r>
                            </w:fldSimple>
                            <w:r>
                              <w:t xml:space="preserve"> Average Logon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A65B9" id="Text Box 29" o:spid="_x0000_s1036" type="#_x0000_t202" style="position:absolute;margin-left:17.25pt;margin-top:191.95pt;width:117.75pt;height:22.5pt;z-index:-25161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" stroked="f">
                <v:textbox inset="0,0,0,0">
                  <w:txbxContent>
                    <w:p w14:paraId="34A3E3D6" w14:textId="5F13BF04" w:rsidR="0071747C" w:rsidRPr="0031767A" w:rsidRDefault="0071747C" w:rsidP="0071747C">
                      <w:pPr>
                        <w:pStyle w:val="Caption"/>
                        <w:rPr>
                          <w:noProof/>
                        </w:rPr>
                      </w:pPr>
                      <w:r>
                        <w:t xml:space="preserve">Figure </w:t>
                      </w:r>
                      <w:fldSimple w:instr=" SEQ Figure \* ARABIC ">
                        <w:r>
                          <w:rPr>
                            <w:noProof/>
                          </w:rPr>
                          <w:t>15</w:t>
                        </w:r>
                      </w:fldSimple>
                      <w:r>
                        <w:t xml:space="preserve"> Average Logon Time</w:t>
                      </w:r>
                    </w:p>
                  </w:txbxContent>
                </v:textbox>
                <w10:wrap type="tight" anchorx="margin"/>
              </v:shape>
            </w:pict>
          </mc:Fallback>
        </mc:AlternateContent>
      </w:r>
      <w:r w:rsidR="00816A43">
        <w:rPr>
          <w:noProof/>
        </w:rPr>
        <w:drawing>
          <wp:anchor distT="0" distB="0" distL="114300" distR="114300" simplePos="0" relativeHeight="251692544" behindDoc="1" locked="0" layoutInCell="1" allowOverlap="1" wp14:anchorId="1375160A" wp14:editId="2C497403">
            <wp:simplePos x="0" y="0"/>
            <wp:positionH relativeFrom="column">
              <wp:posOffset>0</wp:posOffset>
            </wp:positionH>
            <wp:positionV relativeFrom="paragraph">
              <wp:posOffset>1905</wp:posOffset>
            </wp:positionV>
            <wp:extent cx="3743847" cy="2457793"/>
            <wp:effectExtent l="0" t="0" r="9525" b="0"/>
            <wp:wrapTight wrapText="bothSides">
              <wp:wrapPolygon edited="0">
                <wp:start x="0" y="0"/>
                <wp:lineTo x="0" y="21433"/>
                <wp:lineTo x="21545" y="21433"/>
                <wp:lineTo x="21545" y="0"/>
                <wp:lineTo x="0" y="0"/>
              </wp:wrapPolygon>
            </wp:wrapTight>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43847" cy="2457793"/>
                    </a:xfrm>
                    <a:prstGeom prst="rect">
                      <a:avLst/>
                    </a:prstGeom>
                  </pic:spPr>
                </pic:pic>
              </a:graphicData>
            </a:graphic>
          </wp:anchor>
        </w:drawing>
      </w:r>
      <w:r w:rsidR="008201C5">
        <w:t xml:space="preserve">The data covers from May 2022 up until Mid-August 2022, with the upgrade being implemented early July (hence the </w:t>
      </w:r>
      <w:r w:rsidR="00685192">
        <w:t xml:space="preserve">outlier). The graph is showing the average number of seconds taken to log on to the </w:t>
      </w:r>
      <w:proofErr w:type="spellStart"/>
      <w:r w:rsidR="00685192">
        <w:t>Canisc</w:t>
      </w:r>
      <w:proofErr w:type="spellEnd"/>
      <w:r w:rsidR="00685192">
        <w:t xml:space="preserve"> system. Citrix director only holds data less than three months old</w:t>
      </w:r>
      <w:r w:rsidR="00AB429A">
        <w:t xml:space="preserve">, however the </w:t>
      </w:r>
      <w:r w:rsidR="00C42A69">
        <w:t xml:space="preserve">average logon time prior to upgrading the </w:t>
      </w:r>
      <w:proofErr w:type="spellStart"/>
      <w:r w:rsidR="00C42A69">
        <w:t>Canisc</w:t>
      </w:r>
      <w:proofErr w:type="spellEnd"/>
      <w:r w:rsidR="00C42A69">
        <w:t xml:space="preserve"> Citrix environment shows a consistent pattern of 22.5 seconds. Immediately past the upgrade, the </w:t>
      </w:r>
      <w:proofErr w:type="spellStart"/>
      <w:r w:rsidR="00C42A69">
        <w:t>Canisc</w:t>
      </w:r>
      <w:proofErr w:type="spellEnd"/>
      <w:r w:rsidR="00C42A69">
        <w:t xml:space="preserve"> support team tested </w:t>
      </w:r>
    </w:p>
    <w:p w14:paraId="3779475F" w14:textId="77777777" w:rsidR="005F46C3" w:rsidRDefault="005F46C3" w:rsidP="003952E3"/>
    <w:p w14:paraId="5AEF268F" w14:textId="16D90D92" w:rsidR="00816A43" w:rsidRDefault="00C42A69" w:rsidP="003952E3">
      <w:r>
        <w:t>the logon time</w:t>
      </w:r>
      <w:r w:rsidR="005F46C3">
        <w:t xml:space="preserve"> whilst the application was not available to end users. Their average logon time was 13 </w:t>
      </w:r>
      <w:proofErr w:type="gramStart"/>
      <w:r w:rsidR="005F46C3">
        <w:t>seconds</w:t>
      </w:r>
      <w:r w:rsidR="00294F3B">
        <w:t>,</w:t>
      </w:r>
      <w:proofErr w:type="gramEnd"/>
      <w:r w:rsidR="00294F3B">
        <w:t xml:space="preserve"> however it must be noted that there were no other users logging in at this time, meaning there was far less traffic to affect the logon time, therefore this data cannot be </w:t>
      </w:r>
      <w:r w:rsidR="00181DF7">
        <w:t xml:space="preserve">counted when analysing the impact the upgrade has had. When the service went live for end users to use, the average logon time returned to levels seen before the upgrade, however there are then signs of a consistent decrease </w:t>
      </w:r>
      <w:r w:rsidR="00181DF7">
        <w:lastRenderedPageBreak/>
        <w:t>in average logon times.</w:t>
      </w:r>
      <w:r w:rsidR="0005385E">
        <w:t xml:space="preserve"> </w:t>
      </w:r>
      <w:r w:rsidR="005C32C2">
        <w:t xml:space="preserve">If the data continues to follow the pattern seen in the graph, users will see a consistent decrease in time taken to log on to </w:t>
      </w:r>
      <w:proofErr w:type="spellStart"/>
      <w:r w:rsidR="005C32C2">
        <w:t>Canisc</w:t>
      </w:r>
      <w:proofErr w:type="spellEnd"/>
      <w:r w:rsidR="005C32C2">
        <w:t>. This is likely to plateau at some point, however a decrease in time taken to log on improves the end user experience</w:t>
      </w:r>
      <w:r w:rsidR="00990330">
        <w:t xml:space="preserve">. </w:t>
      </w:r>
    </w:p>
    <w:p w14:paraId="7A5096C3" w14:textId="54BCD2F0" w:rsidR="00990330" w:rsidRDefault="00990330" w:rsidP="003952E3">
      <w:r>
        <w:t xml:space="preserve">The </w:t>
      </w:r>
      <w:proofErr w:type="spellStart"/>
      <w:r>
        <w:t>Canisc</w:t>
      </w:r>
      <w:proofErr w:type="spellEnd"/>
      <w:r>
        <w:t xml:space="preserve"> Support team reported no change in the efficiency of navigating around the </w:t>
      </w:r>
      <w:proofErr w:type="spellStart"/>
      <w:r>
        <w:t>Canisc</w:t>
      </w:r>
      <w:proofErr w:type="spellEnd"/>
      <w:r>
        <w:t xml:space="preserve"> application. This was expected as the </w:t>
      </w:r>
      <w:proofErr w:type="spellStart"/>
      <w:r>
        <w:t>Canisc</w:t>
      </w:r>
      <w:proofErr w:type="spellEnd"/>
      <w:r>
        <w:t xml:space="preserve"> application</w:t>
      </w:r>
      <w:r w:rsidR="00445B14">
        <w:t xml:space="preserve"> would not have been affected by the Citrix upgrade as only the environment that the application is hosted in was impacted.</w:t>
      </w:r>
      <w:r w:rsidR="00710744">
        <w:t xml:space="preserve"> However, as mentioned previously, the improved logon performance is a</w:t>
      </w:r>
      <w:r w:rsidR="0050506A">
        <w:t xml:space="preserve"> significant development for </w:t>
      </w:r>
      <w:proofErr w:type="spellStart"/>
      <w:r w:rsidR="0050506A">
        <w:t>Canisc</w:t>
      </w:r>
      <w:proofErr w:type="spellEnd"/>
      <w:r w:rsidR="0050506A">
        <w:t xml:space="preserve">. </w:t>
      </w:r>
      <w:proofErr w:type="spellStart"/>
      <w:r w:rsidR="0050506A">
        <w:t>Canisc</w:t>
      </w:r>
      <w:proofErr w:type="spellEnd"/>
      <w:r w:rsidR="0050506A">
        <w:t xml:space="preserve"> has been used by NHS Wales for over twenty years,</w:t>
      </w:r>
      <w:r w:rsidR="00D363C0">
        <w:t xml:space="preserve"> and has not received updates for several years, meaning end users have not experienced any positive changes for some time. The improved average logon will be welcomed by end users and improve their efficiency.</w:t>
      </w:r>
    </w:p>
    <w:p w14:paraId="21B0579E" w14:textId="77777777" w:rsidR="00087992" w:rsidRDefault="00087992" w:rsidP="003952E3"/>
    <w:p w14:paraId="5773F4B7" w14:textId="3880CBC7" w:rsidR="00D363C0" w:rsidRDefault="00930C24" w:rsidP="00087992">
      <w:pPr>
        <w:pStyle w:val="Heading2"/>
      </w:pPr>
      <w:r>
        <w:t xml:space="preserve"> </w:t>
      </w:r>
      <w:bookmarkStart w:id="19" w:name="_Toc112760770"/>
      <w:r w:rsidR="00717BE8">
        <w:t>5.4 Testing</w:t>
      </w:r>
      <w:r w:rsidR="00087992">
        <w:t xml:space="preserve"> Known Errors</w:t>
      </w:r>
      <w:bookmarkEnd w:id="19"/>
    </w:p>
    <w:p w14:paraId="25422310" w14:textId="77777777" w:rsidR="00251F1B" w:rsidRPr="006A59A6" w:rsidRDefault="00251F1B" w:rsidP="00251F1B"/>
    <w:p w14:paraId="2F3842DB" w14:textId="6D776563" w:rsidR="00C47B0E" w:rsidRDefault="00F71C75" w:rsidP="00C47B0E">
      <w:r>
        <w:t xml:space="preserve">Research carried out in the literature review identified a known vulnerability that posed a serious threat to the </w:t>
      </w:r>
      <w:proofErr w:type="spellStart"/>
      <w:r>
        <w:t>Canisc</w:t>
      </w:r>
      <w:proofErr w:type="spellEnd"/>
      <w:r>
        <w:t xml:space="preserve"> environment. A cyber threat in a healthcare environment</w:t>
      </w:r>
      <w:r w:rsidR="00013A34">
        <w:t xml:space="preserve"> is serious and must be nullified</w:t>
      </w:r>
      <w:r w:rsidR="00E30DE7">
        <w:t>, therefore it was essential for the Citrix team to test if the threat had been removed following the upgrade.</w:t>
      </w:r>
    </w:p>
    <w:p w14:paraId="7A34C1C7" w14:textId="0D7D8DC2" w:rsidR="00F177A3" w:rsidRDefault="00F177A3" w:rsidP="00C47B0E">
      <w:r>
        <w:t>A report by NHS England in July 2021</w:t>
      </w:r>
      <w:r w:rsidR="00C711E5">
        <w:t xml:space="preserve"> established a known threat to environments running on Citrix 7.15 whereby a standard user account could elevate its account priv</w:t>
      </w:r>
      <w:r w:rsidR="00CD2CD9">
        <w:t>ilege</w:t>
      </w:r>
      <w:r w:rsidR="00BB19BB">
        <w:t xml:space="preserve">s. With several </w:t>
      </w:r>
      <w:r w:rsidR="00B15442">
        <w:t xml:space="preserve">NHS Wales </w:t>
      </w:r>
      <w:r w:rsidR="00BB19BB">
        <w:t>services running on Citrix 7.15 at the time this report was written</w:t>
      </w:r>
      <w:r w:rsidR="00B15442">
        <w:t>, upgrading these environments became vital. Users</w:t>
      </w:r>
      <w:r w:rsidR="00E8012E">
        <w:t xml:space="preserve"> having the ability to grant themselves administrator privileges </w:t>
      </w:r>
      <w:r w:rsidR="004E460F">
        <w:t>is a prime example of poor user access controls, a symptom of poor security. Unmanaged user access controls can lead to serious data breaches</w:t>
      </w:r>
      <w:r w:rsidR="000228EC">
        <w:t>.</w:t>
      </w:r>
    </w:p>
    <w:p w14:paraId="29B447F4" w14:textId="6ED9EB7A" w:rsidR="000228EC" w:rsidRDefault="000228EC" w:rsidP="00C47B0E">
      <w:r>
        <w:t xml:space="preserve">Following the upgrade, the Citrix team used one of their test accounts that has standard </w:t>
      </w:r>
      <w:r w:rsidR="00E95F0F">
        <w:t>privileges</w:t>
      </w:r>
      <w:r>
        <w:t xml:space="preserve"> to test if the upgrade resolved the issue</w:t>
      </w:r>
      <w:r w:rsidR="00B04100">
        <w:t>.</w:t>
      </w:r>
      <w:r w:rsidR="004E4000">
        <w:t xml:space="preserve"> </w:t>
      </w:r>
      <w:r w:rsidR="00832AEA">
        <w:t>The server was accessed remotely</w:t>
      </w:r>
      <w:r w:rsidR="006402E2">
        <w:t xml:space="preserve"> and, under </w:t>
      </w:r>
      <w:r w:rsidR="00A77EAA">
        <w:t xml:space="preserve">the Computer Management tab within the Control Panel, </w:t>
      </w:r>
      <w:r w:rsidR="00637E5B">
        <w:t>the Citrix team checked the test user account</w:t>
      </w:r>
      <w:r w:rsidR="00C35472">
        <w:t>. The members tab tell</w:t>
      </w:r>
      <w:r w:rsidR="00C571AC">
        <w:t>s</w:t>
      </w:r>
      <w:r w:rsidR="00C35472">
        <w:t xml:space="preserve"> if the account has administrator privileges, which the test account did not. The Citrix team then attempted to elevate the test account to administrator levels, however this was denied due to </w:t>
      </w:r>
      <w:r w:rsidR="00C571AC">
        <w:t xml:space="preserve">insufficient rights. This means that the upgrade removed the vulnerability successfully and improved the security of the </w:t>
      </w:r>
      <w:proofErr w:type="spellStart"/>
      <w:r w:rsidR="00C571AC">
        <w:t>Canisc</w:t>
      </w:r>
      <w:proofErr w:type="spellEnd"/>
      <w:r w:rsidR="00C571AC">
        <w:t xml:space="preserve"> environment.</w:t>
      </w:r>
    </w:p>
    <w:p w14:paraId="30D0B044" w14:textId="77777777" w:rsidR="00067052" w:rsidRDefault="00067052" w:rsidP="00C47B0E"/>
    <w:p w14:paraId="0FCA0615" w14:textId="77777777" w:rsidR="00067052" w:rsidRPr="00C47B0E" w:rsidRDefault="00067052" w:rsidP="00C47B0E"/>
    <w:p w14:paraId="1C2BE988" w14:textId="382E65E5" w:rsidR="00C47B0E" w:rsidRPr="00C47B0E" w:rsidRDefault="00BC0ABE" w:rsidP="00BC0ABE">
      <w:pPr>
        <w:pStyle w:val="Heading2"/>
      </w:pPr>
      <w:bookmarkStart w:id="20" w:name="_Toc112760771"/>
      <w:r>
        <w:t xml:space="preserve">5.5 </w:t>
      </w:r>
      <w:r w:rsidR="00067052">
        <w:t>Reviewing the Results</w:t>
      </w:r>
      <w:bookmarkEnd w:id="20"/>
    </w:p>
    <w:p w14:paraId="40987A0A" w14:textId="4005D93A" w:rsidR="00C47B0E" w:rsidRDefault="00C47B0E" w:rsidP="00C47B0E"/>
    <w:p w14:paraId="50CA8055" w14:textId="732610A2" w:rsidR="00067052" w:rsidRDefault="00067052" w:rsidP="00C47B0E">
      <w:r>
        <w:t xml:space="preserve">The results that the Citrix team measure the success of the upgrade against will </w:t>
      </w:r>
      <w:r w:rsidR="00D80267">
        <w:t>be seen as a disappointment. Though a security threat has been nullified and the average logon time appears to be on a downward trend</w:t>
      </w:r>
      <w:r w:rsidR="00273ECB">
        <w:t xml:space="preserve">, the serious issue of machines </w:t>
      </w:r>
      <w:r w:rsidR="009746FF">
        <w:t>regularly appearing as unregistered cannot be attributed to the upgrade. The Citrix team used this as one of their main reasons for upgrading the environment</w:t>
      </w:r>
      <w:r w:rsidR="00850A93">
        <w:t xml:space="preserve">, however it now appears that it was an issue that could have been resolved without upgrading the environment. The </w:t>
      </w:r>
      <w:proofErr w:type="spellStart"/>
      <w:r w:rsidR="00850A93">
        <w:t>Canisc</w:t>
      </w:r>
      <w:proofErr w:type="spellEnd"/>
      <w:r w:rsidR="00850A93">
        <w:t xml:space="preserve"> Support team did not repor</w:t>
      </w:r>
      <w:r w:rsidR="00361E25">
        <w:t xml:space="preserve">t as significant impact on the efficiency of the service than they would have hoped, however they can consider the </w:t>
      </w:r>
      <w:r w:rsidR="00717BE8">
        <w:t>slight improvement of average logon time a success.</w:t>
      </w:r>
    </w:p>
    <w:p w14:paraId="6FF38724" w14:textId="77777777" w:rsidR="00717BE8" w:rsidRDefault="00717BE8" w:rsidP="00C47B0E"/>
    <w:p w14:paraId="6F70CC66" w14:textId="0CD59C92" w:rsidR="00717BE8" w:rsidRDefault="00717BE8" w:rsidP="00717BE8">
      <w:pPr>
        <w:pStyle w:val="Heading1"/>
        <w:numPr>
          <w:ilvl w:val="0"/>
          <w:numId w:val="1"/>
        </w:numPr>
      </w:pPr>
      <w:bookmarkStart w:id="21" w:name="_Toc112760772"/>
      <w:r>
        <w:lastRenderedPageBreak/>
        <w:t>Conclusion and Recommendations</w:t>
      </w:r>
      <w:bookmarkEnd w:id="21"/>
    </w:p>
    <w:p w14:paraId="47DEB358" w14:textId="77777777" w:rsidR="00717BE8" w:rsidRDefault="00717BE8" w:rsidP="00717BE8"/>
    <w:p w14:paraId="00D6C57D" w14:textId="4F50F243" w:rsidR="00FB4093" w:rsidRDefault="00C23545" w:rsidP="00717BE8">
      <w:r>
        <w:t xml:space="preserve">Upgrading the </w:t>
      </w:r>
      <w:proofErr w:type="spellStart"/>
      <w:r>
        <w:t>Canisc</w:t>
      </w:r>
      <w:proofErr w:type="spellEnd"/>
      <w:r>
        <w:t xml:space="preserve"> Citrix environment brought </w:t>
      </w:r>
      <w:r w:rsidR="008A3FEB">
        <w:t xml:space="preserve">improvements to the end user experience, however </w:t>
      </w:r>
      <w:r w:rsidR="00E821A9">
        <w:t>the</w:t>
      </w:r>
      <w:r w:rsidR="00C51DF2">
        <w:t xml:space="preserve">re are still outstanding issues that the Citrix team hoped would have been resolved by the upgrade. </w:t>
      </w:r>
      <w:r w:rsidR="00FB4093">
        <w:t xml:space="preserve">Reviewing current literature relating to the viability of upgrading </w:t>
      </w:r>
      <w:proofErr w:type="spellStart"/>
      <w:r w:rsidR="00FB4093">
        <w:t>Canisc</w:t>
      </w:r>
      <w:proofErr w:type="spellEnd"/>
      <w:r w:rsidR="00FB4093">
        <w:t xml:space="preserve"> gave the Citrix team the knowledge that the upgrade should not </w:t>
      </w:r>
      <w:r w:rsidR="000B0530">
        <w:t>impact the running of the service. The research also gave the Citrix team assurance that</w:t>
      </w:r>
      <w:r w:rsidR="00913672">
        <w:t xml:space="preserve"> if the upgrade caused unexpected issues</w:t>
      </w:r>
      <w:r w:rsidR="00012B4D">
        <w:t xml:space="preserve">, </w:t>
      </w:r>
      <w:r w:rsidR="00A71601">
        <w:t>they would have the ability to roll back to a server template that functioned correctly thanks to the gold image feature.</w:t>
      </w:r>
      <w:r w:rsidR="00C31AEF">
        <w:t xml:space="preserve"> Having</w:t>
      </w:r>
      <w:r w:rsidR="00DE7E82">
        <w:t xml:space="preserve"> set up a backout plan, the Citrix team can carry this forward to further upgrades to ensure there are no concerns about the service ever being offline</w:t>
      </w:r>
      <w:r w:rsidR="000D485D">
        <w:t xml:space="preserve"> and that the upgrade can be carried out during working hours. Performing an upgrade outside of working hours costs more money and resources, therefore the ability to confidently carry it out during work hours will save DHCW money.</w:t>
      </w:r>
    </w:p>
    <w:p w14:paraId="371819F0" w14:textId="4E7071A3" w:rsidR="00717BE8" w:rsidRDefault="00C51DF2" w:rsidP="00717BE8">
      <w:r>
        <w:t>The upgrade process itself was a success</w:t>
      </w:r>
      <w:r w:rsidR="001B4204">
        <w:t xml:space="preserve">, with DHCW’s thorough change process ensuring the </w:t>
      </w:r>
      <w:proofErr w:type="spellStart"/>
      <w:r w:rsidR="001B4204">
        <w:t>Canisc</w:t>
      </w:r>
      <w:proofErr w:type="spellEnd"/>
      <w:r w:rsidR="001B4204">
        <w:t xml:space="preserve"> service experienced no down time during the period where both sides of </w:t>
      </w:r>
      <w:proofErr w:type="spellStart"/>
      <w:r w:rsidR="001B4204">
        <w:t>Canisc</w:t>
      </w:r>
      <w:proofErr w:type="spellEnd"/>
      <w:r w:rsidR="001B4204">
        <w:t xml:space="preserve"> were upgraded.</w:t>
      </w:r>
      <w:r w:rsidR="00FD0736">
        <w:t xml:space="preserve"> The author performed a</w:t>
      </w:r>
      <w:r w:rsidR="003F0747">
        <w:t xml:space="preserve"> Citrix site upgrade in whole for the first time, allowing them t</w:t>
      </w:r>
      <w:r w:rsidR="00055C21">
        <w:t xml:space="preserve">ake on more responsibility going forward with further site upgrades to different environments. All Citrix environments are required to be on Citrix 1912 </w:t>
      </w:r>
      <w:proofErr w:type="gramStart"/>
      <w:r w:rsidR="00055C21">
        <w:t xml:space="preserve">in the </w:t>
      </w:r>
      <w:r w:rsidR="00AE5668">
        <w:t>near future</w:t>
      </w:r>
      <w:proofErr w:type="gramEnd"/>
      <w:r w:rsidR="00AE5668">
        <w:t xml:space="preserve"> so it will prove beneficial to the Citrix team to have more staff comfortable with upgrading sites independently.</w:t>
      </w:r>
      <w:r w:rsidR="00525809">
        <w:t xml:space="preserve"> The Citrix team will be disappointed that not </w:t>
      </w:r>
      <w:proofErr w:type="gramStart"/>
      <w:r w:rsidR="00525809">
        <w:t>all of</w:t>
      </w:r>
      <w:proofErr w:type="gramEnd"/>
      <w:r w:rsidR="00525809">
        <w:t xml:space="preserve"> the known issues could be resolved by the upgrade</w:t>
      </w:r>
      <w:r w:rsidR="00E35ECB">
        <w:t xml:space="preserve">, such as the VDAs being unregistered following a reboot and the speed of navigating around the </w:t>
      </w:r>
      <w:proofErr w:type="spellStart"/>
      <w:r w:rsidR="00E35ECB">
        <w:t>Canisc</w:t>
      </w:r>
      <w:proofErr w:type="spellEnd"/>
      <w:r w:rsidR="00E35ECB">
        <w:t xml:space="preserve"> application. However, the improvements that have been noticed immediately following the upgrade, </w:t>
      </w:r>
      <w:r w:rsidR="00C71F50">
        <w:t>like faster logon time and the security fix, ensure the Citrix team know that the upgrade was worth carrying out and can be considered a successful and essential task. Whilst the unregistered machines issue was not resolved by the upgrade, the Citrix team did find a resolution for it</w:t>
      </w:r>
      <w:r w:rsidR="00A93D42">
        <w:t>. This may not have been possible without the upgrade, so although the upgrade did not directly fix the issue, it can be attributed to the resolution of the issue.</w:t>
      </w:r>
      <w:r w:rsidR="006D2139">
        <w:t xml:space="preserve"> </w:t>
      </w:r>
    </w:p>
    <w:p w14:paraId="03D7FF66" w14:textId="64EF5549" w:rsidR="0051306D" w:rsidRDefault="0051306D" w:rsidP="00717BE8">
      <w:r>
        <w:t>The documentation of the upgrade was a new step</w:t>
      </w:r>
      <w:r w:rsidR="00083E99">
        <w:t xml:space="preserve"> for the Citrix team and proved to be valuable to them. The documentation, seen in the appendix, is a thorough guide on performing the upgrade that was designed by the author. It was designed with the idea that </w:t>
      </w:r>
      <w:r w:rsidR="00195A78">
        <w:t>a person with no Citrix experience could carry out the upgrade using solely the upgrade. There was also space for notes on the upgrade of any unexpected events</w:t>
      </w:r>
      <w:r w:rsidR="00525809">
        <w:t xml:space="preserve"> that could be saved for future upgrades.</w:t>
      </w:r>
    </w:p>
    <w:p w14:paraId="4F028FA5" w14:textId="5ACE79F6" w:rsidR="00AF3E69" w:rsidRDefault="00AF3E69" w:rsidP="00717BE8">
      <w:r>
        <w:t xml:space="preserve">Based on the success of the </w:t>
      </w:r>
      <w:r w:rsidR="005158BE">
        <w:t>upgrade, although not as successful as initially hoped, it can be recommended that the Citrix team upgrade all Citrix environments to a minimum of Citrix 1912</w:t>
      </w:r>
      <w:r w:rsidR="008F19EA">
        <w:t xml:space="preserve">. The patching of known security issues is enough of a reason to recommend this, however, to have all environments on the same Citrix version allows of consistency across all Citrix sites. This </w:t>
      </w:r>
      <w:r w:rsidR="00AE610F">
        <w:t>is a goal the Citrix team have wanted for some time as it is recommended by Citrix to have consistent Citrix versions.</w:t>
      </w:r>
      <w:r w:rsidR="00547065">
        <w:t xml:space="preserve"> The author recommends the Citrix team use the planning document and change process used within DHCW to ensure all future Citrix upgrades can be completed successfully and with backout plan</w:t>
      </w:r>
      <w:r w:rsidR="005E65F2">
        <w:t>s that prevent any cause of concern of services going offline.</w:t>
      </w:r>
      <w:r w:rsidR="005D0891">
        <w:t xml:space="preserve"> </w:t>
      </w:r>
    </w:p>
    <w:p w14:paraId="3085660A" w14:textId="37D8E0BA" w:rsidR="00564545" w:rsidRDefault="009E4EDA" w:rsidP="00717BE8">
      <w:r>
        <w:t>The hypothesis of the experiment was as below:</w:t>
      </w:r>
    </w:p>
    <w:p w14:paraId="7D130E97" w14:textId="163220D5" w:rsidR="00564545" w:rsidRDefault="00564545" w:rsidP="00564545">
      <w:pPr>
        <w:rPr>
          <w:i/>
          <w:iCs/>
        </w:rPr>
      </w:pPr>
      <w:r>
        <w:t>“</w:t>
      </w:r>
      <w:r w:rsidRPr="005C172D">
        <w:rPr>
          <w:i/>
          <w:iCs/>
        </w:rPr>
        <w:t xml:space="preserve">Upgrading the </w:t>
      </w:r>
      <w:proofErr w:type="spellStart"/>
      <w:r w:rsidRPr="005C172D">
        <w:rPr>
          <w:i/>
          <w:iCs/>
        </w:rPr>
        <w:t>Canisc</w:t>
      </w:r>
      <w:proofErr w:type="spellEnd"/>
      <w:r w:rsidRPr="005C172D">
        <w:rPr>
          <w:i/>
          <w:iCs/>
        </w:rPr>
        <w:t xml:space="preserve"> Citrix Environment to Citrix LTSR 1912 will improve the overall performance of the service</w:t>
      </w:r>
      <w:r>
        <w:rPr>
          <w:i/>
          <w:iCs/>
        </w:rPr>
        <w:t>”</w:t>
      </w:r>
    </w:p>
    <w:p w14:paraId="677EF87D" w14:textId="72CDBA27" w:rsidR="009E4EDA" w:rsidRDefault="00F12938" w:rsidP="00564545">
      <w:r>
        <w:t>In the context of the upgrade, it can be said that the hypothesis was proven to be true to an extent.</w:t>
      </w:r>
      <w:r w:rsidR="008945D1">
        <w:t xml:space="preserve"> Whilst the upgrade has improved certain aspects of the performance of </w:t>
      </w:r>
      <w:proofErr w:type="spellStart"/>
      <w:r w:rsidR="008945D1">
        <w:t>Canisc</w:t>
      </w:r>
      <w:proofErr w:type="spellEnd"/>
      <w:r w:rsidR="008945D1">
        <w:t>,</w:t>
      </w:r>
      <w:r w:rsidR="00726FDE">
        <w:t xml:space="preserve"> it did not have the desired impact the Citrix team had anticipated. The upgrade </w:t>
      </w:r>
      <w:r w:rsidR="0085587F">
        <w:t xml:space="preserve">was only performed recently, therefore the Citrix team will continue to monitor the performance of </w:t>
      </w:r>
      <w:proofErr w:type="spellStart"/>
      <w:r w:rsidR="0085587F">
        <w:t>Canisc</w:t>
      </w:r>
      <w:proofErr w:type="spellEnd"/>
      <w:r w:rsidR="00C50572">
        <w:t xml:space="preserve"> to see if any new improvements or </w:t>
      </w:r>
      <w:r w:rsidR="00777D05">
        <w:lastRenderedPageBreak/>
        <w:t xml:space="preserve">issues appear </w:t>
      </w:r>
      <w:proofErr w:type="gramStart"/>
      <w:r w:rsidR="00777D05">
        <w:t>as a result of</w:t>
      </w:r>
      <w:proofErr w:type="gramEnd"/>
      <w:r w:rsidR="00777D05">
        <w:t xml:space="preserve"> the upgrade. A snapshot of the environment is taken each month, therefore if any new issues to appear, the Citrix team have a </w:t>
      </w:r>
      <w:r w:rsidR="00233552">
        <w:t>template to resort to if necessary.</w:t>
      </w:r>
      <w:r w:rsidR="00A17B4B">
        <w:t xml:space="preserve"> </w:t>
      </w:r>
      <w:r w:rsidR="00603539">
        <w:t xml:space="preserve">The Citrix team should </w:t>
      </w:r>
      <w:r w:rsidR="00B476B0">
        <w:t>prioritise</w:t>
      </w:r>
      <w:r w:rsidR="00603539">
        <w:t xml:space="preserve"> upgrading the remaining Citrix environments to remove the threat of the security issue</w:t>
      </w:r>
      <w:r w:rsidR="00B476B0">
        <w:t>.</w:t>
      </w:r>
    </w:p>
    <w:p w14:paraId="6F62FF48" w14:textId="77777777" w:rsidR="00B476B0" w:rsidRDefault="00B476B0" w:rsidP="00564545"/>
    <w:p w14:paraId="46733746" w14:textId="5FEB460A" w:rsidR="00B476B0" w:rsidRDefault="00B476B0" w:rsidP="00B476B0">
      <w:pPr>
        <w:pStyle w:val="Heading1"/>
        <w:numPr>
          <w:ilvl w:val="0"/>
          <w:numId w:val="1"/>
        </w:numPr>
      </w:pPr>
      <w:bookmarkStart w:id="22" w:name="_Toc112760773"/>
      <w:r>
        <w:t>Reflection</w:t>
      </w:r>
      <w:bookmarkEnd w:id="22"/>
    </w:p>
    <w:p w14:paraId="4E8E4C22" w14:textId="77777777" w:rsidR="00B476B0" w:rsidRDefault="00B476B0" w:rsidP="00B476B0"/>
    <w:p w14:paraId="0DF575F6" w14:textId="7003F8B9" w:rsidR="00B476B0" w:rsidRPr="00B476B0" w:rsidRDefault="00517B27" w:rsidP="00B476B0">
      <w:r>
        <w:t xml:space="preserve">The upgrade offered valuable experience to the author, </w:t>
      </w:r>
      <w:r w:rsidR="00CD4B88">
        <w:t>performing new tasks for an essential component of NHS Wales.</w:t>
      </w:r>
      <w:r w:rsidR="005F6C7D">
        <w:t xml:space="preserve"> The upgrade is a big responsibility and for it to be trusted with the author, who is relatively new to the Citrix team,</w:t>
      </w:r>
      <w:r w:rsidR="00805FDF">
        <w:t xml:space="preserve"> will make them more confident going forward and cement them into their role within the Citrix team. The research aspect of the report meant the author could gain a further understanding into Citrix infrastructures and the different features new versions of Citrix introduce to environments. </w:t>
      </w:r>
      <w:r w:rsidR="006536C6">
        <w:t xml:space="preserve">Since it is recommended that the Citrix team upgrade the </w:t>
      </w:r>
      <w:r w:rsidR="00436009">
        <w:t xml:space="preserve">remaining environments as soon as possible, the author can know that they can be trusted to complete the upgrade independently, </w:t>
      </w:r>
      <w:r w:rsidR="003F11DD">
        <w:t>gaining more confidence and experience that will prove valuable in their career as a Citrix specialist. However, there is room for improvement when it comes to the</w:t>
      </w:r>
      <w:r w:rsidR="00E90AA1">
        <w:t xml:space="preserve"> remaining upgrades to be carried out. An important feature of measuring the success of the upgrade is user feedback. It is disappointing that no users responded </w:t>
      </w:r>
      <w:r w:rsidR="00FE5C6C">
        <w:t xml:space="preserve">to the </w:t>
      </w:r>
      <w:proofErr w:type="spellStart"/>
      <w:r w:rsidR="00FE5C6C">
        <w:t>Canisc</w:t>
      </w:r>
      <w:proofErr w:type="spellEnd"/>
      <w:r w:rsidR="00FE5C6C">
        <w:t xml:space="preserve"> support team offering feedback on the impact of the upgrade</w:t>
      </w:r>
      <w:r w:rsidR="009F1A4C">
        <w:t xml:space="preserve">. For the next upgrade, the Citrix team should take on the responsibility of getting user feedback on the impact of the upgrade. This can be done either by contacting end users </w:t>
      </w:r>
      <w:proofErr w:type="gramStart"/>
      <w:r w:rsidR="009F1A4C">
        <w:t>directly, or</w:t>
      </w:r>
      <w:proofErr w:type="gramEnd"/>
      <w:r w:rsidR="009F1A4C">
        <w:t xml:space="preserve"> creating test accounts similar to the </w:t>
      </w:r>
      <w:proofErr w:type="spellStart"/>
      <w:r w:rsidR="009F1A4C">
        <w:t>Canisc</w:t>
      </w:r>
      <w:proofErr w:type="spellEnd"/>
      <w:r w:rsidR="009F1A4C">
        <w:t xml:space="preserve"> support team and devising a set of tests to measure the success of the upgrade.</w:t>
      </w:r>
    </w:p>
    <w:p w14:paraId="36DDFBD6" w14:textId="77777777" w:rsidR="00564545" w:rsidRDefault="00564545" w:rsidP="00717BE8"/>
    <w:sdt>
      <w:sdtPr>
        <w:id w:val="-387725604"/>
        <w:docPartObj>
          <w:docPartGallery w:val="Bibliographies"/>
          <w:docPartUnique/>
        </w:docPartObj>
      </w:sdtPr>
      <w:sdtEndPr>
        <w:rPr>
          <w:rFonts w:eastAsiaTheme="minorHAnsi" w:cstheme="minorBidi"/>
          <w:b w:val="0"/>
          <w:color w:val="auto"/>
          <w:sz w:val="22"/>
          <w:szCs w:val="22"/>
          <w:u w:val="none"/>
        </w:rPr>
      </w:sdtEndPr>
      <w:sdtContent>
        <w:p w14:paraId="67478F81" w14:textId="7B793851" w:rsidR="005A70D8" w:rsidRDefault="005A70D8">
          <w:pPr>
            <w:pStyle w:val="Heading1"/>
          </w:pPr>
          <w:r>
            <w:t>References</w:t>
          </w:r>
        </w:p>
        <w:sdt>
          <w:sdtPr>
            <w:id w:val="-573587230"/>
            <w:bibliography/>
          </w:sdtPr>
          <w:sdtContent>
            <w:p w14:paraId="30489256" w14:textId="77777777" w:rsidR="005A70D8" w:rsidRDefault="005A70D8">
              <w:pPr>
                <w:rPr>
                  <w:rFonts w:asciiTheme="minorHAnsi" w:hAnsiTheme="minorHAnsi"/>
                  <w:noProof/>
                </w:rPr>
              </w:pPr>
              <w:r>
                <w:fldChar w:fldCharType="begin"/>
              </w:r>
              <w:r>
                <w:instrText xml:space="preserve"> BIBLIOGRAPHY </w:instrText>
              </w:r>
              <w:r>
                <w:fldChar w:fldCharType="separate"/>
              </w:r>
            </w:p>
            <w:tbl>
              <w:tblPr>
                <w:tblW w:w="5157" w:type="pct"/>
                <w:tblCellSpacing w:w="15" w:type="dxa"/>
                <w:tblInd w:w="-284" w:type="dxa"/>
                <w:tblCellMar>
                  <w:top w:w="15" w:type="dxa"/>
                  <w:left w:w="15" w:type="dxa"/>
                  <w:bottom w:w="15" w:type="dxa"/>
                  <w:right w:w="15" w:type="dxa"/>
                </w:tblCellMar>
                <w:tblLook w:val="04A0" w:firstRow="1" w:lastRow="0" w:firstColumn="1" w:lastColumn="0" w:noHBand="0" w:noVBand="1"/>
              </w:tblPr>
              <w:tblGrid>
                <w:gridCol w:w="347"/>
                <w:gridCol w:w="8963"/>
              </w:tblGrid>
              <w:tr w:rsidR="005A70D8" w14:paraId="25839756" w14:textId="77777777" w:rsidTr="00C10BF0">
                <w:trPr>
                  <w:divId w:val="1101797494"/>
                  <w:tblCellSpacing w:w="15" w:type="dxa"/>
                </w:trPr>
                <w:tc>
                  <w:tcPr>
                    <w:tcW w:w="310" w:type="pct"/>
                    <w:hideMark/>
                  </w:tcPr>
                  <w:p w14:paraId="78B38722" w14:textId="0DB9E9BC" w:rsidR="005A70D8" w:rsidRDefault="005A70D8">
                    <w:pPr>
                      <w:pStyle w:val="Bibliography"/>
                      <w:rPr>
                        <w:noProof/>
                        <w:sz w:val="24"/>
                        <w:szCs w:val="24"/>
                      </w:rPr>
                    </w:pPr>
                    <w:r>
                      <w:rPr>
                        <w:noProof/>
                      </w:rPr>
                      <w:t xml:space="preserve">[1] </w:t>
                    </w:r>
                  </w:p>
                </w:tc>
                <w:tc>
                  <w:tcPr>
                    <w:tcW w:w="4642" w:type="pct"/>
                    <w:hideMark/>
                  </w:tcPr>
                  <w:p w14:paraId="1A540D01" w14:textId="77777777" w:rsidR="005A70D8" w:rsidRDefault="005A70D8">
                    <w:pPr>
                      <w:pStyle w:val="Bibliography"/>
                      <w:rPr>
                        <w:noProof/>
                      </w:rPr>
                    </w:pPr>
                    <w:r>
                      <w:rPr>
                        <w:noProof/>
                      </w:rPr>
                      <w:t>“Cancer care records available to view in the Welsh Clinical Portal,” DHCW, [Online]. Available: https://dhcw.nhs.wales/news/archived-news/cancer-care-records-available-to-view-in-the-welsh-clinical-portal/. [Accessed May 2022].</w:t>
                    </w:r>
                  </w:p>
                </w:tc>
              </w:tr>
              <w:tr w:rsidR="005A70D8" w14:paraId="3D8EDDF7" w14:textId="77777777" w:rsidTr="00C10BF0">
                <w:trPr>
                  <w:divId w:val="1101797494"/>
                  <w:tblCellSpacing w:w="15" w:type="dxa"/>
                </w:trPr>
                <w:tc>
                  <w:tcPr>
                    <w:tcW w:w="310" w:type="pct"/>
                    <w:hideMark/>
                  </w:tcPr>
                  <w:p w14:paraId="44518C05" w14:textId="77777777" w:rsidR="005A70D8" w:rsidRDefault="005A70D8">
                    <w:pPr>
                      <w:pStyle w:val="Bibliography"/>
                      <w:rPr>
                        <w:noProof/>
                      </w:rPr>
                    </w:pPr>
                    <w:r>
                      <w:rPr>
                        <w:noProof/>
                      </w:rPr>
                      <w:t xml:space="preserve">[2] </w:t>
                    </w:r>
                  </w:p>
                </w:tc>
                <w:tc>
                  <w:tcPr>
                    <w:tcW w:w="4642" w:type="pct"/>
                    <w:hideMark/>
                  </w:tcPr>
                  <w:p w14:paraId="07756420" w14:textId="77777777" w:rsidR="005A70D8" w:rsidRDefault="005A70D8">
                    <w:pPr>
                      <w:pStyle w:val="Bibliography"/>
                      <w:rPr>
                        <w:noProof/>
                      </w:rPr>
                    </w:pPr>
                    <w:r>
                      <w:rPr>
                        <w:noProof/>
                      </w:rPr>
                      <w:t>“Cancer treatment at Velindre delayed by IT failures,” BBC, 2018.</w:t>
                    </w:r>
                  </w:p>
                </w:tc>
              </w:tr>
              <w:tr w:rsidR="005A70D8" w14:paraId="338B1883" w14:textId="77777777" w:rsidTr="00C10BF0">
                <w:trPr>
                  <w:divId w:val="1101797494"/>
                  <w:tblCellSpacing w:w="15" w:type="dxa"/>
                </w:trPr>
                <w:tc>
                  <w:tcPr>
                    <w:tcW w:w="310" w:type="pct"/>
                    <w:hideMark/>
                  </w:tcPr>
                  <w:p w14:paraId="2CE62B5E" w14:textId="77777777" w:rsidR="005A70D8" w:rsidRDefault="005A70D8">
                    <w:pPr>
                      <w:pStyle w:val="Bibliography"/>
                      <w:rPr>
                        <w:noProof/>
                      </w:rPr>
                    </w:pPr>
                    <w:r>
                      <w:rPr>
                        <w:noProof/>
                      </w:rPr>
                      <w:t xml:space="preserve">[3] </w:t>
                    </w:r>
                  </w:p>
                </w:tc>
                <w:tc>
                  <w:tcPr>
                    <w:tcW w:w="4642" w:type="pct"/>
                    <w:hideMark/>
                  </w:tcPr>
                  <w:p w14:paraId="151A7870" w14:textId="77777777" w:rsidR="005A70D8" w:rsidRDefault="005A70D8">
                    <w:pPr>
                      <w:pStyle w:val="Bibliography"/>
                      <w:rPr>
                        <w:noProof/>
                      </w:rPr>
                    </w:pPr>
                    <w:r>
                      <w:rPr>
                        <w:noProof/>
                      </w:rPr>
                      <w:t>“Citrix Systems Inc,” Hoover's Company Records, Fort Mill, 2022.</w:t>
                    </w:r>
                  </w:p>
                </w:tc>
              </w:tr>
              <w:tr w:rsidR="005A70D8" w14:paraId="558D9C41" w14:textId="77777777" w:rsidTr="00C10BF0">
                <w:trPr>
                  <w:divId w:val="1101797494"/>
                  <w:tblCellSpacing w:w="15" w:type="dxa"/>
                </w:trPr>
                <w:tc>
                  <w:tcPr>
                    <w:tcW w:w="310" w:type="pct"/>
                    <w:hideMark/>
                  </w:tcPr>
                  <w:p w14:paraId="7A38196D" w14:textId="77777777" w:rsidR="005A70D8" w:rsidRDefault="005A70D8">
                    <w:pPr>
                      <w:pStyle w:val="Bibliography"/>
                      <w:rPr>
                        <w:noProof/>
                      </w:rPr>
                    </w:pPr>
                    <w:r>
                      <w:rPr>
                        <w:noProof/>
                      </w:rPr>
                      <w:t xml:space="preserve">[4] </w:t>
                    </w:r>
                  </w:p>
                </w:tc>
                <w:tc>
                  <w:tcPr>
                    <w:tcW w:w="4642" w:type="pct"/>
                    <w:hideMark/>
                  </w:tcPr>
                  <w:p w14:paraId="55346182" w14:textId="77777777" w:rsidR="005A70D8" w:rsidRDefault="005A70D8">
                    <w:pPr>
                      <w:pStyle w:val="Bibliography"/>
                      <w:rPr>
                        <w:noProof/>
                      </w:rPr>
                    </w:pPr>
                    <w:r>
                      <w:rPr>
                        <w:noProof/>
                      </w:rPr>
                      <w:t>“Delivery Controllers,” March 2020. [Online]. Available: https://docs.citrix.com/en-us/xenapp-and-xendesktop/7-15-ltsr/manage-deployment/delivery-controllers.html. [Accessed May 2022].</w:t>
                    </w:r>
                  </w:p>
                </w:tc>
              </w:tr>
              <w:tr w:rsidR="005A70D8" w14:paraId="0C9BF983" w14:textId="77777777" w:rsidTr="00C10BF0">
                <w:trPr>
                  <w:divId w:val="1101797494"/>
                  <w:tblCellSpacing w:w="15" w:type="dxa"/>
                </w:trPr>
                <w:tc>
                  <w:tcPr>
                    <w:tcW w:w="310" w:type="pct"/>
                    <w:hideMark/>
                  </w:tcPr>
                  <w:p w14:paraId="34B05643" w14:textId="77777777" w:rsidR="005A70D8" w:rsidRDefault="005A70D8">
                    <w:pPr>
                      <w:pStyle w:val="Bibliography"/>
                      <w:rPr>
                        <w:noProof/>
                      </w:rPr>
                    </w:pPr>
                    <w:r>
                      <w:rPr>
                        <w:noProof/>
                      </w:rPr>
                      <w:t xml:space="preserve">[5] </w:t>
                    </w:r>
                  </w:p>
                </w:tc>
                <w:tc>
                  <w:tcPr>
                    <w:tcW w:w="4642" w:type="pct"/>
                    <w:hideMark/>
                  </w:tcPr>
                  <w:p w14:paraId="6BEA0A59" w14:textId="77777777" w:rsidR="005A70D8" w:rsidRDefault="005A70D8">
                    <w:pPr>
                      <w:pStyle w:val="Bibliography"/>
                      <w:rPr>
                        <w:noProof/>
                      </w:rPr>
                    </w:pPr>
                    <w:r>
                      <w:rPr>
                        <w:noProof/>
                      </w:rPr>
                      <w:t>G. Cohen, “Citrix 7.15 LTSR EOL Schedule – The dates you must know,” Insentra, April 2022. [Online]. Available: https://www.insentragroup.com/gb/insights/geek-speak/secure-workplace/citrix-7-15-ltsr-eol-schedule-the-dates-you-must-know/. [Accessed June 2022].</w:t>
                    </w:r>
                  </w:p>
                </w:tc>
              </w:tr>
              <w:tr w:rsidR="005A70D8" w14:paraId="5F2F30E9" w14:textId="77777777" w:rsidTr="00C10BF0">
                <w:trPr>
                  <w:divId w:val="1101797494"/>
                  <w:tblCellSpacing w:w="15" w:type="dxa"/>
                </w:trPr>
                <w:tc>
                  <w:tcPr>
                    <w:tcW w:w="310" w:type="pct"/>
                    <w:hideMark/>
                  </w:tcPr>
                  <w:p w14:paraId="56BFCFC2" w14:textId="77777777" w:rsidR="005A70D8" w:rsidRDefault="005A70D8">
                    <w:pPr>
                      <w:pStyle w:val="Bibliography"/>
                      <w:rPr>
                        <w:noProof/>
                      </w:rPr>
                    </w:pPr>
                    <w:r>
                      <w:rPr>
                        <w:noProof/>
                      </w:rPr>
                      <w:t xml:space="preserve">[6] </w:t>
                    </w:r>
                  </w:p>
                </w:tc>
                <w:tc>
                  <w:tcPr>
                    <w:tcW w:w="4642" w:type="pct"/>
                    <w:hideMark/>
                  </w:tcPr>
                  <w:p w14:paraId="17923606" w14:textId="77777777" w:rsidR="005A70D8" w:rsidRDefault="005A70D8">
                    <w:pPr>
                      <w:pStyle w:val="Bibliography"/>
                      <w:rPr>
                        <w:noProof/>
                      </w:rPr>
                    </w:pPr>
                    <w:r>
                      <w:rPr>
                        <w:noProof/>
                      </w:rPr>
                      <w:t xml:space="preserve">K. Afifi-Sabet and I. Pro, “Everything you need to know about Citrix,” </w:t>
                    </w:r>
                    <w:r>
                      <w:rPr>
                        <w:i/>
                        <w:iCs/>
                        <w:noProof/>
                      </w:rPr>
                      <w:t xml:space="preserve">IT Pro, </w:t>
                    </w:r>
                    <w:r>
                      <w:rPr>
                        <w:noProof/>
                      </w:rPr>
                      <w:t xml:space="preserve">February 2019. </w:t>
                    </w:r>
                  </w:p>
                </w:tc>
              </w:tr>
              <w:tr w:rsidR="005A70D8" w14:paraId="2C385FA2" w14:textId="77777777" w:rsidTr="00C10BF0">
                <w:trPr>
                  <w:divId w:val="1101797494"/>
                  <w:tblCellSpacing w:w="15" w:type="dxa"/>
                </w:trPr>
                <w:tc>
                  <w:tcPr>
                    <w:tcW w:w="310" w:type="pct"/>
                    <w:hideMark/>
                  </w:tcPr>
                  <w:p w14:paraId="30744558" w14:textId="77777777" w:rsidR="005A70D8" w:rsidRDefault="005A70D8">
                    <w:pPr>
                      <w:pStyle w:val="Bibliography"/>
                      <w:rPr>
                        <w:noProof/>
                      </w:rPr>
                    </w:pPr>
                    <w:r>
                      <w:rPr>
                        <w:noProof/>
                      </w:rPr>
                      <w:t xml:space="preserve">[7] </w:t>
                    </w:r>
                  </w:p>
                </w:tc>
                <w:tc>
                  <w:tcPr>
                    <w:tcW w:w="4642" w:type="pct"/>
                    <w:hideMark/>
                  </w:tcPr>
                  <w:p w14:paraId="77950D9E" w14:textId="77777777" w:rsidR="005A70D8" w:rsidRDefault="005A70D8">
                    <w:pPr>
                      <w:pStyle w:val="Bibliography"/>
                      <w:rPr>
                        <w:noProof/>
                      </w:rPr>
                    </w:pPr>
                    <w:r>
                      <w:rPr>
                        <w:noProof/>
                      </w:rPr>
                      <w:t>“IT Pro - About Us,” IT Pro, [Online]. Available: https://www.itpro.co.uk/about-us. [Accessed May 2022].</w:t>
                    </w:r>
                  </w:p>
                </w:tc>
              </w:tr>
              <w:tr w:rsidR="005A70D8" w14:paraId="36313D88" w14:textId="77777777" w:rsidTr="00C10BF0">
                <w:trPr>
                  <w:divId w:val="1101797494"/>
                  <w:tblCellSpacing w:w="15" w:type="dxa"/>
                </w:trPr>
                <w:tc>
                  <w:tcPr>
                    <w:tcW w:w="310" w:type="pct"/>
                    <w:hideMark/>
                  </w:tcPr>
                  <w:p w14:paraId="09B99FCC" w14:textId="77777777" w:rsidR="005A70D8" w:rsidRDefault="005A70D8">
                    <w:pPr>
                      <w:pStyle w:val="Bibliography"/>
                      <w:rPr>
                        <w:noProof/>
                      </w:rPr>
                    </w:pPr>
                    <w:r>
                      <w:rPr>
                        <w:noProof/>
                      </w:rPr>
                      <w:t xml:space="preserve">[8] </w:t>
                    </w:r>
                  </w:p>
                </w:tc>
                <w:tc>
                  <w:tcPr>
                    <w:tcW w:w="4642" w:type="pct"/>
                    <w:hideMark/>
                  </w:tcPr>
                  <w:p w14:paraId="313415B3" w14:textId="77777777" w:rsidR="005A70D8" w:rsidRDefault="005A70D8">
                    <w:pPr>
                      <w:pStyle w:val="Bibliography"/>
                      <w:rPr>
                        <w:noProof/>
                      </w:rPr>
                    </w:pPr>
                    <w:r>
                      <w:rPr>
                        <w:noProof/>
                      </w:rPr>
                      <w:t xml:space="preserve">E. Innovation and Newton, “Desktop Virtualization to boost Singapore healthcare staff's productivity, mobility,” </w:t>
                    </w:r>
                    <w:r>
                      <w:rPr>
                        <w:i/>
                        <w:iCs/>
                        <w:noProof/>
                      </w:rPr>
                      <w:t xml:space="preserve">Cybercrime Market Mirrors Legit Market Growth: Study, </w:t>
                    </w:r>
                    <w:r>
                      <w:rPr>
                        <w:noProof/>
                      </w:rPr>
                      <w:t xml:space="preserve">2014. </w:t>
                    </w:r>
                  </w:p>
                </w:tc>
              </w:tr>
              <w:tr w:rsidR="005A70D8" w14:paraId="30F6E4BC" w14:textId="77777777" w:rsidTr="00C10BF0">
                <w:trPr>
                  <w:divId w:val="1101797494"/>
                  <w:tblCellSpacing w:w="15" w:type="dxa"/>
                </w:trPr>
                <w:tc>
                  <w:tcPr>
                    <w:tcW w:w="310" w:type="pct"/>
                    <w:hideMark/>
                  </w:tcPr>
                  <w:p w14:paraId="1A126B84" w14:textId="77777777" w:rsidR="005A70D8" w:rsidRDefault="005A70D8">
                    <w:pPr>
                      <w:pStyle w:val="Bibliography"/>
                      <w:rPr>
                        <w:noProof/>
                      </w:rPr>
                    </w:pPr>
                    <w:r>
                      <w:rPr>
                        <w:noProof/>
                      </w:rPr>
                      <w:t xml:space="preserve">[9] </w:t>
                    </w:r>
                  </w:p>
                </w:tc>
                <w:tc>
                  <w:tcPr>
                    <w:tcW w:w="4642" w:type="pct"/>
                    <w:hideMark/>
                  </w:tcPr>
                  <w:p w14:paraId="4FB36A03" w14:textId="77777777" w:rsidR="005A70D8" w:rsidRDefault="005A70D8">
                    <w:pPr>
                      <w:pStyle w:val="Bibliography"/>
                      <w:rPr>
                        <w:noProof/>
                      </w:rPr>
                    </w:pPr>
                    <w:r>
                      <w:rPr>
                        <w:noProof/>
                      </w:rPr>
                      <w:t>“NHS Wales - About Us,” NHS Wales, [Online]. Available: https://www.wales.nhs.uk/nhswalesaboutus#:~:text=The%20NHS%20in%20Wales%20employs,of%20its%20total%20annual%20cost.. [Accessed May 2022].</w:t>
                    </w:r>
                  </w:p>
                </w:tc>
              </w:tr>
              <w:tr w:rsidR="005A70D8" w14:paraId="12926142" w14:textId="77777777" w:rsidTr="00C10BF0">
                <w:trPr>
                  <w:divId w:val="1101797494"/>
                  <w:tblCellSpacing w:w="15" w:type="dxa"/>
                </w:trPr>
                <w:tc>
                  <w:tcPr>
                    <w:tcW w:w="310" w:type="pct"/>
                    <w:hideMark/>
                  </w:tcPr>
                  <w:p w14:paraId="0AB1CC81" w14:textId="77777777" w:rsidR="005A70D8" w:rsidRDefault="005A70D8">
                    <w:pPr>
                      <w:pStyle w:val="Bibliography"/>
                      <w:rPr>
                        <w:noProof/>
                      </w:rPr>
                    </w:pPr>
                    <w:r>
                      <w:rPr>
                        <w:noProof/>
                      </w:rPr>
                      <w:t xml:space="preserve">[10] </w:t>
                    </w:r>
                  </w:p>
                </w:tc>
                <w:tc>
                  <w:tcPr>
                    <w:tcW w:w="4642" w:type="pct"/>
                    <w:hideMark/>
                  </w:tcPr>
                  <w:p w14:paraId="61FF19EC" w14:textId="77777777" w:rsidR="005A70D8" w:rsidRDefault="005A70D8">
                    <w:pPr>
                      <w:pStyle w:val="Bibliography"/>
                      <w:rPr>
                        <w:noProof/>
                      </w:rPr>
                    </w:pPr>
                    <w:r>
                      <w:rPr>
                        <w:noProof/>
                      </w:rPr>
                      <w:t>“Citrix Security Advisory for CVE-2021-44228, CVE-2021-45046, CVE-2021-45105 and CVE-2021-44832.,” Citrix, December 2021. [Online]. Available: https://support.citrix.com/article/CTX335705. [Accessed June 2022].</w:t>
                    </w:r>
                  </w:p>
                </w:tc>
              </w:tr>
              <w:tr w:rsidR="005A70D8" w14:paraId="0E4B0A70" w14:textId="77777777" w:rsidTr="00C10BF0">
                <w:trPr>
                  <w:divId w:val="1101797494"/>
                  <w:tblCellSpacing w:w="15" w:type="dxa"/>
                </w:trPr>
                <w:tc>
                  <w:tcPr>
                    <w:tcW w:w="310" w:type="pct"/>
                    <w:hideMark/>
                  </w:tcPr>
                  <w:p w14:paraId="14A9D162" w14:textId="77777777" w:rsidR="005A70D8" w:rsidRDefault="005A70D8">
                    <w:pPr>
                      <w:pStyle w:val="Bibliography"/>
                      <w:rPr>
                        <w:noProof/>
                      </w:rPr>
                    </w:pPr>
                    <w:r>
                      <w:rPr>
                        <w:noProof/>
                      </w:rPr>
                      <w:t xml:space="preserve">[11] </w:t>
                    </w:r>
                  </w:p>
                </w:tc>
                <w:tc>
                  <w:tcPr>
                    <w:tcW w:w="4642" w:type="pct"/>
                    <w:hideMark/>
                  </w:tcPr>
                  <w:p w14:paraId="51D25D1D" w14:textId="77777777" w:rsidR="005A70D8" w:rsidRDefault="005A70D8">
                    <w:pPr>
                      <w:pStyle w:val="Bibliography"/>
                      <w:rPr>
                        <w:noProof/>
                      </w:rPr>
                    </w:pPr>
                    <w:r>
                      <w:rPr>
                        <w:noProof/>
                      </w:rPr>
                      <w:t>“Citrix Releases Security Updates for Virtual Apps and Desktop,” NHS Digital, July 2021. [Online]. Available: https://digital.nhs.uk/cyber-alerts/2021/cc-3902. [Accessed June 2022].</w:t>
                    </w:r>
                  </w:p>
                </w:tc>
              </w:tr>
              <w:tr w:rsidR="005A70D8" w14:paraId="79121D61" w14:textId="77777777" w:rsidTr="00C10BF0">
                <w:trPr>
                  <w:divId w:val="1101797494"/>
                  <w:tblCellSpacing w:w="15" w:type="dxa"/>
                </w:trPr>
                <w:tc>
                  <w:tcPr>
                    <w:tcW w:w="310" w:type="pct"/>
                    <w:hideMark/>
                  </w:tcPr>
                  <w:p w14:paraId="6FDC298D" w14:textId="77777777" w:rsidR="005A70D8" w:rsidRDefault="005A70D8">
                    <w:pPr>
                      <w:pStyle w:val="Bibliography"/>
                      <w:rPr>
                        <w:noProof/>
                      </w:rPr>
                    </w:pPr>
                    <w:r>
                      <w:rPr>
                        <w:noProof/>
                      </w:rPr>
                      <w:t xml:space="preserve">[12] </w:t>
                    </w:r>
                  </w:p>
                </w:tc>
                <w:tc>
                  <w:tcPr>
                    <w:tcW w:w="4642" w:type="pct"/>
                    <w:hideMark/>
                  </w:tcPr>
                  <w:p w14:paraId="6C32EF45" w14:textId="77777777" w:rsidR="005A70D8" w:rsidRDefault="005A70D8">
                    <w:pPr>
                      <w:pStyle w:val="Bibliography"/>
                      <w:rPr>
                        <w:noProof/>
                      </w:rPr>
                    </w:pPr>
                    <w:r>
                      <w:rPr>
                        <w:noProof/>
                      </w:rPr>
                      <w:t xml:space="preserve">M. Converse, “Philosophy of phenomenology: how understanding aids research,” </w:t>
                    </w:r>
                    <w:r>
                      <w:rPr>
                        <w:i/>
                        <w:iCs/>
                        <w:noProof/>
                      </w:rPr>
                      <w:t xml:space="preserve">Nurse Researcher, </w:t>
                    </w:r>
                    <w:r>
                      <w:rPr>
                        <w:noProof/>
                      </w:rPr>
                      <w:t xml:space="preserve">vol. 20, no. 1, pp. 28-32, 2012. </w:t>
                    </w:r>
                  </w:p>
                </w:tc>
              </w:tr>
              <w:tr w:rsidR="005A70D8" w14:paraId="2E705DD6" w14:textId="77777777" w:rsidTr="00C10BF0">
                <w:trPr>
                  <w:divId w:val="1101797494"/>
                  <w:tblCellSpacing w:w="15" w:type="dxa"/>
                </w:trPr>
                <w:tc>
                  <w:tcPr>
                    <w:tcW w:w="310" w:type="pct"/>
                    <w:hideMark/>
                  </w:tcPr>
                  <w:p w14:paraId="46FE010F" w14:textId="77777777" w:rsidR="005A70D8" w:rsidRDefault="005A70D8">
                    <w:pPr>
                      <w:pStyle w:val="Bibliography"/>
                      <w:rPr>
                        <w:noProof/>
                      </w:rPr>
                    </w:pPr>
                    <w:r>
                      <w:rPr>
                        <w:noProof/>
                      </w:rPr>
                      <w:t xml:space="preserve">[13] </w:t>
                    </w:r>
                  </w:p>
                </w:tc>
                <w:tc>
                  <w:tcPr>
                    <w:tcW w:w="4642" w:type="pct"/>
                    <w:hideMark/>
                  </w:tcPr>
                  <w:p w14:paraId="197B68CE" w14:textId="77777777" w:rsidR="005A70D8" w:rsidRDefault="005A70D8">
                    <w:pPr>
                      <w:pStyle w:val="Bibliography"/>
                      <w:rPr>
                        <w:noProof/>
                      </w:rPr>
                    </w:pPr>
                    <w:r>
                      <w:rPr>
                        <w:noProof/>
                      </w:rPr>
                      <w:t xml:space="preserve">R. Fellows and A. Liu, “Research Methods,” in </w:t>
                    </w:r>
                    <w:r>
                      <w:rPr>
                        <w:i/>
                        <w:iCs/>
                        <w:noProof/>
                      </w:rPr>
                      <w:t>Research Methods for Construction</w:t>
                    </w:r>
                    <w:r>
                      <w:rPr>
                        <w:noProof/>
                      </w:rPr>
                      <w:t>, Wiley Blackwell, 2015, pp. 18-22.</w:t>
                    </w:r>
                  </w:p>
                </w:tc>
              </w:tr>
              <w:tr w:rsidR="005A70D8" w14:paraId="4FE038B1" w14:textId="77777777" w:rsidTr="00C10BF0">
                <w:trPr>
                  <w:divId w:val="1101797494"/>
                  <w:tblCellSpacing w:w="15" w:type="dxa"/>
                </w:trPr>
                <w:tc>
                  <w:tcPr>
                    <w:tcW w:w="310" w:type="pct"/>
                    <w:hideMark/>
                  </w:tcPr>
                  <w:p w14:paraId="27CC9AA8" w14:textId="77777777" w:rsidR="005A70D8" w:rsidRDefault="005A70D8">
                    <w:pPr>
                      <w:pStyle w:val="Bibliography"/>
                      <w:rPr>
                        <w:noProof/>
                      </w:rPr>
                    </w:pPr>
                    <w:r>
                      <w:rPr>
                        <w:noProof/>
                      </w:rPr>
                      <w:t xml:space="preserve">[14] </w:t>
                    </w:r>
                  </w:p>
                </w:tc>
                <w:tc>
                  <w:tcPr>
                    <w:tcW w:w="4642" w:type="pct"/>
                    <w:hideMark/>
                  </w:tcPr>
                  <w:p w14:paraId="6F55F68C" w14:textId="77777777" w:rsidR="005A70D8" w:rsidRDefault="005A70D8">
                    <w:pPr>
                      <w:pStyle w:val="Bibliography"/>
                      <w:rPr>
                        <w:noProof/>
                      </w:rPr>
                    </w:pPr>
                    <w:r>
                      <w:rPr>
                        <w:noProof/>
                      </w:rPr>
                      <w:t xml:space="preserve">M. Thorpe and R. &amp;. P. Jackson, “Management Research,” in </w:t>
                    </w:r>
                    <w:r>
                      <w:rPr>
                        <w:i/>
                        <w:iCs/>
                        <w:noProof/>
                      </w:rPr>
                      <w:t>Management Research</w:t>
                    </w:r>
                    <w:r>
                      <w:rPr>
                        <w:noProof/>
                      </w:rPr>
                      <w:t xml:space="preserve">, London, Sage Publications, 2008. </w:t>
                    </w:r>
                  </w:p>
                </w:tc>
              </w:tr>
              <w:tr w:rsidR="005A70D8" w14:paraId="30D28B36" w14:textId="77777777" w:rsidTr="00C10BF0">
                <w:trPr>
                  <w:divId w:val="1101797494"/>
                  <w:tblCellSpacing w:w="15" w:type="dxa"/>
                </w:trPr>
                <w:tc>
                  <w:tcPr>
                    <w:tcW w:w="310" w:type="pct"/>
                    <w:hideMark/>
                  </w:tcPr>
                  <w:p w14:paraId="67EBC46D" w14:textId="77777777" w:rsidR="005A70D8" w:rsidRDefault="005A70D8">
                    <w:pPr>
                      <w:pStyle w:val="Bibliography"/>
                      <w:rPr>
                        <w:noProof/>
                      </w:rPr>
                    </w:pPr>
                    <w:r>
                      <w:rPr>
                        <w:noProof/>
                      </w:rPr>
                      <w:t xml:space="preserve">[15] </w:t>
                    </w:r>
                  </w:p>
                </w:tc>
                <w:tc>
                  <w:tcPr>
                    <w:tcW w:w="4642" w:type="pct"/>
                    <w:hideMark/>
                  </w:tcPr>
                  <w:p w14:paraId="5ADB798A" w14:textId="77777777" w:rsidR="005A70D8" w:rsidRDefault="005A70D8">
                    <w:pPr>
                      <w:pStyle w:val="Bibliography"/>
                      <w:rPr>
                        <w:noProof/>
                      </w:rPr>
                    </w:pPr>
                    <w:r>
                      <w:rPr>
                        <w:noProof/>
                      </w:rPr>
                      <w:t>“Research Approach,” Research-methodology, [Online]. Available: https://research-methodology.net/research-methodology/research-approach/. [Accessed December 2021].</w:t>
                    </w:r>
                  </w:p>
                </w:tc>
              </w:tr>
              <w:tr w:rsidR="005A70D8" w14:paraId="5BCABAFD" w14:textId="77777777" w:rsidTr="00C10BF0">
                <w:trPr>
                  <w:divId w:val="1101797494"/>
                  <w:tblCellSpacing w:w="15" w:type="dxa"/>
                </w:trPr>
                <w:tc>
                  <w:tcPr>
                    <w:tcW w:w="310" w:type="pct"/>
                    <w:hideMark/>
                  </w:tcPr>
                  <w:p w14:paraId="1833558F" w14:textId="77777777" w:rsidR="005A70D8" w:rsidRDefault="005A70D8">
                    <w:pPr>
                      <w:pStyle w:val="Bibliography"/>
                      <w:rPr>
                        <w:noProof/>
                      </w:rPr>
                    </w:pPr>
                    <w:r>
                      <w:rPr>
                        <w:noProof/>
                      </w:rPr>
                      <w:t xml:space="preserve">[16] </w:t>
                    </w:r>
                  </w:p>
                </w:tc>
                <w:tc>
                  <w:tcPr>
                    <w:tcW w:w="4642" w:type="pct"/>
                    <w:hideMark/>
                  </w:tcPr>
                  <w:p w14:paraId="0466189C" w14:textId="77777777" w:rsidR="005A70D8" w:rsidRDefault="005A70D8">
                    <w:pPr>
                      <w:pStyle w:val="Bibliography"/>
                      <w:rPr>
                        <w:noProof/>
                      </w:rPr>
                    </w:pPr>
                    <w:r>
                      <w:rPr>
                        <w:noProof/>
                      </w:rPr>
                      <w:t>R. Streefkerk, “Inductive Deductive reasoning,” Scribbr, April 2019. [Online]. Available: https://www.scribbr.com/methodology/inductive-deductive-reasoning/#:~:text=The%20main%20difference%20between%20inductive,reasoning%20the%20other%20way%20around.. [Accessed December 2021].</w:t>
                    </w:r>
                  </w:p>
                </w:tc>
              </w:tr>
              <w:tr w:rsidR="005A70D8" w14:paraId="28AF29E9" w14:textId="77777777" w:rsidTr="00C10BF0">
                <w:trPr>
                  <w:divId w:val="1101797494"/>
                  <w:tblCellSpacing w:w="15" w:type="dxa"/>
                </w:trPr>
                <w:tc>
                  <w:tcPr>
                    <w:tcW w:w="310" w:type="pct"/>
                    <w:hideMark/>
                  </w:tcPr>
                  <w:p w14:paraId="0B745D18" w14:textId="77777777" w:rsidR="005A70D8" w:rsidRDefault="005A70D8">
                    <w:pPr>
                      <w:pStyle w:val="Bibliography"/>
                      <w:rPr>
                        <w:noProof/>
                      </w:rPr>
                    </w:pPr>
                    <w:r>
                      <w:rPr>
                        <w:noProof/>
                      </w:rPr>
                      <w:t xml:space="preserve">[17] </w:t>
                    </w:r>
                  </w:p>
                </w:tc>
                <w:tc>
                  <w:tcPr>
                    <w:tcW w:w="4642" w:type="pct"/>
                    <w:hideMark/>
                  </w:tcPr>
                  <w:p w14:paraId="0A242BC0" w14:textId="77777777" w:rsidR="005A70D8" w:rsidRDefault="005A70D8">
                    <w:pPr>
                      <w:pStyle w:val="Bibliography"/>
                      <w:rPr>
                        <w:noProof/>
                      </w:rPr>
                    </w:pPr>
                    <w:r>
                      <w:rPr>
                        <w:noProof/>
                      </w:rPr>
                      <w:t>“VDA Becomes Unregistered Periodically and Requires Restart Citrix Desktop Service in XenApp 7.6,” Citrix, Dec 2015. [Online]. Available: https://support.citrix.com/article/CTX205051/vda-becomes-unregistered-periodically-and-requires-restart-citrix-desktop-service-in-xenapp-76. [Accessed June 2022].</w:t>
                    </w:r>
                  </w:p>
                </w:tc>
              </w:tr>
              <w:tr w:rsidR="005A70D8" w14:paraId="26ADF496" w14:textId="77777777" w:rsidTr="00C10BF0">
                <w:trPr>
                  <w:divId w:val="1101797494"/>
                  <w:tblCellSpacing w:w="15" w:type="dxa"/>
                </w:trPr>
                <w:tc>
                  <w:tcPr>
                    <w:tcW w:w="310" w:type="pct"/>
                    <w:hideMark/>
                  </w:tcPr>
                  <w:p w14:paraId="62E79C38" w14:textId="77777777" w:rsidR="005A70D8" w:rsidRDefault="005A70D8">
                    <w:pPr>
                      <w:pStyle w:val="Bibliography"/>
                      <w:rPr>
                        <w:noProof/>
                      </w:rPr>
                    </w:pPr>
                    <w:r>
                      <w:rPr>
                        <w:noProof/>
                      </w:rPr>
                      <w:t xml:space="preserve">[18] </w:t>
                    </w:r>
                  </w:p>
                </w:tc>
                <w:tc>
                  <w:tcPr>
                    <w:tcW w:w="4642" w:type="pct"/>
                    <w:hideMark/>
                  </w:tcPr>
                  <w:p w14:paraId="6A61029B" w14:textId="77777777" w:rsidR="005A70D8" w:rsidRDefault="005A70D8">
                    <w:pPr>
                      <w:pStyle w:val="Bibliography"/>
                      <w:rPr>
                        <w:noProof/>
                      </w:rPr>
                    </w:pPr>
                    <w:r>
                      <w:rPr>
                        <w:noProof/>
                      </w:rPr>
                      <w:t>A. Golebiowski, “Xenapp VDA Load Index Explained,” Blog.Citrix24, June 2019. [Online]. Available: https://blog.citrix24.com/xenapp-7-15-vda-load-index-explained/. [Accessed June 2022].</w:t>
                    </w:r>
                  </w:p>
                </w:tc>
              </w:tr>
              <w:tr w:rsidR="005A70D8" w14:paraId="2DDEAA83" w14:textId="77777777" w:rsidTr="00C10BF0">
                <w:trPr>
                  <w:divId w:val="1101797494"/>
                  <w:tblCellSpacing w:w="15" w:type="dxa"/>
                </w:trPr>
                <w:tc>
                  <w:tcPr>
                    <w:tcW w:w="310" w:type="pct"/>
                    <w:hideMark/>
                  </w:tcPr>
                  <w:p w14:paraId="7A8CF721" w14:textId="77777777" w:rsidR="005A70D8" w:rsidRDefault="005A70D8">
                    <w:pPr>
                      <w:pStyle w:val="Bibliography"/>
                      <w:rPr>
                        <w:noProof/>
                      </w:rPr>
                    </w:pPr>
                    <w:r>
                      <w:rPr>
                        <w:noProof/>
                      </w:rPr>
                      <w:t xml:space="preserve">[19] </w:t>
                    </w:r>
                  </w:p>
                </w:tc>
                <w:tc>
                  <w:tcPr>
                    <w:tcW w:w="4642" w:type="pct"/>
                    <w:hideMark/>
                  </w:tcPr>
                  <w:p w14:paraId="0CF1A8A0" w14:textId="77777777" w:rsidR="005A70D8" w:rsidRDefault="005A70D8">
                    <w:pPr>
                      <w:pStyle w:val="Bibliography"/>
                      <w:rPr>
                        <w:noProof/>
                      </w:rPr>
                    </w:pPr>
                    <w:r>
                      <w:rPr>
                        <w:noProof/>
                      </w:rPr>
                      <w:t>“Load Management Policy Settings,” Feb 2020. [Online]. Available: https://docs.citrix.com/en-us/citrix-virtual-apps-desktops/1912-ltsr/policies/reference/load-management-policy-settings.html. [Accessed June 2022].</w:t>
                    </w:r>
                  </w:p>
                </w:tc>
              </w:tr>
              <w:tr w:rsidR="005A70D8" w14:paraId="3736B999" w14:textId="77777777" w:rsidTr="00C10BF0">
                <w:trPr>
                  <w:divId w:val="1101797494"/>
                  <w:tblCellSpacing w:w="15" w:type="dxa"/>
                </w:trPr>
                <w:tc>
                  <w:tcPr>
                    <w:tcW w:w="310" w:type="pct"/>
                    <w:hideMark/>
                  </w:tcPr>
                  <w:p w14:paraId="524039C2" w14:textId="77777777" w:rsidR="005A70D8" w:rsidRDefault="005A70D8">
                    <w:pPr>
                      <w:pStyle w:val="Bibliography"/>
                      <w:rPr>
                        <w:noProof/>
                      </w:rPr>
                    </w:pPr>
                    <w:r>
                      <w:rPr>
                        <w:noProof/>
                      </w:rPr>
                      <w:t xml:space="preserve">[20] </w:t>
                    </w:r>
                  </w:p>
                </w:tc>
                <w:tc>
                  <w:tcPr>
                    <w:tcW w:w="4642" w:type="pct"/>
                    <w:hideMark/>
                  </w:tcPr>
                  <w:p w14:paraId="04F49CF9" w14:textId="77777777" w:rsidR="005A70D8" w:rsidRDefault="005A70D8">
                    <w:pPr>
                      <w:pStyle w:val="Bibliography"/>
                      <w:rPr>
                        <w:noProof/>
                      </w:rPr>
                    </w:pPr>
                    <w:r>
                      <w:rPr>
                        <w:noProof/>
                      </w:rPr>
                      <w:t>“How to Calculate the Load Evaluator Index on DDC,” Citrix, September 2015. [Online]. Available: https://support.citrix.com/article/CTX202150/how-to-calculate-the-load-evaluator-index-on-ddc. [Accessed June 2022].</w:t>
                    </w:r>
                  </w:p>
                </w:tc>
              </w:tr>
              <w:tr w:rsidR="005A70D8" w14:paraId="0322CD6E" w14:textId="77777777" w:rsidTr="00C10BF0">
                <w:trPr>
                  <w:divId w:val="1101797494"/>
                  <w:tblCellSpacing w:w="15" w:type="dxa"/>
                </w:trPr>
                <w:tc>
                  <w:tcPr>
                    <w:tcW w:w="310" w:type="pct"/>
                    <w:hideMark/>
                  </w:tcPr>
                  <w:p w14:paraId="497B04D0" w14:textId="77777777" w:rsidR="005A70D8" w:rsidRDefault="005A70D8">
                    <w:pPr>
                      <w:pStyle w:val="Bibliography"/>
                      <w:rPr>
                        <w:noProof/>
                      </w:rPr>
                    </w:pPr>
                    <w:r>
                      <w:rPr>
                        <w:noProof/>
                      </w:rPr>
                      <w:t xml:space="preserve">[21] </w:t>
                    </w:r>
                  </w:p>
                </w:tc>
                <w:tc>
                  <w:tcPr>
                    <w:tcW w:w="4642" w:type="pct"/>
                    <w:hideMark/>
                  </w:tcPr>
                  <w:p w14:paraId="0F747E6D" w14:textId="77777777" w:rsidR="005A70D8" w:rsidRDefault="005A70D8">
                    <w:pPr>
                      <w:pStyle w:val="Bibliography"/>
                      <w:rPr>
                        <w:noProof/>
                      </w:rPr>
                    </w:pPr>
                    <w:r>
                      <w:rPr>
                        <w:noProof/>
                      </w:rPr>
                      <w:t>G. Evans, “Will Upgrading Citrix Components to more recent versions help improve performance of essential services?,” UWTSD, Swansea, 2022.</w:t>
                    </w:r>
                  </w:p>
                </w:tc>
              </w:tr>
              <w:tr w:rsidR="005A70D8" w14:paraId="5FBC5183" w14:textId="77777777" w:rsidTr="00C10BF0">
                <w:trPr>
                  <w:divId w:val="1101797494"/>
                  <w:tblCellSpacing w:w="15" w:type="dxa"/>
                </w:trPr>
                <w:tc>
                  <w:tcPr>
                    <w:tcW w:w="310" w:type="pct"/>
                    <w:hideMark/>
                  </w:tcPr>
                  <w:p w14:paraId="692FA06B" w14:textId="77777777" w:rsidR="005A70D8" w:rsidRDefault="005A70D8">
                    <w:pPr>
                      <w:pStyle w:val="Bibliography"/>
                      <w:rPr>
                        <w:noProof/>
                      </w:rPr>
                    </w:pPr>
                    <w:r>
                      <w:rPr>
                        <w:noProof/>
                      </w:rPr>
                      <w:t xml:space="preserve">[22] </w:t>
                    </w:r>
                  </w:p>
                </w:tc>
                <w:tc>
                  <w:tcPr>
                    <w:tcW w:w="4642" w:type="pct"/>
                    <w:hideMark/>
                  </w:tcPr>
                  <w:p w14:paraId="632A1033" w14:textId="77777777" w:rsidR="005A70D8" w:rsidRDefault="005A70D8">
                    <w:pPr>
                      <w:pStyle w:val="Bibliography"/>
                      <w:rPr>
                        <w:noProof/>
                      </w:rPr>
                    </w:pPr>
                    <w:r>
                      <w:rPr>
                        <w:noProof/>
                      </w:rPr>
                      <w:t>“Understanding vSphere DRS Performance,” October 2016. [Online]. Available: https://www.vmware.com/content/dam/digitalmarketing/vmware/en/pdf/techpaper/vsphere6-drs-perf.pdf. [Accessed July 2022].</w:t>
                    </w:r>
                  </w:p>
                </w:tc>
              </w:tr>
              <w:tr w:rsidR="005A70D8" w14:paraId="5C135BF3" w14:textId="77777777" w:rsidTr="00C10BF0">
                <w:trPr>
                  <w:divId w:val="1101797494"/>
                  <w:tblCellSpacing w:w="15" w:type="dxa"/>
                </w:trPr>
                <w:tc>
                  <w:tcPr>
                    <w:tcW w:w="310" w:type="pct"/>
                    <w:hideMark/>
                  </w:tcPr>
                  <w:p w14:paraId="568FF863" w14:textId="77777777" w:rsidR="005A70D8" w:rsidRDefault="005A70D8">
                    <w:pPr>
                      <w:pStyle w:val="Bibliography"/>
                      <w:rPr>
                        <w:noProof/>
                      </w:rPr>
                    </w:pPr>
                    <w:r>
                      <w:rPr>
                        <w:noProof/>
                      </w:rPr>
                      <w:t xml:space="preserve">[23] </w:t>
                    </w:r>
                  </w:p>
                </w:tc>
                <w:tc>
                  <w:tcPr>
                    <w:tcW w:w="4642" w:type="pct"/>
                    <w:hideMark/>
                  </w:tcPr>
                  <w:p w14:paraId="6C38DA16" w14:textId="77777777" w:rsidR="005A70D8" w:rsidRDefault="005A70D8">
                    <w:pPr>
                      <w:pStyle w:val="Bibliography"/>
                      <w:rPr>
                        <w:noProof/>
                      </w:rPr>
                    </w:pPr>
                    <w:r>
                      <w:rPr>
                        <w:noProof/>
                      </w:rPr>
                      <w:t>“Citrix VDA machines gets unregistered randomly,” Citrix, 2021. [Online]. Available: https://discussions.citrix.com/topic/412203-citrix-vda-machines-gets-unregistered-randomly/. [Accessed July 2022].</w:t>
                    </w:r>
                  </w:p>
                </w:tc>
              </w:tr>
              <w:tr w:rsidR="005A70D8" w14:paraId="31AD69D8" w14:textId="77777777" w:rsidTr="00C10BF0">
                <w:trPr>
                  <w:divId w:val="1101797494"/>
                  <w:tblCellSpacing w:w="15" w:type="dxa"/>
                </w:trPr>
                <w:tc>
                  <w:tcPr>
                    <w:tcW w:w="310" w:type="pct"/>
                    <w:hideMark/>
                  </w:tcPr>
                  <w:p w14:paraId="6DBB7116" w14:textId="77777777" w:rsidR="005A70D8" w:rsidRDefault="005A70D8">
                    <w:pPr>
                      <w:pStyle w:val="Bibliography"/>
                      <w:rPr>
                        <w:noProof/>
                      </w:rPr>
                    </w:pPr>
                    <w:r>
                      <w:rPr>
                        <w:noProof/>
                      </w:rPr>
                      <w:t xml:space="preserve">[24] </w:t>
                    </w:r>
                  </w:p>
                </w:tc>
                <w:tc>
                  <w:tcPr>
                    <w:tcW w:w="4642" w:type="pct"/>
                    <w:hideMark/>
                  </w:tcPr>
                  <w:p w14:paraId="4AEE43D7" w14:textId="77777777" w:rsidR="005A70D8" w:rsidRDefault="005A70D8">
                    <w:pPr>
                      <w:pStyle w:val="Bibliography"/>
                      <w:rPr>
                        <w:noProof/>
                      </w:rPr>
                    </w:pPr>
                    <w:r>
                      <w:rPr>
                        <w:noProof/>
                      </w:rPr>
                      <w:t>“Reference Architectures,” Citrix, [Online]. Available: https://docs.citrix.com/en-us/tech-zone/design/reference-architectures/image-management.html. [Accessed July 2022].</w:t>
                    </w:r>
                  </w:p>
                </w:tc>
              </w:tr>
              <w:tr w:rsidR="005A70D8" w14:paraId="47971AC2" w14:textId="77777777" w:rsidTr="00C10BF0">
                <w:trPr>
                  <w:divId w:val="1101797494"/>
                  <w:tblCellSpacing w:w="15" w:type="dxa"/>
                </w:trPr>
                <w:tc>
                  <w:tcPr>
                    <w:tcW w:w="310" w:type="pct"/>
                    <w:hideMark/>
                  </w:tcPr>
                  <w:p w14:paraId="64C25C08" w14:textId="77777777" w:rsidR="005A70D8" w:rsidRDefault="005A70D8">
                    <w:pPr>
                      <w:pStyle w:val="Bibliography"/>
                      <w:rPr>
                        <w:noProof/>
                      </w:rPr>
                    </w:pPr>
                    <w:r>
                      <w:rPr>
                        <w:noProof/>
                      </w:rPr>
                      <w:t xml:space="preserve">[25] </w:t>
                    </w:r>
                  </w:p>
                </w:tc>
                <w:tc>
                  <w:tcPr>
                    <w:tcW w:w="4642" w:type="pct"/>
                    <w:hideMark/>
                  </w:tcPr>
                  <w:p w14:paraId="0F519393" w14:textId="77777777" w:rsidR="005A70D8" w:rsidRDefault="005A70D8">
                    <w:pPr>
                      <w:pStyle w:val="Bibliography"/>
                      <w:rPr>
                        <w:noProof/>
                      </w:rPr>
                    </w:pPr>
                    <w:r>
                      <w:rPr>
                        <w:noProof/>
                      </w:rPr>
                      <w:t>“Business Change,” DHCW, [Online]. Available: https://dhcw.nhs.wales/systems-and-services/business-change/. [Accessed February 2022].</w:t>
                    </w:r>
                  </w:p>
                </w:tc>
              </w:tr>
            </w:tbl>
            <w:p w14:paraId="0AEA72B3" w14:textId="77777777" w:rsidR="005A70D8" w:rsidRDefault="005A70D8">
              <w:pPr>
                <w:divId w:val="1101797494"/>
                <w:rPr>
                  <w:rFonts w:eastAsia="Times New Roman"/>
                  <w:noProof/>
                </w:rPr>
              </w:pPr>
            </w:p>
            <w:p w14:paraId="3F593FD3" w14:textId="2E4DD88C" w:rsidR="005A70D8" w:rsidRDefault="005A70D8">
              <w:r>
                <w:rPr>
                  <w:b/>
                  <w:bCs/>
                  <w:noProof/>
                </w:rPr>
                <w:fldChar w:fldCharType="end"/>
              </w:r>
            </w:p>
          </w:sdtContent>
        </w:sdt>
      </w:sdtContent>
    </w:sdt>
    <w:p w14:paraId="65FF78CE" w14:textId="77777777" w:rsidR="00564545" w:rsidRPr="00717BE8" w:rsidRDefault="00564545" w:rsidP="00717BE8"/>
    <w:sectPr w:rsidR="00564545" w:rsidRPr="00717BE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F29A4" w14:textId="77777777" w:rsidR="00BF74CC" w:rsidRDefault="00BF74CC" w:rsidP="000654FD">
      <w:pPr>
        <w:spacing w:after="0" w:line="240" w:lineRule="auto"/>
      </w:pPr>
      <w:r>
        <w:separator/>
      </w:r>
    </w:p>
  </w:endnote>
  <w:endnote w:type="continuationSeparator" w:id="0">
    <w:p w14:paraId="524C484B" w14:textId="77777777" w:rsidR="00BF74CC" w:rsidRDefault="00BF74CC" w:rsidP="00065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635147"/>
      <w:docPartObj>
        <w:docPartGallery w:val="Page Numbers (Bottom of Page)"/>
        <w:docPartUnique/>
      </w:docPartObj>
    </w:sdtPr>
    <w:sdtEndPr>
      <w:rPr>
        <w:noProof/>
      </w:rPr>
    </w:sdtEndPr>
    <w:sdtContent>
      <w:p w14:paraId="522655E4" w14:textId="5AE72B93" w:rsidR="0095378A" w:rsidRDefault="009537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76EC52" w14:textId="77777777" w:rsidR="0095378A" w:rsidRDefault="00953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23AEE" w14:textId="77777777" w:rsidR="00BF74CC" w:rsidRDefault="00BF74CC" w:rsidP="000654FD">
      <w:pPr>
        <w:spacing w:after="0" w:line="240" w:lineRule="auto"/>
      </w:pPr>
      <w:r>
        <w:separator/>
      </w:r>
    </w:p>
  </w:footnote>
  <w:footnote w:type="continuationSeparator" w:id="0">
    <w:p w14:paraId="6AB068D5" w14:textId="77777777" w:rsidR="00BF74CC" w:rsidRDefault="00BF74CC" w:rsidP="00065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74E0E"/>
    <w:multiLevelType w:val="hybridMultilevel"/>
    <w:tmpl w:val="4336C23C"/>
    <w:lvl w:ilvl="0" w:tplc="3F44936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319AE"/>
    <w:multiLevelType w:val="hybridMultilevel"/>
    <w:tmpl w:val="9B2A1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4580C"/>
    <w:multiLevelType w:val="hybridMultilevel"/>
    <w:tmpl w:val="1136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402268"/>
    <w:multiLevelType w:val="hybridMultilevel"/>
    <w:tmpl w:val="4E20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450760"/>
    <w:multiLevelType w:val="hybridMultilevel"/>
    <w:tmpl w:val="199A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613FA5"/>
    <w:multiLevelType w:val="hybridMultilevel"/>
    <w:tmpl w:val="B76E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91334A"/>
    <w:multiLevelType w:val="multilevel"/>
    <w:tmpl w:val="8B467A9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92586013">
    <w:abstractNumId w:val="6"/>
  </w:num>
  <w:num w:numId="2" w16cid:durableId="1148283741">
    <w:abstractNumId w:val="0"/>
  </w:num>
  <w:num w:numId="3" w16cid:durableId="51003016">
    <w:abstractNumId w:val="1"/>
  </w:num>
  <w:num w:numId="4" w16cid:durableId="1738355258">
    <w:abstractNumId w:val="2"/>
  </w:num>
  <w:num w:numId="5" w16cid:durableId="1591620533">
    <w:abstractNumId w:val="5"/>
  </w:num>
  <w:num w:numId="6" w16cid:durableId="1215770132">
    <w:abstractNumId w:val="4"/>
  </w:num>
  <w:num w:numId="7" w16cid:durableId="1392196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DD3"/>
    <w:rsid w:val="0000310B"/>
    <w:rsid w:val="00005BB7"/>
    <w:rsid w:val="000128EA"/>
    <w:rsid w:val="00012B4D"/>
    <w:rsid w:val="000135EC"/>
    <w:rsid w:val="00013A34"/>
    <w:rsid w:val="00020995"/>
    <w:rsid w:val="000228EC"/>
    <w:rsid w:val="00022F46"/>
    <w:rsid w:val="0002336D"/>
    <w:rsid w:val="0003112F"/>
    <w:rsid w:val="00032D76"/>
    <w:rsid w:val="00034A73"/>
    <w:rsid w:val="00036A00"/>
    <w:rsid w:val="00043D99"/>
    <w:rsid w:val="00044EA7"/>
    <w:rsid w:val="00045E8A"/>
    <w:rsid w:val="0005385E"/>
    <w:rsid w:val="00054FFC"/>
    <w:rsid w:val="0005508C"/>
    <w:rsid w:val="00055C21"/>
    <w:rsid w:val="00061BB4"/>
    <w:rsid w:val="00062F33"/>
    <w:rsid w:val="000654FD"/>
    <w:rsid w:val="00067052"/>
    <w:rsid w:val="000709F7"/>
    <w:rsid w:val="00071143"/>
    <w:rsid w:val="00076454"/>
    <w:rsid w:val="00083E99"/>
    <w:rsid w:val="0008426E"/>
    <w:rsid w:val="00084455"/>
    <w:rsid w:val="00087992"/>
    <w:rsid w:val="000920E1"/>
    <w:rsid w:val="000B0530"/>
    <w:rsid w:val="000C3295"/>
    <w:rsid w:val="000C3A8C"/>
    <w:rsid w:val="000C6FB2"/>
    <w:rsid w:val="000D37D8"/>
    <w:rsid w:val="000D485D"/>
    <w:rsid w:val="000D5618"/>
    <w:rsid w:val="000D6370"/>
    <w:rsid w:val="000D6A94"/>
    <w:rsid w:val="000D6E87"/>
    <w:rsid w:val="000E2C85"/>
    <w:rsid w:val="00105356"/>
    <w:rsid w:val="001062A8"/>
    <w:rsid w:val="0011180B"/>
    <w:rsid w:val="00121A08"/>
    <w:rsid w:val="00126033"/>
    <w:rsid w:val="00132EC3"/>
    <w:rsid w:val="00142198"/>
    <w:rsid w:val="00142C2C"/>
    <w:rsid w:val="001439D3"/>
    <w:rsid w:val="00146463"/>
    <w:rsid w:val="00151294"/>
    <w:rsid w:val="0015223E"/>
    <w:rsid w:val="001528E2"/>
    <w:rsid w:val="00162D1D"/>
    <w:rsid w:val="00164AAE"/>
    <w:rsid w:val="0017056E"/>
    <w:rsid w:val="0017116C"/>
    <w:rsid w:val="00174FD5"/>
    <w:rsid w:val="00175DE4"/>
    <w:rsid w:val="001816C2"/>
    <w:rsid w:val="00181DF7"/>
    <w:rsid w:val="00187177"/>
    <w:rsid w:val="00195A78"/>
    <w:rsid w:val="001A263C"/>
    <w:rsid w:val="001A2F39"/>
    <w:rsid w:val="001A46C0"/>
    <w:rsid w:val="001A734E"/>
    <w:rsid w:val="001B40C4"/>
    <w:rsid w:val="001B4204"/>
    <w:rsid w:val="001B6176"/>
    <w:rsid w:val="001C4B74"/>
    <w:rsid w:val="001C5DC8"/>
    <w:rsid w:val="001D64CF"/>
    <w:rsid w:val="001E26E6"/>
    <w:rsid w:val="001E2B37"/>
    <w:rsid w:val="001E317E"/>
    <w:rsid w:val="001E4343"/>
    <w:rsid w:val="001E7B77"/>
    <w:rsid w:val="001F1C9E"/>
    <w:rsid w:val="001F3FB6"/>
    <w:rsid w:val="001F45C7"/>
    <w:rsid w:val="00202AB8"/>
    <w:rsid w:val="0020429C"/>
    <w:rsid w:val="00204850"/>
    <w:rsid w:val="00206C3B"/>
    <w:rsid w:val="002073BF"/>
    <w:rsid w:val="00216A45"/>
    <w:rsid w:val="0022008D"/>
    <w:rsid w:val="002245D3"/>
    <w:rsid w:val="002247BB"/>
    <w:rsid w:val="002305C9"/>
    <w:rsid w:val="00231D1F"/>
    <w:rsid w:val="00233552"/>
    <w:rsid w:val="002338F4"/>
    <w:rsid w:val="00247847"/>
    <w:rsid w:val="00247CCE"/>
    <w:rsid w:val="0025008C"/>
    <w:rsid w:val="00251F1B"/>
    <w:rsid w:val="00266AAD"/>
    <w:rsid w:val="00273148"/>
    <w:rsid w:val="00273E68"/>
    <w:rsid w:val="00273ECB"/>
    <w:rsid w:val="002749B9"/>
    <w:rsid w:val="00283EDA"/>
    <w:rsid w:val="002857D1"/>
    <w:rsid w:val="002929FC"/>
    <w:rsid w:val="00294942"/>
    <w:rsid w:val="00294F3B"/>
    <w:rsid w:val="00296BAE"/>
    <w:rsid w:val="002B1187"/>
    <w:rsid w:val="002B3A20"/>
    <w:rsid w:val="002C1250"/>
    <w:rsid w:val="002C4D5F"/>
    <w:rsid w:val="002C50F7"/>
    <w:rsid w:val="002C7A14"/>
    <w:rsid w:val="002D223C"/>
    <w:rsid w:val="002D3BBD"/>
    <w:rsid w:val="002D4959"/>
    <w:rsid w:val="002E028A"/>
    <w:rsid w:val="002E246B"/>
    <w:rsid w:val="002F57E4"/>
    <w:rsid w:val="00305336"/>
    <w:rsid w:val="003060F7"/>
    <w:rsid w:val="00306240"/>
    <w:rsid w:val="0031639D"/>
    <w:rsid w:val="003307D1"/>
    <w:rsid w:val="003307FE"/>
    <w:rsid w:val="00331A3A"/>
    <w:rsid w:val="0033574B"/>
    <w:rsid w:val="00337884"/>
    <w:rsid w:val="003432CC"/>
    <w:rsid w:val="0034434B"/>
    <w:rsid w:val="003473A6"/>
    <w:rsid w:val="00351EF1"/>
    <w:rsid w:val="00361E25"/>
    <w:rsid w:val="00363AA0"/>
    <w:rsid w:val="00364F0A"/>
    <w:rsid w:val="00366690"/>
    <w:rsid w:val="003712E2"/>
    <w:rsid w:val="00382C8A"/>
    <w:rsid w:val="003864C8"/>
    <w:rsid w:val="003952E3"/>
    <w:rsid w:val="00395771"/>
    <w:rsid w:val="003958D7"/>
    <w:rsid w:val="003965A0"/>
    <w:rsid w:val="00396DCE"/>
    <w:rsid w:val="003A48E1"/>
    <w:rsid w:val="003A649A"/>
    <w:rsid w:val="003A6AFD"/>
    <w:rsid w:val="003B2AA6"/>
    <w:rsid w:val="003B403E"/>
    <w:rsid w:val="003B7F49"/>
    <w:rsid w:val="003C26A7"/>
    <w:rsid w:val="003C481C"/>
    <w:rsid w:val="003D02C9"/>
    <w:rsid w:val="003D4A4F"/>
    <w:rsid w:val="003D4B49"/>
    <w:rsid w:val="003D6451"/>
    <w:rsid w:val="003E3579"/>
    <w:rsid w:val="003F0747"/>
    <w:rsid w:val="003F11DD"/>
    <w:rsid w:val="003F5731"/>
    <w:rsid w:val="004035CF"/>
    <w:rsid w:val="00404009"/>
    <w:rsid w:val="004055E3"/>
    <w:rsid w:val="00405C02"/>
    <w:rsid w:val="004124BD"/>
    <w:rsid w:val="004156A0"/>
    <w:rsid w:val="00416AC6"/>
    <w:rsid w:val="0042432A"/>
    <w:rsid w:val="00425031"/>
    <w:rsid w:val="00426C1C"/>
    <w:rsid w:val="00430134"/>
    <w:rsid w:val="004317A7"/>
    <w:rsid w:val="00436009"/>
    <w:rsid w:val="00436223"/>
    <w:rsid w:val="00440B4B"/>
    <w:rsid w:val="00442042"/>
    <w:rsid w:val="00445B14"/>
    <w:rsid w:val="0046154A"/>
    <w:rsid w:val="00463336"/>
    <w:rsid w:val="00470A1A"/>
    <w:rsid w:val="00477AFE"/>
    <w:rsid w:val="00494E77"/>
    <w:rsid w:val="004A5520"/>
    <w:rsid w:val="004B3D29"/>
    <w:rsid w:val="004C3A55"/>
    <w:rsid w:val="004C3B63"/>
    <w:rsid w:val="004C4A05"/>
    <w:rsid w:val="004D320C"/>
    <w:rsid w:val="004E1A4F"/>
    <w:rsid w:val="004E4000"/>
    <w:rsid w:val="004E460F"/>
    <w:rsid w:val="004E5FD2"/>
    <w:rsid w:val="004E64C0"/>
    <w:rsid w:val="004F100A"/>
    <w:rsid w:val="004F44F2"/>
    <w:rsid w:val="004F6D7E"/>
    <w:rsid w:val="005014B2"/>
    <w:rsid w:val="0050181C"/>
    <w:rsid w:val="00503068"/>
    <w:rsid w:val="0050506A"/>
    <w:rsid w:val="005062A4"/>
    <w:rsid w:val="00511D21"/>
    <w:rsid w:val="0051235C"/>
    <w:rsid w:val="0051306D"/>
    <w:rsid w:val="00515242"/>
    <w:rsid w:val="005158BE"/>
    <w:rsid w:val="00516BDD"/>
    <w:rsid w:val="00517B27"/>
    <w:rsid w:val="00521084"/>
    <w:rsid w:val="005214F9"/>
    <w:rsid w:val="00521FD4"/>
    <w:rsid w:val="00524334"/>
    <w:rsid w:val="00525809"/>
    <w:rsid w:val="005265EB"/>
    <w:rsid w:val="0052768F"/>
    <w:rsid w:val="00530581"/>
    <w:rsid w:val="005360FE"/>
    <w:rsid w:val="005439EF"/>
    <w:rsid w:val="0054613D"/>
    <w:rsid w:val="00547065"/>
    <w:rsid w:val="00547B1F"/>
    <w:rsid w:val="00550FE6"/>
    <w:rsid w:val="00555197"/>
    <w:rsid w:val="00564545"/>
    <w:rsid w:val="00571E76"/>
    <w:rsid w:val="00572215"/>
    <w:rsid w:val="0057518A"/>
    <w:rsid w:val="005775B1"/>
    <w:rsid w:val="00580BCA"/>
    <w:rsid w:val="005842C1"/>
    <w:rsid w:val="00585E4B"/>
    <w:rsid w:val="0059365D"/>
    <w:rsid w:val="00594C3A"/>
    <w:rsid w:val="005973D8"/>
    <w:rsid w:val="005A1F75"/>
    <w:rsid w:val="005A4FE3"/>
    <w:rsid w:val="005A70D8"/>
    <w:rsid w:val="005A721A"/>
    <w:rsid w:val="005A7313"/>
    <w:rsid w:val="005B3433"/>
    <w:rsid w:val="005B3B03"/>
    <w:rsid w:val="005B3EA7"/>
    <w:rsid w:val="005C172D"/>
    <w:rsid w:val="005C1F4D"/>
    <w:rsid w:val="005C32C2"/>
    <w:rsid w:val="005C5E35"/>
    <w:rsid w:val="005C7195"/>
    <w:rsid w:val="005D0891"/>
    <w:rsid w:val="005D0BBA"/>
    <w:rsid w:val="005D7568"/>
    <w:rsid w:val="005E65F2"/>
    <w:rsid w:val="005E7B2D"/>
    <w:rsid w:val="005F33A3"/>
    <w:rsid w:val="005F46C3"/>
    <w:rsid w:val="005F5FDB"/>
    <w:rsid w:val="005F6C7D"/>
    <w:rsid w:val="00600E1A"/>
    <w:rsid w:val="00603539"/>
    <w:rsid w:val="00607C79"/>
    <w:rsid w:val="006104E0"/>
    <w:rsid w:val="00610671"/>
    <w:rsid w:val="0061265F"/>
    <w:rsid w:val="00614929"/>
    <w:rsid w:val="00617C8A"/>
    <w:rsid w:val="00623506"/>
    <w:rsid w:val="006237A6"/>
    <w:rsid w:val="006267E5"/>
    <w:rsid w:val="00626ADD"/>
    <w:rsid w:val="0062732C"/>
    <w:rsid w:val="006302E2"/>
    <w:rsid w:val="006336CD"/>
    <w:rsid w:val="00635127"/>
    <w:rsid w:val="00637A4B"/>
    <w:rsid w:val="00637C43"/>
    <w:rsid w:val="00637E5B"/>
    <w:rsid w:val="006402E2"/>
    <w:rsid w:val="0064082D"/>
    <w:rsid w:val="00641178"/>
    <w:rsid w:val="006523CC"/>
    <w:rsid w:val="006536C6"/>
    <w:rsid w:val="0065421E"/>
    <w:rsid w:val="006546D5"/>
    <w:rsid w:val="00654807"/>
    <w:rsid w:val="00656F40"/>
    <w:rsid w:val="006576D9"/>
    <w:rsid w:val="006672EF"/>
    <w:rsid w:val="006745B4"/>
    <w:rsid w:val="00685192"/>
    <w:rsid w:val="0068551C"/>
    <w:rsid w:val="006866E3"/>
    <w:rsid w:val="00693076"/>
    <w:rsid w:val="006974AA"/>
    <w:rsid w:val="006A194C"/>
    <w:rsid w:val="006A4BE2"/>
    <w:rsid w:val="006A59A6"/>
    <w:rsid w:val="006A6FBD"/>
    <w:rsid w:val="006B034F"/>
    <w:rsid w:val="006B11B7"/>
    <w:rsid w:val="006B1769"/>
    <w:rsid w:val="006B17BA"/>
    <w:rsid w:val="006B50D8"/>
    <w:rsid w:val="006B586F"/>
    <w:rsid w:val="006C266A"/>
    <w:rsid w:val="006C4594"/>
    <w:rsid w:val="006D1DF4"/>
    <w:rsid w:val="006D2139"/>
    <w:rsid w:val="006E1DA5"/>
    <w:rsid w:val="006E57DB"/>
    <w:rsid w:val="006F4D4F"/>
    <w:rsid w:val="007004CD"/>
    <w:rsid w:val="00700605"/>
    <w:rsid w:val="00700A6F"/>
    <w:rsid w:val="00700F20"/>
    <w:rsid w:val="00710744"/>
    <w:rsid w:val="007117D0"/>
    <w:rsid w:val="0071747C"/>
    <w:rsid w:val="0071749B"/>
    <w:rsid w:val="00717BE8"/>
    <w:rsid w:val="00717D88"/>
    <w:rsid w:val="00724937"/>
    <w:rsid w:val="007256EA"/>
    <w:rsid w:val="00726FDE"/>
    <w:rsid w:val="00727F35"/>
    <w:rsid w:val="007310F2"/>
    <w:rsid w:val="00735662"/>
    <w:rsid w:val="00742FE9"/>
    <w:rsid w:val="00743269"/>
    <w:rsid w:val="007457AE"/>
    <w:rsid w:val="00751536"/>
    <w:rsid w:val="007552C7"/>
    <w:rsid w:val="00762E28"/>
    <w:rsid w:val="00764028"/>
    <w:rsid w:val="00776835"/>
    <w:rsid w:val="00777D05"/>
    <w:rsid w:val="0078624E"/>
    <w:rsid w:val="007944CD"/>
    <w:rsid w:val="00795068"/>
    <w:rsid w:val="007A5E04"/>
    <w:rsid w:val="007A67B8"/>
    <w:rsid w:val="007A767F"/>
    <w:rsid w:val="007B0605"/>
    <w:rsid w:val="007B2643"/>
    <w:rsid w:val="007B6EAD"/>
    <w:rsid w:val="007B7956"/>
    <w:rsid w:val="007C1339"/>
    <w:rsid w:val="007C574A"/>
    <w:rsid w:val="007C613D"/>
    <w:rsid w:val="007C66C0"/>
    <w:rsid w:val="007E61A4"/>
    <w:rsid w:val="007F1363"/>
    <w:rsid w:val="007F76D1"/>
    <w:rsid w:val="00803150"/>
    <w:rsid w:val="00805B3E"/>
    <w:rsid w:val="00805FDF"/>
    <w:rsid w:val="00806881"/>
    <w:rsid w:val="0081085F"/>
    <w:rsid w:val="00816A43"/>
    <w:rsid w:val="008201C5"/>
    <w:rsid w:val="00821F11"/>
    <w:rsid w:val="00831B50"/>
    <w:rsid w:val="00832AEA"/>
    <w:rsid w:val="00833E49"/>
    <w:rsid w:val="00843538"/>
    <w:rsid w:val="0084755E"/>
    <w:rsid w:val="0085026C"/>
    <w:rsid w:val="00850A93"/>
    <w:rsid w:val="00851B63"/>
    <w:rsid w:val="00854EC8"/>
    <w:rsid w:val="0085587F"/>
    <w:rsid w:val="008558DE"/>
    <w:rsid w:val="00864C68"/>
    <w:rsid w:val="0086618F"/>
    <w:rsid w:val="008661C1"/>
    <w:rsid w:val="00867CD1"/>
    <w:rsid w:val="00871F1D"/>
    <w:rsid w:val="008751FA"/>
    <w:rsid w:val="00876008"/>
    <w:rsid w:val="00880780"/>
    <w:rsid w:val="0088444D"/>
    <w:rsid w:val="00885DAC"/>
    <w:rsid w:val="00887534"/>
    <w:rsid w:val="008945D1"/>
    <w:rsid w:val="008A3BF1"/>
    <w:rsid w:val="008A3FEB"/>
    <w:rsid w:val="008A5A42"/>
    <w:rsid w:val="008B01F8"/>
    <w:rsid w:val="008B222A"/>
    <w:rsid w:val="008B7CF0"/>
    <w:rsid w:val="008C3FA9"/>
    <w:rsid w:val="008D177F"/>
    <w:rsid w:val="008D5240"/>
    <w:rsid w:val="008D7972"/>
    <w:rsid w:val="008E3D43"/>
    <w:rsid w:val="008E4AD8"/>
    <w:rsid w:val="008E5EAA"/>
    <w:rsid w:val="008F19EA"/>
    <w:rsid w:val="008F4334"/>
    <w:rsid w:val="00904F38"/>
    <w:rsid w:val="009052EC"/>
    <w:rsid w:val="009058B9"/>
    <w:rsid w:val="00906BE4"/>
    <w:rsid w:val="009126E3"/>
    <w:rsid w:val="00913672"/>
    <w:rsid w:val="009171C0"/>
    <w:rsid w:val="00924A8A"/>
    <w:rsid w:val="00927045"/>
    <w:rsid w:val="00930C24"/>
    <w:rsid w:val="00933D0C"/>
    <w:rsid w:val="009416FA"/>
    <w:rsid w:val="009434EB"/>
    <w:rsid w:val="00945AD8"/>
    <w:rsid w:val="00952710"/>
    <w:rsid w:val="0095378A"/>
    <w:rsid w:val="009538F9"/>
    <w:rsid w:val="00954C41"/>
    <w:rsid w:val="00960A5A"/>
    <w:rsid w:val="009638C4"/>
    <w:rsid w:val="009746FF"/>
    <w:rsid w:val="00982DD3"/>
    <w:rsid w:val="00983066"/>
    <w:rsid w:val="00985ACB"/>
    <w:rsid w:val="00990330"/>
    <w:rsid w:val="00992231"/>
    <w:rsid w:val="00996FE2"/>
    <w:rsid w:val="00997E92"/>
    <w:rsid w:val="009A5D18"/>
    <w:rsid w:val="009A6EEB"/>
    <w:rsid w:val="009B2C3D"/>
    <w:rsid w:val="009B5183"/>
    <w:rsid w:val="009B5C01"/>
    <w:rsid w:val="009C0365"/>
    <w:rsid w:val="009C2129"/>
    <w:rsid w:val="009C4C10"/>
    <w:rsid w:val="009C4D8F"/>
    <w:rsid w:val="009D048E"/>
    <w:rsid w:val="009D1989"/>
    <w:rsid w:val="009D1D4A"/>
    <w:rsid w:val="009D1D8C"/>
    <w:rsid w:val="009D4AD0"/>
    <w:rsid w:val="009E1197"/>
    <w:rsid w:val="009E13D2"/>
    <w:rsid w:val="009E4EDA"/>
    <w:rsid w:val="009E787E"/>
    <w:rsid w:val="009F1A4C"/>
    <w:rsid w:val="009F3BE0"/>
    <w:rsid w:val="009F7F3F"/>
    <w:rsid w:val="00A06AFF"/>
    <w:rsid w:val="00A071ED"/>
    <w:rsid w:val="00A11784"/>
    <w:rsid w:val="00A11F73"/>
    <w:rsid w:val="00A12472"/>
    <w:rsid w:val="00A17321"/>
    <w:rsid w:val="00A17B4B"/>
    <w:rsid w:val="00A17E6A"/>
    <w:rsid w:val="00A243C2"/>
    <w:rsid w:val="00A25C02"/>
    <w:rsid w:val="00A372F0"/>
    <w:rsid w:val="00A44996"/>
    <w:rsid w:val="00A460D4"/>
    <w:rsid w:val="00A46A8A"/>
    <w:rsid w:val="00A65A26"/>
    <w:rsid w:val="00A67A40"/>
    <w:rsid w:val="00A71601"/>
    <w:rsid w:val="00A77EAA"/>
    <w:rsid w:val="00A8355D"/>
    <w:rsid w:val="00A84930"/>
    <w:rsid w:val="00A915E8"/>
    <w:rsid w:val="00A93D42"/>
    <w:rsid w:val="00A95439"/>
    <w:rsid w:val="00AA00D1"/>
    <w:rsid w:val="00AA153B"/>
    <w:rsid w:val="00AB3D83"/>
    <w:rsid w:val="00AB429A"/>
    <w:rsid w:val="00AB48DD"/>
    <w:rsid w:val="00AB4EDF"/>
    <w:rsid w:val="00AB5843"/>
    <w:rsid w:val="00AC08BC"/>
    <w:rsid w:val="00AC7436"/>
    <w:rsid w:val="00AD7FB0"/>
    <w:rsid w:val="00AE3E2D"/>
    <w:rsid w:val="00AE43FC"/>
    <w:rsid w:val="00AE4BA1"/>
    <w:rsid w:val="00AE5668"/>
    <w:rsid w:val="00AE610F"/>
    <w:rsid w:val="00AE630C"/>
    <w:rsid w:val="00AF1A15"/>
    <w:rsid w:val="00AF3E5A"/>
    <w:rsid w:val="00AF3E69"/>
    <w:rsid w:val="00B04100"/>
    <w:rsid w:val="00B04AA5"/>
    <w:rsid w:val="00B1198F"/>
    <w:rsid w:val="00B14764"/>
    <w:rsid w:val="00B15442"/>
    <w:rsid w:val="00B15A14"/>
    <w:rsid w:val="00B22C36"/>
    <w:rsid w:val="00B25705"/>
    <w:rsid w:val="00B32150"/>
    <w:rsid w:val="00B32628"/>
    <w:rsid w:val="00B33F01"/>
    <w:rsid w:val="00B354DB"/>
    <w:rsid w:val="00B35DF9"/>
    <w:rsid w:val="00B37D51"/>
    <w:rsid w:val="00B41443"/>
    <w:rsid w:val="00B44C56"/>
    <w:rsid w:val="00B44F80"/>
    <w:rsid w:val="00B457B2"/>
    <w:rsid w:val="00B46836"/>
    <w:rsid w:val="00B476B0"/>
    <w:rsid w:val="00B5385D"/>
    <w:rsid w:val="00B54017"/>
    <w:rsid w:val="00B542A3"/>
    <w:rsid w:val="00B57CDB"/>
    <w:rsid w:val="00B60986"/>
    <w:rsid w:val="00B66F5B"/>
    <w:rsid w:val="00B72CC3"/>
    <w:rsid w:val="00B7427C"/>
    <w:rsid w:val="00B816C4"/>
    <w:rsid w:val="00B81935"/>
    <w:rsid w:val="00B830B0"/>
    <w:rsid w:val="00B837C0"/>
    <w:rsid w:val="00B90947"/>
    <w:rsid w:val="00B923FA"/>
    <w:rsid w:val="00B93D1E"/>
    <w:rsid w:val="00B97ED7"/>
    <w:rsid w:val="00BA5A4E"/>
    <w:rsid w:val="00BA6588"/>
    <w:rsid w:val="00BB19BB"/>
    <w:rsid w:val="00BB5093"/>
    <w:rsid w:val="00BB72B6"/>
    <w:rsid w:val="00BC0ABE"/>
    <w:rsid w:val="00BC0DDC"/>
    <w:rsid w:val="00BC5673"/>
    <w:rsid w:val="00BD0951"/>
    <w:rsid w:val="00BD46D4"/>
    <w:rsid w:val="00BE009A"/>
    <w:rsid w:val="00BE6BE3"/>
    <w:rsid w:val="00BF74CC"/>
    <w:rsid w:val="00C009A3"/>
    <w:rsid w:val="00C00D14"/>
    <w:rsid w:val="00C0102B"/>
    <w:rsid w:val="00C01056"/>
    <w:rsid w:val="00C03FBF"/>
    <w:rsid w:val="00C10BF0"/>
    <w:rsid w:val="00C17038"/>
    <w:rsid w:val="00C20C57"/>
    <w:rsid w:val="00C21DCA"/>
    <w:rsid w:val="00C23545"/>
    <w:rsid w:val="00C25741"/>
    <w:rsid w:val="00C31AEF"/>
    <w:rsid w:val="00C3218F"/>
    <w:rsid w:val="00C35472"/>
    <w:rsid w:val="00C40A97"/>
    <w:rsid w:val="00C42A69"/>
    <w:rsid w:val="00C47B0E"/>
    <w:rsid w:val="00C50572"/>
    <w:rsid w:val="00C51DF2"/>
    <w:rsid w:val="00C555AB"/>
    <w:rsid w:val="00C55AE6"/>
    <w:rsid w:val="00C571AC"/>
    <w:rsid w:val="00C6182E"/>
    <w:rsid w:val="00C655E6"/>
    <w:rsid w:val="00C661BC"/>
    <w:rsid w:val="00C67034"/>
    <w:rsid w:val="00C67844"/>
    <w:rsid w:val="00C711E5"/>
    <w:rsid w:val="00C71F50"/>
    <w:rsid w:val="00C7323C"/>
    <w:rsid w:val="00C757C4"/>
    <w:rsid w:val="00C76B1C"/>
    <w:rsid w:val="00C87740"/>
    <w:rsid w:val="00C945F7"/>
    <w:rsid w:val="00C9798E"/>
    <w:rsid w:val="00CA1D15"/>
    <w:rsid w:val="00CA22C0"/>
    <w:rsid w:val="00CB1685"/>
    <w:rsid w:val="00CC17E8"/>
    <w:rsid w:val="00CC4847"/>
    <w:rsid w:val="00CC6055"/>
    <w:rsid w:val="00CC6C67"/>
    <w:rsid w:val="00CD0D7D"/>
    <w:rsid w:val="00CD11D2"/>
    <w:rsid w:val="00CD2CD9"/>
    <w:rsid w:val="00CD2ECF"/>
    <w:rsid w:val="00CD31B3"/>
    <w:rsid w:val="00CD4B88"/>
    <w:rsid w:val="00CD7EC9"/>
    <w:rsid w:val="00CE451B"/>
    <w:rsid w:val="00CF1E54"/>
    <w:rsid w:val="00CF2CD1"/>
    <w:rsid w:val="00CF3B0B"/>
    <w:rsid w:val="00D00E1F"/>
    <w:rsid w:val="00D02323"/>
    <w:rsid w:val="00D033B4"/>
    <w:rsid w:val="00D071A4"/>
    <w:rsid w:val="00D07615"/>
    <w:rsid w:val="00D151FA"/>
    <w:rsid w:val="00D363C0"/>
    <w:rsid w:val="00D630F3"/>
    <w:rsid w:val="00D64A40"/>
    <w:rsid w:val="00D67E11"/>
    <w:rsid w:val="00D67E44"/>
    <w:rsid w:val="00D703A7"/>
    <w:rsid w:val="00D71BDF"/>
    <w:rsid w:val="00D774AF"/>
    <w:rsid w:val="00D80267"/>
    <w:rsid w:val="00D80387"/>
    <w:rsid w:val="00D8587A"/>
    <w:rsid w:val="00D91401"/>
    <w:rsid w:val="00D919C6"/>
    <w:rsid w:val="00D93B16"/>
    <w:rsid w:val="00D976CD"/>
    <w:rsid w:val="00DB4024"/>
    <w:rsid w:val="00DB7897"/>
    <w:rsid w:val="00DC1856"/>
    <w:rsid w:val="00DC43D6"/>
    <w:rsid w:val="00DC7675"/>
    <w:rsid w:val="00DD190E"/>
    <w:rsid w:val="00DE4331"/>
    <w:rsid w:val="00DE7E82"/>
    <w:rsid w:val="00DF0101"/>
    <w:rsid w:val="00DF015E"/>
    <w:rsid w:val="00DF3A04"/>
    <w:rsid w:val="00DF73D9"/>
    <w:rsid w:val="00DF768F"/>
    <w:rsid w:val="00E00177"/>
    <w:rsid w:val="00E00AC1"/>
    <w:rsid w:val="00E02CA1"/>
    <w:rsid w:val="00E07D02"/>
    <w:rsid w:val="00E11AE9"/>
    <w:rsid w:val="00E127A6"/>
    <w:rsid w:val="00E22AC9"/>
    <w:rsid w:val="00E2786D"/>
    <w:rsid w:val="00E30972"/>
    <w:rsid w:val="00E30DE7"/>
    <w:rsid w:val="00E3159E"/>
    <w:rsid w:val="00E33ECE"/>
    <w:rsid w:val="00E35ECB"/>
    <w:rsid w:val="00E36ADE"/>
    <w:rsid w:val="00E407D8"/>
    <w:rsid w:val="00E44D88"/>
    <w:rsid w:val="00E47112"/>
    <w:rsid w:val="00E5111B"/>
    <w:rsid w:val="00E52936"/>
    <w:rsid w:val="00E55985"/>
    <w:rsid w:val="00E5719C"/>
    <w:rsid w:val="00E605DC"/>
    <w:rsid w:val="00E61193"/>
    <w:rsid w:val="00E663AB"/>
    <w:rsid w:val="00E77727"/>
    <w:rsid w:val="00E8012E"/>
    <w:rsid w:val="00E821A9"/>
    <w:rsid w:val="00E86701"/>
    <w:rsid w:val="00E900DB"/>
    <w:rsid w:val="00E90AA1"/>
    <w:rsid w:val="00E91920"/>
    <w:rsid w:val="00E92277"/>
    <w:rsid w:val="00E945E9"/>
    <w:rsid w:val="00E95F0F"/>
    <w:rsid w:val="00E96E7B"/>
    <w:rsid w:val="00EA4D8D"/>
    <w:rsid w:val="00EA6989"/>
    <w:rsid w:val="00EB0056"/>
    <w:rsid w:val="00EB1A00"/>
    <w:rsid w:val="00EB7BE0"/>
    <w:rsid w:val="00EB7C99"/>
    <w:rsid w:val="00EC3316"/>
    <w:rsid w:val="00ED11FC"/>
    <w:rsid w:val="00ED1F1E"/>
    <w:rsid w:val="00ED3337"/>
    <w:rsid w:val="00ED6BEB"/>
    <w:rsid w:val="00EE655A"/>
    <w:rsid w:val="00EF6765"/>
    <w:rsid w:val="00EF763D"/>
    <w:rsid w:val="00F04A9D"/>
    <w:rsid w:val="00F05B47"/>
    <w:rsid w:val="00F12938"/>
    <w:rsid w:val="00F135D6"/>
    <w:rsid w:val="00F1462A"/>
    <w:rsid w:val="00F177A3"/>
    <w:rsid w:val="00F23CAF"/>
    <w:rsid w:val="00F27583"/>
    <w:rsid w:val="00F35542"/>
    <w:rsid w:val="00F37E11"/>
    <w:rsid w:val="00F40B0C"/>
    <w:rsid w:val="00F41544"/>
    <w:rsid w:val="00F4336D"/>
    <w:rsid w:val="00F45E06"/>
    <w:rsid w:val="00F50E7E"/>
    <w:rsid w:val="00F53A69"/>
    <w:rsid w:val="00F61EC5"/>
    <w:rsid w:val="00F6403F"/>
    <w:rsid w:val="00F66802"/>
    <w:rsid w:val="00F71C75"/>
    <w:rsid w:val="00F76017"/>
    <w:rsid w:val="00F90652"/>
    <w:rsid w:val="00F95445"/>
    <w:rsid w:val="00F97A81"/>
    <w:rsid w:val="00FA00F3"/>
    <w:rsid w:val="00FA1627"/>
    <w:rsid w:val="00FA4B29"/>
    <w:rsid w:val="00FB24B6"/>
    <w:rsid w:val="00FB2E10"/>
    <w:rsid w:val="00FB3A4D"/>
    <w:rsid w:val="00FB4093"/>
    <w:rsid w:val="00FB4D7D"/>
    <w:rsid w:val="00FC026C"/>
    <w:rsid w:val="00FC74E7"/>
    <w:rsid w:val="00FD0736"/>
    <w:rsid w:val="00FD5B49"/>
    <w:rsid w:val="00FD6D75"/>
    <w:rsid w:val="00FE15E7"/>
    <w:rsid w:val="00FE1831"/>
    <w:rsid w:val="00FE4616"/>
    <w:rsid w:val="00FE55EC"/>
    <w:rsid w:val="00FE5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4A43"/>
  <w15:chartTrackingRefBased/>
  <w15:docId w15:val="{86A0E7CD-7E5D-41E8-A22A-5286248C8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34E"/>
    <w:rPr>
      <w:rFonts w:ascii="Times New Roman" w:hAnsi="Times New Roman"/>
    </w:rPr>
  </w:style>
  <w:style w:type="paragraph" w:styleId="Heading1">
    <w:name w:val="heading 1"/>
    <w:basedOn w:val="Normal"/>
    <w:next w:val="Normal"/>
    <w:link w:val="Heading1Char"/>
    <w:uiPriority w:val="9"/>
    <w:qFormat/>
    <w:rsid w:val="001A734E"/>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1A734E"/>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34E"/>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1A734E"/>
    <w:rPr>
      <w:rFonts w:ascii="Times New Roman" w:eastAsiaTheme="majorEastAsia" w:hAnsi="Times New Roman" w:cstheme="majorBidi"/>
      <w:b/>
      <w:color w:val="2F5496" w:themeColor="accent1" w:themeShade="BF"/>
      <w:sz w:val="26"/>
      <w:szCs w:val="26"/>
      <w:u w:val="single"/>
    </w:rPr>
  </w:style>
  <w:style w:type="paragraph" w:styleId="ListParagraph">
    <w:name w:val="List Paragraph"/>
    <w:basedOn w:val="Normal"/>
    <w:uiPriority w:val="34"/>
    <w:qFormat/>
    <w:rsid w:val="009F3BE0"/>
    <w:pPr>
      <w:ind w:left="720"/>
      <w:contextualSpacing/>
    </w:pPr>
  </w:style>
  <w:style w:type="paragraph" w:styleId="Caption">
    <w:name w:val="caption"/>
    <w:basedOn w:val="Normal"/>
    <w:next w:val="Normal"/>
    <w:uiPriority w:val="35"/>
    <w:unhideWhenUsed/>
    <w:qFormat/>
    <w:rsid w:val="00E5111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65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FD"/>
    <w:rPr>
      <w:rFonts w:ascii="Times New Roman" w:hAnsi="Times New Roman"/>
    </w:rPr>
  </w:style>
  <w:style w:type="paragraph" w:styleId="Footer">
    <w:name w:val="footer"/>
    <w:basedOn w:val="Normal"/>
    <w:link w:val="FooterChar"/>
    <w:uiPriority w:val="99"/>
    <w:unhideWhenUsed/>
    <w:rsid w:val="00065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FD"/>
    <w:rPr>
      <w:rFonts w:ascii="Times New Roman" w:hAnsi="Times New Roman"/>
    </w:rPr>
  </w:style>
  <w:style w:type="paragraph" w:styleId="TOCHeading">
    <w:name w:val="TOC Heading"/>
    <w:basedOn w:val="Heading1"/>
    <w:next w:val="Normal"/>
    <w:uiPriority w:val="39"/>
    <w:unhideWhenUsed/>
    <w:qFormat/>
    <w:rsid w:val="0095378A"/>
    <w:pPr>
      <w:outlineLvl w:val="9"/>
    </w:pPr>
    <w:rPr>
      <w:rFonts w:asciiTheme="majorHAnsi" w:hAnsiTheme="majorHAnsi"/>
      <w:b w:val="0"/>
      <w:u w:val="none"/>
      <w:lang w:val="en-US"/>
    </w:rPr>
  </w:style>
  <w:style w:type="paragraph" w:styleId="TOC1">
    <w:name w:val="toc 1"/>
    <w:basedOn w:val="Normal"/>
    <w:next w:val="Normal"/>
    <w:autoRedefine/>
    <w:uiPriority w:val="39"/>
    <w:unhideWhenUsed/>
    <w:rsid w:val="0095378A"/>
    <w:pPr>
      <w:spacing w:after="100"/>
    </w:pPr>
  </w:style>
  <w:style w:type="paragraph" w:styleId="TOC2">
    <w:name w:val="toc 2"/>
    <w:basedOn w:val="Normal"/>
    <w:next w:val="Normal"/>
    <w:autoRedefine/>
    <w:uiPriority w:val="39"/>
    <w:unhideWhenUsed/>
    <w:rsid w:val="0095378A"/>
    <w:pPr>
      <w:spacing w:after="100"/>
      <w:ind w:left="220"/>
    </w:pPr>
  </w:style>
  <w:style w:type="character" w:styleId="Hyperlink">
    <w:name w:val="Hyperlink"/>
    <w:basedOn w:val="DefaultParagraphFont"/>
    <w:uiPriority w:val="99"/>
    <w:unhideWhenUsed/>
    <w:rsid w:val="0095378A"/>
    <w:rPr>
      <w:color w:val="0563C1" w:themeColor="hyperlink"/>
      <w:u w:val="single"/>
    </w:rPr>
  </w:style>
  <w:style w:type="paragraph" w:styleId="Bibliography">
    <w:name w:val="Bibliography"/>
    <w:basedOn w:val="Normal"/>
    <w:next w:val="Normal"/>
    <w:uiPriority w:val="37"/>
    <w:unhideWhenUsed/>
    <w:rsid w:val="005A7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52">
      <w:bodyDiv w:val="1"/>
      <w:marLeft w:val="0"/>
      <w:marRight w:val="0"/>
      <w:marTop w:val="0"/>
      <w:marBottom w:val="0"/>
      <w:divBdr>
        <w:top w:val="none" w:sz="0" w:space="0" w:color="auto"/>
        <w:left w:val="none" w:sz="0" w:space="0" w:color="auto"/>
        <w:bottom w:val="none" w:sz="0" w:space="0" w:color="auto"/>
        <w:right w:val="none" w:sz="0" w:space="0" w:color="auto"/>
      </w:divBdr>
    </w:div>
    <w:div w:id="94448245">
      <w:bodyDiv w:val="1"/>
      <w:marLeft w:val="0"/>
      <w:marRight w:val="0"/>
      <w:marTop w:val="0"/>
      <w:marBottom w:val="0"/>
      <w:divBdr>
        <w:top w:val="none" w:sz="0" w:space="0" w:color="auto"/>
        <w:left w:val="none" w:sz="0" w:space="0" w:color="auto"/>
        <w:bottom w:val="none" w:sz="0" w:space="0" w:color="auto"/>
        <w:right w:val="none" w:sz="0" w:space="0" w:color="auto"/>
      </w:divBdr>
    </w:div>
    <w:div w:id="103960496">
      <w:bodyDiv w:val="1"/>
      <w:marLeft w:val="0"/>
      <w:marRight w:val="0"/>
      <w:marTop w:val="0"/>
      <w:marBottom w:val="0"/>
      <w:divBdr>
        <w:top w:val="none" w:sz="0" w:space="0" w:color="auto"/>
        <w:left w:val="none" w:sz="0" w:space="0" w:color="auto"/>
        <w:bottom w:val="none" w:sz="0" w:space="0" w:color="auto"/>
        <w:right w:val="none" w:sz="0" w:space="0" w:color="auto"/>
      </w:divBdr>
    </w:div>
    <w:div w:id="110050362">
      <w:bodyDiv w:val="1"/>
      <w:marLeft w:val="0"/>
      <w:marRight w:val="0"/>
      <w:marTop w:val="0"/>
      <w:marBottom w:val="0"/>
      <w:divBdr>
        <w:top w:val="none" w:sz="0" w:space="0" w:color="auto"/>
        <w:left w:val="none" w:sz="0" w:space="0" w:color="auto"/>
        <w:bottom w:val="none" w:sz="0" w:space="0" w:color="auto"/>
        <w:right w:val="none" w:sz="0" w:space="0" w:color="auto"/>
      </w:divBdr>
    </w:div>
    <w:div w:id="122161798">
      <w:bodyDiv w:val="1"/>
      <w:marLeft w:val="0"/>
      <w:marRight w:val="0"/>
      <w:marTop w:val="0"/>
      <w:marBottom w:val="0"/>
      <w:divBdr>
        <w:top w:val="none" w:sz="0" w:space="0" w:color="auto"/>
        <w:left w:val="none" w:sz="0" w:space="0" w:color="auto"/>
        <w:bottom w:val="none" w:sz="0" w:space="0" w:color="auto"/>
        <w:right w:val="none" w:sz="0" w:space="0" w:color="auto"/>
      </w:divBdr>
    </w:div>
    <w:div w:id="206181172">
      <w:bodyDiv w:val="1"/>
      <w:marLeft w:val="0"/>
      <w:marRight w:val="0"/>
      <w:marTop w:val="0"/>
      <w:marBottom w:val="0"/>
      <w:divBdr>
        <w:top w:val="none" w:sz="0" w:space="0" w:color="auto"/>
        <w:left w:val="none" w:sz="0" w:space="0" w:color="auto"/>
        <w:bottom w:val="none" w:sz="0" w:space="0" w:color="auto"/>
        <w:right w:val="none" w:sz="0" w:space="0" w:color="auto"/>
      </w:divBdr>
    </w:div>
    <w:div w:id="262687368">
      <w:bodyDiv w:val="1"/>
      <w:marLeft w:val="0"/>
      <w:marRight w:val="0"/>
      <w:marTop w:val="0"/>
      <w:marBottom w:val="0"/>
      <w:divBdr>
        <w:top w:val="none" w:sz="0" w:space="0" w:color="auto"/>
        <w:left w:val="none" w:sz="0" w:space="0" w:color="auto"/>
        <w:bottom w:val="none" w:sz="0" w:space="0" w:color="auto"/>
        <w:right w:val="none" w:sz="0" w:space="0" w:color="auto"/>
      </w:divBdr>
    </w:div>
    <w:div w:id="263149254">
      <w:bodyDiv w:val="1"/>
      <w:marLeft w:val="0"/>
      <w:marRight w:val="0"/>
      <w:marTop w:val="0"/>
      <w:marBottom w:val="0"/>
      <w:divBdr>
        <w:top w:val="none" w:sz="0" w:space="0" w:color="auto"/>
        <w:left w:val="none" w:sz="0" w:space="0" w:color="auto"/>
        <w:bottom w:val="none" w:sz="0" w:space="0" w:color="auto"/>
        <w:right w:val="none" w:sz="0" w:space="0" w:color="auto"/>
      </w:divBdr>
    </w:div>
    <w:div w:id="281228989">
      <w:bodyDiv w:val="1"/>
      <w:marLeft w:val="0"/>
      <w:marRight w:val="0"/>
      <w:marTop w:val="0"/>
      <w:marBottom w:val="0"/>
      <w:divBdr>
        <w:top w:val="none" w:sz="0" w:space="0" w:color="auto"/>
        <w:left w:val="none" w:sz="0" w:space="0" w:color="auto"/>
        <w:bottom w:val="none" w:sz="0" w:space="0" w:color="auto"/>
        <w:right w:val="none" w:sz="0" w:space="0" w:color="auto"/>
      </w:divBdr>
    </w:div>
    <w:div w:id="398137244">
      <w:bodyDiv w:val="1"/>
      <w:marLeft w:val="0"/>
      <w:marRight w:val="0"/>
      <w:marTop w:val="0"/>
      <w:marBottom w:val="0"/>
      <w:divBdr>
        <w:top w:val="none" w:sz="0" w:space="0" w:color="auto"/>
        <w:left w:val="none" w:sz="0" w:space="0" w:color="auto"/>
        <w:bottom w:val="none" w:sz="0" w:space="0" w:color="auto"/>
        <w:right w:val="none" w:sz="0" w:space="0" w:color="auto"/>
      </w:divBdr>
    </w:div>
    <w:div w:id="425081259">
      <w:bodyDiv w:val="1"/>
      <w:marLeft w:val="0"/>
      <w:marRight w:val="0"/>
      <w:marTop w:val="0"/>
      <w:marBottom w:val="0"/>
      <w:divBdr>
        <w:top w:val="none" w:sz="0" w:space="0" w:color="auto"/>
        <w:left w:val="none" w:sz="0" w:space="0" w:color="auto"/>
        <w:bottom w:val="none" w:sz="0" w:space="0" w:color="auto"/>
        <w:right w:val="none" w:sz="0" w:space="0" w:color="auto"/>
      </w:divBdr>
    </w:div>
    <w:div w:id="455410706">
      <w:bodyDiv w:val="1"/>
      <w:marLeft w:val="0"/>
      <w:marRight w:val="0"/>
      <w:marTop w:val="0"/>
      <w:marBottom w:val="0"/>
      <w:divBdr>
        <w:top w:val="none" w:sz="0" w:space="0" w:color="auto"/>
        <w:left w:val="none" w:sz="0" w:space="0" w:color="auto"/>
        <w:bottom w:val="none" w:sz="0" w:space="0" w:color="auto"/>
        <w:right w:val="none" w:sz="0" w:space="0" w:color="auto"/>
      </w:divBdr>
    </w:div>
    <w:div w:id="471676807">
      <w:bodyDiv w:val="1"/>
      <w:marLeft w:val="0"/>
      <w:marRight w:val="0"/>
      <w:marTop w:val="0"/>
      <w:marBottom w:val="0"/>
      <w:divBdr>
        <w:top w:val="none" w:sz="0" w:space="0" w:color="auto"/>
        <w:left w:val="none" w:sz="0" w:space="0" w:color="auto"/>
        <w:bottom w:val="none" w:sz="0" w:space="0" w:color="auto"/>
        <w:right w:val="none" w:sz="0" w:space="0" w:color="auto"/>
      </w:divBdr>
    </w:div>
    <w:div w:id="511341285">
      <w:bodyDiv w:val="1"/>
      <w:marLeft w:val="0"/>
      <w:marRight w:val="0"/>
      <w:marTop w:val="0"/>
      <w:marBottom w:val="0"/>
      <w:divBdr>
        <w:top w:val="none" w:sz="0" w:space="0" w:color="auto"/>
        <w:left w:val="none" w:sz="0" w:space="0" w:color="auto"/>
        <w:bottom w:val="none" w:sz="0" w:space="0" w:color="auto"/>
        <w:right w:val="none" w:sz="0" w:space="0" w:color="auto"/>
      </w:divBdr>
    </w:div>
    <w:div w:id="674189975">
      <w:bodyDiv w:val="1"/>
      <w:marLeft w:val="0"/>
      <w:marRight w:val="0"/>
      <w:marTop w:val="0"/>
      <w:marBottom w:val="0"/>
      <w:divBdr>
        <w:top w:val="none" w:sz="0" w:space="0" w:color="auto"/>
        <w:left w:val="none" w:sz="0" w:space="0" w:color="auto"/>
        <w:bottom w:val="none" w:sz="0" w:space="0" w:color="auto"/>
        <w:right w:val="none" w:sz="0" w:space="0" w:color="auto"/>
      </w:divBdr>
    </w:div>
    <w:div w:id="682976592">
      <w:bodyDiv w:val="1"/>
      <w:marLeft w:val="0"/>
      <w:marRight w:val="0"/>
      <w:marTop w:val="0"/>
      <w:marBottom w:val="0"/>
      <w:divBdr>
        <w:top w:val="none" w:sz="0" w:space="0" w:color="auto"/>
        <w:left w:val="none" w:sz="0" w:space="0" w:color="auto"/>
        <w:bottom w:val="none" w:sz="0" w:space="0" w:color="auto"/>
        <w:right w:val="none" w:sz="0" w:space="0" w:color="auto"/>
      </w:divBdr>
    </w:div>
    <w:div w:id="687802941">
      <w:bodyDiv w:val="1"/>
      <w:marLeft w:val="0"/>
      <w:marRight w:val="0"/>
      <w:marTop w:val="0"/>
      <w:marBottom w:val="0"/>
      <w:divBdr>
        <w:top w:val="none" w:sz="0" w:space="0" w:color="auto"/>
        <w:left w:val="none" w:sz="0" w:space="0" w:color="auto"/>
        <w:bottom w:val="none" w:sz="0" w:space="0" w:color="auto"/>
        <w:right w:val="none" w:sz="0" w:space="0" w:color="auto"/>
      </w:divBdr>
    </w:div>
    <w:div w:id="689186172">
      <w:bodyDiv w:val="1"/>
      <w:marLeft w:val="0"/>
      <w:marRight w:val="0"/>
      <w:marTop w:val="0"/>
      <w:marBottom w:val="0"/>
      <w:divBdr>
        <w:top w:val="none" w:sz="0" w:space="0" w:color="auto"/>
        <w:left w:val="none" w:sz="0" w:space="0" w:color="auto"/>
        <w:bottom w:val="none" w:sz="0" w:space="0" w:color="auto"/>
        <w:right w:val="none" w:sz="0" w:space="0" w:color="auto"/>
      </w:divBdr>
    </w:div>
    <w:div w:id="723989344">
      <w:bodyDiv w:val="1"/>
      <w:marLeft w:val="0"/>
      <w:marRight w:val="0"/>
      <w:marTop w:val="0"/>
      <w:marBottom w:val="0"/>
      <w:divBdr>
        <w:top w:val="none" w:sz="0" w:space="0" w:color="auto"/>
        <w:left w:val="none" w:sz="0" w:space="0" w:color="auto"/>
        <w:bottom w:val="none" w:sz="0" w:space="0" w:color="auto"/>
        <w:right w:val="none" w:sz="0" w:space="0" w:color="auto"/>
      </w:divBdr>
    </w:div>
    <w:div w:id="725419203">
      <w:bodyDiv w:val="1"/>
      <w:marLeft w:val="0"/>
      <w:marRight w:val="0"/>
      <w:marTop w:val="0"/>
      <w:marBottom w:val="0"/>
      <w:divBdr>
        <w:top w:val="none" w:sz="0" w:space="0" w:color="auto"/>
        <w:left w:val="none" w:sz="0" w:space="0" w:color="auto"/>
        <w:bottom w:val="none" w:sz="0" w:space="0" w:color="auto"/>
        <w:right w:val="none" w:sz="0" w:space="0" w:color="auto"/>
      </w:divBdr>
    </w:div>
    <w:div w:id="762458302">
      <w:bodyDiv w:val="1"/>
      <w:marLeft w:val="0"/>
      <w:marRight w:val="0"/>
      <w:marTop w:val="0"/>
      <w:marBottom w:val="0"/>
      <w:divBdr>
        <w:top w:val="none" w:sz="0" w:space="0" w:color="auto"/>
        <w:left w:val="none" w:sz="0" w:space="0" w:color="auto"/>
        <w:bottom w:val="none" w:sz="0" w:space="0" w:color="auto"/>
        <w:right w:val="none" w:sz="0" w:space="0" w:color="auto"/>
      </w:divBdr>
    </w:div>
    <w:div w:id="769473178">
      <w:bodyDiv w:val="1"/>
      <w:marLeft w:val="0"/>
      <w:marRight w:val="0"/>
      <w:marTop w:val="0"/>
      <w:marBottom w:val="0"/>
      <w:divBdr>
        <w:top w:val="none" w:sz="0" w:space="0" w:color="auto"/>
        <w:left w:val="none" w:sz="0" w:space="0" w:color="auto"/>
        <w:bottom w:val="none" w:sz="0" w:space="0" w:color="auto"/>
        <w:right w:val="none" w:sz="0" w:space="0" w:color="auto"/>
      </w:divBdr>
    </w:div>
    <w:div w:id="788816695">
      <w:bodyDiv w:val="1"/>
      <w:marLeft w:val="0"/>
      <w:marRight w:val="0"/>
      <w:marTop w:val="0"/>
      <w:marBottom w:val="0"/>
      <w:divBdr>
        <w:top w:val="none" w:sz="0" w:space="0" w:color="auto"/>
        <w:left w:val="none" w:sz="0" w:space="0" w:color="auto"/>
        <w:bottom w:val="none" w:sz="0" w:space="0" w:color="auto"/>
        <w:right w:val="none" w:sz="0" w:space="0" w:color="auto"/>
      </w:divBdr>
    </w:div>
    <w:div w:id="806969813">
      <w:bodyDiv w:val="1"/>
      <w:marLeft w:val="0"/>
      <w:marRight w:val="0"/>
      <w:marTop w:val="0"/>
      <w:marBottom w:val="0"/>
      <w:divBdr>
        <w:top w:val="none" w:sz="0" w:space="0" w:color="auto"/>
        <w:left w:val="none" w:sz="0" w:space="0" w:color="auto"/>
        <w:bottom w:val="none" w:sz="0" w:space="0" w:color="auto"/>
        <w:right w:val="none" w:sz="0" w:space="0" w:color="auto"/>
      </w:divBdr>
    </w:div>
    <w:div w:id="914822420">
      <w:bodyDiv w:val="1"/>
      <w:marLeft w:val="0"/>
      <w:marRight w:val="0"/>
      <w:marTop w:val="0"/>
      <w:marBottom w:val="0"/>
      <w:divBdr>
        <w:top w:val="none" w:sz="0" w:space="0" w:color="auto"/>
        <w:left w:val="none" w:sz="0" w:space="0" w:color="auto"/>
        <w:bottom w:val="none" w:sz="0" w:space="0" w:color="auto"/>
        <w:right w:val="none" w:sz="0" w:space="0" w:color="auto"/>
      </w:divBdr>
    </w:div>
    <w:div w:id="991367938">
      <w:bodyDiv w:val="1"/>
      <w:marLeft w:val="0"/>
      <w:marRight w:val="0"/>
      <w:marTop w:val="0"/>
      <w:marBottom w:val="0"/>
      <w:divBdr>
        <w:top w:val="none" w:sz="0" w:space="0" w:color="auto"/>
        <w:left w:val="none" w:sz="0" w:space="0" w:color="auto"/>
        <w:bottom w:val="none" w:sz="0" w:space="0" w:color="auto"/>
        <w:right w:val="none" w:sz="0" w:space="0" w:color="auto"/>
      </w:divBdr>
    </w:div>
    <w:div w:id="1020543638">
      <w:bodyDiv w:val="1"/>
      <w:marLeft w:val="0"/>
      <w:marRight w:val="0"/>
      <w:marTop w:val="0"/>
      <w:marBottom w:val="0"/>
      <w:divBdr>
        <w:top w:val="none" w:sz="0" w:space="0" w:color="auto"/>
        <w:left w:val="none" w:sz="0" w:space="0" w:color="auto"/>
        <w:bottom w:val="none" w:sz="0" w:space="0" w:color="auto"/>
        <w:right w:val="none" w:sz="0" w:space="0" w:color="auto"/>
      </w:divBdr>
    </w:div>
    <w:div w:id="1082261604">
      <w:bodyDiv w:val="1"/>
      <w:marLeft w:val="0"/>
      <w:marRight w:val="0"/>
      <w:marTop w:val="0"/>
      <w:marBottom w:val="0"/>
      <w:divBdr>
        <w:top w:val="none" w:sz="0" w:space="0" w:color="auto"/>
        <w:left w:val="none" w:sz="0" w:space="0" w:color="auto"/>
        <w:bottom w:val="none" w:sz="0" w:space="0" w:color="auto"/>
        <w:right w:val="none" w:sz="0" w:space="0" w:color="auto"/>
      </w:divBdr>
    </w:div>
    <w:div w:id="1101797494">
      <w:bodyDiv w:val="1"/>
      <w:marLeft w:val="0"/>
      <w:marRight w:val="0"/>
      <w:marTop w:val="0"/>
      <w:marBottom w:val="0"/>
      <w:divBdr>
        <w:top w:val="none" w:sz="0" w:space="0" w:color="auto"/>
        <w:left w:val="none" w:sz="0" w:space="0" w:color="auto"/>
        <w:bottom w:val="none" w:sz="0" w:space="0" w:color="auto"/>
        <w:right w:val="none" w:sz="0" w:space="0" w:color="auto"/>
      </w:divBdr>
    </w:div>
    <w:div w:id="1163933565">
      <w:bodyDiv w:val="1"/>
      <w:marLeft w:val="0"/>
      <w:marRight w:val="0"/>
      <w:marTop w:val="0"/>
      <w:marBottom w:val="0"/>
      <w:divBdr>
        <w:top w:val="none" w:sz="0" w:space="0" w:color="auto"/>
        <w:left w:val="none" w:sz="0" w:space="0" w:color="auto"/>
        <w:bottom w:val="none" w:sz="0" w:space="0" w:color="auto"/>
        <w:right w:val="none" w:sz="0" w:space="0" w:color="auto"/>
      </w:divBdr>
    </w:div>
    <w:div w:id="1185024324">
      <w:bodyDiv w:val="1"/>
      <w:marLeft w:val="0"/>
      <w:marRight w:val="0"/>
      <w:marTop w:val="0"/>
      <w:marBottom w:val="0"/>
      <w:divBdr>
        <w:top w:val="none" w:sz="0" w:space="0" w:color="auto"/>
        <w:left w:val="none" w:sz="0" w:space="0" w:color="auto"/>
        <w:bottom w:val="none" w:sz="0" w:space="0" w:color="auto"/>
        <w:right w:val="none" w:sz="0" w:space="0" w:color="auto"/>
      </w:divBdr>
    </w:div>
    <w:div w:id="1200050232">
      <w:bodyDiv w:val="1"/>
      <w:marLeft w:val="0"/>
      <w:marRight w:val="0"/>
      <w:marTop w:val="0"/>
      <w:marBottom w:val="0"/>
      <w:divBdr>
        <w:top w:val="none" w:sz="0" w:space="0" w:color="auto"/>
        <w:left w:val="none" w:sz="0" w:space="0" w:color="auto"/>
        <w:bottom w:val="none" w:sz="0" w:space="0" w:color="auto"/>
        <w:right w:val="none" w:sz="0" w:space="0" w:color="auto"/>
      </w:divBdr>
    </w:div>
    <w:div w:id="1221211114">
      <w:bodyDiv w:val="1"/>
      <w:marLeft w:val="0"/>
      <w:marRight w:val="0"/>
      <w:marTop w:val="0"/>
      <w:marBottom w:val="0"/>
      <w:divBdr>
        <w:top w:val="none" w:sz="0" w:space="0" w:color="auto"/>
        <w:left w:val="none" w:sz="0" w:space="0" w:color="auto"/>
        <w:bottom w:val="none" w:sz="0" w:space="0" w:color="auto"/>
        <w:right w:val="none" w:sz="0" w:space="0" w:color="auto"/>
      </w:divBdr>
    </w:div>
    <w:div w:id="1225796874">
      <w:bodyDiv w:val="1"/>
      <w:marLeft w:val="0"/>
      <w:marRight w:val="0"/>
      <w:marTop w:val="0"/>
      <w:marBottom w:val="0"/>
      <w:divBdr>
        <w:top w:val="none" w:sz="0" w:space="0" w:color="auto"/>
        <w:left w:val="none" w:sz="0" w:space="0" w:color="auto"/>
        <w:bottom w:val="none" w:sz="0" w:space="0" w:color="auto"/>
        <w:right w:val="none" w:sz="0" w:space="0" w:color="auto"/>
      </w:divBdr>
    </w:div>
    <w:div w:id="1277834771">
      <w:bodyDiv w:val="1"/>
      <w:marLeft w:val="0"/>
      <w:marRight w:val="0"/>
      <w:marTop w:val="0"/>
      <w:marBottom w:val="0"/>
      <w:divBdr>
        <w:top w:val="none" w:sz="0" w:space="0" w:color="auto"/>
        <w:left w:val="none" w:sz="0" w:space="0" w:color="auto"/>
        <w:bottom w:val="none" w:sz="0" w:space="0" w:color="auto"/>
        <w:right w:val="none" w:sz="0" w:space="0" w:color="auto"/>
      </w:divBdr>
    </w:div>
    <w:div w:id="1284118056">
      <w:bodyDiv w:val="1"/>
      <w:marLeft w:val="0"/>
      <w:marRight w:val="0"/>
      <w:marTop w:val="0"/>
      <w:marBottom w:val="0"/>
      <w:divBdr>
        <w:top w:val="none" w:sz="0" w:space="0" w:color="auto"/>
        <w:left w:val="none" w:sz="0" w:space="0" w:color="auto"/>
        <w:bottom w:val="none" w:sz="0" w:space="0" w:color="auto"/>
        <w:right w:val="none" w:sz="0" w:space="0" w:color="auto"/>
      </w:divBdr>
    </w:div>
    <w:div w:id="1308631010">
      <w:bodyDiv w:val="1"/>
      <w:marLeft w:val="0"/>
      <w:marRight w:val="0"/>
      <w:marTop w:val="0"/>
      <w:marBottom w:val="0"/>
      <w:divBdr>
        <w:top w:val="none" w:sz="0" w:space="0" w:color="auto"/>
        <w:left w:val="none" w:sz="0" w:space="0" w:color="auto"/>
        <w:bottom w:val="none" w:sz="0" w:space="0" w:color="auto"/>
        <w:right w:val="none" w:sz="0" w:space="0" w:color="auto"/>
      </w:divBdr>
    </w:div>
    <w:div w:id="1337809450">
      <w:bodyDiv w:val="1"/>
      <w:marLeft w:val="0"/>
      <w:marRight w:val="0"/>
      <w:marTop w:val="0"/>
      <w:marBottom w:val="0"/>
      <w:divBdr>
        <w:top w:val="none" w:sz="0" w:space="0" w:color="auto"/>
        <w:left w:val="none" w:sz="0" w:space="0" w:color="auto"/>
        <w:bottom w:val="none" w:sz="0" w:space="0" w:color="auto"/>
        <w:right w:val="none" w:sz="0" w:space="0" w:color="auto"/>
      </w:divBdr>
    </w:div>
    <w:div w:id="1339430400">
      <w:bodyDiv w:val="1"/>
      <w:marLeft w:val="0"/>
      <w:marRight w:val="0"/>
      <w:marTop w:val="0"/>
      <w:marBottom w:val="0"/>
      <w:divBdr>
        <w:top w:val="none" w:sz="0" w:space="0" w:color="auto"/>
        <w:left w:val="none" w:sz="0" w:space="0" w:color="auto"/>
        <w:bottom w:val="none" w:sz="0" w:space="0" w:color="auto"/>
        <w:right w:val="none" w:sz="0" w:space="0" w:color="auto"/>
      </w:divBdr>
    </w:div>
    <w:div w:id="1372608440">
      <w:bodyDiv w:val="1"/>
      <w:marLeft w:val="0"/>
      <w:marRight w:val="0"/>
      <w:marTop w:val="0"/>
      <w:marBottom w:val="0"/>
      <w:divBdr>
        <w:top w:val="none" w:sz="0" w:space="0" w:color="auto"/>
        <w:left w:val="none" w:sz="0" w:space="0" w:color="auto"/>
        <w:bottom w:val="none" w:sz="0" w:space="0" w:color="auto"/>
        <w:right w:val="none" w:sz="0" w:space="0" w:color="auto"/>
      </w:divBdr>
    </w:div>
    <w:div w:id="1386876597">
      <w:bodyDiv w:val="1"/>
      <w:marLeft w:val="0"/>
      <w:marRight w:val="0"/>
      <w:marTop w:val="0"/>
      <w:marBottom w:val="0"/>
      <w:divBdr>
        <w:top w:val="none" w:sz="0" w:space="0" w:color="auto"/>
        <w:left w:val="none" w:sz="0" w:space="0" w:color="auto"/>
        <w:bottom w:val="none" w:sz="0" w:space="0" w:color="auto"/>
        <w:right w:val="none" w:sz="0" w:space="0" w:color="auto"/>
      </w:divBdr>
    </w:div>
    <w:div w:id="1483234205">
      <w:bodyDiv w:val="1"/>
      <w:marLeft w:val="0"/>
      <w:marRight w:val="0"/>
      <w:marTop w:val="0"/>
      <w:marBottom w:val="0"/>
      <w:divBdr>
        <w:top w:val="none" w:sz="0" w:space="0" w:color="auto"/>
        <w:left w:val="none" w:sz="0" w:space="0" w:color="auto"/>
        <w:bottom w:val="none" w:sz="0" w:space="0" w:color="auto"/>
        <w:right w:val="none" w:sz="0" w:space="0" w:color="auto"/>
      </w:divBdr>
    </w:div>
    <w:div w:id="1504776975">
      <w:bodyDiv w:val="1"/>
      <w:marLeft w:val="0"/>
      <w:marRight w:val="0"/>
      <w:marTop w:val="0"/>
      <w:marBottom w:val="0"/>
      <w:divBdr>
        <w:top w:val="none" w:sz="0" w:space="0" w:color="auto"/>
        <w:left w:val="none" w:sz="0" w:space="0" w:color="auto"/>
        <w:bottom w:val="none" w:sz="0" w:space="0" w:color="auto"/>
        <w:right w:val="none" w:sz="0" w:space="0" w:color="auto"/>
      </w:divBdr>
    </w:div>
    <w:div w:id="1529293003">
      <w:bodyDiv w:val="1"/>
      <w:marLeft w:val="0"/>
      <w:marRight w:val="0"/>
      <w:marTop w:val="0"/>
      <w:marBottom w:val="0"/>
      <w:divBdr>
        <w:top w:val="none" w:sz="0" w:space="0" w:color="auto"/>
        <w:left w:val="none" w:sz="0" w:space="0" w:color="auto"/>
        <w:bottom w:val="none" w:sz="0" w:space="0" w:color="auto"/>
        <w:right w:val="none" w:sz="0" w:space="0" w:color="auto"/>
      </w:divBdr>
    </w:div>
    <w:div w:id="1547641973">
      <w:bodyDiv w:val="1"/>
      <w:marLeft w:val="0"/>
      <w:marRight w:val="0"/>
      <w:marTop w:val="0"/>
      <w:marBottom w:val="0"/>
      <w:divBdr>
        <w:top w:val="none" w:sz="0" w:space="0" w:color="auto"/>
        <w:left w:val="none" w:sz="0" w:space="0" w:color="auto"/>
        <w:bottom w:val="none" w:sz="0" w:space="0" w:color="auto"/>
        <w:right w:val="none" w:sz="0" w:space="0" w:color="auto"/>
      </w:divBdr>
    </w:div>
    <w:div w:id="1614556237">
      <w:bodyDiv w:val="1"/>
      <w:marLeft w:val="0"/>
      <w:marRight w:val="0"/>
      <w:marTop w:val="0"/>
      <w:marBottom w:val="0"/>
      <w:divBdr>
        <w:top w:val="none" w:sz="0" w:space="0" w:color="auto"/>
        <w:left w:val="none" w:sz="0" w:space="0" w:color="auto"/>
        <w:bottom w:val="none" w:sz="0" w:space="0" w:color="auto"/>
        <w:right w:val="none" w:sz="0" w:space="0" w:color="auto"/>
      </w:divBdr>
    </w:div>
    <w:div w:id="1625117758">
      <w:bodyDiv w:val="1"/>
      <w:marLeft w:val="0"/>
      <w:marRight w:val="0"/>
      <w:marTop w:val="0"/>
      <w:marBottom w:val="0"/>
      <w:divBdr>
        <w:top w:val="none" w:sz="0" w:space="0" w:color="auto"/>
        <w:left w:val="none" w:sz="0" w:space="0" w:color="auto"/>
        <w:bottom w:val="none" w:sz="0" w:space="0" w:color="auto"/>
        <w:right w:val="none" w:sz="0" w:space="0" w:color="auto"/>
      </w:divBdr>
    </w:div>
    <w:div w:id="1641498019">
      <w:bodyDiv w:val="1"/>
      <w:marLeft w:val="0"/>
      <w:marRight w:val="0"/>
      <w:marTop w:val="0"/>
      <w:marBottom w:val="0"/>
      <w:divBdr>
        <w:top w:val="none" w:sz="0" w:space="0" w:color="auto"/>
        <w:left w:val="none" w:sz="0" w:space="0" w:color="auto"/>
        <w:bottom w:val="none" w:sz="0" w:space="0" w:color="auto"/>
        <w:right w:val="none" w:sz="0" w:space="0" w:color="auto"/>
      </w:divBdr>
    </w:div>
    <w:div w:id="1720203426">
      <w:bodyDiv w:val="1"/>
      <w:marLeft w:val="0"/>
      <w:marRight w:val="0"/>
      <w:marTop w:val="0"/>
      <w:marBottom w:val="0"/>
      <w:divBdr>
        <w:top w:val="none" w:sz="0" w:space="0" w:color="auto"/>
        <w:left w:val="none" w:sz="0" w:space="0" w:color="auto"/>
        <w:bottom w:val="none" w:sz="0" w:space="0" w:color="auto"/>
        <w:right w:val="none" w:sz="0" w:space="0" w:color="auto"/>
      </w:divBdr>
    </w:div>
    <w:div w:id="1722707735">
      <w:bodyDiv w:val="1"/>
      <w:marLeft w:val="0"/>
      <w:marRight w:val="0"/>
      <w:marTop w:val="0"/>
      <w:marBottom w:val="0"/>
      <w:divBdr>
        <w:top w:val="none" w:sz="0" w:space="0" w:color="auto"/>
        <w:left w:val="none" w:sz="0" w:space="0" w:color="auto"/>
        <w:bottom w:val="none" w:sz="0" w:space="0" w:color="auto"/>
        <w:right w:val="none" w:sz="0" w:space="0" w:color="auto"/>
      </w:divBdr>
    </w:div>
    <w:div w:id="1781485403">
      <w:bodyDiv w:val="1"/>
      <w:marLeft w:val="0"/>
      <w:marRight w:val="0"/>
      <w:marTop w:val="0"/>
      <w:marBottom w:val="0"/>
      <w:divBdr>
        <w:top w:val="none" w:sz="0" w:space="0" w:color="auto"/>
        <w:left w:val="none" w:sz="0" w:space="0" w:color="auto"/>
        <w:bottom w:val="none" w:sz="0" w:space="0" w:color="auto"/>
        <w:right w:val="none" w:sz="0" w:space="0" w:color="auto"/>
      </w:divBdr>
    </w:div>
    <w:div w:id="1811510049">
      <w:bodyDiv w:val="1"/>
      <w:marLeft w:val="0"/>
      <w:marRight w:val="0"/>
      <w:marTop w:val="0"/>
      <w:marBottom w:val="0"/>
      <w:divBdr>
        <w:top w:val="none" w:sz="0" w:space="0" w:color="auto"/>
        <w:left w:val="none" w:sz="0" w:space="0" w:color="auto"/>
        <w:bottom w:val="none" w:sz="0" w:space="0" w:color="auto"/>
        <w:right w:val="none" w:sz="0" w:space="0" w:color="auto"/>
      </w:divBdr>
    </w:div>
    <w:div w:id="1862279852">
      <w:bodyDiv w:val="1"/>
      <w:marLeft w:val="0"/>
      <w:marRight w:val="0"/>
      <w:marTop w:val="0"/>
      <w:marBottom w:val="0"/>
      <w:divBdr>
        <w:top w:val="none" w:sz="0" w:space="0" w:color="auto"/>
        <w:left w:val="none" w:sz="0" w:space="0" w:color="auto"/>
        <w:bottom w:val="none" w:sz="0" w:space="0" w:color="auto"/>
        <w:right w:val="none" w:sz="0" w:space="0" w:color="auto"/>
      </w:divBdr>
    </w:div>
    <w:div w:id="1867520502">
      <w:bodyDiv w:val="1"/>
      <w:marLeft w:val="0"/>
      <w:marRight w:val="0"/>
      <w:marTop w:val="0"/>
      <w:marBottom w:val="0"/>
      <w:divBdr>
        <w:top w:val="none" w:sz="0" w:space="0" w:color="auto"/>
        <w:left w:val="none" w:sz="0" w:space="0" w:color="auto"/>
        <w:bottom w:val="none" w:sz="0" w:space="0" w:color="auto"/>
        <w:right w:val="none" w:sz="0" w:space="0" w:color="auto"/>
      </w:divBdr>
    </w:div>
    <w:div w:id="1870753884">
      <w:bodyDiv w:val="1"/>
      <w:marLeft w:val="0"/>
      <w:marRight w:val="0"/>
      <w:marTop w:val="0"/>
      <w:marBottom w:val="0"/>
      <w:divBdr>
        <w:top w:val="none" w:sz="0" w:space="0" w:color="auto"/>
        <w:left w:val="none" w:sz="0" w:space="0" w:color="auto"/>
        <w:bottom w:val="none" w:sz="0" w:space="0" w:color="auto"/>
        <w:right w:val="none" w:sz="0" w:space="0" w:color="auto"/>
      </w:divBdr>
    </w:div>
    <w:div w:id="1938250186">
      <w:bodyDiv w:val="1"/>
      <w:marLeft w:val="0"/>
      <w:marRight w:val="0"/>
      <w:marTop w:val="0"/>
      <w:marBottom w:val="0"/>
      <w:divBdr>
        <w:top w:val="none" w:sz="0" w:space="0" w:color="auto"/>
        <w:left w:val="none" w:sz="0" w:space="0" w:color="auto"/>
        <w:bottom w:val="none" w:sz="0" w:space="0" w:color="auto"/>
        <w:right w:val="none" w:sz="0" w:space="0" w:color="auto"/>
      </w:divBdr>
    </w:div>
    <w:div w:id="2036689671">
      <w:bodyDiv w:val="1"/>
      <w:marLeft w:val="0"/>
      <w:marRight w:val="0"/>
      <w:marTop w:val="0"/>
      <w:marBottom w:val="0"/>
      <w:divBdr>
        <w:top w:val="none" w:sz="0" w:space="0" w:color="auto"/>
        <w:left w:val="none" w:sz="0" w:space="0" w:color="auto"/>
        <w:bottom w:val="none" w:sz="0" w:space="0" w:color="auto"/>
        <w:right w:val="none" w:sz="0" w:space="0" w:color="auto"/>
      </w:divBdr>
    </w:div>
    <w:div w:id="2076128312">
      <w:bodyDiv w:val="1"/>
      <w:marLeft w:val="0"/>
      <w:marRight w:val="0"/>
      <w:marTop w:val="0"/>
      <w:marBottom w:val="0"/>
      <w:divBdr>
        <w:top w:val="none" w:sz="0" w:space="0" w:color="auto"/>
        <w:left w:val="none" w:sz="0" w:space="0" w:color="auto"/>
        <w:bottom w:val="none" w:sz="0" w:space="0" w:color="auto"/>
        <w:right w:val="none" w:sz="0" w:space="0" w:color="auto"/>
      </w:divBdr>
    </w:div>
    <w:div w:id="2083289888">
      <w:bodyDiv w:val="1"/>
      <w:marLeft w:val="0"/>
      <w:marRight w:val="0"/>
      <w:marTop w:val="0"/>
      <w:marBottom w:val="0"/>
      <w:divBdr>
        <w:top w:val="none" w:sz="0" w:space="0" w:color="auto"/>
        <w:left w:val="none" w:sz="0" w:space="0" w:color="auto"/>
        <w:bottom w:val="none" w:sz="0" w:space="0" w:color="auto"/>
        <w:right w:val="none" w:sz="0" w:space="0" w:color="auto"/>
      </w:divBdr>
    </w:div>
    <w:div w:id="2092462477">
      <w:bodyDiv w:val="1"/>
      <w:marLeft w:val="0"/>
      <w:marRight w:val="0"/>
      <w:marTop w:val="0"/>
      <w:marBottom w:val="0"/>
      <w:divBdr>
        <w:top w:val="none" w:sz="0" w:space="0" w:color="auto"/>
        <w:left w:val="none" w:sz="0" w:space="0" w:color="auto"/>
        <w:bottom w:val="none" w:sz="0" w:space="0" w:color="auto"/>
        <w:right w:val="none" w:sz="0" w:space="0" w:color="auto"/>
      </w:divBdr>
    </w:div>
    <w:div w:id="214526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Ent14</b:Tag>
    <b:SourceType>JournalArticle</b:SourceType>
    <b:Guid>{2055141D-ED3A-4F00-BFB2-923791D552CD}</b:Guid>
    <b:Title>Desktop Virtualization to boost Singapore healthcare staff's productivity, mobility</b:Title>
    <b:Year>2014</b:Year>
    <b:Author>
      <b:Author>
        <b:NameList>
          <b:Person>
            <b:Last>Innovation</b:Last>
            <b:First>Enterprise</b:First>
          </b:Person>
          <b:Person>
            <b:Last>Newton</b:Last>
          </b:Person>
        </b:NameList>
      </b:Author>
    </b:Author>
    <b:JournalName>Cybercrime Market Mirrors Legit Market Growth: Study</b:JournalName>
    <b:RefOrder>8</b:RefOrder>
  </b:Source>
  <b:Source>
    <b:Tag>NHS22</b:Tag>
    <b:SourceType>InternetSite</b:SourceType>
    <b:Guid>{20DC1AB2-4FA8-453E-B34C-812DEBD297D5}</b:Guid>
    <b:Title>NHS Wales - About Us</b:Title>
    <b:ProductionCompany>NHS Wales</b:ProductionCompany>
    <b:YearAccessed>2022</b:YearAccessed>
    <b:MonthAccessed>May</b:MonthAccessed>
    <b:URL>https://www.wales.nhs.uk/nhswalesaboutus#:~:text=The%20NHS%20in%20Wales%20employs,of%20its%20total%20annual%20cost.</b:URL>
    <b:RefOrder>9</b:RefOrder>
  </b:Source>
  <b:Source>
    <b:Tag>Afi19</b:Tag>
    <b:SourceType>ArticleInAPeriodical</b:SourceType>
    <b:Guid>{F6C32F1A-564E-42E9-A506-7DE5CF82965C}</b:Guid>
    <b:Title>Everything you need to know about Citrix</b:Title>
    <b:Year>2019</b:Year>
    <b:Month>February</b:Month>
    <b:Author>
      <b:Author>
        <b:NameList>
          <b:Person>
            <b:Last>Afifi-Sabet</b:Last>
            <b:First>Keumars</b:First>
          </b:Person>
          <b:Person>
            <b:Last>Pro</b:Last>
            <b:First>IT</b:First>
          </b:Person>
        </b:NameList>
      </b:Author>
    </b:Author>
    <b:PeriodicalTitle>IT Pro</b:PeriodicalTitle>
    <b:RefOrder>6</b:RefOrder>
  </b:Source>
  <b:Source>
    <b:Tag>ITP22</b:Tag>
    <b:SourceType>InternetSite</b:SourceType>
    <b:Guid>{3318ACE5-B9F9-4C7C-A102-9AF8169E909B}</b:Guid>
    <b:Title>IT Pro - About Us</b:Title>
    <b:ProductionCompany>IT Pro</b:ProductionCompany>
    <b:YearAccessed>2022</b:YearAccessed>
    <b:MonthAccessed>May</b:MonthAccessed>
    <b:URL>https://www.itpro.co.uk/about-us</b:URL>
    <b:RefOrder>7</b:RefOrder>
  </b:Source>
  <b:Source>
    <b:Tag>Can22</b:Tag>
    <b:SourceType>InternetSite</b:SourceType>
    <b:Guid>{A1ABD2CA-599D-4C89-8919-52BDFBCC582F}</b:Guid>
    <b:Title>Cancer care records available to view in the Welsh Clinical Portal</b:Title>
    <b:ProductionCompany>DHCW</b:ProductionCompany>
    <b:YearAccessed>2022</b:YearAccessed>
    <b:MonthAccessed>May</b:MonthAccessed>
    <b:URL>https://dhcw.nhs.wales/news/archived-news/cancer-care-records-available-to-view-in-the-welsh-clinical-portal/</b:URL>
    <b:RefOrder>1</b:RefOrder>
  </b:Source>
  <b:Source>
    <b:Tag>Can18</b:Tag>
    <b:SourceType>Report</b:SourceType>
    <b:Guid>{2D678FA5-A52A-4FB5-B174-2B57D72BEBF9}</b:Guid>
    <b:Title>Cancer treatment at Velindre delayed by IT failures</b:Title>
    <b:Year>2018</b:Year>
    <b:Publisher>BBC</b:Publisher>
    <b:RefOrder>2</b:RefOrder>
  </b:Source>
  <b:Source>
    <b:Tag>Cit22</b:Tag>
    <b:SourceType>Report</b:SourceType>
    <b:Guid>{8AC726F3-EEC3-472C-A1BA-986A711CE25D}</b:Guid>
    <b:Title>Citrix Systems Inc</b:Title>
    <b:Year>2022</b:Year>
    <b:Publisher>Hoover's Company Records</b:Publisher>
    <b:City>Fort Mill</b:City>
    <b:RefOrder>3</b:RefOrder>
  </b:Source>
  <b:Source>
    <b:Tag>Del20</b:Tag>
    <b:SourceType>DocumentFromInternetSite</b:SourceType>
    <b:Guid>{8F733854-4587-4B7A-BE4F-D25A18EA9693}</b:Guid>
    <b:Title>Delivery Controllers</b:Title>
    <b:Year>2020</b:Year>
    <b:Month>March</b:Month>
    <b:YearAccessed>2022</b:YearAccessed>
    <b:MonthAccessed>May</b:MonthAccessed>
    <b:URL>https://docs.citrix.com/en-us/xenapp-and-xendesktop/7-15-ltsr/manage-deployment/delivery-controllers.html</b:URL>
    <b:RefOrder>4</b:RefOrder>
  </b:Source>
  <b:Source>
    <b:Tag>Coh22</b:Tag>
    <b:SourceType>InternetSite</b:SourceType>
    <b:Guid>{0D683D1C-E68D-4575-A24B-BFAA6F697199}</b:Guid>
    <b:Title>Citrix 7.15 LTSR EOL Schedule – The dates you must know</b:Title>
    <b:Year>2022</b:Year>
    <b:Month>April</b:Month>
    <b:YearAccessed>2022</b:YearAccessed>
    <b:MonthAccessed>June</b:MonthAccessed>
    <b:URL>https://www.insentragroup.com/gb/insights/geek-speak/secure-workplace/citrix-7-15-ltsr-eol-schedule-the-dates-you-must-know/</b:URL>
    <b:Author>
      <b:Author>
        <b:NameList>
          <b:Person>
            <b:Last>Cohen</b:Last>
            <b:First>Gary</b:First>
          </b:Person>
        </b:NameList>
      </b:Author>
    </b:Author>
    <b:ProductionCompany>Insentra</b:ProductionCompany>
    <b:RefOrder>5</b:RefOrder>
  </b:Source>
  <b:Source>
    <b:Tag>Cit213</b:Tag>
    <b:SourceType>InternetSite</b:SourceType>
    <b:Guid>{3B2186D0-7C87-4144-B678-6031F3510BFF}</b:Guid>
    <b:Title>Citrix Security Advisory for CVE-2021-44228, CVE-2021-45046, CVE-2021-45105 and CVE-2021-44832.</b:Title>
    <b:ProductionCompany>Citrix</b:ProductionCompany>
    <b:Year>2021</b:Year>
    <b:Month>December</b:Month>
    <b:YearAccessed>2022</b:YearAccessed>
    <b:MonthAccessed>June</b:MonthAccessed>
    <b:URL>https://support.citrix.com/article/CTX335705</b:URL>
    <b:RefOrder>10</b:RefOrder>
  </b:Source>
  <b:Source>
    <b:Tag>Cit214</b:Tag>
    <b:SourceType>InternetSite</b:SourceType>
    <b:Guid>{5DFF28C9-C138-422E-A520-DD12C397A85C}</b:Guid>
    <b:Title>Citrix Releases Security Updates for Virtual Apps and Desktop</b:Title>
    <b:ProductionCompany>NHS Digital</b:ProductionCompany>
    <b:Year>2021</b:Year>
    <b:Month>July</b:Month>
    <b:YearAccessed>2022</b:YearAccessed>
    <b:MonthAccessed>June</b:MonthAccessed>
    <b:URL>https://digital.nhs.uk/cyber-alerts/2021/cc-3902</b:URL>
    <b:RefOrder>11</b:RefOrder>
  </b:Source>
  <b:Source>
    <b:Tag>Fel15</b:Tag>
    <b:SourceType>BookSection</b:SourceType>
    <b:Guid>{6B9C7ABE-6BF0-46AA-ABDA-AA071AD8C9EF}</b:Guid>
    <b:Title>Research Methods </b:Title>
    <b:Year>2015</b:Year>
    <b:Author>
      <b:Author>
        <b:NameList>
          <b:Person>
            <b:Last>Fellows</b:Last>
            <b:First>Richard</b:First>
          </b:Person>
          <b:Person>
            <b:Last>Liu</b:Last>
            <b:First>Anita</b:First>
          </b:Person>
        </b:NameList>
      </b:Author>
    </b:Author>
    <b:BookTitle>Research Methods for Construction</b:BookTitle>
    <b:Pages>18-22</b:Pages>
    <b:Publisher>Wiley Blackwell</b:Publisher>
    <b:RefOrder>13</b:RefOrder>
  </b:Source>
  <b:Source>
    <b:Tag>Con12</b:Tag>
    <b:SourceType>JournalArticle</b:SourceType>
    <b:Guid>{47C09896-DA2A-4F6D-9FDF-32FF2C432699}</b:Guid>
    <b:Title>Philosophy of phenomenology: how understanding aids research</b:Title>
    <b:Year>2012</b:Year>
    <b:Pages>28-32</b:Pages>
    <b:Author>
      <b:Author>
        <b:NameList>
          <b:Person>
            <b:Last>Converse</b:Last>
            <b:First>Mary</b:First>
          </b:Person>
        </b:NameList>
      </b:Author>
    </b:Author>
    <b:JournalName>Nurse Researcher</b:JournalName>
    <b:Volume>20</b:Volume>
    <b:Issue>1</b:Issue>
    <b:RefOrder>12</b:RefOrder>
  </b:Source>
  <b:Source>
    <b:Tag>Tho08</b:Tag>
    <b:SourceType>BookSection</b:SourceType>
    <b:Guid>{0EA80ECB-2C45-4002-B430-CADC8E4E1E5E}</b:Guid>
    <b:Title>Management Research</b:Title>
    <b:Year>2008</b:Year>
    <b:Author>
      <b:Author>
        <b:NameList>
          <b:Person>
            <b:Last>Thorpe</b:Last>
            <b:First>M</b:First>
          </b:Person>
          <b:Person>
            <b:Last>Jackson</b:Last>
            <b:First>R</b:First>
            <b:Middle>&amp; P</b:Middle>
          </b:Person>
        </b:NameList>
      </b:Author>
    </b:Author>
    <b:BookTitle>Management Research</b:BookTitle>
    <b:City>London</b:City>
    <b:Publisher>Sage Publications</b:Publisher>
    <b:RefOrder>14</b:RefOrder>
  </b:Source>
  <b:Source>
    <b:Tag>Res21</b:Tag>
    <b:SourceType>InternetSite</b:SourceType>
    <b:Guid>{E72A7FC3-8BD4-4314-B214-AB8B1638AD37}</b:Guid>
    <b:Title>Research Approach</b:Title>
    <b:ProductionCompany>Research-methodology</b:ProductionCompany>
    <b:YearAccessed>2021</b:YearAccessed>
    <b:MonthAccessed>December</b:MonthAccessed>
    <b:URL>https://research-methodology.net/research-methodology/research-approach/</b:URL>
    <b:RefOrder>15</b:RefOrder>
  </b:Source>
  <b:Source>
    <b:Tag>Rai19</b:Tag>
    <b:SourceType>InternetSite</b:SourceType>
    <b:Guid>{78904851-F776-4D3F-B345-02ECC3B92175}</b:Guid>
    <b:Author>
      <b:Author>
        <b:NameList>
          <b:Person>
            <b:Last>Streefkerk</b:Last>
            <b:First>Raimo</b:First>
          </b:Person>
        </b:NameList>
      </b:Author>
    </b:Author>
    <b:Title>Inductive Deductive reasoning</b:Title>
    <b:ProductionCompany>Scribbr</b:ProductionCompany>
    <b:Year>2019</b:Year>
    <b:Month>April</b:Month>
    <b:YearAccessed>2021</b:YearAccessed>
    <b:MonthAccessed>December</b:MonthAccessed>
    <b:URL>https://www.scribbr.com/methodology/inductive-deductive-reasoning/#:~:text=The%20main%20difference%20between%20inductive,reasoning%20the%20other%20way%20around.</b:URL>
    <b:RefOrder>16</b:RefOrder>
  </b:Source>
  <b:Source>
    <b:Tag>VDA15</b:Tag>
    <b:SourceType>InternetSite</b:SourceType>
    <b:Guid>{7F42D002-F392-4D11-9773-7EF53245693C}</b:Guid>
    <b:Title>VDA Becomes Unregistered Periodically and Requires Restart Citrix Desktop Service in XenApp 7.6</b:Title>
    <b:ProductionCompany>Citrix</b:ProductionCompany>
    <b:Year>2015</b:Year>
    <b:Month>Dec</b:Month>
    <b:YearAccessed>2022</b:YearAccessed>
    <b:MonthAccessed>June</b:MonthAccessed>
    <b:URL>https://support.citrix.com/article/CTX205051/vda-becomes-unregistered-periodically-and-requires-restart-citrix-desktop-service-in-xenapp-76</b:URL>
    <b:RefOrder>17</b:RefOrder>
  </b:Source>
  <b:Source>
    <b:Tag>And192</b:Tag>
    <b:SourceType>InternetSite</b:SourceType>
    <b:Guid>{894064FD-BAAD-468F-8924-0E447D46EBBB}</b:Guid>
    <b:Author>
      <b:Author>
        <b:NameList>
          <b:Person>
            <b:Last>Golebiowski</b:Last>
            <b:First>Andrzej</b:First>
          </b:Person>
        </b:NameList>
      </b:Author>
    </b:Author>
    <b:Title>Xenapp VDA Load Index Explained</b:Title>
    <b:ProductionCompany>Blog.Citrix24</b:ProductionCompany>
    <b:Year>2019</b:Year>
    <b:Month>June</b:Month>
    <b:YearAccessed>2022</b:YearAccessed>
    <b:MonthAccessed>June</b:MonthAccessed>
    <b:URL>https://blog.citrix24.com/xenapp-7-15-vda-load-index-explained/</b:URL>
    <b:RefOrder>18</b:RefOrder>
  </b:Source>
  <b:Source>
    <b:Tag>Loa20</b:Tag>
    <b:SourceType>DocumentFromInternetSite</b:SourceType>
    <b:Guid>{E5B67551-3D42-4190-97CA-815BBF8830CC}</b:Guid>
    <b:Title>Load Management Policy Settings</b:Title>
    <b:Year>2020</b:Year>
    <b:Month>Feb</b:Month>
    <b:YearAccessed>2022</b:YearAccessed>
    <b:MonthAccessed>June</b:MonthAccessed>
    <b:URL>https://docs.citrix.com/en-us/citrix-virtual-apps-desktops/1912-ltsr/policies/reference/load-management-policy-settings.html</b:URL>
    <b:RefOrder>19</b:RefOrder>
  </b:Source>
  <b:Source>
    <b:Tag>How15</b:Tag>
    <b:SourceType>InternetSite</b:SourceType>
    <b:Guid>{2755735D-1BE7-43A2-95F8-6D52697B4EEC}</b:Guid>
    <b:Title>How to Calculate the Load Evaluator Index on DDC</b:Title>
    <b:Year>2015</b:Year>
    <b:Month>September</b:Month>
    <b:YearAccessed>2022</b:YearAccessed>
    <b:MonthAccessed>June</b:MonthAccessed>
    <b:URL>https://support.citrix.com/article/CTX202150/how-to-calculate-the-load-evaluator-index-on-ddc</b:URL>
    <b:ProductionCompany>Citrix</b:ProductionCompany>
    <b:RefOrder>20</b:RefOrder>
  </b:Source>
  <b:Source>
    <b:Tag>Gar22</b:Tag>
    <b:SourceType>Report</b:SourceType>
    <b:Guid>{53610BE4-D01F-477D-8950-78ED6A3E833E}</b:Guid>
    <b:Author>
      <b:Author>
        <b:NameList>
          <b:Person>
            <b:Last>Evans</b:Last>
            <b:First>Gareth</b:First>
          </b:Person>
        </b:NameList>
      </b:Author>
    </b:Author>
    <b:Title>Will Upgrading Citrix Components to more recent versions help improve performance of essential services?</b:Title>
    <b:Year>2022</b:Year>
    <b:Publisher>UWTSD</b:Publisher>
    <b:City>Swansea</b:City>
    <b:RefOrder>21</b:RefOrder>
  </b:Source>
  <b:Source>
    <b:Tag>Und16</b:Tag>
    <b:SourceType>DocumentFromInternetSite</b:SourceType>
    <b:Guid>{D8E2E33A-3EE2-41D9-89E6-AFEF937A8AF9}</b:Guid>
    <b:Title>Understanding vSphere DRS Performance</b:Title>
    <b:Year>2016</b:Year>
    <b:Month>October</b:Month>
    <b:YearAccessed>2022</b:YearAccessed>
    <b:MonthAccessed>July</b:MonthAccessed>
    <b:URL>https://www.vmware.com/content/dam/digitalmarketing/vmware/en/pdf/techpaper/vsphere6-drs-perf.pdf</b:URL>
    <b:RefOrder>22</b:RefOrder>
  </b:Source>
  <b:Source>
    <b:Tag>Cit215</b:Tag>
    <b:SourceType>InternetSite</b:SourceType>
    <b:Guid>{33AE90AC-4192-412E-92D7-D05D74FB0C68}</b:Guid>
    <b:Title>Citrix VDA machines gets unregistered randomly</b:Title>
    <b:Year>2021</b:Year>
    <b:YearAccessed>2022</b:YearAccessed>
    <b:MonthAccessed>July</b:MonthAccessed>
    <b:URL>https://discussions.citrix.com/topic/412203-citrix-vda-machines-gets-unregistered-randomly/</b:URL>
    <b:ProductionCompany>Citrix</b:ProductionCompany>
    <b:RefOrder>23</b:RefOrder>
  </b:Source>
  <b:Source>
    <b:Tag>Ref22</b:Tag>
    <b:SourceType>InternetSite</b:SourceType>
    <b:Guid>{D9D8654D-51FB-46DB-B056-4343B2E66973}</b:Guid>
    <b:Title>Reference Architectures</b:Title>
    <b:ProductionCompany>Citrix</b:ProductionCompany>
    <b:YearAccessed>2022</b:YearAccessed>
    <b:MonthAccessed>July</b:MonthAccessed>
    <b:URL>https://docs.citrix.com/en-us/tech-zone/design/reference-architectures/image-management.html</b:URL>
    <b:RefOrder>24</b:RefOrder>
  </b:Source>
  <b:Source>
    <b:Tag>Bus22</b:Tag>
    <b:SourceType>InternetSite</b:SourceType>
    <b:Guid>{AF50D04E-ADBD-43B0-9ADC-0FD1FE68C398}</b:Guid>
    <b:Title>Business Change</b:Title>
    <b:ProductionCompany>DHCW</b:ProductionCompany>
    <b:YearAccessed>2022</b:YearAccessed>
    <b:MonthAccessed>February </b:MonthAccessed>
    <b:URL>https://dhcw.nhs.wales/systems-and-services/business-change/</b:URL>
    <b:RefOrder>25</b:RefOrder>
  </b:Source>
</b:Sources>
</file>

<file path=customXml/itemProps1.xml><?xml version="1.0" encoding="utf-8"?>
<ds:datastoreItem xmlns:ds="http://schemas.openxmlformats.org/officeDocument/2006/customXml" ds:itemID="{1C86E433-4A58-476E-928E-D87CD03EC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9152</Words>
  <Characters>52167</Characters>
  <Application>Microsoft Office Word</Application>
  <DocSecurity>0</DocSecurity>
  <Lines>434</Lines>
  <Paragraphs>122</Paragraphs>
  <ScaleCrop>false</ScaleCrop>
  <Company/>
  <LinksUpToDate>false</LinksUpToDate>
  <CharactersWithSpaces>61197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2</cp:revision>
  <dcterms:created xsi:type="dcterms:W3CDTF">2022-08-30T13:10:00Z</dcterms:created>
  <dcterms:modified xsi:type="dcterms:W3CDTF">2022-08-30T13:10:00Z</dcterms:modified>
</cp:coreProperties>
</file>