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DD49AC" w14:textId="77777777" w:rsidR="008E60C8" w:rsidRPr="002479B7" w:rsidRDefault="008E60C8" w:rsidP="008E60C8">
      <w:pPr>
        <w:jc w:val="center"/>
        <w:rPr>
          <w:rFonts w:ascii="Arial" w:hAnsi="Arial" w:cs="Arial"/>
          <w:b/>
          <w:bCs/>
          <w:sz w:val="32"/>
          <w:szCs w:val="32"/>
          <w:lang w:val="en-GB"/>
        </w:rPr>
      </w:pPr>
    </w:p>
    <w:p w14:paraId="7991375D" w14:textId="77777777" w:rsidR="008E60C8" w:rsidRPr="002479B7" w:rsidRDefault="008E60C8" w:rsidP="008E60C8">
      <w:pPr>
        <w:jc w:val="center"/>
        <w:rPr>
          <w:rFonts w:ascii="Arial" w:hAnsi="Arial" w:cs="Arial"/>
          <w:b/>
          <w:bCs/>
          <w:sz w:val="32"/>
          <w:szCs w:val="32"/>
          <w:lang w:val="en-GB"/>
        </w:rPr>
      </w:pPr>
    </w:p>
    <w:p w14:paraId="24A1C2D5" w14:textId="77777777" w:rsidR="008E60C8" w:rsidRPr="002479B7" w:rsidRDefault="008E60C8" w:rsidP="008E60C8">
      <w:pPr>
        <w:jc w:val="center"/>
        <w:rPr>
          <w:rFonts w:ascii="Arial" w:hAnsi="Arial" w:cs="Arial"/>
          <w:b/>
          <w:bCs/>
          <w:sz w:val="32"/>
          <w:szCs w:val="32"/>
          <w:lang w:val="en-GB"/>
        </w:rPr>
      </w:pPr>
    </w:p>
    <w:p w14:paraId="09C15C53" w14:textId="77777777" w:rsidR="008E60C8" w:rsidRPr="002479B7" w:rsidRDefault="008E60C8" w:rsidP="008E60C8">
      <w:pPr>
        <w:jc w:val="center"/>
        <w:rPr>
          <w:rFonts w:ascii="Arial" w:hAnsi="Arial" w:cs="Arial"/>
          <w:b/>
          <w:bCs/>
          <w:sz w:val="32"/>
          <w:szCs w:val="32"/>
          <w:lang w:val="en-GB"/>
        </w:rPr>
      </w:pPr>
    </w:p>
    <w:p w14:paraId="3E079036" w14:textId="77777777" w:rsidR="008E60C8" w:rsidRPr="002479B7" w:rsidRDefault="008E60C8" w:rsidP="008E60C8">
      <w:pPr>
        <w:jc w:val="center"/>
        <w:rPr>
          <w:rFonts w:ascii="Arial" w:hAnsi="Arial" w:cs="Arial"/>
          <w:b/>
          <w:bCs/>
          <w:sz w:val="32"/>
          <w:szCs w:val="32"/>
          <w:lang w:val="en-GB"/>
        </w:rPr>
      </w:pPr>
    </w:p>
    <w:p w14:paraId="32A51228" w14:textId="59C2FE09" w:rsidR="008E60C8" w:rsidRPr="002479B7" w:rsidRDefault="00763E43" w:rsidP="00763E43">
      <w:pPr>
        <w:jc w:val="center"/>
        <w:rPr>
          <w:rFonts w:ascii="Arial" w:hAnsi="Arial" w:cs="Arial"/>
          <w:b/>
          <w:bCs/>
          <w:sz w:val="32"/>
          <w:szCs w:val="32"/>
          <w:lang w:val="en-GB"/>
        </w:rPr>
      </w:pPr>
      <w:r w:rsidRPr="002479B7">
        <w:rPr>
          <w:rFonts w:ascii="Arial" w:hAnsi="Arial" w:cs="Arial"/>
          <w:b/>
          <w:bCs/>
          <w:noProof/>
          <w:sz w:val="32"/>
          <w:szCs w:val="32"/>
          <w:lang w:val="en-GB" w:eastAsia="en-GB"/>
        </w:rPr>
        <w:drawing>
          <wp:inline distT="0" distB="0" distL="0" distR="0" wp14:anchorId="28988DF1" wp14:editId="7F8A14E3">
            <wp:extent cx="4191000" cy="1574800"/>
            <wp:effectExtent l="0" t="0" r="0" b="0"/>
            <wp:docPr id="1627503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503835" name=""/>
                    <pic:cNvPicPr/>
                  </pic:nvPicPr>
                  <pic:blipFill>
                    <a:blip r:embed="rId8"/>
                    <a:stretch>
                      <a:fillRect/>
                    </a:stretch>
                  </pic:blipFill>
                  <pic:spPr>
                    <a:xfrm>
                      <a:off x="0" y="0"/>
                      <a:ext cx="4191000" cy="1574800"/>
                    </a:xfrm>
                    <a:prstGeom prst="rect">
                      <a:avLst/>
                    </a:prstGeom>
                  </pic:spPr>
                </pic:pic>
              </a:graphicData>
            </a:graphic>
          </wp:inline>
        </w:drawing>
      </w:r>
    </w:p>
    <w:p w14:paraId="76B89197" w14:textId="77777777" w:rsidR="00763E43" w:rsidRPr="002479B7" w:rsidRDefault="00763E43" w:rsidP="00763E43">
      <w:pPr>
        <w:jc w:val="center"/>
        <w:rPr>
          <w:rFonts w:ascii="Arial" w:hAnsi="Arial" w:cs="Arial"/>
          <w:b/>
          <w:bCs/>
          <w:sz w:val="32"/>
          <w:szCs w:val="32"/>
          <w:lang w:val="en-GB"/>
        </w:rPr>
      </w:pPr>
    </w:p>
    <w:p w14:paraId="4BF1734E" w14:textId="56CF8041" w:rsidR="008E60C8" w:rsidRDefault="00763E43" w:rsidP="008E60C8">
      <w:pPr>
        <w:jc w:val="center"/>
        <w:rPr>
          <w:rFonts w:ascii="Arial" w:hAnsi="Arial" w:cs="Arial"/>
          <w:b/>
          <w:bCs/>
          <w:sz w:val="32"/>
          <w:szCs w:val="32"/>
          <w:lang w:val="en-GB"/>
        </w:rPr>
      </w:pPr>
      <w:r w:rsidRPr="002479B7">
        <w:rPr>
          <w:rFonts w:ascii="Arial" w:hAnsi="Arial" w:cs="Arial"/>
          <w:b/>
          <w:bCs/>
          <w:sz w:val="32"/>
          <w:szCs w:val="32"/>
          <w:lang w:val="en-GB"/>
        </w:rPr>
        <w:t>Module Code: LCMB7024</w:t>
      </w:r>
    </w:p>
    <w:p w14:paraId="69F842CC" w14:textId="3F29C33D" w:rsidR="00187D52" w:rsidRPr="002479B7" w:rsidRDefault="00187D52" w:rsidP="008E60C8">
      <w:pPr>
        <w:jc w:val="center"/>
        <w:rPr>
          <w:rFonts w:ascii="Arial" w:hAnsi="Arial" w:cs="Arial"/>
          <w:b/>
          <w:bCs/>
          <w:sz w:val="32"/>
          <w:szCs w:val="32"/>
          <w:lang w:val="en-GB"/>
        </w:rPr>
      </w:pPr>
      <w:bookmarkStart w:id="0" w:name="_GoBack"/>
      <w:r>
        <w:rPr>
          <w:rFonts w:ascii="Arial" w:hAnsi="Arial" w:cs="Arial"/>
          <w:b/>
          <w:bCs/>
          <w:sz w:val="32"/>
          <w:szCs w:val="32"/>
          <w:lang w:val="en-GB"/>
        </w:rPr>
        <w:t xml:space="preserve">Module Title: Marketing Management </w:t>
      </w:r>
    </w:p>
    <w:bookmarkEnd w:id="0"/>
    <w:p w14:paraId="2A026225" w14:textId="063E2393" w:rsidR="008C0DB7" w:rsidRDefault="008E60C8" w:rsidP="008E60C8">
      <w:pPr>
        <w:jc w:val="center"/>
        <w:rPr>
          <w:rFonts w:ascii="Arial" w:hAnsi="Arial" w:cs="Arial"/>
          <w:b/>
          <w:bCs/>
          <w:sz w:val="32"/>
          <w:szCs w:val="32"/>
          <w:lang w:val="en-GB"/>
        </w:rPr>
      </w:pPr>
      <w:r w:rsidRPr="002479B7">
        <w:rPr>
          <w:rFonts w:ascii="Arial" w:hAnsi="Arial" w:cs="Arial"/>
          <w:b/>
          <w:bCs/>
          <w:sz w:val="32"/>
          <w:szCs w:val="32"/>
          <w:lang w:val="en-GB"/>
        </w:rPr>
        <w:t>Marketing Management in automobile industry</w:t>
      </w:r>
    </w:p>
    <w:p w14:paraId="4033DCCB" w14:textId="4B972A8E" w:rsidR="00187D52" w:rsidRPr="002479B7" w:rsidRDefault="00187D52" w:rsidP="008E60C8">
      <w:pPr>
        <w:jc w:val="center"/>
        <w:rPr>
          <w:rFonts w:ascii="Arial" w:hAnsi="Arial" w:cs="Arial"/>
          <w:b/>
          <w:bCs/>
          <w:sz w:val="32"/>
          <w:szCs w:val="32"/>
          <w:lang w:val="en-GB"/>
        </w:rPr>
      </w:pPr>
      <w:r>
        <w:rPr>
          <w:rFonts w:ascii="Arial" w:hAnsi="Arial" w:cs="Arial"/>
          <w:b/>
          <w:bCs/>
          <w:sz w:val="32"/>
          <w:szCs w:val="32"/>
          <w:lang w:val="en-GB"/>
        </w:rPr>
        <w:t xml:space="preserve">Assignment Title: Assessment component 1: Individual Report </w:t>
      </w:r>
    </w:p>
    <w:p w14:paraId="5051323D" w14:textId="004A4D93" w:rsidR="00763E43" w:rsidRPr="002479B7" w:rsidRDefault="00763E43" w:rsidP="00763E43">
      <w:pPr>
        <w:jc w:val="center"/>
        <w:rPr>
          <w:rFonts w:ascii="Arial" w:hAnsi="Arial" w:cs="Arial"/>
          <w:b/>
          <w:bCs/>
          <w:sz w:val="32"/>
          <w:szCs w:val="32"/>
          <w:lang w:val="en-GB"/>
        </w:rPr>
      </w:pPr>
      <w:r w:rsidRPr="002479B7">
        <w:rPr>
          <w:rFonts w:ascii="Arial" w:hAnsi="Arial" w:cs="Arial"/>
          <w:b/>
          <w:bCs/>
          <w:sz w:val="32"/>
          <w:szCs w:val="32"/>
          <w:lang w:val="en-GB"/>
        </w:rPr>
        <w:t>Student Name:</w:t>
      </w:r>
      <w:r w:rsidR="00187D52">
        <w:rPr>
          <w:rFonts w:ascii="Arial" w:hAnsi="Arial" w:cs="Arial"/>
          <w:b/>
          <w:bCs/>
          <w:sz w:val="32"/>
          <w:szCs w:val="32"/>
          <w:lang w:val="en-GB"/>
        </w:rPr>
        <w:t xml:space="preserve"> Prit jenishbhai jariwala </w:t>
      </w:r>
    </w:p>
    <w:p w14:paraId="65D295C0" w14:textId="01485C29" w:rsidR="00763E43" w:rsidRPr="002479B7" w:rsidRDefault="00763E43" w:rsidP="00187D52">
      <w:pPr>
        <w:jc w:val="center"/>
        <w:rPr>
          <w:rFonts w:ascii="Arial" w:hAnsi="Arial" w:cs="Arial"/>
          <w:b/>
          <w:bCs/>
          <w:sz w:val="32"/>
          <w:szCs w:val="32"/>
          <w:lang w:val="en-GB"/>
        </w:rPr>
      </w:pPr>
      <w:r w:rsidRPr="002479B7">
        <w:rPr>
          <w:rFonts w:ascii="Arial" w:hAnsi="Arial" w:cs="Arial"/>
          <w:b/>
          <w:bCs/>
          <w:sz w:val="32"/>
          <w:szCs w:val="32"/>
          <w:lang w:val="en-GB"/>
        </w:rPr>
        <w:t>Student ID:</w:t>
      </w:r>
      <w:r w:rsidR="00187D52">
        <w:rPr>
          <w:rFonts w:ascii="Arial" w:hAnsi="Arial" w:cs="Arial"/>
          <w:b/>
          <w:bCs/>
          <w:sz w:val="32"/>
          <w:szCs w:val="32"/>
          <w:lang w:val="en-GB"/>
        </w:rPr>
        <w:t xml:space="preserve"> 2503896</w:t>
      </w:r>
    </w:p>
    <w:p w14:paraId="410B1ACA" w14:textId="585E3F99" w:rsidR="00763E43" w:rsidRDefault="00763E43" w:rsidP="00763E43">
      <w:pPr>
        <w:jc w:val="center"/>
        <w:rPr>
          <w:rFonts w:ascii="Arial" w:hAnsi="Arial" w:cs="Arial"/>
          <w:b/>
          <w:bCs/>
          <w:sz w:val="32"/>
          <w:szCs w:val="32"/>
          <w:lang w:val="en-GB"/>
        </w:rPr>
      </w:pPr>
      <w:r w:rsidRPr="002479B7">
        <w:rPr>
          <w:rFonts w:ascii="Arial" w:hAnsi="Arial" w:cs="Arial"/>
          <w:b/>
          <w:bCs/>
          <w:sz w:val="32"/>
          <w:szCs w:val="32"/>
          <w:lang w:val="en-GB"/>
        </w:rPr>
        <w:t>Word count: 2</w:t>
      </w:r>
      <w:r w:rsidR="00E96F1E" w:rsidRPr="002479B7">
        <w:rPr>
          <w:rFonts w:ascii="Arial" w:hAnsi="Arial" w:cs="Arial"/>
          <w:b/>
          <w:bCs/>
          <w:sz w:val="32"/>
          <w:szCs w:val="32"/>
          <w:lang w:val="en-GB"/>
        </w:rPr>
        <w:t>694</w:t>
      </w:r>
    </w:p>
    <w:p w14:paraId="50044AD0" w14:textId="18EB42D3" w:rsidR="00187D52" w:rsidRPr="002479B7" w:rsidRDefault="00187D52" w:rsidP="00763E43">
      <w:pPr>
        <w:jc w:val="center"/>
        <w:rPr>
          <w:rFonts w:ascii="Arial" w:hAnsi="Arial" w:cs="Arial"/>
          <w:b/>
          <w:bCs/>
          <w:sz w:val="32"/>
          <w:szCs w:val="32"/>
          <w:lang w:val="en-GB"/>
        </w:rPr>
      </w:pPr>
      <w:r>
        <w:rPr>
          <w:rFonts w:ascii="Arial" w:hAnsi="Arial" w:cs="Arial"/>
          <w:b/>
          <w:bCs/>
          <w:sz w:val="32"/>
          <w:szCs w:val="32"/>
          <w:lang w:val="en-GB"/>
        </w:rPr>
        <w:t>Date of submission: 21 November 2025</w:t>
      </w:r>
    </w:p>
    <w:p w14:paraId="18E78357" w14:textId="77777777" w:rsidR="008C0DB7" w:rsidRPr="002479B7" w:rsidRDefault="008C0DB7">
      <w:pPr>
        <w:rPr>
          <w:rFonts w:ascii="Arial" w:hAnsi="Arial" w:cs="Arial"/>
          <w:b/>
          <w:bCs/>
          <w:sz w:val="32"/>
          <w:szCs w:val="32"/>
          <w:lang w:val="en-GB"/>
        </w:rPr>
      </w:pPr>
      <w:r w:rsidRPr="002479B7">
        <w:rPr>
          <w:rFonts w:ascii="Arial" w:hAnsi="Arial" w:cs="Arial"/>
          <w:b/>
          <w:bCs/>
          <w:sz w:val="32"/>
          <w:szCs w:val="32"/>
          <w:lang w:val="en-GB"/>
        </w:rPr>
        <w:br w:type="page"/>
      </w:r>
    </w:p>
    <w:sdt>
      <w:sdtPr>
        <w:rPr>
          <w:rFonts w:ascii="Arial" w:eastAsia="Times New Roman" w:hAnsi="Arial" w:cs="Arial"/>
          <w:color w:val="auto"/>
          <w:sz w:val="24"/>
          <w:szCs w:val="24"/>
          <w:lang w:val="en" w:eastAsia="en-IN"/>
        </w:rPr>
        <w:id w:val="-489482230"/>
        <w:docPartObj>
          <w:docPartGallery w:val="Table of Contents"/>
          <w:docPartUnique/>
        </w:docPartObj>
      </w:sdtPr>
      <w:sdtEndPr>
        <w:rPr>
          <w:b/>
          <w:bCs/>
          <w:noProof/>
        </w:rPr>
      </w:sdtEndPr>
      <w:sdtContent>
        <w:p w14:paraId="3F2FB39D" w14:textId="03911F4A" w:rsidR="008C0DB7" w:rsidRPr="002479B7" w:rsidRDefault="008C0DB7" w:rsidP="00D23C56">
          <w:pPr>
            <w:pStyle w:val="TOCHeading"/>
            <w:jc w:val="center"/>
            <w:rPr>
              <w:rFonts w:ascii="Arial" w:hAnsi="Arial" w:cs="Arial"/>
              <w:b/>
              <w:bCs/>
              <w:color w:val="000000" w:themeColor="text1"/>
              <w:sz w:val="28"/>
              <w:szCs w:val="28"/>
            </w:rPr>
          </w:pPr>
          <w:r w:rsidRPr="002479B7">
            <w:rPr>
              <w:rFonts w:ascii="Arial" w:hAnsi="Arial" w:cs="Arial"/>
              <w:b/>
              <w:bCs/>
              <w:color w:val="000000" w:themeColor="text1"/>
              <w:sz w:val="28"/>
              <w:szCs w:val="28"/>
            </w:rPr>
            <w:t>Table of Contents</w:t>
          </w:r>
        </w:p>
        <w:p w14:paraId="3B158905" w14:textId="13B549E2" w:rsidR="00D23C56" w:rsidRPr="002479B7" w:rsidRDefault="008C0DB7">
          <w:pPr>
            <w:pStyle w:val="TOC1"/>
            <w:tabs>
              <w:tab w:val="right" w:leader="dot" w:pos="9350"/>
            </w:tabs>
            <w:rPr>
              <w:rFonts w:ascii="Arial" w:eastAsiaTheme="minorEastAsia" w:hAnsi="Arial" w:cs="Arial"/>
              <w:noProof/>
              <w:kern w:val="2"/>
              <w:lang w:val="en-IN" w:eastAsia="en-GB"/>
              <w14:ligatures w14:val="standardContextual"/>
            </w:rPr>
          </w:pPr>
          <w:r w:rsidRPr="002479B7">
            <w:rPr>
              <w:rFonts w:ascii="Arial" w:hAnsi="Arial" w:cs="Arial"/>
            </w:rPr>
            <w:fldChar w:fldCharType="begin"/>
          </w:r>
          <w:r w:rsidRPr="002479B7">
            <w:rPr>
              <w:rFonts w:ascii="Arial" w:hAnsi="Arial" w:cs="Arial"/>
            </w:rPr>
            <w:instrText xml:space="preserve"> TOC \o "1-3" \h \z \u </w:instrText>
          </w:r>
          <w:r w:rsidRPr="002479B7">
            <w:rPr>
              <w:rFonts w:ascii="Arial" w:hAnsi="Arial" w:cs="Arial"/>
            </w:rPr>
            <w:fldChar w:fldCharType="separate"/>
          </w:r>
          <w:hyperlink w:anchor="_Toc213774630" w:history="1">
            <w:r w:rsidR="00D23C56" w:rsidRPr="002479B7">
              <w:rPr>
                <w:rStyle w:val="Hyperlink"/>
                <w:rFonts w:ascii="Arial" w:hAnsi="Arial" w:cs="Arial"/>
                <w:noProof/>
                <w:lang w:val="en-GB"/>
              </w:rPr>
              <w:t>1. Introduction</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_Toc213774630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3</w:t>
            </w:r>
            <w:r w:rsidR="00D23C56" w:rsidRPr="002479B7">
              <w:rPr>
                <w:rFonts w:ascii="Arial" w:hAnsi="Arial" w:cs="Arial"/>
                <w:noProof/>
                <w:webHidden/>
              </w:rPr>
              <w:fldChar w:fldCharType="end"/>
            </w:r>
          </w:hyperlink>
        </w:p>
        <w:p w14:paraId="44365524" w14:textId="5D46CC87" w:rsidR="00D23C56" w:rsidRPr="002479B7" w:rsidRDefault="00A372C2">
          <w:pPr>
            <w:pStyle w:val="TOC1"/>
            <w:tabs>
              <w:tab w:val="right" w:leader="dot" w:pos="9350"/>
            </w:tabs>
            <w:rPr>
              <w:rFonts w:ascii="Arial" w:eastAsiaTheme="minorEastAsia" w:hAnsi="Arial" w:cs="Arial"/>
              <w:noProof/>
              <w:kern w:val="2"/>
              <w:lang w:val="en-IN" w:eastAsia="en-GB"/>
              <w14:ligatures w14:val="standardContextual"/>
            </w:rPr>
          </w:pPr>
          <w:hyperlink w:anchor="_Toc213774631" w:history="1">
            <w:r w:rsidR="00D23C56" w:rsidRPr="002479B7">
              <w:rPr>
                <w:rStyle w:val="Hyperlink"/>
                <w:rFonts w:ascii="Arial" w:hAnsi="Arial" w:cs="Arial"/>
                <w:noProof/>
                <w:lang w:val="en-GB"/>
              </w:rPr>
              <w:t>2. Task 1: Critical Analysis of the Macro Marketing Environment</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_Toc213774631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5</w:t>
            </w:r>
            <w:r w:rsidR="00D23C56" w:rsidRPr="002479B7">
              <w:rPr>
                <w:rFonts w:ascii="Arial" w:hAnsi="Arial" w:cs="Arial"/>
                <w:noProof/>
                <w:webHidden/>
              </w:rPr>
              <w:fldChar w:fldCharType="end"/>
            </w:r>
          </w:hyperlink>
        </w:p>
        <w:p w14:paraId="736D1520" w14:textId="00F67BC5" w:rsidR="00D23C56" w:rsidRPr="002479B7" w:rsidRDefault="00A372C2">
          <w:pPr>
            <w:pStyle w:val="TOC2"/>
            <w:tabs>
              <w:tab w:val="right" w:leader="dot" w:pos="9350"/>
            </w:tabs>
            <w:rPr>
              <w:rFonts w:ascii="Arial" w:eastAsiaTheme="minorEastAsia" w:hAnsi="Arial" w:cs="Arial"/>
              <w:noProof/>
              <w:kern w:val="2"/>
              <w:lang w:val="en-IN" w:eastAsia="en-GB"/>
              <w14:ligatures w14:val="standardContextual"/>
            </w:rPr>
          </w:pPr>
          <w:hyperlink w:anchor="_Toc213774632" w:history="1">
            <w:r w:rsidR="00D23C56" w:rsidRPr="002479B7">
              <w:rPr>
                <w:rStyle w:val="Hyperlink"/>
                <w:rFonts w:ascii="Arial" w:hAnsi="Arial" w:cs="Arial"/>
                <w:noProof/>
                <w:lang w:val="en-GB"/>
              </w:rPr>
              <w:t>2.1 Overview of the macro marketing environment</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_Toc213774632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5</w:t>
            </w:r>
            <w:r w:rsidR="00D23C56" w:rsidRPr="002479B7">
              <w:rPr>
                <w:rFonts w:ascii="Arial" w:hAnsi="Arial" w:cs="Arial"/>
                <w:noProof/>
                <w:webHidden/>
              </w:rPr>
              <w:fldChar w:fldCharType="end"/>
            </w:r>
          </w:hyperlink>
        </w:p>
        <w:p w14:paraId="3AD05EAB" w14:textId="714F2409" w:rsidR="00D23C56" w:rsidRPr="002479B7" w:rsidRDefault="00A372C2">
          <w:pPr>
            <w:pStyle w:val="TOC2"/>
            <w:tabs>
              <w:tab w:val="right" w:leader="dot" w:pos="9350"/>
            </w:tabs>
            <w:rPr>
              <w:rFonts w:ascii="Arial" w:eastAsiaTheme="minorEastAsia" w:hAnsi="Arial" w:cs="Arial"/>
              <w:noProof/>
              <w:kern w:val="2"/>
              <w:lang w:val="en-IN" w:eastAsia="en-GB"/>
              <w14:ligatures w14:val="standardContextual"/>
            </w:rPr>
          </w:pPr>
          <w:hyperlink w:anchor="_Toc213774633" w:history="1">
            <w:r w:rsidR="00D23C56" w:rsidRPr="002479B7">
              <w:rPr>
                <w:rStyle w:val="Hyperlink"/>
                <w:rFonts w:ascii="Arial" w:hAnsi="Arial" w:cs="Arial"/>
                <w:noProof/>
                <w:lang w:val="en-GB"/>
              </w:rPr>
              <w:t>2.2 Two external macro marketing actors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_Toc213774633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7</w:t>
            </w:r>
            <w:r w:rsidR="00D23C56" w:rsidRPr="002479B7">
              <w:rPr>
                <w:rFonts w:ascii="Arial" w:hAnsi="Arial" w:cs="Arial"/>
                <w:noProof/>
                <w:webHidden/>
              </w:rPr>
              <w:fldChar w:fldCharType="end"/>
            </w:r>
          </w:hyperlink>
        </w:p>
        <w:p w14:paraId="66CC8B21" w14:textId="28BD2844" w:rsidR="00D23C56" w:rsidRPr="002479B7" w:rsidRDefault="00A372C2">
          <w:pPr>
            <w:pStyle w:val="TOC2"/>
            <w:tabs>
              <w:tab w:val="right" w:leader="dot" w:pos="9350"/>
            </w:tabs>
            <w:rPr>
              <w:rFonts w:ascii="Arial" w:eastAsiaTheme="minorEastAsia" w:hAnsi="Arial" w:cs="Arial"/>
              <w:noProof/>
              <w:kern w:val="2"/>
              <w:lang w:val="en-IN" w:eastAsia="en-GB"/>
              <w14:ligatures w14:val="standardContextual"/>
            </w:rPr>
          </w:pPr>
          <w:hyperlink w:anchor="_Toc213774634" w:history="1">
            <w:r w:rsidR="00D23C56" w:rsidRPr="002479B7">
              <w:rPr>
                <w:rStyle w:val="Hyperlink"/>
                <w:rFonts w:ascii="Arial" w:hAnsi="Arial" w:cs="Arial"/>
                <w:noProof/>
                <w:lang w:val="en-GB"/>
              </w:rPr>
              <w:t>2.3 Critical analysis of each actor</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_Toc213774634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11</w:t>
            </w:r>
            <w:r w:rsidR="00D23C56" w:rsidRPr="002479B7">
              <w:rPr>
                <w:rFonts w:ascii="Arial" w:hAnsi="Arial" w:cs="Arial"/>
                <w:noProof/>
                <w:webHidden/>
              </w:rPr>
              <w:fldChar w:fldCharType="end"/>
            </w:r>
          </w:hyperlink>
        </w:p>
        <w:p w14:paraId="500255FE" w14:textId="2D8B4CE3"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35" w:history="1">
            <w:r w:rsidR="00D23C56" w:rsidRPr="002479B7">
              <w:rPr>
                <w:rStyle w:val="Hyperlink"/>
                <w:rFonts w:ascii="Arial" w:hAnsi="Arial" w:cs="Arial"/>
                <w:noProof/>
                <w:lang w:val="en-GB"/>
              </w:rPr>
              <w:t>2.3.1 The way changes impact pioneering and follower organisations differently and create opportunities and threats within the automobile industry.</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_Toc213774635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11</w:t>
            </w:r>
            <w:r w:rsidR="00D23C56" w:rsidRPr="002479B7">
              <w:rPr>
                <w:rFonts w:ascii="Arial" w:hAnsi="Arial" w:cs="Arial"/>
                <w:noProof/>
                <w:webHidden/>
              </w:rPr>
              <w:fldChar w:fldCharType="end"/>
            </w:r>
          </w:hyperlink>
        </w:p>
        <w:p w14:paraId="04A9C56C" w14:textId="7233752B"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36" w:history="1">
            <w:r w:rsidR="00D23C56" w:rsidRPr="002479B7">
              <w:rPr>
                <w:rStyle w:val="Hyperlink"/>
                <w:rFonts w:ascii="Arial" w:eastAsiaTheme="majorEastAsia" w:hAnsi="Arial" w:cs="Arial"/>
                <w:noProof/>
              </w:rPr>
              <w:t>2.3.2 Identify the key strategic implications for both pioneers and followers.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_Toc213774636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14</w:t>
            </w:r>
            <w:r w:rsidR="00D23C56" w:rsidRPr="002479B7">
              <w:rPr>
                <w:rFonts w:ascii="Arial" w:hAnsi="Arial" w:cs="Arial"/>
                <w:noProof/>
                <w:webHidden/>
              </w:rPr>
              <w:fldChar w:fldCharType="end"/>
            </w:r>
          </w:hyperlink>
        </w:p>
        <w:p w14:paraId="0007730A" w14:textId="2F8D3B8A"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37" w:history="1">
            <w:r w:rsidR="00D23C56" w:rsidRPr="002479B7">
              <w:rPr>
                <w:rStyle w:val="Hyperlink"/>
                <w:rFonts w:ascii="Arial" w:eastAsiaTheme="majorEastAsia" w:hAnsi="Arial" w:cs="Arial"/>
                <w:noProof/>
              </w:rPr>
              <w:t>2.3.3 Critical analysis with data and business examples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_Toc213774637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14</w:t>
            </w:r>
            <w:r w:rsidR="00D23C56" w:rsidRPr="002479B7">
              <w:rPr>
                <w:rFonts w:ascii="Arial" w:hAnsi="Arial" w:cs="Arial"/>
                <w:noProof/>
                <w:webHidden/>
              </w:rPr>
              <w:fldChar w:fldCharType="end"/>
            </w:r>
          </w:hyperlink>
        </w:p>
        <w:p w14:paraId="38D4FFF4" w14:textId="04F8822C" w:rsidR="00D23C56" w:rsidRPr="002479B7" w:rsidRDefault="00A372C2">
          <w:pPr>
            <w:pStyle w:val="TOC1"/>
            <w:tabs>
              <w:tab w:val="right" w:leader="dot" w:pos="9350"/>
            </w:tabs>
            <w:rPr>
              <w:rFonts w:ascii="Arial" w:eastAsiaTheme="minorEastAsia" w:hAnsi="Arial" w:cs="Arial"/>
              <w:noProof/>
              <w:kern w:val="2"/>
              <w:lang w:val="en-IN" w:eastAsia="en-GB"/>
              <w14:ligatures w14:val="standardContextual"/>
            </w:rPr>
          </w:pPr>
          <w:hyperlink w:anchor="_Toc213774638" w:history="1">
            <w:r w:rsidR="00D23C56" w:rsidRPr="002479B7">
              <w:rPr>
                <w:rStyle w:val="Hyperlink"/>
                <w:rFonts w:ascii="Arial" w:hAnsi="Arial" w:cs="Arial"/>
                <w:noProof/>
                <w:lang w:val="en-GB"/>
              </w:rPr>
              <w:t>3. Task 2: Strategic Responses of Pioneering and Follower</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_Toc213774638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16</w:t>
            </w:r>
            <w:r w:rsidR="00D23C56" w:rsidRPr="002479B7">
              <w:rPr>
                <w:rFonts w:ascii="Arial" w:hAnsi="Arial" w:cs="Arial"/>
                <w:noProof/>
                <w:webHidden/>
              </w:rPr>
              <w:fldChar w:fldCharType="end"/>
            </w:r>
          </w:hyperlink>
        </w:p>
        <w:p w14:paraId="5E6C0BC2" w14:textId="6616ADCC" w:rsidR="00D23C56" w:rsidRPr="002479B7" w:rsidRDefault="00A372C2">
          <w:pPr>
            <w:pStyle w:val="TOC2"/>
            <w:tabs>
              <w:tab w:val="right" w:leader="dot" w:pos="9350"/>
            </w:tabs>
            <w:rPr>
              <w:rFonts w:ascii="Arial" w:eastAsiaTheme="minorEastAsia" w:hAnsi="Arial" w:cs="Arial"/>
              <w:noProof/>
              <w:kern w:val="2"/>
              <w:lang w:val="en-IN" w:eastAsia="en-GB"/>
              <w14:ligatures w14:val="standardContextual"/>
            </w:rPr>
          </w:pPr>
          <w:hyperlink w:anchor="_Toc213774639" w:history="1">
            <w:r w:rsidR="00D23C56" w:rsidRPr="002479B7">
              <w:rPr>
                <w:rStyle w:val="Hyperlink"/>
                <w:rFonts w:ascii="Arial" w:hAnsi="Arial" w:cs="Arial"/>
                <w:noProof/>
                <w:lang w:val="en-GB"/>
              </w:rPr>
              <w:t>3.1 Pioneering Organisations’ Strategic Responses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_Toc213774639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16</w:t>
            </w:r>
            <w:r w:rsidR="00D23C56" w:rsidRPr="002479B7">
              <w:rPr>
                <w:rFonts w:ascii="Arial" w:hAnsi="Arial" w:cs="Arial"/>
                <w:noProof/>
                <w:webHidden/>
              </w:rPr>
              <w:fldChar w:fldCharType="end"/>
            </w:r>
          </w:hyperlink>
        </w:p>
        <w:p w14:paraId="720BE9F7" w14:textId="267621E1"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40" w:history="1">
            <w:r w:rsidR="00D23C56" w:rsidRPr="002479B7">
              <w:rPr>
                <w:rStyle w:val="Hyperlink"/>
                <w:rFonts w:ascii="Arial" w:hAnsi="Arial" w:cs="Arial"/>
                <w:noProof/>
                <w:lang w:val="en-GB"/>
              </w:rPr>
              <w:t>3.1.1 The way pioneering firms respond to external challenges.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_Toc213774640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16</w:t>
            </w:r>
            <w:r w:rsidR="00D23C56" w:rsidRPr="002479B7">
              <w:rPr>
                <w:rFonts w:ascii="Arial" w:hAnsi="Arial" w:cs="Arial"/>
                <w:noProof/>
                <w:webHidden/>
              </w:rPr>
              <w:fldChar w:fldCharType="end"/>
            </w:r>
          </w:hyperlink>
        </w:p>
        <w:p w14:paraId="4E1B966D" w14:textId="42B5260A"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41" w:history="1">
            <w:r w:rsidR="00D23C56" w:rsidRPr="002479B7">
              <w:rPr>
                <w:rStyle w:val="Hyperlink"/>
                <w:rFonts w:ascii="Arial" w:hAnsi="Arial" w:cs="Arial"/>
                <w:noProof/>
                <w:lang w:val="en-GB"/>
              </w:rPr>
              <w:t>3.1.2 Responding to the external opportunities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_Toc213774641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16</w:t>
            </w:r>
            <w:r w:rsidR="00D23C56" w:rsidRPr="002479B7">
              <w:rPr>
                <w:rFonts w:ascii="Arial" w:hAnsi="Arial" w:cs="Arial"/>
                <w:noProof/>
                <w:webHidden/>
              </w:rPr>
              <w:fldChar w:fldCharType="end"/>
            </w:r>
          </w:hyperlink>
        </w:p>
        <w:p w14:paraId="1366AA71" w14:textId="77F57F3A"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42" w:history="1">
            <w:r w:rsidR="00D23C56" w:rsidRPr="002479B7">
              <w:rPr>
                <w:rStyle w:val="Hyperlink"/>
                <w:rFonts w:ascii="Arial" w:hAnsi="Arial" w:cs="Arial"/>
                <w:noProof/>
                <w:lang w:val="en-GB"/>
              </w:rPr>
              <w:t>3.1.3 Application of Ansoff’s Growth Matrix</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_Toc213774642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17</w:t>
            </w:r>
            <w:r w:rsidR="00D23C56" w:rsidRPr="002479B7">
              <w:rPr>
                <w:rFonts w:ascii="Arial" w:hAnsi="Arial" w:cs="Arial"/>
                <w:noProof/>
                <w:webHidden/>
              </w:rPr>
              <w:fldChar w:fldCharType="end"/>
            </w:r>
          </w:hyperlink>
        </w:p>
        <w:p w14:paraId="64A57888" w14:textId="7A8CBEE9"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43" w:history="1">
            <w:r w:rsidR="00D23C56" w:rsidRPr="002479B7">
              <w:rPr>
                <w:rStyle w:val="Hyperlink"/>
                <w:rFonts w:ascii="Arial" w:hAnsi="Arial" w:cs="Arial"/>
                <w:noProof/>
                <w:lang w:val="en-GB"/>
              </w:rPr>
              <w:t>3.1.4 Application of Porter’s Generic Strategies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_Toc213774643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19</w:t>
            </w:r>
            <w:r w:rsidR="00D23C56" w:rsidRPr="002479B7">
              <w:rPr>
                <w:rFonts w:ascii="Arial" w:hAnsi="Arial" w:cs="Arial"/>
                <w:noProof/>
                <w:webHidden/>
              </w:rPr>
              <w:fldChar w:fldCharType="end"/>
            </w:r>
          </w:hyperlink>
        </w:p>
        <w:p w14:paraId="3B0DDE2F" w14:textId="314773EA" w:rsidR="00D23C56" w:rsidRPr="002479B7" w:rsidRDefault="00A372C2">
          <w:pPr>
            <w:pStyle w:val="TOC2"/>
            <w:tabs>
              <w:tab w:val="right" w:leader="dot" w:pos="9350"/>
            </w:tabs>
            <w:rPr>
              <w:rFonts w:ascii="Arial" w:eastAsiaTheme="minorEastAsia" w:hAnsi="Arial" w:cs="Arial"/>
              <w:noProof/>
              <w:kern w:val="2"/>
              <w:lang w:val="en-IN" w:eastAsia="en-GB"/>
              <w14:ligatures w14:val="standardContextual"/>
            </w:rPr>
          </w:pPr>
          <w:hyperlink w:anchor="_Toc213774644" w:history="1">
            <w:r w:rsidR="00D23C56" w:rsidRPr="002479B7">
              <w:rPr>
                <w:rStyle w:val="Hyperlink"/>
                <w:rFonts w:ascii="Arial" w:hAnsi="Arial" w:cs="Arial"/>
                <w:noProof/>
                <w:lang w:val="en-GB"/>
              </w:rPr>
              <w:t>3.2 Follower Organisations’ Strategic Responses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_Toc213774644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20</w:t>
            </w:r>
            <w:r w:rsidR="00D23C56" w:rsidRPr="002479B7">
              <w:rPr>
                <w:rFonts w:ascii="Arial" w:hAnsi="Arial" w:cs="Arial"/>
                <w:noProof/>
                <w:webHidden/>
              </w:rPr>
              <w:fldChar w:fldCharType="end"/>
            </w:r>
          </w:hyperlink>
        </w:p>
        <w:p w14:paraId="1E1196AE" w14:textId="72DCB58E"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45" w:history="1">
            <w:r w:rsidR="00D23C56" w:rsidRPr="002479B7">
              <w:rPr>
                <w:rStyle w:val="Hyperlink"/>
                <w:rFonts w:ascii="Arial" w:hAnsi="Arial" w:cs="Arial"/>
                <w:noProof/>
                <w:lang w:val="en-GB"/>
              </w:rPr>
              <w:t>3.2.1 The way followers’ organisations have established sustainable competitive advantage strategies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_Toc213774645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20</w:t>
            </w:r>
            <w:r w:rsidR="00D23C56" w:rsidRPr="002479B7">
              <w:rPr>
                <w:rFonts w:ascii="Arial" w:hAnsi="Arial" w:cs="Arial"/>
                <w:noProof/>
                <w:webHidden/>
              </w:rPr>
              <w:fldChar w:fldCharType="end"/>
            </w:r>
          </w:hyperlink>
        </w:p>
        <w:p w14:paraId="23CE5061" w14:textId="45FD9AAE"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46" w:history="1">
            <w:r w:rsidR="00D23C56" w:rsidRPr="002479B7">
              <w:rPr>
                <w:rStyle w:val="Hyperlink"/>
                <w:rFonts w:ascii="Arial" w:hAnsi="Arial" w:cs="Arial"/>
                <w:noProof/>
                <w:lang w:val="en-GB"/>
              </w:rPr>
              <w:t>3.2.2 Application of Ansoff’s Growth Matrix</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_Toc213774646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21</w:t>
            </w:r>
            <w:r w:rsidR="00D23C56" w:rsidRPr="002479B7">
              <w:rPr>
                <w:rFonts w:ascii="Arial" w:hAnsi="Arial" w:cs="Arial"/>
                <w:noProof/>
                <w:webHidden/>
              </w:rPr>
              <w:fldChar w:fldCharType="end"/>
            </w:r>
          </w:hyperlink>
        </w:p>
        <w:p w14:paraId="3CEE516F" w14:textId="0E074BDF" w:rsidR="00D23C56" w:rsidRPr="002479B7" w:rsidRDefault="00A372C2">
          <w:pPr>
            <w:pStyle w:val="TOC3"/>
            <w:tabs>
              <w:tab w:val="right" w:leader="dot" w:pos="9350"/>
            </w:tabs>
            <w:rPr>
              <w:rFonts w:ascii="Arial" w:eastAsiaTheme="minorEastAsia" w:hAnsi="Arial" w:cs="Arial"/>
              <w:noProof/>
              <w:kern w:val="2"/>
              <w:lang w:val="en-IN" w:eastAsia="en-GB"/>
              <w14:ligatures w14:val="standardContextual"/>
            </w:rPr>
          </w:pPr>
          <w:hyperlink w:anchor="_Toc213774647" w:history="1">
            <w:r w:rsidR="00D23C56" w:rsidRPr="002479B7">
              <w:rPr>
                <w:rStyle w:val="Hyperlink"/>
                <w:rFonts w:ascii="Arial" w:hAnsi="Arial" w:cs="Arial"/>
                <w:noProof/>
                <w:lang w:val="en-GB"/>
              </w:rPr>
              <w:t>3.2.3 Application of Porter’s Generic Strategies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_Toc213774647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21</w:t>
            </w:r>
            <w:r w:rsidR="00D23C56" w:rsidRPr="002479B7">
              <w:rPr>
                <w:rFonts w:ascii="Arial" w:hAnsi="Arial" w:cs="Arial"/>
                <w:noProof/>
                <w:webHidden/>
              </w:rPr>
              <w:fldChar w:fldCharType="end"/>
            </w:r>
          </w:hyperlink>
        </w:p>
        <w:p w14:paraId="1DB6F202" w14:textId="52CE7166" w:rsidR="00D23C56" w:rsidRPr="002479B7" w:rsidRDefault="00A372C2">
          <w:pPr>
            <w:pStyle w:val="TOC1"/>
            <w:tabs>
              <w:tab w:val="right" w:leader="dot" w:pos="9350"/>
            </w:tabs>
            <w:rPr>
              <w:rFonts w:ascii="Arial" w:eastAsiaTheme="minorEastAsia" w:hAnsi="Arial" w:cs="Arial"/>
              <w:noProof/>
              <w:kern w:val="2"/>
              <w:lang w:val="en-IN" w:eastAsia="en-GB"/>
              <w14:ligatures w14:val="standardContextual"/>
            </w:rPr>
          </w:pPr>
          <w:hyperlink w:anchor="_Toc213774648" w:history="1">
            <w:r w:rsidR="00D23C56" w:rsidRPr="002479B7">
              <w:rPr>
                <w:rStyle w:val="Hyperlink"/>
                <w:rFonts w:ascii="Arial" w:hAnsi="Arial" w:cs="Arial"/>
                <w:noProof/>
                <w:lang w:val="en-GB"/>
              </w:rPr>
              <w:t>4. Conclusion</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_Toc213774648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23</w:t>
            </w:r>
            <w:r w:rsidR="00D23C56" w:rsidRPr="002479B7">
              <w:rPr>
                <w:rFonts w:ascii="Arial" w:hAnsi="Arial" w:cs="Arial"/>
                <w:noProof/>
                <w:webHidden/>
              </w:rPr>
              <w:fldChar w:fldCharType="end"/>
            </w:r>
          </w:hyperlink>
        </w:p>
        <w:p w14:paraId="0E6EF2AC" w14:textId="3E753BAA" w:rsidR="00D23C56" w:rsidRPr="002479B7" w:rsidRDefault="00A372C2">
          <w:pPr>
            <w:pStyle w:val="TOC1"/>
            <w:tabs>
              <w:tab w:val="right" w:leader="dot" w:pos="9350"/>
            </w:tabs>
            <w:rPr>
              <w:rFonts w:ascii="Arial" w:eastAsiaTheme="minorEastAsia" w:hAnsi="Arial" w:cs="Arial"/>
              <w:noProof/>
              <w:kern w:val="2"/>
              <w:lang w:val="en-IN" w:eastAsia="en-GB"/>
              <w14:ligatures w14:val="standardContextual"/>
            </w:rPr>
          </w:pPr>
          <w:hyperlink w:anchor="_Toc213774649" w:history="1">
            <w:r w:rsidR="00D23C56" w:rsidRPr="002479B7">
              <w:rPr>
                <w:rStyle w:val="Hyperlink"/>
                <w:rFonts w:ascii="Arial" w:hAnsi="Arial" w:cs="Arial"/>
                <w:noProof/>
                <w:lang w:val="en-GB"/>
              </w:rPr>
              <w:t>References</w:t>
            </w:r>
            <w:r w:rsidR="00D23C56" w:rsidRPr="002479B7">
              <w:rPr>
                <w:rFonts w:ascii="Arial" w:hAnsi="Arial" w:cs="Arial"/>
                <w:noProof/>
                <w:webHidden/>
              </w:rPr>
              <w:tab/>
            </w:r>
            <w:r w:rsidR="00D23C56" w:rsidRPr="002479B7">
              <w:rPr>
                <w:rFonts w:ascii="Arial" w:hAnsi="Arial" w:cs="Arial"/>
                <w:noProof/>
                <w:webHidden/>
              </w:rPr>
              <w:fldChar w:fldCharType="begin"/>
            </w:r>
            <w:r w:rsidR="00D23C56" w:rsidRPr="002479B7">
              <w:rPr>
                <w:rFonts w:ascii="Arial" w:hAnsi="Arial" w:cs="Arial"/>
                <w:noProof/>
                <w:webHidden/>
              </w:rPr>
              <w:instrText xml:space="preserve"> PAGEREF _Toc213774649 \h </w:instrText>
            </w:r>
            <w:r w:rsidR="00D23C56" w:rsidRPr="002479B7">
              <w:rPr>
                <w:rFonts w:ascii="Arial" w:hAnsi="Arial" w:cs="Arial"/>
                <w:noProof/>
                <w:webHidden/>
              </w:rPr>
            </w:r>
            <w:r w:rsidR="00D23C56" w:rsidRPr="002479B7">
              <w:rPr>
                <w:rFonts w:ascii="Arial" w:hAnsi="Arial" w:cs="Arial"/>
                <w:noProof/>
                <w:webHidden/>
              </w:rPr>
              <w:fldChar w:fldCharType="separate"/>
            </w:r>
            <w:r w:rsidR="00A5007A">
              <w:rPr>
                <w:rFonts w:ascii="Arial" w:hAnsi="Arial" w:cs="Arial"/>
                <w:noProof/>
                <w:webHidden/>
              </w:rPr>
              <w:t>25</w:t>
            </w:r>
            <w:r w:rsidR="00D23C56" w:rsidRPr="002479B7">
              <w:rPr>
                <w:rFonts w:ascii="Arial" w:hAnsi="Arial" w:cs="Arial"/>
                <w:noProof/>
                <w:webHidden/>
              </w:rPr>
              <w:fldChar w:fldCharType="end"/>
            </w:r>
          </w:hyperlink>
        </w:p>
        <w:p w14:paraId="240A6B19" w14:textId="51606FF3" w:rsidR="008C0DB7" w:rsidRPr="002479B7" w:rsidRDefault="008C0DB7">
          <w:pPr>
            <w:rPr>
              <w:rFonts w:ascii="Arial" w:hAnsi="Arial" w:cs="Arial"/>
            </w:rPr>
          </w:pPr>
          <w:r w:rsidRPr="002479B7">
            <w:rPr>
              <w:rFonts w:ascii="Arial" w:hAnsi="Arial" w:cs="Arial"/>
              <w:b/>
              <w:bCs/>
              <w:noProof/>
            </w:rPr>
            <w:fldChar w:fldCharType="end"/>
          </w:r>
        </w:p>
      </w:sdtContent>
    </w:sdt>
    <w:p w14:paraId="0B34DE3B" w14:textId="77777777" w:rsidR="008E60C8" w:rsidRPr="002479B7" w:rsidRDefault="008E60C8" w:rsidP="008E60C8">
      <w:pPr>
        <w:jc w:val="center"/>
        <w:rPr>
          <w:rFonts w:ascii="Arial" w:hAnsi="Arial" w:cs="Arial"/>
          <w:b/>
          <w:bCs/>
          <w:sz w:val="36"/>
          <w:szCs w:val="36"/>
          <w:lang w:val="en-GB"/>
        </w:rPr>
      </w:pPr>
    </w:p>
    <w:p w14:paraId="76B77EAC" w14:textId="2797E165" w:rsidR="008E60C8" w:rsidRPr="002479B7" w:rsidRDefault="008E60C8">
      <w:pPr>
        <w:rPr>
          <w:rFonts w:ascii="Arial" w:hAnsi="Arial" w:cs="Arial"/>
          <w:b/>
          <w:bCs/>
          <w:sz w:val="28"/>
          <w:szCs w:val="28"/>
          <w:lang w:val="en-GB"/>
        </w:rPr>
      </w:pPr>
    </w:p>
    <w:p w14:paraId="7C25BED5" w14:textId="6878C354" w:rsidR="00CB66A1" w:rsidRPr="002479B7" w:rsidRDefault="0092502A">
      <w:pPr>
        <w:pStyle w:val="Heading1"/>
        <w:rPr>
          <w:rFonts w:ascii="Arial" w:hAnsi="Arial" w:cs="Arial"/>
          <w:lang w:val="en-GB"/>
        </w:rPr>
      </w:pPr>
      <w:bookmarkStart w:id="1" w:name="_Toc213774630"/>
      <w:r w:rsidRPr="002479B7">
        <w:rPr>
          <w:rFonts w:ascii="Arial" w:hAnsi="Arial" w:cs="Arial"/>
          <w:lang w:val="en-GB"/>
        </w:rPr>
        <w:lastRenderedPageBreak/>
        <w:t>1. Introduction</w:t>
      </w:r>
      <w:bookmarkEnd w:id="1"/>
    </w:p>
    <w:p w14:paraId="0263C213" w14:textId="2873F899" w:rsidR="009864FC" w:rsidRPr="002479B7" w:rsidRDefault="009864FC">
      <w:pPr>
        <w:rPr>
          <w:rFonts w:ascii="Arial" w:hAnsi="Arial" w:cs="Arial"/>
          <w:b/>
          <w:bCs/>
          <w:i/>
          <w:iCs/>
          <w:lang w:val="en-GB"/>
        </w:rPr>
      </w:pPr>
      <w:r w:rsidRPr="002479B7">
        <w:rPr>
          <w:rFonts w:ascii="Arial" w:hAnsi="Arial" w:cs="Arial"/>
          <w:b/>
          <w:bCs/>
          <w:i/>
          <w:iCs/>
          <w:lang w:val="en-GB"/>
        </w:rPr>
        <w:t xml:space="preserve">Introduce and the purpose of strategic marketing management </w:t>
      </w:r>
    </w:p>
    <w:p w14:paraId="2B7C4C92" w14:textId="77777777" w:rsidR="009864FC" w:rsidRPr="002479B7" w:rsidRDefault="0092502A">
      <w:pPr>
        <w:rPr>
          <w:rFonts w:ascii="Arial" w:hAnsi="Arial" w:cs="Arial"/>
          <w:lang w:val="en-GB"/>
        </w:rPr>
      </w:pPr>
      <w:r w:rsidRPr="002479B7">
        <w:rPr>
          <w:rFonts w:ascii="Arial" w:hAnsi="Arial" w:cs="Arial"/>
          <w:lang w:val="en-GB"/>
        </w:rPr>
        <w:t xml:space="preserve">The marketing management with the strategic </w:t>
      </w:r>
      <w:r w:rsidR="00A67CF4" w:rsidRPr="002479B7">
        <w:rPr>
          <w:rFonts w:ascii="Arial" w:hAnsi="Arial" w:cs="Arial"/>
          <w:lang w:val="en-GB"/>
        </w:rPr>
        <w:t>approach</w:t>
      </w:r>
      <w:r w:rsidRPr="002479B7">
        <w:rPr>
          <w:rFonts w:ascii="Arial" w:hAnsi="Arial" w:cs="Arial"/>
          <w:lang w:val="en-GB"/>
        </w:rPr>
        <w:t xml:space="preserve"> involves the organisational capability focusing on the external environment</w:t>
      </w:r>
      <w:r w:rsidR="00FE1859" w:rsidRPr="002479B7">
        <w:rPr>
          <w:rFonts w:ascii="Arial" w:hAnsi="Arial" w:cs="Arial"/>
          <w:lang w:val="en-GB"/>
        </w:rPr>
        <w:t xml:space="preserve"> (Covin </w:t>
      </w:r>
      <w:r w:rsidR="00FE1859" w:rsidRPr="002479B7">
        <w:rPr>
          <w:rFonts w:ascii="Arial" w:hAnsi="Arial" w:cs="Arial"/>
          <w:i/>
          <w:iCs/>
          <w:lang w:val="en-GB"/>
        </w:rPr>
        <w:t xml:space="preserve">et al., </w:t>
      </w:r>
      <w:r w:rsidR="00FE1859" w:rsidRPr="002479B7">
        <w:rPr>
          <w:rFonts w:ascii="Arial" w:hAnsi="Arial" w:cs="Arial"/>
          <w:lang w:val="en-GB"/>
        </w:rPr>
        <w:t xml:space="preserve">2024). </w:t>
      </w:r>
      <w:r w:rsidRPr="002479B7">
        <w:rPr>
          <w:rFonts w:ascii="Arial" w:hAnsi="Arial" w:cs="Arial"/>
          <w:lang w:val="en-GB"/>
        </w:rPr>
        <w:t xml:space="preserve">Marketing strategy is the systematic approach of marketing management that is considered a tactical process of human resource </w:t>
      </w:r>
      <w:r w:rsidR="00F73F51" w:rsidRPr="002479B7">
        <w:rPr>
          <w:rFonts w:ascii="Arial" w:hAnsi="Arial" w:cs="Arial"/>
          <w:lang w:val="en-GB"/>
        </w:rPr>
        <w:t>management (</w:t>
      </w:r>
      <w:r w:rsidRPr="002479B7">
        <w:rPr>
          <w:rFonts w:ascii="Arial" w:hAnsi="Arial" w:cs="Arial"/>
          <w:lang w:val="en-GB"/>
        </w:rPr>
        <w:t xml:space="preserve">Chernev, 2025). </w:t>
      </w:r>
    </w:p>
    <w:p w14:paraId="110E0474" w14:textId="7250EE28" w:rsidR="009864FC" w:rsidRPr="002479B7" w:rsidRDefault="009864FC">
      <w:pPr>
        <w:rPr>
          <w:rFonts w:ascii="Arial" w:hAnsi="Arial" w:cs="Arial"/>
          <w:b/>
          <w:bCs/>
          <w:i/>
          <w:iCs/>
          <w:lang w:val="en-GB"/>
        </w:rPr>
      </w:pPr>
      <w:r w:rsidRPr="002479B7">
        <w:rPr>
          <w:rFonts w:ascii="Arial" w:hAnsi="Arial" w:cs="Arial"/>
          <w:b/>
          <w:bCs/>
          <w:i/>
          <w:iCs/>
          <w:lang w:val="en-GB"/>
        </w:rPr>
        <w:t xml:space="preserve">The importance of analysing the macro marketing environment for strategic decision </w:t>
      </w:r>
    </w:p>
    <w:p w14:paraId="4F16FC12" w14:textId="6DE1F8AD" w:rsidR="00CB66A1" w:rsidRPr="002479B7" w:rsidRDefault="0092502A">
      <w:pPr>
        <w:rPr>
          <w:rFonts w:ascii="Arial" w:hAnsi="Arial" w:cs="Arial"/>
          <w:lang w:val="en-GB"/>
        </w:rPr>
      </w:pPr>
      <w:r w:rsidRPr="002479B7">
        <w:rPr>
          <w:rFonts w:ascii="Arial" w:hAnsi="Arial" w:cs="Arial"/>
          <w:lang w:val="en-GB"/>
        </w:rPr>
        <w:t xml:space="preserve">For marketing management and strategic decision-making, the macro environment has been analysed with the help of an effective framework like PESTLE. Based on the environmental analysis, the organisations are able to respond and anticipate the external pressure that has shaped their marketing performance, innovation practices, along consumer behaviour. This environmental analysis has encompassed different drivers like economic, political, social, technological, legal and environmental. To conduct the strategic marketing management based on the macro environmental factors, the automobile industry has been selected. </w:t>
      </w:r>
    </w:p>
    <w:p w14:paraId="3FD120C5" w14:textId="257465DA" w:rsidR="00CB66A1" w:rsidRPr="002479B7" w:rsidRDefault="0092502A" w:rsidP="00224CE5">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46A9178F" wp14:editId="2E1BBAF5">
            <wp:extent cx="5651500" cy="4813300"/>
            <wp:effectExtent l="0" t="0" r="6350" b="635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651500" cy="4813300"/>
                    </a:xfrm>
                    <a:prstGeom prst="rect">
                      <a:avLst/>
                    </a:prstGeom>
                    <a:ln/>
                  </pic:spPr>
                </pic:pic>
              </a:graphicData>
            </a:graphic>
          </wp:inline>
        </w:drawing>
      </w:r>
    </w:p>
    <w:p w14:paraId="54E3046D" w14:textId="7D742EEA" w:rsidR="00CB66A1" w:rsidRPr="002479B7" w:rsidRDefault="0092502A" w:rsidP="00224CE5">
      <w:pPr>
        <w:jc w:val="center"/>
        <w:rPr>
          <w:rFonts w:ascii="Arial" w:hAnsi="Arial" w:cs="Arial"/>
          <w:b/>
          <w:bCs/>
          <w:lang w:val="en-GB"/>
        </w:rPr>
      </w:pPr>
      <w:r w:rsidRPr="002479B7">
        <w:rPr>
          <w:rFonts w:ascii="Arial" w:hAnsi="Arial" w:cs="Arial"/>
          <w:b/>
          <w:bCs/>
          <w:lang w:val="en-GB"/>
        </w:rPr>
        <w:t>Figure 1: Consumer’s tech-spending resilience</w:t>
      </w:r>
    </w:p>
    <w:p w14:paraId="242DA1CA" w14:textId="6D38B53A" w:rsidR="00CB66A1" w:rsidRPr="002479B7" w:rsidRDefault="0092502A" w:rsidP="00224CE5">
      <w:pPr>
        <w:jc w:val="center"/>
        <w:rPr>
          <w:rFonts w:ascii="Arial" w:hAnsi="Arial" w:cs="Arial"/>
          <w:lang w:val="en-GB"/>
        </w:rPr>
      </w:pPr>
      <w:r w:rsidRPr="002479B7">
        <w:rPr>
          <w:rFonts w:ascii="Arial" w:hAnsi="Arial" w:cs="Arial"/>
          <w:lang w:val="en-GB"/>
        </w:rPr>
        <w:t>(Source: Deloitte, 2025)</w:t>
      </w:r>
    </w:p>
    <w:p w14:paraId="05A49435" w14:textId="77777777" w:rsidR="00CB66A1" w:rsidRPr="002479B7" w:rsidRDefault="0092502A">
      <w:pPr>
        <w:rPr>
          <w:rFonts w:ascii="Arial" w:hAnsi="Arial" w:cs="Arial"/>
          <w:lang w:val="en-GB"/>
        </w:rPr>
      </w:pPr>
      <w:r w:rsidRPr="002479B7">
        <w:rPr>
          <w:rFonts w:ascii="Arial" w:hAnsi="Arial" w:cs="Arial"/>
          <w:lang w:val="en-GB"/>
        </w:rPr>
        <w:t xml:space="preserve">Based on the above figure, it is observed that due to technological innovation, customers’ spending has increased. In 2023, tech-based spending was 9% higher in 2025, and it became 29%. </w:t>
      </w:r>
    </w:p>
    <w:p w14:paraId="61541681" w14:textId="71F03B29" w:rsidR="00941A94" w:rsidRPr="002479B7" w:rsidRDefault="00941A94">
      <w:pPr>
        <w:rPr>
          <w:rFonts w:ascii="Arial" w:hAnsi="Arial" w:cs="Arial"/>
          <w:b/>
          <w:bCs/>
          <w:i/>
          <w:iCs/>
          <w:lang w:val="en-GB"/>
        </w:rPr>
      </w:pPr>
      <w:r w:rsidRPr="002479B7">
        <w:rPr>
          <w:rFonts w:ascii="Arial" w:hAnsi="Arial" w:cs="Arial"/>
          <w:b/>
          <w:bCs/>
          <w:i/>
          <w:iCs/>
          <w:lang w:val="en-GB"/>
        </w:rPr>
        <w:t xml:space="preserve">Structure and the score of this report </w:t>
      </w:r>
    </w:p>
    <w:p w14:paraId="15D67638" w14:textId="698038CC" w:rsidR="00CB66A1" w:rsidRPr="002479B7" w:rsidRDefault="0092502A">
      <w:pPr>
        <w:rPr>
          <w:rFonts w:ascii="Arial" w:hAnsi="Arial" w:cs="Arial"/>
          <w:lang w:val="en-GB"/>
        </w:rPr>
      </w:pPr>
      <w:r w:rsidRPr="002479B7">
        <w:rPr>
          <w:rFonts w:ascii="Arial" w:hAnsi="Arial" w:cs="Arial"/>
          <w:lang w:val="en-GB"/>
        </w:rPr>
        <w:t>The</w:t>
      </w:r>
      <w:r w:rsidR="00A11A6B" w:rsidRPr="002479B7">
        <w:rPr>
          <w:rFonts w:ascii="Arial" w:hAnsi="Arial" w:cs="Arial"/>
          <w:lang w:val="en-GB"/>
        </w:rPr>
        <w:t xml:space="preserve"> scope</w:t>
      </w:r>
      <w:r w:rsidRPr="002479B7">
        <w:rPr>
          <w:rFonts w:ascii="Arial" w:hAnsi="Arial" w:cs="Arial"/>
          <w:lang w:val="en-GB"/>
        </w:rPr>
        <w:t xml:space="preserve"> of this study is to focus on the macro marketing environment and its contribution to driving the strategic marketing. For evaluating the macro-marketing environment, two external macro factors have been selected and identify both threats and opportunities regarding followers and pioneer organisations. In this study, two macro environmental factors are sustainability transition and technological innovation explored and their contribution to the automotive industry. In Task 1, critically analyse how these 2 </w:t>
      </w:r>
      <w:r w:rsidRPr="002479B7">
        <w:rPr>
          <w:rFonts w:ascii="Arial" w:hAnsi="Arial" w:cs="Arial"/>
          <w:lang w:val="en-GB"/>
        </w:rPr>
        <w:lastRenderedPageBreak/>
        <w:t xml:space="preserve">external macro marketing actors contribute to the organisational operating process. In task 2, an in-depth analysis has been conducted focusing on the automotive industry by mentioning pioneering and follower organisational examples. </w:t>
      </w:r>
    </w:p>
    <w:p w14:paraId="5F820853" w14:textId="1753D630" w:rsidR="00CB66A1" w:rsidRPr="002479B7" w:rsidRDefault="0092502A">
      <w:pPr>
        <w:pStyle w:val="Heading1"/>
        <w:rPr>
          <w:rFonts w:ascii="Arial" w:hAnsi="Arial" w:cs="Arial"/>
          <w:lang w:val="en-GB"/>
        </w:rPr>
      </w:pPr>
      <w:bookmarkStart w:id="2" w:name="_k7m4pa7ctue" w:colFirst="0" w:colLast="0"/>
      <w:bookmarkStart w:id="3" w:name="_Toc213774631"/>
      <w:bookmarkEnd w:id="2"/>
      <w:r w:rsidRPr="002479B7">
        <w:rPr>
          <w:rFonts w:ascii="Arial" w:hAnsi="Arial" w:cs="Arial"/>
          <w:lang w:val="en-GB"/>
        </w:rPr>
        <w:t>2. Task 1: Critical Analysis of the Macro Marketing Environment</w:t>
      </w:r>
      <w:bookmarkEnd w:id="3"/>
      <w:r w:rsidRPr="002479B7">
        <w:rPr>
          <w:rFonts w:ascii="Arial" w:hAnsi="Arial" w:cs="Arial"/>
          <w:lang w:val="en-GB"/>
        </w:rPr>
        <w:t xml:space="preserve"> </w:t>
      </w:r>
    </w:p>
    <w:p w14:paraId="1A864B05" w14:textId="5D5CF2C9" w:rsidR="00CB66A1" w:rsidRPr="002479B7" w:rsidRDefault="0092502A">
      <w:pPr>
        <w:pStyle w:val="Heading2"/>
        <w:rPr>
          <w:rFonts w:ascii="Arial" w:hAnsi="Arial" w:cs="Arial"/>
          <w:lang w:val="en-GB"/>
        </w:rPr>
      </w:pPr>
      <w:bookmarkStart w:id="4" w:name="_qfeh44ngp024" w:colFirst="0" w:colLast="0"/>
      <w:bookmarkStart w:id="5" w:name="_Toc213774632"/>
      <w:bookmarkEnd w:id="4"/>
      <w:r w:rsidRPr="002479B7">
        <w:rPr>
          <w:rFonts w:ascii="Arial" w:hAnsi="Arial" w:cs="Arial"/>
          <w:lang w:val="en-GB"/>
        </w:rPr>
        <w:t>2.1 Overview of the macro marketing environment</w:t>
      </w:r>
      <w:bookmarkEnd w:id="5"/>
      <w:r w:rsidRPr="002479B7">
        <w:rPr>
          <w:rFonts w:ascii="Arial" w:hAnsi="Arial" w:cs="Arial"/>
          <w:lang w:val="en-GB"/>
        </w:rPr>
        <w:t xml:space="preserve"> </w:t>
      </w:r>
    </w:p>
    <w:p w14:paraId="2CF8C3C0" w14:textId="77777777" w:rsidR="00CB66A1" w:rsidRPr="002479B7" w:rsidRDefault="0092502A" w:rsidP="008E3D50">
      <w:pPr>
        <w:rPr>
          <w:rFonts w:ascii="Arial" w:hAnsi="Arial" w:cs="Arial"/>
          <w:lang w:val="en-GB"/>
        </w:rPr>
      </w:pPr>
      <w:bookmarkStart w:id="6" w:name="_yoc9uo3kz4wr" w:colFirst="0" w:colLast="0"/>
      <w:bookmarkEnd w:id="6"/>
      <w:r w:rsidRPr="002479B7">
        <w:rPr>
          <w:rFonts w:ascii="Arial" w:hAnsi="Arial" w:cs="Arial"/>
          <w:b/>
          <w:bCs/>
          <w:lang w:val="en-GB"/>
        </w:rPr>
        <w:t>Macro</w:t>
      </w:r>
      <w:r w:rsidRPr="002479B7">
        <w:rPr>
          <w:rFonts w:ascii="Arial" w:hAnsi="Arial" w:cs="Arial"/>
          <w:lang w:val="en-GB"/>
        </w:rPr>
        <w:t xml:space="preserve"> </w:t>
      </w:r>
      <w:r w:rsidRPr="002479B7">
        <w:rPr>
          <w:rFonts w:ascii="Arial" w:hAnsi="Arial" w:cs="Arial"/>
          <w:b/>
          <w:bCs/>
          <w:lang w:val="en-GB"/>
        </w:rPr>
        <w:t>environment</w:t>
      </w:r>
      <w:r w:rsidRPr="002479B7">
        <w:rPr>
          <w:rFonts w:ascii="Arial" w:hAnsi="Arial" w:cs="Arial"/>
          <w:lang w:val="en-GB"/>
        </w:rPr>
        <w:t xml:space="preserve"> </w:t>
      </w:r>
    </w:p>
    <w:p w14:paraId="5E7A7AC9" w14:textId="77777777" w:rsidR="00CB66A1" w:rsidRPr="002479B7" w:rsidRDefault="0092502A">
      <w:pPr>
        <w:rPr>
          <w:rFonts w:ascii="Arial" w:hAnsi="Arial" w:cs="Arial"/>
          <w:lang w:val="en-GB"/>
        </w:rPr>
      </w:pPr>
      <w:r w:rsidRPr="002479B7">
        <w:rPr>
          <w:rFonts w:ascii="Arial" w:hAnsi="Arial" w:cs="Arial"/>
          <w:lang w:val="en-GB"/>
        </w:rPr>
        <w:t xml:space="preserve">Macro environment is considered the external context that supports the organisation to operate its business in the global market. The macro environmental factors have highly contributed to the managerial control of the organisation. As referred to by Tetteh </w:t>
      </w:r>
      <w:r w:rsidRPr="002479B7">
        <w:rPr>
          <w:rFonts w:ascii="Arial" w:hAnsi="Arial" w:cs="Arial"/>
          <w:i/>
          <w:iCs/>
          <w:lang w:val="en-GB"/>
        </w:rPr>
        <w:t>et al.</w:t>
      </w:r>
      <w:r w:rsidRPr="002479B7">
        <w:rPr>
          <w:rFonts w:ascii="Arial" w:hAnsi="Arial" w:cs="Arial"/>
          <w:lang w:val="en-GB"/>
        </w:rPr>
        <w:t xml:space="preserve"> (2024) stated that macro-environmental factors contribute to three factors like regional and economic, cultural, along political and governmental factors. </w:t>
      </w:r>
    </w:p>
    <w:p w14:paraId="1BC5494A" w14:textId="77777777" w:rsidR="00CB66A1" w:rsidRPr="002479B7" w:rsidRDefault="0092502A" w:rsidP="008E3D50">
      <w:pPr>
        <w:rPr>
          <w:rFonts w:ascii="Arial" w:hAnsi="Arial" w:cs="Arial"/>
          <w:b/>
          <w:bCs/>
          <w:lang w:val="en-GB"/>
        </w:rPr>
      </w:pPr>
      <w:bookmarkStart w:id="7" w:name="_jj29amck9ea8" w:colFirst="0" w:colLast="0"/>
      <w:bookmarkEnd w:id="7"/>
      <w:r w:rsidRPr="002479B7">
        <w:rPr>
          <w:rFonts w:ascii="Arial" w:hAnsi="Arial" w:cs="Arial"/>
          <w:b/>
          <w:bCs/>
          <w:lang w:val="en-GB"/>
        </w:rPr>
        <w:t xml:space="preserve">Its relevance to marketing strategy </w:t>
      </w:r>
    </w:p>
    <w:p w14:paraId="7A994E4E" w14:textId="056B49D5" w:rsidR="00CB66A1" w:rsidRPr="002479B7" w:rsidRDefault="0092502A">
      <w:pPr>
        <w:rPr>
          <w:rFonts w:ascii="Arial" w:hAnsi="Arial" w:cs="Arial"/>
          <w:lang w:val="en-GB"/>
        </w:rPr>
      </w:pPr>
      <w:r w:rsidRPr="002479B7">
        <w:rPr>
          <w:rFonts w:ascii="Arial" w:hAnsi="Arial" w:cs="Arial"/>
          <w:lang w:val="en-GB"/>
        </w:rPr>
        <w:t xml:space="preserve">The macro environment has higher relevance in the marketing strategy that has been encompasses by the external forces that have shaped the marketing threats and opportunities. Different external forces like technological, economic, demographic, social, natural and political factors that allow the </w:t>
      </w:r>
      <w:r w:rsidR="00873445" w:rsidRPr="002479B7">
        <w:rPr>
          <w:rFonts w:ascii="Arial" w:hAnsi="Arial" w:cs="Arial"/>
          <w:lang w:val="en-GB"/>
        </w:rPr>
        <w:t>business</w:t>
      </w:r>
      <w:r w:rsidRPr="002479B7">
        <w:rPr>
          <w:rFonts w:ascii="Arial" w:hAnsi="Arial" w:cs="Arial"/>
          <w:lang w:val="en-GB"/>
        </w:rPr>
        <w:t xml:space="preserve"> to change their marketing strategy.   </w:t>
      </w:r>
    </w:p>
    <w:p w14:paraId="665E0FE7" w14:textId="77777777" w:rsidR="00CB66A1" w:rsidRPr="002479B7" w:rsidRDefault="0092502A" w:rsidP="008E3D50">
      <w:pPr>
        <w:rPr>
          <w:rFonts w:ascii="Arial" w:hAnsi="Arial" w:cs="Arial"/>
          <w:b/>
          <w:bCs/>
          <w:lang w:val="en-GB"/>
        </w:rPr>
      </w:pPr>
      <w:bookmarkStart w:id="8" w:name="_a0shh8on4krr" w:colFirst="0" w:colLast="0"/>
      <w:bookmarkEnd w:id="8"/>
      <w:r w:rsidRPr="002479B7">
        <w:rPr>
          <w:rFonts w:ascii="Arial" w:hAnsi="Arial" w:cs="Arial"/>
          <w:b/>
          <w:bCs/>
          <w:lang w:val="en-GB"/>
        </w:rPr>
        <w:t xml:space="preserve">Application of the theoretical framework, like PESTLE </w:t>
      </w:r>
    </w:p>
    <w:p w14:paraId="4194FDA4" w14:textId="77777777" w:rsidR="00CB66A1" w:rsidRPr="002479B7" w:rsidRDefault="0092502A">
      <w:pPr>
        <w:rPr>
          <w:rFonts w:ascii="Arial" w:hAnsi="Arial" w:cs="Arial"/>
          <w:lang w:val="en-GB"/>
        </w:rPr>
      </w:pPr>
      <w:r w:rsidRPr="002479B7">
        <w:rPr>
          <w:rFonts w:ascii="Arial" w:hAnsi="Arial" w:cs="Arial"/>
          <w:lang w:val="en-GB"/>
        </w:rPr>
        <w:t xml:space="preserve">The six dimensions of PESTLE: political, economic, social, technological, legal and environmental factors. These have support to shape the organisational marketing strategy for driving the organisational development. PESTLE is a significant analysis tool for qualitative analysis that ensures the external environment and the organisations (Li, 2025). </w:t>
      </w:r>
    </w:p>
    <w:p w14:paraId="0BD34590" w14:textId="77777777" w:rsidR="00CB66A1" w:rsidRPr="002479B7" w:rsidRDefault="0092502A" w:rsidP="005A3B5E">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090078E0" wp14:editId="7229D907">
            <wp:extent cx="5943600" cy="42164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4216400"/>
                    </a:xfrm>
                    <a:prstGeom prst="rect">
                      <a:avLst/>
                    </a:prstGeom>
                    <a:ln/>
                  </pic:spPr>
                </pic:pic>
              </a:graphicData>
            </a:graphic>
          </wp:inline>
        </w:drawing>
      </w:r>
    </w:p>
    <w:p w14:paraId="432055A4" w14:textId="38B3DFB0" w:rsidR="00CB66A1" w:rsidRPr="002479B7" w:rsidRDefault="0092502A" w:rsidP="005A3B5E">
      <w:pPr>
        <w:jc w:val="center"/>
        <w:rPr>
          <w:rFonts w:ascii="Arial" w:hAnsi="Arial" w:cs="Arial"/>
          <w:b/>
          <w:bCs/>
          <w:lang w:val="en-GB"/>
        </w:rPr>
      </w:pPr>
      <w:r w:rsidRPr="002479B7">
        <w:rPr>
          <w:rFonts w:ascii="Arial" w:hAnsi="Arial" w:cs="Arial"/>
          <w:b/>
          <w:bCs/>
          <w:lang w:val="en-GB"/>
        </w:rPr>
        <w:t>Figure 2: PESTLE framework</w:t>
      </w:r>
    </w:p>
    <w:p w14:paraId="4A82547C" w14:textId="77777777" w:rsidR="00CB66A1" w:rsidRPr="002479B7" w:rsidRDefault="0092502A" w:rsidP="005A3B5E">
      <w:pPr>
        <w:jc w:val="center"/>
        <w:rPr>
          <w:rFonts w:ascii="Arial" w:hAnsi="Arial" w:cs="Arial"/>
          <w:lang w:val="en-GB"/>
        </w:rPr>
      </w:pPr>
      <w:r w:rsidRPr="002479B7">
        <w:rPr>
          <w:rFonts w:ascii="Arial" w:hAnsi="Arial" w:cs="Arial"/>
          <w:lang w:val="en-GB"/>
        </w:rPr>
        <w:t>(Source: Li, 2025)</w:t>
      </w:r>
    </w:p>
    <w:p w14:paraId="04F00612" w14:textId="77777777" w:rsidR="00CB66A1" w:rsidRPr="002479B7" w:rsidRDefault="0092502A">
      <w:pPr>
        <w:rPr>
          <w:rFonts w:ascii="Arial" w:hAnsi="Arial" w:cs="Arial"/>
          <w:lang w:val="en-GB"/>
        </w:rPr>
      </w:pPr>
      <w:r w:rsidRPr="002479B7">
        <w:rPr>
          <w:rFonts w:ascii="Arial" w:hAnsi="Arial" w:cs="Arial"/>
          <w:lang w:val="en-GB"/>
        </w:rPr>
        <w:t xml:space="preserve">In response to the automobile industry, these factors have become dynamic through digital transformation, globalisation, and the transition of sustainability practices. For example, due to the sustainability demand based on technological disruption, the demand for EV vehicles in the automobile industry has been increasing. The evidence below states that EV sales have increased 25% throughout the world (Reuters, 2024). </w:t>
      </w:r>
    </w:p>
    <w:p w14:paraId="07259F08" w14:textId="77777777" w:rsidR="00CB66A1" w:rsidRPr="002479B7" w:rsidRDefault="0092502A" w:rsidP="005A3B5E">
      <w:pPr>
        <w:jc w:val="center"/>
        <w:rPr>
          <w:rFonts w:ascii="Arial" w:hAnsi="Arial" w:cs="Arial"/>
          <w:lang w:val="en-GB"/>
        </w:rPr>
      </w:pPr>
      <w:r w:rsidRPr="002479B7">
        <w:rPr>
          <w:rFonts w:ascii="Arial" w:hAnsi="Arial" w:cs="Arial"/>
          <w:noProof/>
          <w:lang w:val="en-GB" w:eastAsia="en-GB"/>
        </w:rPr>
        <w:drawing>
          <wp:inline distT="114300" distB="114300" distL="114300" distR="114300" wp14:anchorId="4A77CF76" wp14:editId="715ECDB0">
            <wp:extent cx="5943600" cy="1511300"/>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1511300"/>
                    </a:xfrm>
                    <a:prstGeom prst="rect">
                      <a:avLst/>
                    </a:prstGeom>
                    <a:ln/>
                  </pic:spPr>
                </pic:pic>
              </a:graphicData>
            </a:graphic>
          </wp:inline>
        </w:drawing>
      </w:r>
    </w:p>
    <w:p w14:paraId="4952BC1D" w14:textId="18A9F944" w:rsidR="00CB66A1" w:rsidRPr="002479B7" w:rsidRDefault="0092502A" w:rsidP="005A3B5E">
      <w:pPr>
        <w:jc w:val="center"/>
        <w:rPr>
          <w:rFonts w:ascii="Arial" w:hAnsi="Arial" w:cs="Arial"/>
          <w:b/>
          <w:bCs/>
          <w:lang w:val="en-GB"/>
        </w:rPr>
      </w:pPr>
      <w:r w:rsidRPr="002479B7">
        <w:rPr>
          <w:rFonts w:ascii="Arial" w:hAnsi="Arial" w:cs="Arial"/>
          <w:b/>
          <w:bCs/>
          <w:lang w:val="en-GB"/>
        </w:rPr>
        <w:t>Figure 3: Rate of EV vehicles in 2024</w:t>
      </w:r>
    </w:p>
    <w:p w14:paraId="060785F2" w14:textId="4BCC73B4" w:rsidR="00CB66A1" w:rsidRPr="002479B7" w:rsidRDefault="0092502A" w:rsidP="005A3B5E">
      <w:pPr>
        <w:jc w:val="center"/>
        <w:rPr>
          <w:rFonts w:ascii="Arial" w:hAnsi="Arial" w:cs="Arial"/>
          <w:lang w:val="en-GB"/>
        </w:rPr>
      </w:pPr>
      <w:r w:rsidRPr="002479B7">
        <w:rPr>
          <w:rFonts w:ascii="Arial" w:hAnsi="Arial" w:cs="Arial"/>
          <w:lang w:val="en-GB"/>
        </w:rPr>
        <w:t>(Source: Reuters, 2024)</w:t>
      </w:r>
    </w:p>
    <w:p w14:paraId="69AA4D7C" w14:textId="16460E94" w:rsidR="00CB66A1" w:rsidRPr="002479B7" w:rsidRDefault="0092502A">
      <w:pPr>
        <w:pStyle w:val="Heading2"/>
        <w:rPr>
          <w:rFonts w:ascii="Arial" w:hAnsi="Arial" w:cs="Arial"/>
          <w:lang w:val="en-GB"/>
        </w:rPr>
      </w:pPr>
      <w:bookmarkStart w:id="9" w:name="_vzxfrnnkmmav" w:colFirst="0" w:colLast="0"/>
      <w:bookmarkStart w:id="10" w:name="_Toc213774633"/>
      <w:bookmarkEnd w:id="9"/>
      <w:r w:rsidRPr="002479B7">
        <w:rPr>
          <w:rFonts w:ascii="Arial" w:hAnsi="Arial" w:cs="Arial"/>
          <w:lang w:val="en-GB"/>
        </w:rPr>
        <w:lastRenderedPageBreak/>
        <w:t>2.2 Two external macro marketing actors</w:t>
      </w:r>
      <w:bookmarkEnd w:id="10"/>
      <w:r w:rsidRPr="002479B7">
        <w:rPr>
          <w:rFonts w:ascii="Arial" w:hAnsi="Arial" w:cs="Arial"/>
          <w:lang w:val="en-GB"/>
        </w:rPr>
        <w:t xml:space="preserve"> </w:t>
      </w:r>
    </w:p>
    <w:p w14:paraId="381B7424" w14:textId="184741D4" w:rsidR="00763E43" w:rsidRPr="002479B7" w:rsidRDefault="00763E43">
      <w:pPr>
        <w:rPr>
          <w:rFonts w:ascii="Arial" w:hAnsi="Arial" w:cs="Arial"/>
          <w:b/>
          <w:bCs/>
          <w:lang w:val="en-GB"/>
        </w:rPr>
      </w:pPr>
      <w:r w:rsidRPr="002479B7">
        <w:rPr>
          <w:rFonts w:ascii="Arial" w:hAnsi="Arial" w:cs="Arial"/>
          <w:b/>
          <w:bCs/>
          <w:lang w:val="en-GB"/>
        </w:rPr>
        <w:t xml:space="preserve">Two external actors </w:t>
      </w:r>
    </w:p>
    <w:p w14:paraId="456B6D35" w14:textId="1C991731" w:rsidR="00CB66A1" w:rsidRPr="002479B7" w:rsidRDefault="0092502A">
      <w:pPr>
        <w:rPr>
          <w:rFonts w:ascii="Arial" w:hAnsi="Arial" w:cs="Arial"/>
          <w:lang w:val="en-GB"/>
        </w:rPr>
      </w:pPr>
      <w:r w:rsidRPr="002479B7">
        <w:rPr>
          <w:rFonts w:ascii="Arial" w:hAnsi="Arial" w:cs="Arial"/>
          <w:lang w:val="en-GB"/>
        </w:rPr>
        <w:t xml:space="preserve">Considering the macro marketing actors, the two selected actors are technological and environmental. </w:t>
      </w:r>
    </w:p>
    <w:p w14:paraId="29C01358" w14:textId="00B50E74" w:rsidR="00CB66A1" w:rsidRPr="002479B7" w:rsidRDefault="0092502A">
      <w:pPr>
        <w:rPr>
          <w:rFonts w:ascii="Arial" w:hAnsi="Arial" w:cs="Arial"/>
          <w:b/>
          <w:bCs/>
          <w:i/>
          <w:iCs/>
          <w:lang w:val="en-GB"/>
        </w:rPr>
      </w:pPr>
      <w:r w:rsidRPr="002479B7">
        <w:rPr>
          <w:rFonts w:ascii="Arial" w:hAnsi="Arial" w:cs="Arial"/>
          <w:b/>
          <w:bCs/>
          <w:i/>
          <w:iCs/>
          <w:lang w:val="en-GB"/>
        </w:rPr>
        <w:t xml:space="preserve">Technological factors: </w:t>
      </w:r>
      <w:r w:rsidRPr="002479B7">
        <w:rPr>
          <w:rFonts w:ascii="Arial" w:hAnsi="Arial" w:cs="Arial"/>
          <w:lang w:val="en-GB"/>
        </w:rPr>
        <w:t xml:space="preserve">The automobile manufacturer has implemented the advanced technology mainly to improve the reliability and safety features (Jain </w:t>
      </w:r>
      <w:r w:rsidRPr="002479B7">
        <w:rPr>
          <w:rFonts w:ascii="Arial" w:hAnsi="Arial" w:cs="Arial"/>
          <w:i/>
          <w:iCs/>
          <w:lang w:val="en-GB"/>
        </w:rPr>
        <w:t>et al.</w:t>
      </w:r>
      <w:r w:rsidRPr="002479B7">
        <w:rPr>
          <w:rFonts w:ascii="Arial" w:hAnsi="Arial" w:cs="Arial"/>
          <w:lang w:val="en-GB"/>
        </w:rPr>
        <w:t xml:space="preserve"> 2024). Based on the image below, 5G has been 70% used in the automobile industry (Statista, 2025b).  </w:t>
      </w:r>
    </w:p>
    <w:p w14:paraId="48B2D96E" w14:textId="77777777" w:rsidR="00CB66A1" w:rsidRPr="002479B7" w:rsidRDefault="00CB66A1">
      <w:pPr>
        <w:rPr>
          <w:rFonts w:ascii="Arial" w:hAnsi="Arial" w:cs="Arial"/>
          <w:lang w:val="en-GB"/>
        </w:rPr>
      </w:pPr>
    </w:p>
    <w:p w14:paraId="104C2F39" w14:textId="77777777" w:rsidR="00CB66A1" w:rsidRPr="002479B7" w:rsidRDefault="0092502A" w:rsidP="005A3B5E">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5D05C163" wp14:editId="40D8D4E5">
            <wp:extent cx="5943600" cy="6261100"/>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943600" cy="6261100"/>
                    </a:xfrm>
                    <a:prstGeom prst="rect">
                      <a:avLst/>
                    </a:prstGeom>
                    <a:ln/>
                  </pic:spPr>
                </pic:pic>
              </a:graphicData>
            </a:graphic>
          </wp:inline>
        </w:drawing>
      </w:r>
    </w:p>
    <w:p w14:paraId="55BC6483" w14:textId="7D7F9D99" w:rsidR="00CB66A1" w:rsidRPr="002479B7" w:rsidRDefault="0092502A" w:rsidP="005A3B5E">
      <w:pPr>
        <w:jc w:val="center"/>
        <w:rPr>
          <w:rFonts w:ascii="Arial" w:hAnsi="Arial" w:cs="Arial"/>
          <w:b/>
          <w:bCs/>
          <w:lang w:val="en-GB"/>
        </w:rPr>
      </w:pPr>
      <w:r w:rsidRPr="002479B7">
        <w:rPr>
          <w:rFonts w:ascii="Arial" w:hAnsi="Arial" w:cs="Arial"/>
          <w:b/>
          <w:bCs/>
          <w:lang w:val="en-GB"/>
        </w:rPr>
        <w:t>Figure 4: Application of 5G in the automobile industry</w:t>
      </w:r>
    </w:p>
    <w:p w14:paraId="3768E861" w14:textId="23CDF54A" w:rsidR="00CB66A1" w:rsidRPr="002479B7" w:rsidRDefault="0092502A" w:rsidP="005A3B5E">
      <w:pPr>
        <w:jc w:val="center"/>
        <w:rPr>
          <w:rFonts w:ascii="Arial" w:hAnsi="Arial" w:cs="Arial"/>
          <w:lang w:val="en-GB"/>
        </w:rPr>
      </w:pPr>
      <w:r w:rsidRPr="002479B7">
        <w:rPr>
          <w:rFonts w:ascii="Arial" w:hAnsi="Arial" w:cs="Arial"/>
          <w:lang w:val="en-GB"/>
        </w:rPr>
        <w:t>(Source: Statista, 2025b)</w:t>
      </w:r>
    </w:p>
    <w:p w14:paraId="4EA7B591" w14:textId="77777777" w:rsidR="00CB66A1" w:rsidRPr="002479B7" w:rsidRDefault="0092502A">
      <w:pPr>
        <w:rPr>
          <w:rFonts w:ascii="Arial" w:hAnsi="Arial" w:cs="Arial"/>
          <w:b/>
          <w:bCs/>
          <w:i/>
          <w:iCs/>
          <w:lang w:val="en-GB"/>
        </w:rPr>
      </w:pPr>
      <w:r w:rsidRPr="002479B7">
        <w:rPr>
          <w:rFonts w:ascii="Arial" w:hAnsi="Arial" w:cs="Arial"/>
          <w:b/>
          <w:bCs/>
          <w:i/>
          <w:iCs/>
          <w:lang w:val="en-GB"/>
        </w:rPr>
        <w:t>Justification of selecting these actor</w:t>
      </w:r>
    </w:p>
    <w:p w14:paraId="12ED5DD6" w14:textId="77777777" w:rsidR="00CB66A1" w:rsidRPr="002479B7" w:rsidRDefault="0092502A">
      <w:pPr>
        <w:rPr>
          <w:rFonts w:ascii="Arial" w:hAnsi="Arial" w:cs="Arial"/>
          <w:lang w:val="en-GB"/>
        </w:rPr>
      </w:pPr>
      <w:r w:rsidRPr="002479B7">
        <w:rPr>
          <w:rFonts w:ascii="Arial" w:hAnsi="Arial" w:cs="Arial"/>
          <w:lang w:val="en-GB"/>
        </w:rPr>
        <w:t xml:space="preserve">A technological actor is considered one of the significant disruptive forces that help to shape the industry's growth. Moreover, in recent days, to increase battery efficiency, autonomous driving and connectivity are crucial for driving the consumption and reshaping production.  </w:t>
      </w:r>
    </w:p>
    <w:p w14:paraId="1C530F61" w14:textId="3CF8209A" w:rsidR="00CB66A1" w:rsidRPr="002479B7" w:rsidRDefault="0092502A">
      <w:pPr>
        <w:rPr>
          <w:rFonts w:ascii="Arial" w:hAnsi="Arial" w:cs="Arial"/>
          <w:b/>
          <w:bCs/>
          <w:i/>
          <w:iCs/>
          <w:lang w:val="en-GB"/>
        </w:rPr>
      </w:pPr>
      <w:r w:rsidRPr="002479B7">
        <w:rPr>
          <w:rFonts w:ascii="Arial" w:hAnsi="Arial" w:cs="Arial"/>
          <w:b/>
          <w:bCs/>
          <w:i/>
          <w:iCs/>
          <w:lang w:val="en-GB"/>
        </w:rPr>
        <w:lastRenderedPageBreak/>
        <w:t xml:space="preserve">Environmental factors: </w:t>
      </w:r>
      <w:r w:rsidRPr="002479B7">
        <w:rPr>
          <w:rFonts w:ascii="Arial" w:hAnsi="Arial" w:cs="Arial"/>
          <w:lang w:val="en-GB"/>
        </w:rPr>
        <w:t xml:space="preserve">Environmental concerns and commitment have driven the organisational </w:t>
      </w:r>
      <w:r w:rsidR="005A3B5E" w:rsidRPr="002479B7">
        <w:rPr>
          <w:rFonts w:ascii="Arial" w:hAnsi="Arial" w:cs="Arial"/>
          <w:lang w:val="en-GB"/>
        </w:rPr>
        <w:t>performance</w:t>
      </w:r>
      <w:r w:rsidRPr="002479B7">
        <w:rPr>
          <w:rFonts w:ascii="Arial" w:hAnsi="Arial" w:cs="Arial"/>
          <w:lang w:val="en-GB"/>
        </w:rPr>
        <w:t xml:space="preserve"> that also influences involvement with innovation (Stocker and Erdélyi, 2024). Based on the image below, the capacity of the EV to reduce carbon emissions in 2021 was 19-66% which will be increased to 30-74% in 2030 (Statista, 2025a).  </w:t>
      </w:r>
    </w:p>
    <w:p w14:paraId="3981CDB0" w14:textId="77777777" w:rsidR="00CB66A1" w:rsidRPr="002479B7" w:rsidRDefault="0092502A" w:rsidP="005A3B5E">
      <w:pPr>
        <w:jc w:val="center"/>
        <w:rPr>
          <w:rFonts w:ascii="Arial" w:hAnsi="Arial" w:cs="Arial"/>
          <w:lang w:val="en-GB"/>
        </w:rPr>
      </w:pPr>
      <w:r w:rsidRPr="002479B7">
        <w:rPr>
          <w:rFonts w:ascii="Arial" w:hAnsi="Arial" w:cs="Arial"/>
          <w:noProof/>
          <w:lang w:val="en-GB" w:eastAsia="en-GB"/>
        </w:rPr>
        <w:drawing>
          <wp:inline distT="114300" distB="114300" distL="114300" distR="114300" wp14:anchorId="596C3E8A" wp14:editId="28A81CCF">
            <wp:extent cx="5943600" cy="4140200"/>
            <wp:effectExtent l="0" t="0" r="0" b="0"/>
            <wp:docPr id="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5943600" cy="4140200"/>
                    </a:xfrm>
                    <a:prstGeom prst="rect">
                      <a:avLst/>
                    </a:prstGeom>
                    <a:ln/>
                  </pic:spPr>
                </pic:pic>
              </a:graphicData>
            </a:graphic>
          </wp:inline>
        </w:drawing>
      </w:r>
    </w:p>
    <w:p w14:paraId="43BC9D6C" w14:textId="4E2124B1" w:rsidR="00CB66A1" w:rsidRPr="002479B7" w:rsidRDefault="0092502A" w:rsidP="005A3B5E">
      <w:pPr>
        <w:jc w:val="center"/>
        <w:rPr>
          <w:rFonts w:ascii="Arial" w:hAnsi="Arial" w:cs="Arial"/>
          <w:b/>
          <w:bCs/>
          <w:lang w:val="en-GB"/>
        </w:rPr>
      </w:pPr>
      <w:r w:rsidRPr="002479B7">
        <w:rPr>
          <w:rFonts w:ascii="Arial" w:hAnsi="Arial" w:cs="Arial"/>
          <w:b/>
          <w:bCs/>
          <w:lang w:val="en-GB"/>
        </w:rPr>
        <w:t>Figure 5: Declining the carbon emissions from electric cars</w:t>
      </w:r>
    </w:p>
    <w:p w14:paraId="35F012D3" w14:textId="68898645" w:rsidR="00CB66A1" w:rsidRPr="002479B7" w:rsidRDefault="0092502A" w:rsidP="005A3B5E">
      <w:pPr>
        <w:jc w:val="center"/>
        <w:rPr>
          <w:rFonts w:ascii="Arial" w:hAnsi="Arial" w:cs="Arial"/>
          <w:lang w:val="en-GB"/>
        </w:rPr>
      </w:pPr>
      <w:r w:rsidRPr="002479B7">
        <w:rPr>
          <w:rFonts w:ascii="Arial" w:hAnsi="Arial" w:cs="Arial"/>
          <w:lang w:val="en-GB"/>
        </w:rPr>
        <w:t>(Source: Statista, 2025a)</w:t>
      </w:r>
    </w:p>
    <w:p w14:paraId="560EF348" w14:textId="77777777" w:rsidR="00CB66A1" w:rsidRPr="002479B7" w:rsidRDefault="0092502A">
      <w:pPr>
        <w:rPr>
          <w:rFonts w:ascii="Arial" w:hAnsi="Arial" w:cs="Arial"/>
          <w:b/>
          <w:bCs/>
          <w:i/>
          <w:iCs/>
          <w:lang w:val="en-GB"/>
        </w:rPr>
      </w:pPr>
      <w:r w:rsidRPr="002479B7">
        <w:rPr>
          <w:rFonts w:ascii="Arial" w:hAnsi="Arial" w:cs="Arial"/>
          <w:b/>
          <w:bCs/>
          <w:i/>
          <w:iCs/>
          <w:lang w:val="en-GB"/>
        </w:rPr>
        <w:t xml:space="preserve">Justification of selecting these actors </w:t>
      </w:r>
    </w:p>
    <w:p w14:paraId="1697E7B4" w14:textId="77777777" w:rsidR="00CB66A1" w:rsidRPr="002479B7" w:rsidRDefault="0092502A">
      <w:pPr>
        <w:rPr>
          <w:rFonts w:ascii="Arial" w:hAnsi="Arial" w:cs="Arial"/>
          <w:lang w:val="en-GB"/>
        </w:rPr>
      </w:pPr>
      <w:r w:rsidRPr="002479B7">
        <w:rPr>
          <w:rFonts w:ascii="Arial" w:hAnsi="Arial" w:cs="Arial"/>
          <w:lang w:val="en-GB"/>
        </w:rPr>
        <w:t xml:space="preserve">The environmental factor has been selected as the demand for eco-friendly and sustainable products gas growing. Moreover, the international regulations on emission control have been stricter, along public consciousness on environmental protection has also increased. </w:t>
      </w:r>
    </w:p>
    <w:p w14:paraId="5CA08FFF" w14:textId="77777777" w:rsidR="00CB66A1" w:rsidRPr="002479B7" w:rsidRDefault="0092502A">
      <w:pPr>
        <w:rPr>
          <w:rFonts w:ascii="Arial" w:hAnsi="Arial" w:cs="Arial"/>
          <w:b/>
          <w:bCs/>
          <w:lang w:val="en-GB"/>
        </w:rPr>
      </w:pPr>
      <w:r w:rsidRPr="002479B7">
        <w:rPr>
          <w:rFonts w:ascii="Arial" w:hAnsi="Arial" w:cs="Arial"/>
          <w:b/>
          <w:bCs/>
          <w:lang w:val="en-GB"/>
        </w:rPr>
        <w:t xml:space="preserve">Relevance of the technological factor on the automobile industry </w:t>
      </w:r>
    </w:p>
    <w:p w14:paraId="16C11EE7" w14:textId="77777777" w:rsidR="00CB66A1" w:rsidRPr="002479B7" w:rsidRDefault="0092502A">
      <w:pPr>
        <w:rPr>
          <w:rFonts w:ascii="Arial" w:hAnsi="Arial" w:cs="Arial"/>
          <w:lang w:val="en-GB"/>
        </w:rPr>
      </w:pPr>
      <w:r w:rsidRPr="002479B7">
        <w:rPr>
          <w:rFonts w:ascii="Arial" w:hAnsi="Arial" w:cs="Arial"/>
          <w:lang w:val="en-GB"/>
        </w:rPr>
        <w:lastRenderedPageBreak/>
        <w:t xml:space="preserve">Technological factors are highly relevant for establishing the innovation practices, like autonomous vehicles, electric vehicles. These have a high influence on improving the manufacturing efficiency through Industry 4.0 and automation. </w:t>
      </w:r>
    </w:p>
    <w:p w14:paraId="09CB41AA" w14:textId="77777777" w:rsidR="00CB66A1" w:rsidRPr="002479B7" w:rsidRDefault="0092502A" w:rsidP="005A3B5E">
      <w:pPr>
        <w:jc w:val="center"/>
        <w:rPr>
          <w:rFonts w:ascii="Arial" w:hAnsi="Arial" w:cs="Arial"/>
          <w:lang w:val="en-GB"/>
        </w:rPr>
      </w:pPr>
      <w:r w:rsidRPr="002479B7">
        <w:rPr>
          <w:rFonts w:ascii="Arial" w:hAnsi="Arial" w:cs="Arial"/>
          <w:noProof/>
          <w:lang w:val="en-GB" w:eastAsia="en-GB"/>
        </w:rPr>
        <w:drawing>
          <wp:inline distT="114300" distB="114300" distL="114300" distR="114300" wp14:anchorId="54660185" wp14:editId="685540BA">
            <wp:extent cx="5943600" cy="3124200"/>
            <wp:effectExtent l="0" t="0" r="0" b="0"/>
            <wp:docPr id="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5943600" cy="3124200"/>
                    </a:xfrm>
                    <a:prstGeom prst="rect">
                      <a:avLst/>
                    </a:prstGeom>
                    <a:ln/>
                  </pic:spPr>
                </pic:pic>
              </a:graphicData>
            </a:graphic>
          </wp:inline>
        </w:drawing>
      </w:r>
    </w:p>
    <w:p w14:paraId="55A2BDA5" w14:textId="7EF0FB73" w:rsidR="00CB66A1" w:rsidRPr="002479B7" w:rsidRDefault="0092502A" w:rsidP="005A3B5E">
      <w:pPr>
        <w:jc w:val="center"/>
        <w:rPr>
          <w:rFonts w:ascii="Arial" w:hAnsi="Arial" w:cs="Arial"/>
          <w:b/>
          <w:bCs/>
          <w:lang w:val="en-GB"/>
        </w:rPr>
      </w:pPr>
      <w:r w:rsidRPr="002479B7">
        <w:rPr>
          <w:rFonts w:ascii="Arial" w:hAnsi="Arial" w:cs="Arial"/>
          <w:b/>
          <w:bCs/>
          <w:lang w:val="en-GB"/>
        </w:rPr>
        <w:t>Figure 6: AI market in the global automobile industry</w:t>
      </w:r>
    </w:p>
    <w:p w14:paraId="5F524732" w14:textId="7DEB6AAD" w:rsidR="00CB66A1" w:rsidRPr="002479B7" w:rsidRDefault="0092502A" w:rsidP="005A3B5E">
      <w:pPr>
        <w:jc w:val="center"/>
        <w:rPr>
          <w:rFonts w:ascii="Arial" w:hAnsi="Arial" w:cs="Arial"/>
          <w:lang w:val="en-GB"/>
        </w:rPr>
      </w:pPr>
      <w:r w:rsidRPr="002479B7">
        <w:rPr>
          <w:rFonts w:ascii="Arial" w:hAnsi="Arial" w:cs="Arial"/>
          <w:lang w:val="en-GB"/>
        </w:rPr>
        <w:t>(Source: market, 2025)</w:t>
      </w:r>
    </w:p>
    <w:p w14:paraId="0317CDA1" w14:textId="62B0E89C" w:rsidR="00DF31E1" w:rsidRPr="002479B7" w:rsidRDefault="00DF31E1">
      <w:pPr>
        <w:rPr>
          <w:rFonts w:ascii="Arial" w:hAnsi="Arial" w:cs="Arial"/>
          <w:b/>
          <w:bCs/>
          <w:i/>
          <w:iCs/>
          <w:lang w:val="en-GB"/>
        </w:rPr>
      </w:pPr>
      <w:r w:rsidRPr="002479B7">
        <w:rPr>
          <w:rFonts w:ascii="Arial" w:hAnsi="Arial" w:cs="Arial"/>
          <w:b/>
          <w:bCs/>
          <w:i/>
          <w:iCs/>
          <w:lang w:val="en-GB"/>
        </w:rPr>
        <w:t xml:space="preserve">Impact of the current influence </w:t>
      </w:r>
    </w:p>
    <w:p w14:paraId="72822459" w14:textId="7F4487B9" w:rsidR="00CB66A1" w:rsidRPr="002479B7" w:rsidRDefault="0092502A">
      <w:pPr>
        <w:rPr>
          <w:rFonts w:ascii="Arial" w:hAnsi="Arial" w:cs="Arial"/>
          <w:lang w:val="en-GB"/>
        </w:rPr>
      </w:pPr>
      <w:r w:rsidRPr="002479B7">
        <w:rPr>
          <w:rFonts w:ascii="Arial" w:hAnsi="Arial" w:cs="Arial"/>
          <w:lang w:val="en-GB"/>
        </w:rPr>
        <w:t xml:space="preserve">As per the above image, the market of AI investment in the automotive industry has support to increase organisational business operations. The development of the autonomous vehicle has driven the demand for self-driving cars. The growth of AI in the automotive market is USD 7.7 billion in 2024, which has increased by 37.4% and it is predicted that the market will be grow by USD 134.3 billion in 2033 (market, 2025). </w:t>
      </w:r>
    </w:p>
    <w:p w14:paraId="05B96CB6" w14:textId="77777777" w:rsidR="00CB66A1" w:rsidRPr="002479B7" w:rsidRDefault="0092502A">
      <w:pPr>
        <w:rPr>
          <w:rFonts w:ascii="Arial" w:hAnsi="Arial" w:cs="Arial"/>
          <w:b/>
          <w:bCs/>
          <w:lang w:val="en-GB"/>
        </w:rPr>
      </w:pPr>
      <w:r w:rsidRPr="002479B7">
        <w:rPr>
          <w:rFonts w:ascii="Arial" w:hAnsi="Arial" w:cs="Arial"/>
          <w:b/>
          <w:bCs/>
          <w:lang w:val="en-GB"/>
        </w:rPr>
        <w:t xml:space="preserve">Relevance of the environmental factor on the automobile industry </w:t>
      </w:r>
    </w:p>
    <w:p w14:paraId="27908D90" w14:textId="77777777" w:rsidR="00DF31E1" w:rsidRPr="002479B7" w:rsidRDefault="0092502A">
      <w:pPr>
        <w:rPr>
          <w:rFonts w:ascii="Arial" w:hAnsi="Arial" w:cs="Arial"/>
          <w:lang w:val="en-GB"/>
        </w:rPr>
      </w:pPr>
      <w:r w:rsidRPr="002479B7">
        <w:rPr>
          <w:rFonts w:ascii="Arial" w:hAnsi="Arial" w:cs="Arial"/>
          <w:lang w:val="en-GB"/>
        </w:rPr>
        <w:t xml:space="preserve">The environmental actors have also reshaped the growth of the automobile industry as it drives through green technology and sustainability. The automobile sector has a higher contribution to increasing greenhouse gas and carbon emissions. While manufacturing the vehicles, different pollutants have also been released into the air. </w:t>
      </w:r>
    </w:p>
    <w:p w14:paraId="6F938D39" w14:textId="77777777" w:rsidR="00DF31E1" w:rsidRPr="002479B7" w:rsidRDefault="00DF31E1" w:rsidP="00DF31E1">
      <w:pPr>
        <w:rPr>
          <w:rFonts w:ascii="Arial" w:hAnsi="Arial" w:cs="Arial"/>
          <w:b/>
          <w:bCs/>
          <w:i/>
          <w:iCs/>
          <w:lang w:val="en-GB"/>
        </w:rPr>
      </w:pPr>
      <w:r w:rsidRPr="002479B7">
        <w:rPr>
          <w:rFonts w:ascii="Arial" w:hAnsi="Arial" w:cs="Arial"/>
          <w:b/>
          <w:bCs/>
          <w:i/>
          <w:iCs/>
          <w:lang w:val="en-GB"/>
        </w:rPr>
        <w:t xml:space="preserve">Impact of the current influence </w:t>
      </w:r>
    </w:p>
    <w:p w14:paraId="358C37B1" w14:textId="6BCCB6E0" w:rsidR="00CB66A1" w:rsidRPr="002479B7" w:rsidRDefault="0092502A">
      <w:pPr>
        <w:rPr>
          <w:rFonts w:ascii="Arial" w:hAnsi="Arial" w:cs="Arial"/>
          <w:lang w:val="en-GB"/>
        </w:rPr>
      </w:pPr>
      <w:r w:rsidRPr="002479B7">
        <w:rPr>
          <w:rFonts w:ascii="Arial" w:hAnsi="Arial" w:cs="Arial"/>
          <w:lang w:val="en-GB"/>
        </w:rPr>
        <w:t xml:space="preserve">The image below indicates the evolution of passenger cars in controlling CO2 emissions. Is target for the CO2 evolution is 80.8% in 2025 and 59.4% in 2030 (Europarl, 2024). </w:t>
      </w:r>
    </w:p>
    <w:p w14:paraId="5F415645" w14:textId="77777777" w:rsidR="00CB66A1" w:rsidRPr="002479B7" w:rsidRDefault="0092502A" w:rsidP="005A3B5E">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29A1119D" wp14:editId="232D790C">
            <wp:extent cx="5943600" cy="5029200"/>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5943600" cy="5029200"/>
                    </a:xfrm>
                    <a:prstGeom prst="rect">
                      <a:avLst/>
                    </a:prstGeom>
                    <a:ln/>
                  </pic:spPr>
                </pic:pic>
              </a:graphicData>
            </a:graphic>
          </wp:inline>
        </w:drawing>
      </w:r>
    </w:p>
    <w:p w14:paraId="68976E27" w14:textId="4B687173" w:rsidR="00CB66A1" w:rsidRPr="002479B7" w:rsidRDefault="0092502A" w:rsidP="005A3B5E">
      <w:pPr>
        <w:jc w:val="center"/>
        <w:rPr>
          <w:rFonts w:ascii="Arial" w:hAnsi="Arial" w:cs="Arial"/>
          <w:b/>
          <w:bCs/>
          <w:lang w:val="en-GB"/>
        </w:rPr>
      </w:pPr>
      <w:r w:rsidRPr="002479B7">
        <w:rPr>
          <w:rFonts w:ascii="Arial" w:hAnsi="Arial" w:cs="Arial"/>
          <w:b/>
          <w:bCs/>
          <w:lang w:val="en-GB"/>
        </w:rPr>
        <w:t>Figure 7: CO2 in new passenger car</w:t>
      </w:r>
    </w:p>
    <w:p w14:paraId="1469CD40" w14:textId="00D51356" w:rsidR="00CB66A1" w:rsidRPr="002479B7" w:rsidRDefault="0092502A" w:rsidP="005A3B5E">
      <w:pPr>
        <w:jc w:val="center"/>
        <w:rPr>
          <w:rFonts w:ascii="Arial" w:hAnsi="Arial" w:cs="Arial"/>
          <w:lang w:val="en-GB"/>
        </w:rPr>
      </w:pPr>
      <w:r w:rsidRPr="002479B7">
        <w:rPr>
          <w:rFonts w:ascii="Arial" w:hAnsi="Arial" w:cs="Arial"/>
          <w:lang w:val="en-GB"/>
        </w:rPr>
        <w:t>(Source: europarl, 2024)</w:t>
      </w:r>
    </w:p>
    <w:p w14:paraId="39F3C620" w14:textId="2CCC7AD3" w:rsidR="00CB66A1" w:rsidRPr="002479B7" w:rsidRDefault="0092502A">
      <w:pPr>
        <w:pStyle w:val="Heading2"/>
        <w:rPr>
          <w:rFonts w:ascii="Arial" w:hAnsi="Arial" w:cs="Arial"/>
          <w:lang w:val="en-GB"/>
        </w:rPr>
      </w:pPr>
      <w:bookmarkStart w:id="11" w:name="_voeudlip2tzd" w:colFirst="0" w:colLast="0"/>
      <w:bookmarkStart w:id="12" w:name="_Toc213774634"/>
      <w:bookmarkEnd w:id="11"/>
      <w:r w:rsidRPr="002479B7">
        <w:rPr>
          <w:rFonts w:ascii="Arial" w:hAnsi="Arial" w:cs="Arial"/>
          <w:lang w:val="en-GB"/>
        </w:rPr>
        <w:t>2.3 Critical analysis of each actor</w:t>
      </w:r>
      <w:bookmarkEnd w:id="12"/>
      <w:r w:rsidRPr="002479B7">
        <w:rPr>
          <w:rFonts w:ascii="Arial" w:hAnsi="Arial" w:cs="Arial"/>
          <w:lang w:val="en-GB"/>
        </w:rPr>
        <w:t xml:space="preserve"> </w:t>
      </w:r>
    </w:p>
    <w:p w14:paraId="2D4B0936" w14:textId="74758C59" w:rsidR="0059097C" w:rsidRPr="002479B7" w:rsidRDefault="0059097C" w:rsidP="00D23C56">
      <w:pPr>
        <w:pStyle w:val="Heading3"/>
        <w:rPr>
          <w:rFonts w:ascii="Arial" w:hAnsi="Arial" w:cs="Arial"/>
          <w:lang w:val="en-GB"/>
        </w:rPr>
      </w:pPr>
      <w:bookmarkStart w:id="13" w:name="_Toc213774635"/>
      <w:r w:rsidRPr="002479B7">
        <w:rPr>
          <w:rFonts w:ascii="Arial" w:hAnsi="Arial" w:cs="Arial"/>
          <w:lang w:val="en-GB"/>
        </w:rPr>
        <w:t>2.3.1 The way changes impact pioneering and follower organisations differently and create opportunities and threats within the automobile industry.</w:t>
      </w:r>
      <w:bookmarkEnd w:id="13"/>
    </w:p>
    <w:p w14:paraId="5804841A" w14:textId="5C9639A7" w:rsidR="00CB66A1" w:rsidRPr="002479B7" w:rsidRDefault="0092502A" w:rsidP="00471ABF">
      <w:pPr>
        <w:pStyle w:val="ListParagraph"/>
        <w:numPr>
          <w:ilvl w:val="0"/>
          <w:numId w:val="9"/>
        </w:numPr>
        <w:rPr>
          <w:rFonts w:ascii="Arial" w:hAnsi="Arial" w:cs="Arial"/>
          <w:b/>
          <w:bCs/>
          <w:i/>
          <w:iCs/>
          <w:lang w:val="en-GB"/>
        </w:rPr>
      </w:pPr>
      <w:r w:rsidRPr="002479B7">
        <w:rPr>
          <w:rFonts w:ascii="Arial" w:hAnsi="Arial" w:cs="Arial"/>
          <w:b/>
          <w:bCs/>
          <w:i/>
          <w:iCs/>
          <w:lang w:val="en-GB"/>
        </w:rPr>
        <w:t xml:space="preserve">Technological actors </w:t>
      </w:r>
    </w:p>
    <w:p w14:paraId="5CB164B8" w14:textId="77777777" w:rsidR="00CB66A1" w:rsidRPr="002479B7" w:rsidRDefault="0092502A">
      <w:pPr>
        <w:rPr>
          <w:rFonts w:ascii="Arial" w:hAnsi="Arial" w:cs="Arial"/>
          <w:b/>
          <w:bCs/>
          <w:i/>
          <w:iCs/>
          <w:lang w:val="en-GB"/>
        </w:rPr>
      </w:pPr>
      <w:r w:rsidRPr="002479B7">
        <w:rPr>
          <w:rFonts w:ascii="Arial" w:hAnsi="Arial" w:cs="Arial"/>
          <w:b/>
          <w:bCs/>
          <w:i/>
          <w:iCs/>
          <w:lang w:val="en-GB"/>
        </w:rPr>
        <w:t xml:space="preserve">Impact on pioneering organisations </w:t>
      </w:r>
    </w:p>
    <w:p w14:paraId="1C71DB5C" w14:textId="77777777" w:rsidR="00CB66A1" w:rsidRPr="002479B7" w:rsidRDefault="0092502A">
      <w:pPr>
        <w:rPr>
          <w:rFonts w:ascii="Arial" w:hAnsi="Arial" w:cs="Arial"/>
          <w:lang w:val="en-GB"/>
        </w:rPr>
      </w:pPr>
      <w:r w:rsidRPr="002479B7">
        <w:rPr>
          <w:rFonts w:ascii="Arial" w:hAnsi="Arial" w:cs="Arial"/>
          <w:lang w:val="en-GB"/>
        </w:rPr>
        <w:t xml:space="preserve">Technological transformation has conducted a revolutionary action for the automobile industry, focusing on the pioneering organisations like Tesla. The organisation has invested $80 billion to $100 billion in 2024 for AI (AIinvest, 2025). </w:t>
      </w:r>
    </w:p>
    <w:p w14:paraId="56F91D34" w14:textId="77777777" w:rsidR="00CB66A1" w:rsidRPr="002479B7" w:rsidRDefault="0092502A" w:rsidP="005A3B5E">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22898000" wp14:editId="10005426">
            <wp:extent cx="5943600" cy="3035300"/>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943600" cy="3035300"/>
                    </a:xfrm>
                    <a:prstGeom prst="rect">
                      <a:avLst/>
                    </a:prstGeom>
                    <a:ln/>
                  </pic:spPr>
                </pic:pic>
              </a:graphicData>
            </a:graphic>
          </wp:inline>
        </w:drawing>
      </w:r>
    </w:p>
    <w:p w14:paraId="2DE24A5B" w14:textId="3F6F8C58" w:rsidR="00CB66A1" w:rsidRPr="002479B7" w:rsidRDefault="0092502A" w:rsidP="005A3B5E">
      <w:pPr>
        <w:jc w:val="center"/>
        <w:rPr>
          <w:rFonts w:ascii="Arial" w:hAnsi="Arial" w:cs="Arial"/>
          <w:b/>
          <w:bCs/>
          <w:lang w:val="en-GB"/>
        </w:rPr>
      </w:pPr>
      <w:r w:rsidRPr="002479B7">
        <w:rPr>
          <w:rFonts w:ascii="Arial" w:hAnsi="Arial" w:cs="Arial"/>
          <w:b/>
          <w:bCs/>
          <w:lang w:val="en-GB"/>
        </w:rPr>
        <w:t>Figure</w:t>
      </w:r>
      <w:r w:rsidR="005A3B5E" w:rsidRPr="002479B7">
        <w:rPr>
          <w:rFonts w:ascii="Arial" w:hAnsi="Arial" w:cs="Arial"/>
          <w:b/>
          <w:bCs/>
          <w:lang w:val="en-GB"/>
        </w:rPr>
        <w:t xml:space="preserve"> 8</w:t>
      </w:r>
      <w:r w:rsidRPr="002479B7">
        <w:rPr>
          <w:rFonts w:ascii="Arial" w:hAnsi="Arial" w:cs="Arial"/>
          <w:b/>
          <w:bCs/>
          <w:lang w:val="en-GB"/>
        </w:rPr>
        <w:t>: Evidence that Tesla has invested in technological transformation</w:t>
      </w:r>
    </w:p>
    <w:p w14:paraId="5D4B3F34" w14:textId="77777777" w:rsidR="00CB66A1" w:rsidRPr="002479B7" w:rsidRDefault="0092502A" w:rsidP="005A3B5E">
      <w:pPr>
        <w:jc w:val="center"/>
        <w:rPr>
          <w:rFonts w:ascii="Arial" w:hAnsi="Arial" w:cs="Arial"/>
          <w:lang w:val="en-GB"/>
        </w:rPr>
      </w:pPr>
      <w:r w:rsidRPr="002479B7">
        <w:rPr>
          <w:rFonts w:ascii="Arial" w:hAnsi="Arial" w:cs="Arial"/>
          <w:lang w:val="en-GB"/>
        </w:rPr>
        <w:t>(Source: AINVEST, 2025)</w:t>
      </w:r>
    </w:p>
    <w:p w14:paraId="2AC485EF" w14:textId="77777777" w:rsidR="00CB66A1" w:rsidRPr="002479B7" w:rsidRDefault="0092502A">
      <w:pPr>
        <w:rPr>
          <w:rFonts w:ascii="Arial" w:hAnsi="Arial" w:cs="Arial"/>
          <w:b/>
          <w:bCs/>
          <w:i/>
          <w:iCs/>
          <w:lang w:val="en-GB"/>
        </w:rPr>
      </w:pPr>
      <w:r w:rsidRPr="002479B7">
        <w:rPr>
          <w:rFonts w:ascii="Arial" w:hAnsi="Arial" w:cs="Arial"/>
          <w:b/>
          <w:bCs/>
          <w:i/>
          <w:iCs/>
          <w:lang w:val="en-GB"/>
        </w:rPr>
        <w:t>Create opportunities</w:t>
      </w:r>
    </w:p>
    <w:p w14:paraId="5052E5B5" w14:textId="77777777" w:rsidR="00CB66A1" w:rsidRPr="002479B7" w:rsidRDefault="0092502A">
      <w:pPr>
        <w:numPr>
          <w:ilvl w:val="0"/>
          <w:numId w:val="2"/>
        </w:numPr>
        <w:rPr>
          <w:rFonts w:ascii="Arial" w:hAnsi="Arial" w:cs="Arial"/>
          <w:lang w:val="en-GB"/>
        </w:rPr>
      </w:pPr>
      <w:r w:rsidRPr="002479B7">
        <w:rPr>
          <w:rFonts w:ascii="Arial" w:hAnsi="Arial" w:cs="Arial"/>
          <w:lang w:val="en-GB"/>
        </w:rPr>
        <w:t xml:space="preserve">Pioneer company like Tesla has offers over-the-air updates, long-range batteries and integrated digital services. </w:t>
      </w:r>
    </w:p>
    <w:p w14:paraId="2E35D1E1" w14:textId="77777777" w:rsidR="006B7CF7" w:rsidRPr="002479B7" w:rsidRDefault="0092502A" w:rsidP="006B7CF7">
      <w:pPr>
        <w:numPr>
          <w:ilvl w:val="0"/>
          <w:numId w:val="2"/>
        </w:numPr>
        <w:rPr>
          <w:rFonts w:ascii="Arial" w:hAnsi="Arial" w:cs="Arial"/>
          <w:b/>
          <w:bCs/>
          <w:i/>
          <w:iCs/>
          <w:lang w:val="en-GB"/>
        </w:rPr>
      </w:pPr>
      <w:r w:rsidRPr="002479B7">
        <w:rPr>
          <w:rFonts w:ascii="Arial" w:hAnsi="Arial" w:cs="Arial"/>
          <w:lang w:val="en-GB"/>
        </w:rPr>
        <w:t>Technological innovation influences the ecosystem control by improving battery efficiency, which is highly essential for driving revenue growth</w:t>
      </w:r>
    </w:p>
    <w:p w14:paraId="0A077564" w14:textId="5C867B52" w:rsidR="00CB66A1" w:rsidRPr="002479B7" w:rsidRDefault="0092502A" w:rsidP="008B5F30">
      <w:pPr>
        <w:ind w:left="360"/>
        <w:rPr>
          <w:rFonts w:ascii="Arial" w:hAnsi="Arial" w:cs="Arial"/>
          <w:b/>
          <w:bCs/>
          <w:i/>
          <w:iCs/>
          <w:lang w:val="en-GB"/>
        </w:rPr>
      </w:pPr>
      <w:r w:rsidRPr="002479B7">
        <w:rPr>
          <w:rFonts w:ascii="Arial" w:hAnsi="Arial" w:cs="Arial"/>
          <w:b/>
          <w:bCs/>
          <w:i/>
          <w:iCs/>
          <w:lang w:val="en-GB"/>
        </w:rPr>
        <w:t xml:space="preserve">Threats </w:t>
      </w:r>
    </w:p>
    <w:p w14:paraId="5B2F2A82" w14:textId="77777777" w:rsidR="00CB66A1" w:rsidRPr="002479B7" w:rsidRDefault="0092502A">
      <w:pPr>
        <w:rPr>
          <w:rFonts w:ascii="Arial" w:hAnsi="Arial" w:cs="Arial"/>
          <w:lang w:val="en-GB"/>
        </w:rPr>
      </w:pPr>
      <w:r w:rsidRPr="002479B7">
        <w:rPr>
          <w:rFonts w:ascii="Arial" w:hAnsi="Arial" w:cs="Arial"/>
          <w:lang w:val="en-GB"/>
        </w:rPr>
        <w:t xml:space="preserve">In the pioneering innovation, the pioneers faced risks to safety and regulatory practices. </w:t>
      </w:r>
    </w:p>
    <w:p w14:paraId="571D3978" w14:textId="77777777" w:rsidR="008E25BC" w:rsidRPr="002479B7" w:rsidRDefault="008E25BC" w:rsidP="008E25BC">
      <w:pPr>
        <w:rPr>
          <w:rFonts w:ascii="Arial" w:hAnsi="Arial" w:cs="Arial"/>
          <w:b/>
          <w:bCs/>
          <w:i/>
          <w:iCs/>
          <w:lang w:val="en-GB"/>
        </w:rPr>
      </w:pPr>
      <w:r w:rsidRPr="002479B7">
        <w:rPr>
          <w:rFonts w:ascii="Arial" w:hAnsi="Arial" w:cs="Arial"/>
          <w:b/>
          <w:bCs/>
          <w:i/>
          <w:iCs/>
          <w:lang w:val="en-GB"/>
        </w:rPr>
        <w:t>Impact on follower organisations</w:t>
      </w:r>
    </w:p>
    <w:p w14:paraId="1732A735" w14:textId="77777777" w:rsidR="008E25BC" w:rsidRPr="002479B7" w:rsidRDefault="008E25BC" w:rsidP="008E25BC">
      <w:pPr>
        <w:rPr>
          <w:rFonts w:ascii="Arial" w:hAnsi="Arial" w:cs="Arial"/>
          <w:lang w:val="en-GB"/>
        </w:rPr>
      </w:pPr>
      <w:r w:rsidRPr="002479B7">
        <w:rPr>
          <w:rFonts w:ascii="Arial" w:hAnsi="Arial" w:cs="Arial"/>
          <w:lang w:val="en-GB"/>
        </w:rPr>
        <w:t xml:space="preserve">Due to the technological revolution, the followers of organisations like Ford have faced the pressure of the competitive advantage. </w:t>
      </w:r>
    </w:p>
    <w:p w14:paraId="0D456457" w14:textId="77777777" w:rsidR="008E25BC" w:rsidRPr="002479B7" w:rsidRDefault="008E25BC" w:rsidP="008E25BC">
      <w:pPr>
        <w:rPr>
          <w:rFonts w:ascii="Arial" w:hAnsi="Arial" w:cs="Arial"/>
          <w:b/>
          <w:bCs/>
          <w:i/>
          <w:iCs/>
          <w:lang w:val="en-GB"/>
        </w:rPr>
      </w:pPr>
      <w:r w:rsidRPr="002479B7">
        <w:rPr>
          <w:rFonts w:ascii="Arial" w:hAnsi="Arial" w:cs="Arial"/>
          <w:b/>
          <w:bCs/>
          <w:i/>
          <w:iCs/>
          <w:lang w:val="en-GB"/>
        </w:rPr>
        <w:t xml:space="preserve">Create opportunities </w:t>
      </w:r>
    </w:p>
    <w:p w14:paraId="3A27070B" w14:textId="5151C442" w:rsidR="008E25BC" w:rsidRPr="002479B7" w:rsidRDefault="008E25BC" w:rsidP="008E25BC">
      <w:pPr>
        <w:numPr>
          <w:ilvl w:val="0"/>
          <w:numId w:val="7"/>
        </w:numPr>
        <w:rPr>
          <w:rFonts w:ascii="Arial" w:hAnsi="Arial" w:cs="Arial"/>
          <w:lang w:val="en-GB"/>
        </w:rPr>
      </w:pPr>
      <w:r w:rsidRPr="002479B7">
        <w:rPr>
          <w:rFonts w:ascii="Arial" w:hAnsi="Arial" w:cs="Arial"/>
          <w:lang w:val="en-GB"/>
        </w:rPr>
        <w:t xml:space="preserve">Based on the pioneer’s risk and failure, the followers can develop their marketing and regulatory plan. </w:t>
      </w:r>
    </w:p>
    <w:p w14:paraId="0645F5A2" w14:textId="77777777" w:rsidR="008E25BC" w:rsidRPr="002479B7" w:rsidRDefault="008E25BC" w:rsidP="008E25BC">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4AB58B82" wp14:editId="31B5D198">
            <wp:extent cx="5943600" cy="3581400"/>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7"/>
                    <a:srcRect/>
                    <a:stretch>
                      <a:fillRect/>
                    </a:stretch>
                  </pic:blipFill>
                  <pic:spPr>
                    <a:xfrm>
                      <a:off x="0" y="0"/>
                      <a:ext cx="5943600" cy="3581400"/>
                    </a:xfrm>
                    <a:prstGeom prst="rect">
                      <a:avLst/>
                    </a:prstGeom>
                    <a:ln/>
                  </pic:spPr>
                </pic:pic>
              </a:graphicData>
            </a:graphic>
          </wp:inline>
        </w:drawing>
      </w:r>
    </w:p>
    <w:p w14:paraId="44ED0A03" w14:textId="77777777" w:rsidR="008E25BC" w:rsidRPr="002479B7" w:rsidRDefault="008E25BC" w:rsidP="008E25BC">
      <w:pPr>
        <w:jc w:val="center"/>
        <w:rPr>
          <w:rFonts w:ascii="Arial" w:hAnsi="Arial" w:cs="Arial"/>
          <w:b/>
          <w:bCs/>
          <w:lang w:val="en-GB"/>
        </w:rPr>
      </w:pPr>
      <w:r w:rsidRPr="002479B7">
        <w:rPr>
          <w:rFonts w:ascii="Arial" w:hAnsi="Arial" w:cs="Arial"/>
          <w:b/>
          <w:bCs/>
          <w:lang w:val="en-GB"/>
        </w:rPr>
        <w:t>Figure 9: Restructuring plan of Ford from EV leaders</w:t>
      </w:r>
    </w:p>
    <w:p w14:paraId="54A5FDD7" w14:textId="77777777" w:rsidR="008E25BC" w:rsidRPr="002479B7" w:rsidRDefault="008E25BC" w:rsidP="008E25BC">
      <w:pPr>
        <w:jc w:val="center"/>
        <w:rPr>
          <w:rFonts w:ascii="Arial" w:hAnsi="Arial" w:cs="Arial"/>
          <w:lang w:val="en-GB"/>
        </w:rPr>
      </w:pPr>
      <w:r w:rsidRPr="002479B7">
        <w:rPr>
          <w:rFonts w:ascii="Arial" w:hAnsi="Arial" w:cs="Arial"/>
          <w:lang w:val="en-GB"/>
        </w:rPr>
        <w:t>(Source: Statista, 2025c)</w:t>
      </w:r>
    </w:p>
    <w:p w14:paraId="7F07F865" w14:textId="77777777" w:rsidR="008E25BC" w:rsidRPr="002479B7" w:rsidRDefault="008E25BC" w:rsidP="008E25BC">
      <w:pPr>
        <w:numPr>
          <w:ilvl w:val="0"/>
          <w:numId w:val="7"/>
        </w:numPr>
        <w:rPr>
          <w:rFonts w:ascii="Arial" w:hAnsi="Arial" w:cs="Arial"/>
          <w:lang w:val="en-GB"/>
        </w:rPr>
      </w:pPr>
      <w:r w:rsidRPr="002479B7">
        <w:rPr>
          <w:rFonts w:ascii="Arial" w:hAnsi="Arial" w:cs="Arial"/>
          <w:lang w:val="en-GB"/>
        </w:rPr>
        <w:t xml:space="preserve">The organisations can access the emerging suppliers' network at a lower unit cost.   </w:t>
      </w:r>
    </w:p>
    <w:p w14:paraId="6FD12BFB" w14:textId="77777777" w:rsidR="008E25BC" w:rsidRPr="002479B7" w:rsidRDefault="008E25BC" w:rsidP="008E25BC">
      <w:pPr>
        <w:rPr>
          <w:rFonts w:ascii="Arial" w:hAnsi="Arial" w:cs="Arial"/>
          <w:b/>
          <w:bCs/>
          <w:i/>
          <w:iCs/>
          <w:lang w:val="en-GB"/>
        </w:rPr>
      </w:pPr>
      <w:r w:rsidRPr="002479B7">
        <w:rPr>
          <w:rFonts w:ascii="Arial" w:hAnsi="Arial" w:cs="Arial"/>
          <w:b/>
          <w:bCs/>
          <w:i/>
          <w:iCs/>
          <w:lang w:val="en-GB"/>
        </w:rPr>
        <w:t>Threats</w:t>
      </w:r>
    </w:p>
    <w:p w14:paraId="72558D5E" w14:textId="2736861E" w:rsidR="008E25BC" w:rsidRPr="002479B7" w:rsidRDefault="008E25BC">
      <w:pPr>
        <w:rPr>
          <w:rFonts w:ascii="Arial" w:hAnsi="Arial" w:cs="Arial"/>
          <w:lang w:val="en-GB"/>
        </w:rPr>
      </w:pPr>
      <w:r w:rsidRPr="002479B7">
        <w:rPr>
          <w:rFonts w:ascii="Arial" w:hAnsi="Arial" w:cs="Arial"/>
          <w:lang w:val="en-GB"/>
        </w:rPr>
        <w:t xml:space="preserve">It might face threats of a capability mismatch regarding the software-centric value and develop new market competence. </w:t>
      </w:r>
    </w:p>
    <w:p w14:paraId="28C6AF43" w14:textId="77777777" w:rsidR="00411DAA" w:rsidRPr="002479B7" w:rsidRDefault="00411DAA" w:rsidP="00411DAA">
      <w:pPr>
        <w:pStyle w:val="ListParagraph"/>
        <w:numPr>
          <w:ilvl w:val="0"/>
          <w:numId w:val="6"/>
        </w:numPr>
        <w:rPr>
          <w:rFonts w:ascii="Arial" w:hAnsi="Arial" w:cs="Arial"/>
          <w:b/>
          <w:bCs/>
          <w:i/>
          <w:iCs/>
          <w:lang w:val="en-GB"/>
        </w:rPr>
      </w:pPr>
      <w:r w:rsidRPr="002479B7">
        <w:rPr>
          <w:rFonts w:ascii="Arial" w:hAnsi="Arial" w:cs="Arial"/>
          <w:b/>
          <w:bCs/>
          <w:i/>
          <w:iCs/>
          <w:lang w:val="en-GB"/>
        </w:rPr>
        <w:t xml:space="preserve">Environmental actors </w:t>
      </w:r>
    </w:p>
    <w:p w14:paraId="693E6379" w14:textId="77777777" w:rsidR="00411DAA" w:rsidRPr="002479B7" w:rsidRDefault="00411DAA" w:rsidP="00411DAA">
      <w:pPr>
        <w:rPr>
          <w:rFonts w:ascii="Arial" w:hAnsi="Arial" w:cs="Arial"/>
          <w:b/>
          <w:bCs/>
          <w:i/>
          <w:iCs/>
          <w:lang w:val="en-GB"/>
        </w:rPr>
      </w:pPr>
      <w:r w:rsidRPr="002479B7">
        <w:rPr>
          <w:rFonts w:ascii="Arial" w:hAnsi="Arial" w:cs="Arial"/>
          <w:b/>
          <w:bCs/>
          <w:i/>
          <w:iCs/>
          <w:lang w:val="en-GB"/>
        </w:rPr>
        <w:t xml:space="preserve">Impact on pioneering organisations </w:t>
      </w:r>
    </w:p>
    <w:p w14:paraId="197AFEE6" w14:textId="77777777" w:rsidR="00411DAA" w:rsidRPr="002479B7" w:rsidRDefault="00411DAA" w:rsidP="00411DAA">
      <w:pPr>
        <w:rPr>
          <w:rFonts w:ascii="Arial" w:hAnsi="Arial" w:cs="Arial"/>
          <w:lang w:val="en-GB"/>
        </w:rPr>
      </w:pPr>
      <w:r w:rsidRPr="002479B7">
        <w:rPr>
          <w:rFonts w:ascii="Arial" w:hAnsi="Arial" w:cs="Arial"/>
          <w:lang w:val="en-GB"/>
        </w:rPr>
        <w:t xml:space="preserve">The pioneer organisation has focused on sustainability by influencing the core value proposition and brand identity. </w:t>
      </w:r>
    </w:p>
    <w:p w14:paraId="1E9188EF" w14:textId="77777777" w:rsidR="00411DAA" w:rsidRPr="002479B7" w:rsidRDefault="00411DAA" w:rsidP="00411DAA">
      <w:pPr>
        <w:rPr>
          <w:rFonts w:ascii="Arial" w:hAnsi="Arial" w:cs="Arial"/>
          <w:b/>
          <w:bCs/>
          <w:i/>
          <w:iCs/>
          <w:lang w:val="en-GB"/>
        </w:rPr>
      </w:pPr>
      <w:r w:rsidRPr="002479B7">
        <w:rPr>
          <w:rFonts w:ascii="Arial" w:hAnsi="Arial" w:cs="Arial"/>
          <w:b/>
          <w:bCs/>
          <w:i/>
          <w:iCs/>
          <w:lang w:val="en-GB"/>
        </w:rPr>
        <w:t xml:space="preserve">Create opportunities </w:t>
      </w:r>
    </w:p>
    <w:p w14:paraId="0BE0D892" w14:textId="77777777" w:rsidR="00411DAA" w:rsidRPr="002479B7" w:rsidRDefault="00411DAA" w:rsidP="00411DAA">
      <w:pPr>
        <w:numPr>
          <w:ilvl w:val="0"/>
          <w:numId w:val="3"/>
        </w:numPr>
        <w:rPr>
          <w:rFonts w:ascii="Arial" w:hAnsi="Arial" w:cs="Arial"/>
          <w:lang w:val="en-GB"/>
        </w:rPr>
      </w:pPr>
      <w:r w:rsidRPr="002479B7">
        <w:rPr>
          <w:rFonts w:ascii="Arial" w:hAnsi="Arial" w:cs="Arial"/>
          <w:lang w:val="en-GB"/>
        </w:rPr>
        <w:t xml:space="preserve">The battery recycling process has increased by 35% (Slattery </w:t>
      </w:r>
      <w:r w:rsidRPr="002479B7">
        <w:rPr>
          <w:rFonts w:ascii="Arial" w:hAnsi="Arial" w:cs="Arial"/>
          <w:i/>
          <w:iCs/>
          <w:lang w:val="en-GB"/>
        </w:rPr>
        <w:t>et al.</w:t>
      </w:r>
      <w:r w:rsidRPr="002479B7">
        <w:rPr>
          <w:rFonts w:ascii="Arial" w:hAnsi="Arial" w:cs="Arial"/>
          <w:lang w:val="en-GB"/>
        </w:rPr>
        <w:t xml:space="preserve"> 2024). </w:t>
      </w:r>
    </w:p>
    <w:p w14:paraId="69D3162B" w14:textId="481CDA1C" w:rsidR="001C2B8A" w:rsidRPr="002479B7" w:rsidRDefault="001C2B8A" w:rsidP="00411DAA">
      <w:pPr>
        <w:numPr>
          <w:ilvl w:val="0"/>
          <w:numId w:val="3"/>
        </w:numPr>
        <w:rPr>
          <w:rFonts w:ascii="Arial" w:hAnsi="Arial" w:cs="Arial"/>
          <w:lang w:val="en-GB"/>
        </w:rPr>
      </w:pPr>
      <w:r w:rsidRPr="002479B7">
        <w:rPr>
          <w:rFonts w:ascii="Arial" w:hAnsi="Arial" w:cs="Arial"/>
          <w:lang w:val="en-GB"/>
        </w:rPr>
        <w:t xml:space="preserve">Increase the premium product with high investment willingness of customers. </w:t>
      </w:r>
    </w:p>
    <w:p w14:paraId="4BE1034C" w14:textId="77777777" w:rsidR="00411DAA" w:rsidRPr="002479B7" w:rsidRDefault="00411DAA" w:rsidP="00411DAA">
      <w:pPr>
        <w:rPr>
          <w:rFonts w:ascii="Arial" w:hAnsi="Arial" w:cs="Arial"/>
          <w:b/>
          <w:bCs/>
          <w:i/>
          <w:iCs/>
          <w:lang w:val="en-GB"/>
        </w:rPr>
      </w:pPr>
      <w:r w:rsidRPr="002479B7">
        <w:rPr>
          <w:rFonts w:ascii="Arial" w:hAnsi="Arial" w:cs="Arial"/>
          <w:b/>
          <w:bCs/>
          <w:i/>
          <w:iCs/>
          <w:lang w:val="en-GB"/>
        </w:rPr>
        <w:t xml:space="preserve">Threats </w:t>
      </w:r>
    </w:p>
    <w:p w14:paraId="00C88C9A" w14:textId="22512827" w:rsidR="00411DAA" w:rsidRPr="002479B7" w:rsidRDefault="00411DAA">
      <w:pPr>
        <w:rPr>
          <w:rFonts w:ascii="Arial" w:hAnsi="Arial" w:cs="Arial"/>
          <w:lang w:val="en-GB"/>
        </w:rPr>
      </w:pPr>
      <w:r w:rsidRPr="002479B7">
        <w:rPr>
          <w:rFonts w:ascii="Arial" w:hAnsi="Arial" w:cs="Arial"/>
          <w:lang w:val="en-GB"/>
        </w:rPr>
        <w:t xml:space="preserve">There is the risk faced by pioneers of greenwashing scrutiny. </w:t>
      </w:r>
    </w:p>
    <w:p w14:paraId="3AE6A1ED" w14:textId="77777777" w:rsidR="00AC317B" w:rsidRPr="002479B7" w:rsidRDefault="00AC317B" w:rsidP="00AC317B">
      <w:pPr>
        <w:rPr>
          <w:rFonts w:ascii="Arial" w:hAnsi="Arial" w:cs="Arial"/>
          <w:b/>
          <w:bCs/>
          <w:i/>
          <w:iCs/>
          <w:lang w:val="en-GB"/>
        </w:rPr>
      </w:pPr>
      <w:r w:rsidRPr="002479B7">
        <w:rPr>
          <w:rFonts w:ascii="Arial" w:hAnsi="Arial" w:cs="Arial"/>
          <w:b/>
          <w:bCs/>
          <w:i/>
          <w:iCs/>
          <w:lang w:val="en-GB"/>
        </w:rPr>
        <w:t>Impact on follower organisations</w:t>
      </w:r>
    </w:p>
    <w:p w14:paraId="3CDEE1FB" w14:textId="77777777" w:rsidR="00AC317B" w:rsidRPr="002479B7" w:rsidRDefault="00AC317B" w:rsidP="00AC317B">
      <w:pPr>
        <w:rPr>
          <w:rFonts w:ascii="Arial" w:hAnsi="Arial" w:cs="Arial"/>
          <w:lang w:val="en-GB"/>
        </w:rPr>
      </w:pPr>
      <w:r w:rsidRPr="002479B7">
        <w:rPr>
          <w:rFonts w:ascii="Arial" w:hAnsi="Arial" w:cs="Arial"/>
          <w:lang w:val="en-GB"/>
        </w:rPr>
        <w:t xml:space="preserve">The followers have faced higher pressure for low-carbon production. </w:t>
      </w:r>
    </w:p>
    <w:p w14:paraId="4D902EB4" w14:textId="77777777" w:rsidR="00AC317B" w:rsidRPr="002479B7" w:rsidRDefault="00AC317B" w:rsidP="00AC317B">
      <w:pPr>
        <w:rPr>
          <w:rFonts w:ascii="Arial" w:hAnsi="Arial" w:cs="Arial"/>
          <w:b/>
          <w:bCs/>
          <w:i/>
          <w:iCs/>
          <w:lang w:val="en-GB"/>
        </w:rPr>
      </w:pPr>
      <w:r w:rsidRPr="002479B7">
        <w:rPr>
          <w:rFonts w:ascii="Arial" w:hAnsi="Arial" w:cs="Arial"/>
          <w:b/>
          <w:bCs/>
          <w:i/>
          <w:iCs/>
          <w:lang w:val="en-GB"/>
        </w:rPr>
        <w:lastRenderedPageBreak/>
        <w:t xml:space="preserve">Create opportunities </w:t>
      </w:r>
    </w:p>
    <w:p w14:paraId="2F5C8509" w14:textId="77777777" w:rsidR="00AC317B" w:rsidRPr="002479B7" w:rsidRDefault="00AC317B" w:rsidP="00AC317B">
      <w:pPr>
        <w:numPr>
          <w:ilvl w:val="0"/>
          <w:numId w:val="4"/>
        </w:numPr>
        <w:rPr>
          <w:rFonts w:ascii="Arial" w:hAnsi="Arial" w:cs="Arial"/>
          <w:lang w:val="en-GB"/>
        </w:rPr>
      </w:pPr>
      <w:r w:rsidRPr="002479B7">
        <w:rPr>
          <w:rFonts w:ascii="Arial" w:hAnsi="Arial" w:cs="Arial"/>
          <w:lang w:val="en-GB"/>
        </w:rPr>
        <w:t xml:space="preserve">The followers, like Ford, Volkswagen, have access to the mainstream market. </w:t>
      </w:r>
    </w:p>
    <w:p w14:paraId="0B68755A" w14:textId="77777777" w:rsidR="00AC317B" w:rsidRPr="002479B7" w:rsidRDefault="00AC317B" w:rsidP="00AC317B">
      <w:pPr>
        <w:numPr>
          <w:ilvl w:val="0"/>
          <w:numId w:val="4"/>
        </w:numPr>
        <w:rPr>
          <w:rFonts w:ascii="Arial" w:hAnsi="Arial" w:cs="Arial"/>
          <w:lang w:val="en-GB"/>
        </w:rPr>
      </w:pPr>
      <w:r w:rsidRPr="002479B7">
        <w:rPr>
          <w:rFonts w:ascii="Arial" w:hAnsi="Arial" w:cs="Arial"/>
          <w:lang w:val="en-GB"/>
        </w:rPr>
        <w:t xml:space="preserve">Invest in manufacturing efficiency and decarbonisation </w:t>
      </w:r>
    </w:p>
    <w:p w14:paraId="416AB152" w14:textId="77777777" w:rsidR="00AC317B" w:rsidRPr="002479B7" w:rsidRDefault="00AC317B" w:rsidP="00AC317B">
      <w:pPr>
        <w:rPr>
          <w:rFonts w:ascii="Arial" w:hAnsi="Arial" w:cs="Arial"/>
          <w:b/>
          <w:bCs/>
          <w:i/>
          <w:iCs/>
          <w:lang w:val="en-GB"/>
        </w:rPr>
      </w:pPr>
      <w:r w:rsidRPr="002479B7">
        <w:rPr>
          <w:rFonts w:ascii="Arial" w:hAnsi="Arial" w:cs="Arial"/>
          <w:b/>
          <w:bCs/>
          <w:i/>
          <w:iCs/>
          <w:lang w:val="en-GB"/>
        </w:rPr>
        <w:t xml:space="preserve">Threats </w:t>
      </w:r>
    </w:p>
    <w:p w14:paraId="0EB3D8B5" w14:textId="079F13FB" w:rsidR="005978C2" w:rsidRPr="002479B7" w:rsidRDefault="005978C2" w:rsidP="00AC317B">
      <w:pPr>
        <w:rPr>
          <w:rFonts w:ascii="Arial" w:hAnsi="Arial" w:cs="Arial"/>
          <w:lang w:val="en-GB"/>
        </w:rPr>
      </w:pPr>
      <w:r w:rsidRPr="002479B7">
        <w:rPr>
          <w:rFonts w:ascii="Arial" w:hAnsi="Arial" w:cs="Arial"/>
          <w:lang w:val="en-GB"/>
        </w:rPr>
        <w:t xml:space="preserve">Followers face regulatory and competitive pressure while operating business in automobile industry. </w:t>
      </w:r>
    </w:p>
    <w:p w14:paraId="4B514B4B" w14:textId="3994A3FC" w:rsidR="00471ABF" w:rsidRPr="002479B7" w:rsidRDefault="00471ABF" w:rsidP="00D23C56">
      <w:pPr>
        <w:pStyle w:val="Heading3"/>
        <w:rPr>
          <w:rFonts w:ascii="Arial" w:eastAsiaTheme="majorEastAsia" w:hAnsi="Arial" w:cs="Arial"/>
        </w:rPr>
      </w:pPr>
      <w:bookmarkStart w:id="14" w:name="_Toc213774636"/>
      <w:r w:rsidRPr="002479B7">
        <w:rPr>
          <w:rFonts w:ascii="Arial" w:eastAsiaTheme="majorEastAsia" w:hAnsi="Arial" w:cs="Arial"/>
        </w:rPr>
        <w:t>2.3.2 Identify the key strategic implications for both pioneers and followers.</w:t>
      </w:r>
      <w:bookmarkEnd w:id="14"/>
    </w:p>
    <w:p w14:paraId="7FC8E724" w14:textId="68034BE4" w:rsidR="00411DAA" w:rsidRPr="002479B7" w:rsidRDefault="00411DAA" w:rsidP="00411DAA">
      <w:pPr>
        <w:rPr>
          <w:rFonts w:ascii="Arial" w:hAnsi="Arial" w:cs="Arial"/>
          <w:b/>
          <w:bCs/>
        </w:rPr>
      </w:pPr>
      <w:r w:rsidRPr="002479B7">
        <w:rPr>
          <w:rFonts w:ascii="Arial" w:hAnsi="Arial" w:cs="Arial"/>
          <w:b/>
          <w:bCs/>
        </w:rPr>
        <w:t xml:space="preserve">Technological factors </w:t>
      </w:r>
    </w:p>
    <w:p w14:paraId="3B7EAB5F" w14:textId="0454AB78" w:rsidR="00CB66A1" w:rsidRPr="002479B7" w:rsidRDefault="0092502A">
      <w:pPr>
        <w:rPr>
          <w:rFonts w:ascii="Arial" w:hAnsi="Arial" w:cs="Arial"/>
          <w:b/>
          <w:bCs/>
          <w:i/>
          <w:iCs/>
          <w:lang w:val="en-GB"/>
        </w:rPr>
      </w:pPr>
      <w:r w:rsidRPr="002479B7">
        <w:rPr>
          <w:rFonts w:ascii="Arial" w:hAnsi="Arial" w:cs="Arial"/>
          <w:b/>
          <w:bCs/>
          <w:i/>
          <w:iCs/>
          <w:lang w:val="en-GB"/>
        </w:rPr>
        <w:t>Identify the key strategic implications</w:t>
      </w:r>
      <w:r w:rsidR="00411DAA" w:rsidRPr="002479B7">
        <w:rPr>
          <w:rFonts w:ascii="Arial" w:hAnsi="Arial" w:cs="Arial"/>
          <w:b/>
          <w:bCs/>
          <w:i/>
          <w:iCs/>
          <w:lang w:val="en-GB"/>
        </w:rPr>
        <w:t xml:space="preserve"> in pioneers </w:t>
      </w:r>
    </w:p>
    <w:p w14:paraId="058135CE" w14:textId="77777777" w:rsidR="00CB66A1" w:rsidRPr="002479B7" w:rsidRDefault="0092502A">
      <w:pPr>
        <w:numPr>
          <w:ilvl w:val="0"/>
          <w:numId w:val="8"/>
        </w:numPr>
        <w:rPr>
          <w:rFonts w:ascii="Arial" w:hAnsi="Arial" w:cs="Arial"/>
          <w:lang w:val="en-GB"/>
        </w:rPr>
      </w:pPr>
      <w:r w:rsidRPr="002479B7">
        <w:rPr>
          <w:rFonts w:ascii="Arial" w:hAnsi="Arial" w:cs="Arial"/>
          <w:lang w:val="en-GB"/>
        </w:rPr>
        <w:t xml:space="preserve">The organisations might focus on IP protection and ensure to upgrade the architecture (Chen </w:t>
      </w:r>
      <w:r w:rsidRPr="002479B7">
        <w:rPr>
          <w:rFonts w:ascii="Arial" w:hAnsi="Arial" w:cs="Arial"/>
          <w:i/>
          <w:iCs/>
          <w:lang w:val="en-GB"/>
        </w:rPr>
        <w:t>et al.</w:t>
      </w:r>
      <w:r w:rsidRPr="002479B7">
        <w:rPr>
          <w:rFonts w:ascii="Arial" w:hAnsi="Arial" w:cs="Arial"/>
          <w:lang w:val="en-GB"/>
        </w:rPr>
        <w:t xml:space="preserve"> 2024). </w:t>
      </w:r>
    </w:p>
    <w:p w14:paraId="48F9CE97" w14:textId="77777777" w:rsidR="00CB66A1" w:rsidRPr="002479B7" w:rsidRDefault="0092502A">
      <w:pPr>
        <w:numPr>
          <w:ilvl w:val="0"/>
          <w:numId w:val="8"/>
        </w:numPr>
        <w:rPr>
          <w:rFonts w:ascii="Arial" w:hAnsi="Arial" w:cs="Arial"/>
          <w:lang w:val="en-GB"/>
        </w:rPr>
      </w:pPr>
      <w:r w:rsidRPr="002479B7">
        <w:rPr>
          <w:rFonts w:ascii="Arial" w:hAnsi="Arial" w:cs="Arial"/>
          <w:lang w:val="en-GB"/>
        </w:rPr>
        <w:t xml:space="preserve">They need to invest in the semiconductor sector to build data advantages.  </w:t>
      </w:r>
    </w:p>
    <w:p w14:paraId="55303154" w14:textId="2827BDE0" w:rsidR="00CB66A1" w:rsidRPr="002479B7" w:rsidRDefault="0092502A">
      <w:pPr>
        <w:rPr>
          <w:rFonts w:ascii="Arial" w:hAnsi="Arial" w:cs="Arial"/>
          <w:b/>
          <w:bCs/>
          <w:i/>
          <w:iCs/>
          <w:lang w:val="en-GB"/>
        </w:rPr>
      </w:pPr>
      <w:r w:rsidRPr="002479B7">
        <w:rPr>
          <w:rFonts w:ascii="Arial" w:hAnsi="Arial" w:cs="Arial"/>
          <w:b/>
          <w:bCs/>
          <w:i/>
          <w:iCs/>
          <w:lang w:val="en-GB"/>
        </w:rPr>
        <w:t>Identify the key strategic implications</w:t>
      </w:r>
      <w:r w:rsidR="00411DAA" w:rsidRPr="002479B7">
        <w:rPr>
          <w:rFonts w:ascii="Arial" w:hAnsi="Arial" w:cs="Arial"/>
          <w:b/>
          <w:bCs/>
          <w:i/>
          <w:iCs/>
          <w:lang w:val="en-GB"/>
        </w:rPr>
        <w:t xml:space="preserve"> in followers </w:t>
      </w:r>
    </w:p>
    <w:p w14:paraId="34E15868" w14:textId="77777777" w:rsidR="00CB66A1" w:rsidRPr="002479B7" w:rsidRDefault="0092502A">
      <w:pPr>
        <w:numPr>
          <w:ilvl w:val="0"/>
          <w:numId w:val="6"/>
        </w:numPr>
        <w:rPr>
          <w:rFonts w:ascii="Arial" w:hAnsi="Arial" w:cs="Arial"/>
          <w:lang w:val="en-GB"/>
        </w:rPr>
      </w:pPr>
      <w:r w:rsidRPr="002479B7">
        <w:rPr>
          <w:rFonts w:ascii="Arial" w:hAnsi="Arial" w:cs="Arial"/>
          <w:lang w:val="en-GB"/>
        </w:rPr>
        <w:t xml:space="preserve">For product innovation, followers need to focus on hybrid strategies regarding product development (Bas, 2024) </w:t>
      </w:r>
    </w:p>
    <w:p w14:paraId="44094F0B" w14:textId="77777777" w:rsidR="00CB66A1" w:rsidRPr="002479B7" w:rsidRDefault="0092502A">
      <w:pPr>
        <w:numPr>
          <w:ilvl w:val="0"/>
          <w:numId w:val="6"/>
        </w:numPr>
        <w:rPr>
          <w:rFonts w:ascii="Arial" w:hAnsi="Arial" w:cs="Arial"/>
          <w:lang w:val="en-GB"/>
        </w:rPr>
      </w:pPr>
      <w:r w:rsidRPr="002479B7">
        <w:rPr>
          <w:rFonts w:ascii="Arial" w:hAnsi="Arial" w:cs="Arial"/>
          <w:lang w:val="en-GB"/>
        </w:rPr>
        <w:t xml:space="preserve"> It can use a distribution and quality network that has established the value option and reliability. </w:t>
      </w:r>
    </w:p>
    <w:p w14:paraId="18ADDCCD" w14:textId="2AADBA3B" w:rsidR="00411DAA" w:rsidRPr="002479B7" w:rsidRDefault="00411DAA" w:rsidP="00411DAA">
      <w:pPr>
        <w:rPr>
          <w:rFonts w:ascii="Arial" w:hAnsi="Arial" w:cs="Arial"/>
          <w:b/>
          <w:bCs/>
          <w:lang w:val="en-GB"/>
        </w:rPr>
      </w:pPr>
      <w:r w:rsidRPr="002479B7">
        <w:rPr>
          <w:rFonts w:ascii="Arial" w:hAnsi="Arial" w:cs="Arial"/>
          <w:b/>
          <w:bCs/>
          <w:lang w:val="en-GB"/>
        </w:rPr>
        <w:t xml:space="preserve">Environmental factors </w:t>
      </w:r>
    </w:p>
    <w:p w14:paraId="67288928" w14:textId="3B7DDF2F" w:rsidR="00411DAA" w:rsidRPr="002479B7" w:rsidRDefault="00411DAA" w:rsidP="00411DAA">
      <w:pPr>
        <w:rPr>
          <w:rFonts w:ascii="Arial" w:hAnsi="Arial" w:cs="Arial"/>
          <w:b/>
          <w:bCs/>
          <w:i/>
          <w:iCs/>
          <w:lang w:val="en-GB"/>
        </w:rPr>
      </w:pPr>
      <w:r w:rsidRPr="002479B7">
        <w:rPr>
          <w:rFonts w:ascii="Arial" w:hAnsi="Arial" w:cs="Arial"/>
          <w:b/>
          <w:bCs/>
          <w:i/>
          <w:iCs/>
          <w:lang w:val="en-GB"/>
        </w:rPr>
        <w:t>Identify the key strategic implications in</w:t>
      </w:r>
      <w:r w:rsidR="00DF5131" w:rsidRPr="002479B7">
        <w:rPr>
          <w:rFonts w:ascii="Arial" w:hAnsi="Arial" w:cs="Arial"/>
          <w:b/>
          <w:bCs/>
          <w:i/>
          <w:iCs/>
          <w:lang w:val="en-GB"/>
        </w:rPr>
        <w:t xml:space="preserve"> pioneers </w:t>
      </w:r>
      <w:r w:rsidRPr="002479B7">
        <w:rPr>
          <w:rFonts w:ascii="Arial" w:hAnsi="Arial" w:cs="Arial"/>
          <w:b/>
          <w:bCs/>
          <w:i/>
          <w:iCs/>
          <w:lang w:val="en-GB"/>
        </w:rPr>
        <w:t xml:space="preserve"> </w:t>
      </w:r>
    </w:p>
    <w:p w14:paraId="1922A9BC" w14:textId="77777777" w:rsidR="00411DAA" w:rsidRPr="002479B7" w:rsidRDefault="00411DAA" w:rsidP="00411DAA">
      <w:pPr>
        <w:numPr>
          <w:ilvl w:val="0"/>
          <w:numId w:val="5"/>
        </w:numPr>
        <w:rPr>
          <w:rFonts w:ascii="Arial" w:hAnsi="Arial" w:cs="Arial"/>
          <w:lang w:val="en-GB"/>
        </w:rPr>
      </w:pPr>
      <w:r w:rsidRPr="002479B7">
        <w:rPr>
          <w:rFonts w:ascii="Arial" w:hAnsi="Arial" w:cs="Arial"/>
          <w:lang w:val="en-GB"/>
        </w:rPr>
        <w:t xml:space="preserve">Development of the financial model and design of the product line </w:t>
      </w:r>
    </w:p>
    <w:p w14:paraId="61D661D8" w14:textId="77777777" w:rsidR="00411DAA" w:rsidRPr="002479B7" w:rsidRDefault="00411DAA" w:rsidP="00411DAA">
      <w:pPr>
        <w:numPr>
          <w:ilvl w:val="0"/>
          <w:numId w:val="5"/>
        </w:numPr>
        <w:rPr>
          <w:rFonts w:ascii="Arial" w:hAnsi="Arial" w:cs="Arial"/>
          <w:lang w:val="en-GB"/>
        </w:rPr>
      </w:pPr>
      <w:r w:rsidRPr="002479B7">
        <w:rPr>
          <w:rFonts w:ascii="Arial" w:hAnsi="Arial" w:cs="Arial"/>
          <w:lang w:val="en-GB"/>
        </w:rPr>
        <w:t xml:space="preserve">Develop transparency on recycling data, along with the carbon footprint. </w:t>
      </w:r>
    </w:p>
    <w:p w14:paraId="30649033" w14:textId="6D8A2CCA" w:rsidR="00DF5131" w:rsidRPr="002479B7" w:rsidRDefault="00DF5131" w:rsidP="00DF5131">
      <w:pPr>
        <w:rPr>
          <w:rFonts w:ascii="Arial" w:hAnsi="Arial" w:cs="Arial"/>
          <w:b/>
          <w:bCs/>
          <w:i/>
          <w:iCs/>
          <w:lang w:val="en-GB"/>
        </w:rPr>
      </w:pPr>
      <w:r w:rsidRPr="002479B7">
        <w:rPr>
          <w:rFonts w:ascii="Arial" w:hAnsi="Arial" w:cs="Arial"/>
          <w:b/>
          <w:bCs/>
          <w:i/>
          <w:iCs/>
          <w:lang w:val="en-GB"/>
        </w:rPr>
        <w:t xml:space="preserve">Identify the key strategic implications in followers </w:t>
      </w:r>
    </w:p>
    <w:p w14:paraId="1CFCBB43" w14:textId="77777777" w:rsidR="00DF5131" w:rsidRPr="002479B7" w:rsidRDefault="00DF5131" w:rsidP="00DF5131">
      <w:pPr>
        <w:numPr>
          <w:ilvl w:val="0"/>
          <w:numId w:val="1"/>
        </w:numPr>
        <w:rPr>
          <w:rFonts w:ascii="Arial" w:hAnsi="Arial" w:cs="Arial"/>
          <w:lang w:val="en-GB"/>
        </w:rPr>
      </w:pPr>
      <w:r w:rsidRPr="002479B7">
        <w:rPr>
          <w:rFonts w:ascii="Arial" w:hAnsi="Arial" w:cs="Arial"/>
          <w:lang w:val="en-GB"/>
        </w:rPr>
        <w:t xml:space="preserve">Develop a recycling partnership, agreements on renewable energy. </w:t>
      </w:r>
    </w:p>
    <w:p w14:paraId="38EC954D" w14:textId="1A64513D" w:rsidR="00411DAA" w:rsidRPr="002479B7" w:rsidRDefault="00DF5131" w:rsidP="00DF5131">
      <w:pPr>
        <w:numPr>
          <w:ilvl w:val="0"/>
          <w:numId w:val="1"/>
        </w:numPr>
        <w:rPr>
          <w:rFonts w:ascii="Arial" w:hAnsi="Arial" w:cs="Arial"/>
          <w:lang w:val="en-GB"/>
        </w:rPr>
      </w:pPr>
      <w:r w:rsidRPr="002479B7">
        <w:rPr>
          <w:rFonts w:ascii="Arial" w:hAnsi="Arial" w:cs="Arial"/>
          <w:lang w:val="en-GB"/>
        </w:rPr>
        <w:t xml:space="preserve">Maintain customers’ trust and credibility by opening the ESG report (Rastogi </w:t>
      </w:r>
      <w:r w:rsidRPr="002479B7">
        <w:rPr>
          <w:rFonts w:ascii="Arial" w:hAnsi="Arial" w:cs="Arial"/>
          <w:i/>
          <w:iCs/>
          <w:lang w:val="en-GB"/>
        </w:rPr>
        <w:t>et al.</w:t>
      </w:r>
      <w:r w:rsidRPr="002479B7">
        <w:rPr>
          <w:rFonts w:ascii="Arial" w:hAnsi="Arial" w:cs="Arial"/>
          <w:lang w:val="en-GB"/>
        </w:rPr>
        <w:t xml:space="preserve"> 2025). </w:t>
      </w:r>
    </w:p>
    <w:p w14:paraId="5BD6D91D" w14:textId="12802B39" w:rsidR="006B7CF7" w:rsidRPr="002479B7" w:rsidRDefault="006B7CF7" w:rsidP="00D23C56">
      <w:pPr>
        <w:pStyle w:val="Heading3"/>
        <w:rPr>
          <w:rFonts w:ascii="Arial" w:eastAsiaTheme="majorEastAsia" w:hAnsi="Arial" w:cs="Arial"/>
        </w:rPr>
      </w:pPr>
      <w:bookmarkStart w:id="15" w:name="_Toc213774637"/>
      <w:r w:rsidRPr="002479B7">
        <w:rPr>
          <w:rFonts w:ascii="Arial" w:eastAsiaTheme="majorEastAsia" w:hAnsi="Arial" w:cs="Arial"/>
        </w:rPr>
        <w:t>2.3.3 Critical analysis with data and business examples</w:t>
      </w:r>
      <w:bookmarkEnd w:id="15"/>
    </w:p>
    <w:p w14:paraId="65566ECE" w14:textId="0ED534D0" w:rsidR="001C2B8A" w:rsidRPr="002479B7" w:rsidRDefault="001C2B8A" w:rsidP="001C2B8A">
      <w:pPr>
        <w:rPr>
          <w:rFonts w:ascii="Arial" w:eastAsiaTheme="majorEastAsia" w:hAnsi="Arial" w:cs="Arial"/>
          <w:b/>
          <w:bCs/>
          <w:i/>
          <w:iCs/>
        </w:rPr>
      </w:pPr>
      <w:r w:rsidRPr="002479B7">
        <w:rPr>
          <w:rFonts w:ascii="Arial" w:eastAsiaTheme="majorEastAsia" w:hAnsi="Arial" w:cs="Arial"/>
          <w:b/>
          <w:bCs/>
          <w:i/>
          <w:iCs/>
        </w:rPr>
        <w:t xml:space="preserve">Technological factors </w:t>
      </w:r>
    </w:p>
    <w:p w14:paraId="42B9EF6C" w14:textId="5E1BE59E" w:rsidR="00BB7A54" w:rsidRPr="002479B7" w:rsidRDefault="00BB7A54" w:rsidP="00BB7A54">
      <w:pPr>
        <w:numPr>
          <w:ilvl w:val="0"/>
          <w:numId w:val="2"/>
        </w:numPr>
        <w:rPr>
          <w:rFonts w:ascii="Arial" w:hAnsi="Arial" w:cs="Arial"/>
          <w:lang w:val="en-GB"/>
        </w:rPr>
      </w:pPr>
      <w:r w:rsidRPr="002479B7">
        <w:rPr>
          <w:rFonts w:ascii="Arial" w:hAnsi="Arial" w:cs="Arial"/>
          <w:lang w:val="en-GB"/>
        </w:rPr>
        <w:lastRenderedPageBreak/>
        <w:t>For example, Tesla</w:t>
      </w:r>
      <w:r w:rsidR="001C2B8A" w:rsidRPr="002479B7">
        <w:rPr>
          <w:rFonts w:ascii="Arial" w:hAnsi="Arial" w:cs="Arial"/>
          <w:lang w:val="en-GB"/>
        </w:rPr>
        <w:t xml:space="preserve">, pioneer organisation </w:t>
      </w:r>
      <w:r w:rsidRPr="002479B7">
        <w:rPr>
          <w:rFonts w:ascii="Arial" w:hAnsi="Arial" w:cs="Arial"/>
          <w:lang w:val="en-GB"/>
        </w:rPr>
        <w:t xml:space="preserve">has focus on improving 80% of the battery redesign process by developing a partnership with CATL (Yahoo Finance, 2025).  </w:t>
      </w:r>
    </w:p>
    <w:p w14:paraId="2A099EEC" w14:textId="1091C186" w:rsidR="00BB7A54" w:rsidRPr="002479B7" w:rsidRDefault="00BB7A54" w:rsidP="00BB7A54">
      <w:pPr>
        <w:numPr>
          <w:ilvl w:val="0"/>
          <w:numId w:val="2"/>
        </w:numPr>
        <w:rPr>
          <w:rFonts w:ascii="Arial" w:hAnsi="Arial" w:cs="Arial"/>
          <w:lang w:val="en-GB"/>
        </w:rPr>
      </w:pPr>
      <w:r w:rsidRPr="002479B7">
        <w:rPr>
          <w:rFonts w:ascii="Arial" w:hAnsi="Arial" w:cs="Arial"/>
          <w:lang w:val="en-GB"/>
        </w:rPr>
        <w:t>For example, followers like Ford, Volkswagen have focused on battery EV as well as Plug-in battery EV by 117,497 and 762850, respectively (Statista, 2025c).</w:t>
      </w:r>
    </w:p>
    <w:p w14:paraId="269DF0AD" w14:textId="112F41C0" w:rsidR="00981DAD" w:rsidRPr="002479B7" w:rsidRDefault="001C2B8A">
      <w:pPr>
        <w:rPr>
          <w:rFonts w:ascii="Arial" w:hAnsi="Arial" w:cs="Arial"/>
          <w:b/>
          <w:bCs/>
          <w:i/>
          <w:iCs/>
          <w:lang w:val="en-GB"/>
        </w:rPr>
      </w:pPr>
      <w:bookmarkStart w:id="16" w:name="_32llqu1enask" w:colFirst="0" w:colLast="0"/>
      <w:bookmarkEnd w:id="16"/>
      <w:r w:rsidRPr="002479B7">
        <w:rPr>
          <w:rFonts w:ascii="Arial" w:hAnsi="Arial" w:cs="Arial"/>
          <w:b/>
          <w:bCs/>
          <w:i/>
          <w:iCs/>
          <w:lang w:val="en-GB"/>
        </w:rPr>
        <w:t xml:space="preserve">Environmental factors </w:t>
      </w:r>
    </w:p>
    <w:p w14:paraId="3ADCD02C" w14:textId="77777777" w:rsidR="005978C2" w:rsidRPr="002479B7" w:rsidRDefault="005978C2" w:rsidP="005978C2">
      <w:pPr>
        <w:numPr>
          <w:ilvl w:val="0"/>
          <w:numId w:val="3"/>
        </w:numPr>
        <w:rPr>
          <w:rFonts w:ascii="Arial" w:hAnsi="Arial" w:cs="Arial"/>
          <w:lang w:val="en-GB"/>
        </w:rPr>
      </w:pPr>
      <w:r w:rsidRPr="002479B7">
        <w:rPr>
          <w:rFonts w:ascii="Arial" w:hAnsi="Arial" w:cs="Arial"/>
          <w:lang w:val="en-GB"/>
        </w:rPr>
        <w:t xml:space="preserve">The pioneers like Tesla have influenced the customers to incresae their willingness to invest in premium products by selling over 400,000 vehicles (Statista, 2025d). </w:t>
      </w:r>
    </w:p>
    <w:p w14:paraId="442AF862" w14:textId="77777777" w:rsidR="005978C2" w:rsidRPr="002479B7" w:rsidRDefault="005978C2" w:rsidP="005978C2">
      <w:pPr>
        <w:jc w:val="center"/>
        <w:rPr>
          <w:rFonts w:ascii="Arial" w:hAnsi="Arial" w:cs="Arial"/>
          <w:lang w:val="en-GB"/>
        </w:rPr>
      </w:pPr>
      <w:r w:rsidRPr="002479B7">
        <w:rPr>
          <w:rFonts w:ascii="Arial" w:hAnsi="Arial" w:cs="Arial"/>
          <w:noProof/>
          <w:lang w:val="en-GB" w:eastAsia="en-GB"/>
        </w:rPr>
        <w:drawing>
          <wp:inline distT="114300" distB="114300" distL="114300" distR="114300" wp14:anchorId="09CAA32D" wp14:editId="3DE2B077">
            <wp:extent cx="5943600" cy="3263900"/>
            <wp:effectExtent l="0" t="0" r="0" b="0"/>
            <wp:docPr id="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5943600" cy="3263900"/>
                    </a:xfrm>
                    <a:prstGeom prst="rect">
                      <a:avLst/>
                    </a:prstGeom>
                    <a:ln/>
                  </pic:spPr>
                </pic:pic>
              </a:graphicData>
            </a:graphic>
          </wp:inline>
        </w:drawing>
      </w:r>
    </w:p>
    <w:p w14:paraId="3F879D9F" w14:textId="77777777" w:rsidR="005978C2" w:rsidRPr="002479B7" w:rsidRDefault="005978C2" w:rsidP="005978C2">
      <w:pPr>
        <w:jc w:val="center"/>
        <w:rPr>
          <w:rFonts w:ascii="Arial" w:hAnsi="Arial" w:cs="Arial"/>
          <w:b/>
          <w:bCs/>
          <w:lang w:val="en-GB"/>
        </w:rPr>
      </w:pPr>
      <w:r w:rsidRPr="002479B7">
        <w:rPr>
          <w:rFonts w:ascii="Arial" w:hAnsi="Arial" w:cs="Arial"/>
          <w:b/>
          <w:bCs/>
          <w:lang w:val="en-GB"/>
        </w:rPr>
        <w:t>Figure 10: Tesla has a dominating EV market</w:t>
      </w:r>
    </w:p>
    <w:p w14:paraId="50B6A451" w14:textId="77777777" w:rsidR="005978C2" w:rsidRPr="002479B7" w:rsidRDefault="005978C2" w:rsidP="005978C2">
      <w:pPr>
        <w:jc w:val="center"/>
        <w:rPr>
          <w:rFonts w:ascii="Arial" w:hAnsi="Arial" w:cs="Arial"/>
          <w:lang w:val="en-GB"/>
        </w:rPr>
      </w:pPr>
      <w:r w:rsidRPr="002479B7">
        <w:rPr>
          <w:rFonts w:ascii="Arial" w:hAnsi="Arial" w:cs="Arial"/>
          <w:lang w:val="en-GB"/>
        </w:rPr>
        <w:t>(Source: Statista, 2025d)</w:t>
      </w:r>
    </w:p>
    <w:p w14:paraId="4E43917B" w14:textId="77777777" w:rsidR="00011392" w:rsidRPr="002479B7" w:rsidRDefault="00011392" w:rsidP="00011392">
      <w:pPr>
        <w:jc w:val="center"/>
        <w:rPr>
          <w:rFonts w:ascii="Arial" w:hAnsi="Arial" w:cs="Arial"/>
          <w:lang w:val="en-GB"/>
        </w:rPr>
      </w:pPr>
      <w:r w:rsidRPr="002479B7">
        <w:rPr>
          <w:rFonts w:ascii="Arial" w:hAnsi="Arial" w:cs="Arial"/>
          <w:noProof/>
          <w:lang w:val="en-GB" w:eastAsia="en-GB"/>
        </w:rPr>
        <w:drawing>
          <wp:inline distT="114300" distB="114300" distL="114300" distR="114300" wp14:anchorId="0A00A63F" wp14:editId="55F6628D">
            <wp:extent cx="5943600" cy="1130300"/>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5943600" cy="1130300"/>
                    </a:xfrm>
                    <a:prstGeom prst="rect">
                      <a:avLst/>
                    </a:prstGeom>
                    <a:ln/>
                  </pic:spPr>
                </pic:pic>
              </a:graphicData>
            </a:graphic>
          </wp:inline>
        </w:drawing>
      </w:r>
    </w:p>
    <w:p w14:paraId="113100FD" w14:textId="77777777" w:rsidR="00011392" w:rsidRPr="002479B7" w:rsidRDefault="00011392" w:rsidP="00011392">
      <w:pPr>
        <w:jc w:val="center"/>
        <w:rPr>
          <w:rFonts w:ascii="Arial" w:hAnsi="Arial" w:cs="Arial"/>
          <w:b/>
          <w:bCs/>
          <w:lang w:val="en-GB"/>
        </w:rPr>
      </w:pPr>
      <w:r w:rsidRPr="002479B7">
        <w:rPr>
          <w:rFonts w:ascii="Arial" w:hAnsi="Arial" w:cs="Arial"/>
          <w:b/>
          <w:bCs/>
          <w:lang w:val="en-GB"/>
        </w:rPr>
        <w:t>Figure 11: Evidence on the struggle in carbon emissions</w:t>
      </w:r>
    </w:p>
    <w:p w14:paraId="1FFFB391" w14:textId="77777777" w:rsidR="00011392" w:rsidRPr="002479B7" w:rsidRDefault="00011392" w:rsidP="00011392">
      <w:pPr>
        <w:jc w:val="center"/>
        <w:rPr>
          <w:rFonts w:ascii="Arial" w:hAnsi="Arial" w:cs="Arial"/>
          <w:lang w:val="en-GB"/>
        </w:rPr>
      </w:pPr>
      <w:r w:rsidRPr="002479B7">
        <w:rPr>
          <w:rFonts w:ascii="Arial" w:hAnsi="Arial" w:cs="Arial"/>
          <w:lang w:val="en-GB"/>
        </w:rPr>
        <w:t>(Source: am-online, 2024)</w:t>
      </w:r>
    </w:p>
    <w:p w14:paraId="339A207B" w14:textId="071CB9F8" w:rsidR="005978C2" w:rsidRPr="002479B7" w:rsidRDefault="00011392" w:rsidP="008E3D50">
      <w:pPr>
        <w:pStyle w:val="ListParagraph"/>
        <w:numPr>
          <w:ilvl w:val="0"/>
          <w:numId w:val="11"/>
        </w:numPr>
        <w:rPr>
          <w:rFonts w:ascii="Arial" w:hAnsi="Arial" w:cs="Arial"/>
          <w:lang w:val="en-GB"/>
        </w:rPr>
      </w:pPr>
      <w:r w:rsidRPr="002479B7">
        <w:rPr>
          <w:rFonts w:ascii="Arial" w:hAnsi="Arial" w:cs="Arial"/>
          <w:lang w:val="en-GB"/>
        </w:rPr>
        <w:t xml:space="preserve">Followers like Ford and Volkswagen face regulatory pressure on carbon reduction (am-online, 2024). </w:t>
      </w:r>
    </w:p>
    <w:p w14:paraId="50AF9EDF" w14:textId="3749D5DA" w:rsidR="00CB66A1" w:rsidRPr="002479B7" w:rsidRDefault="0092502A">
      <w:pPr>
        <w:pStyle w:val="Heading1"/>
        <w:rPr>
          <w:rFonts w:ascii="Arial" w:hAnsi="Arial" w:cs="Arial"/>
          <w:lang w:val="en-GB"/>
        </w:rPr>
      </w:pPr>
      <w:bookmarkStart w:id="17" w:name="_Toc213774638"/>
      <w:r w:rsidRPr="002479B7">
        <w:rPr>
          <w:rFonts w:ascii="Arial" w:hAnsi="Arial" w:cs="Arial"/>
          <w:lang w:val="en-GB"/>
        </w:rPr>
        <w:lastRenderedPageBreak/>
        <w:t>3. Task 2: Strategic Responses of Pioneering and Follower</w:t>
      </w:r>
      <w:bookmarkEnd w:id="17"/>
      <w:r w:rsidRPr="002479B7">
        <w:rPr>
          <w:rFonts w:ascii="Arial" w:hAnsi="Arial" w:cs="Arial"/>
          <w:lang w:val="en-GB"/>
        </w:rPr>
        <w:t xml:space="preserve"> </w:t>
      </w:r>
    </w:p>
    <w:p w14:paraId="7C6EC17A" w14:textId="3666F587" w:rsidR="00CB66A1" w:rsidRPr="002479B7" w:rsidRDefault="0092502A">
      <w:pPr>
        <w:pStyle w:val="Heading2"/>
        <w:rPr>
          <w:rFonts w:ascii="Arial" w:hAnsi="Arial" w:cs="Arial"/>
          <w:lang w:val="en-GB"/>
        </w:rPr>
      </w:pPr>
      <w:bookmarkStart w:id="18" w:name="_sbj28x3es9k5" w:colFirst="0" w:colLast="0"/>
      <w:bookmarkStart w:id="19" w:name="_Toc213774639"/>
      <w:bookmarkEnd w:id="18"/>
      <w:r w:rsidRPr="002479B7">
        <w:rPr>
          <w:rFonts w:ascii="Arial" w:hAnsi="Arial" w:cs="Arial"/>
          <w:lang w:val="en-GB"/>
        </w:rPr>
        <w:t>3.1 Pioneering Organisations’ Strategic Responses</w:t>
      </w:r>
      <w:bookmarkEnd w:id="19"/>
      <w:r w:rsidRPr="002479B7">
        <w:rPr>
          <w:rFonts w:ascii="Arial" w:hAnsi="Arial" w:cs="Arial"/>
          <w:lang w:val="en-GB"/>
        </w:rPr>
        <w:t xml:space="preserve"> </w:t>
      </w:r>
    </w:p>
    <w:p w14:paraId="400157D0" w14:textId="5E9404A1" w:rsidR="00CB66A1" w:rsidRPr="002479B7" w:rsidRDefault="00A028D5" w:rsidP="00D23C56">
      <w:pPr>
        <w:pStyle w:val="Heading3"/>
        <w:rPr>
          <w:rFonts w:ascii="Arial" w:hAnsi="Arial" w:cs="Arial"/>
          <w:lang w:val="en-GB"/>
        </w:rPr>
      </w:pPr>
      <w:bookmarkStart w:id="20" w:name="_Toc213774640"/>
      <w:r w:rsidRPr="002479B7">
        <w:rPr>
          <w:rFonts w:ascii="Arial" w:hAnsi="Arial" w:cs="Arial"/>
          <w:lang w:val="en-GB"/>
        </w:rPr>
        <w:t>3.1.1 The way pioneering firms respond to external challenges.</w:t>
      </w:r>
      <w:bookmarkEnd w:id="20"/>
      <w:r w:rsidRPr="002479B7">
        <w:rPr>
          <w:rFonts w:ascii="Arial" w:hAnsi="Arial" w:cs="Arial"/>
          <w:lang w:val="en-GB"/>
        </w:rPr>
        <w:t xml:space="preserve"> </w:t>
      </w:r>
    </w:p>
    <w:p w14:paraId="0E928F06" w14:textId="77777777" w:rsidR="00CB66A1" w:rsidRPr="002479B7" w:rsidRDefault="0092502A">
      <w:pPr>
        <w:rPr>
          <w:rFonts w:ascii="Arial" w:hAnsi="Arial" w:cs="Arial"/>
          <w:lang w:val="en-GB"/>
        </w:rPr>
      </w:pPr>
      <w:r w:rsidRPr="002479B7">
        <w:rPr>
          <w:rFonts w:ascii="Arial" w:hAnsi="Arial" w:cs="Arial"/>
          <w:lang w:val="en-GB"/>
        </w:rPr>
        <w:t xml:space="preserve">The pioneering organisations have responded to the challenges regarding the environmental regulations and technological disruptions. To overcome these challenges, the organisation has implemented proactive and innovation-driven strategies. Following the market trend, the organisations have reacted to improve the customer’s expectations. By developing EV products, this automobile industry has contributed to reducing 37% emissions and is targeting net-zero gas emissions by 2050 (factcheck, 2024).  </w:t>
      </w:r>
    </w:p>
    <w:p w14:paraId="27857F18" w14:textId="77777777" w:rsidR="00CB66A1" w:rsidRPr="002479B7" w:rsidRDefault="0092502A" w:rsidP="00B25CDE">
      <w:pPr>
        <w:jc w:val="center"/>
        <w:rPr>
          <w:rFonts w:ascii="Arial" w:hAnsi="Arial" w:cs="Arial"/>
          <w:lang w:val="en-GB"/>
        </w:rPr>
      </w:pPr>
      <w:r w:rsidRPr="002479B7">
        <w:rPr>
          <w:rFonts w:ascii="Arial" w:hAnsi="Arial" w:cs="Arial"/>
          <w:noProof/>
          <w:lang w:val="en-GB" w:eastAsia="en-GB"/>
        </w:rPr>
        <w:drawing>
          <wp:inline distT="114300" distB="114300" distL="114300" distR="114300" wp14:anchorId="5E2A6641" wp14:editId="1BA1B6FD">
            <wp:extent cx="5943600" cy="2870200"/>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5943600" cy="2870200"/>
                    </a:xfrm>
                    <a:prstGeom prst="rect">
                      <a:avLst/>
                    </a:prstGeom>
                    <a:ln/>
                  </pic:spPr>
                </pic:pic>
              </a:graphicData>
            </a:graphic>
          </wp:inline>
        </w:drawing>
      </w:r>
    </w:p>
    <w:p w14:paraId="4769921C" w14:textId="4DD8D15D" w:rsidR="00CB66A1" w:rsidRPr="002479B7" w:rsidRDefault="0092502A" w:rsidP="00B25CDE">
      <w:pPr>
        <w:jc w:val="center"/>
        <w:rPr>
          <w:rFonts w:ascii="Arial" w:hAnsi="Arial" w:cs="Arial"/>
          <w:b/>
          <w:bCs/>
          <w:lang w:val="en-GB"/>
        </w:rPr>
      </w:pPr>
      <w:r w:rsidRPr="002479B7">
        <w:rPr>
          <w:rFonts w:ascii="Arial" w:hAnsi="Arial" w:cs="Arial"/>
          <w:b/>
          <w:bCs/>
          <w:lang w:val="en-GB"/>
        </w:rPr>
        <w:t>Figure</w:t>
      </w:r>
      <w:r w:rsidR="00B25CDE" w:rsidRPr="002479B7">
        <w:rPr>
          <w:rFonts w:ascii="Arial" w:hAnsi="Arial" w:cs="Arial"/>
          <w:b/>
          <w:bCs/>
          <w:lang w:val="en-GB"/>
        </w:rPr>
        <w:t xml:space="preserve"> 12</w:t>
      </w:r>
      <w:r w:rsidRPr="002479B7">
        <w:rPr>
          <w:rFonts w:ascii="Arial" w:hAnsi="Arial" w:cs="Arial"/>
          <w:b/>
          <w:bCs/>
          <w:lang w:val="en-GB"/>
        </w:rPr>
        <w:t>: Impact of EV on climate change</w:t>
      </w:r>
    </w:p>
    <w:p w14:paraId="38172692" w14:textId="77777777" w:rsidR="00CB66A1" w:rsidRPr="002479B7" w:rsidRDefault="0092502A" w:rsidP="00B25CDE">
      <w:pPr>
        <w:jc w:val="center"/>
        <w:rPr>
          <w:rFonts w:ascii="Arial" w:hAnsi="Arial" w:cs="Arial"/>
          <w:lang w:val="en-GB"/>
        </w:rPr>
      </w:pPr>
      <w:r w:rsidRPr="002479B7">
        <w:rPr>
          <w:rFonts w:ascii="Arial" w:hAnsi="Arial" w:cs="Arial"/>
          <w:lang w:val="en-GB"/>
        </w:rPr>
        <w:t>(Source: factcheck, 2024)</w:t>
      </w:r>
    </w:p>
    <w:p w14:paraId="6B2F862E" w14:textId="77777777" w:rsidR="00CB66A1" w:rsidRPr="002479B7" w:rsidRDefault="0092502A">
      <w:pPr>
        <w:rPr>
          <w:rFonts w:ascii="Arial" w:hAnsi="Arial" w:cs="Arial"/>
          <w:lang w:val="en-GB"/>
        </w:rPr>
      </w:pPr>
      <w:r w:rsidRPr="002479B7">
        <w:rPr>
          <w:rFonts w:ascii="Arial" w:hAnsi="Arial" w:cs="Arial"/>
          <w:lang w:val="en-GB"/>
        </w:rPr>
        <w:t xml:space="preserve">To overcome the market challenges like high fuel cost, threats of climate change and governmental regulations, Tesla has made their first step towards electric vehicle production. </w:t>
      </w:r>
    </w:p>
    <w:p w14:paraId="193B7612" w14:textId="5AC4FCB7" w:rsidR="00CB66A1" w:rsidRPr="002479B7" w:rsidRDefault="00A028D5" w:rsidP="00D23C56">
      <w:pPr>
        <w:pStyle w:val="Heading3"/>
        <w:rPr>
          <w:rFonts w:ascii="Arial" w:hAnsi="Arial" w:cs="Arial"/>
          <w:lang w:val="en-GB"/>
        </w:rPr>
      </w:pPr>
      <w:bookmarkStart w:id="21" w:name="_Toc213774641"/>
      <w:r w:rsidRPr="002479B7">
        <w:rPr>
          <w:rFonts w:ascii="Arial" w:hAnsi="Arial" w:cs="Arial"/>
          <w:lang w:val="en-GB"/>
        </w:rPr>
        <w:t>3.1.2 Responding to the external opportunities</w:t>
      </w:r>
      <w:bookmarkEnd w:id="21"/>
      <w:r w:rsidRPr="002479B7">
        <w:rPr>
          <w:rFonts w:ascii="Arial" w:hAnsi="Arial" w:cs="Arial"/>
          <w:lang w:val="en-GB"/>
        </w:rPr>
        <w:t xml:space="preserve"> </w:t>
      </w:r>
    </w:p>
    <w:p w14:paraId="192D3E9F" w14:textId="77777777" w:rsidR="00CB66A1" w:rsidRPr="002479B7" w:rsidRDefault="0092502A">
      <w:pPr>
        <w:rPr>
          <w:rFonts w:ascii="Arial" w:hAnsi="Arial" w:cs="Arial"/>
          <w:lang w:val="en-GB"/>
        </w:rPr>
      </w:pPr>
      <w:r w:rsidRPr="002479B7">
        <w:rPr>
          <w:rFonts w:ascii="Arial" w:hAnsi="Arial" w:cs="Arial"/>
          <w:lang w:val="en-GB"/>
        </w:rPr>
        <w:t xml:space="preserve">The pioneer companies can access the extensive market opportunities like renewable energy initiatives, green policies, and adapt the digitalisation practices. Based on these growth opportunities, the pioneers can focus towards the sustainability trends along with </w:t>
      </w:r>
      <w:r w:rsidRPr="002479B7">
        <w:rPr>
          <w:rFonts w:ascii="Arial" w:hAnsi="Arial" w:cs="Arial"/>
          <w:lang w:val="en-GB"/>
        </w:rPr>
        <w:lastRenderedPageBreak/>
        <w:t xml:space="preserve">improving storage and adapting solar energy. For example, BYD has developed a partnership with Skysense for 300MWh of energy storage (PVKnowHow, 2025). </w:t>
      </w:r>
    </w:p>
    <w:p w14:paraId="77C8286F" w14:textId="77777777" w:rsidR="00CB66A1" w:rsidRPr="002479B7" w:rsidRDefault="0092502A" w:rsidP="00D42DB1">
      <w:pPr>
        <w:jc w:val="center"/>
        <w:rPr>
          <w:rFonts w:ascii="Arial" w:hAnsi="Arial" w:cs="Arial"/>
          <w:lang w:val="en-GB"/>
        </w:rPr>
      </w:pPr>
      <w:r w:rsidRPr="002479B7">
        <w:rPr>
          <w:rFonts w:ascii="Arial" w:hAnsi="Arial" w:cs="Arial"/>
          <w:noProof/>
          <w:lang w:val="en-GB" w:eastAsia="en-GB"/>
        </w:rPr>
        <w:drawing>
          <wp:inline distT="114300" distB="114300" distL="114300" distR="114300" wp14:anchorId="25F5C68D" wp14:editId="60CEE35E">
            <wp:extent cx="5943600" cy="3733800"/>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943600" cy="3733800"/>
                    </a:xfrm>
                    <a:prstGeom prst="rect">
                      <a:avLst/>
                    </a:prstGeom>
                    <a:ln/>
                  </pic:spPr>
                </pic:pic>
              </a:graphicData>
            </a:graphic>
          </wp:inline>
        </w:drawing>
      </w:r>
    </w:p>
    <w:p w14:paraId="54C41FE3" w14:textId="43544B8D" w:rsidR="00CB66A1" w:rsidRPr="002479B7" w:rsidRDefault="0092502A" w:rsidP="00D42DB1">
      <w:pPr>
        <w:jc w:val="center"/>
        <w:rPr>
          <w:rFonts w:ascii="Arial" w:hAnsi="Arial" w:cs="Arial"/>
          <w:b/>
          <w:bCs/>
          <w:lang w:val="en-GB"/>
        </w:rPr>
      </w:pPr>
      <w:r w:rsidRPr="002479B7">
        <w:rPr>
          <w:rFonts w:ascii="Arial" w:hAnsi="Arial" w:cs="Arial"/>
          <w:b/>
          <w:bCs/>
          <w:lang w:val="en-GB"/>
        </w:rPr>
        <w:t>Figure</w:t>
      </w:r>
      <w:r w:rsidR="00D42DB1" w:rsidRPr="002479B7">
        <w:rPr>
          <w:rFonts w:ascii="Arial" w:hAnsi="Arial" w:cs="Arial"/>
          <w:b/>
          <w:bCs/>
          <w:lang w:val="en-GB"/>
        </w:rPr>
        <w:t xml:space="preserve"> 13</w:t>
      </w:r>
      <w:r w:rsidRPr="002479B7">
        <w:rPr>
          <w:rFonts w:ascii="Arial" w:hAnsi="Arial" w:cs="Arial"/>
          <w:b/>
          <w:bCs/>
          <w:lang w:val="en-GB"/>
        </w:rPr>
        <w:t>: Evidence on BYD energy storage</w:t>
      </w:r>
    </w:p>
    <w:p w14:paraId="03082128" w14:textId="77777777" w:rsidR="00CB66A1" w:rsidRPr="002479B7" w:rsidRDefault="0092502A" w:rsidP="00D42DB1">
      <w:pPr>
        <w:jc w:val="center"/>
        <w:rPr>
          <w:rFonts w:ascii="Arial" w:hAnsi="Arial" w:cs="Arial"/>
          <w:lang w:val="en-GB"/>
        </w:rPr>
      </w:pPr>
      <w:r w:rsidRPr="002479B7">
        <w:rPr>
          <w:rFonts w:ascii="Arial" w:hAnsi="Arial" w:cs="Arial"/>
          <w:lang w:val="en-GB"/>
        </w:rPr>
        <w:t>(Source: pvknowhow, 2025)</w:t>
      </w:r>
    </w:p>
    <w:p w14:paraId="69ECBF44" w14:textId="1BC693C7" w:rsidR="00CB66A1" w:rsidRPr="002479B7" w:rsidRDefault="00436765" w:rsidP="00D23C56">
      <w:pPr>
        <w:pStyle w:val="Heading3"/>
        <w:rPr>
          <w:rFonts w:ascii="Arial" w:hAnsi="Arial" w:cs="Arial"/>
          <w:lang w:val="en-GB"/>
        </w:rPr>
      </w:pPr>
      <w:bookmarkStart w:id="22" w:name="_Toc213774642"/>
      <w:r w:rsidRPr="002479B7">
        <w:rPr>
          <w:rFonts w:ascii="Arial" w:hAnsi="Arial" w:cs="Arial"/>
          <w:lang w:val="en-GB"/>
        </w:rPr>
        <w:t>3.1.3 Application of Ansoff’s Growth Matrix</w:t>
      </w:r>
      <w:bookmarkEnd w:id="22"/>
    </w:p>
    <w:p w14:paraId="3A727556" w14:textId="77777777" w:rsidR="00CB66A1" w:rsidRPr="002479B7" w:rsidRDefault="0092502A">
      <w:pPr>
        <w:rPr>
          <w:rFonts w:ascii="Arial" w:hAnsi="Arial" w:cs="Arial"/>
          <w:lang w:val="en-GB"/>
        </w:rPr>
      </w:pPr>
      <w:r w:rsidRPr="002479B7">
        <w:rPr>
          <w:rFonts w:ascii="Arial" w:hAnsi="Arial" w:cs="Arial"/>
          <w:lang w:val="en-GB"/>
        </w:rPr>
        <w:t xml:space="preserve">Ansoff matrix is also called the product-market matrix, which supports improving the organisational growth process and influence for market changes (Pereira Ferraz Soares Ferreira and Marques, 2024). </w:t>
      </w:r>
    </w:p>
    <w:p w14:paraId="540C48B8" w14:textId="77777777" w:rsidR="00CB66A1" w:rsidRPr="002479B7" w:rsidRDefault="0092502A" w:rsidP="00627BC4">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7BF5664F" wp14:editId="1062EAC0">
            <wp:extent cx="5943600" cy="5384800"/>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5943600" cy="5384800"/>
                    </a:xfrm>
                    <a:prstGeom prst="rect">
                      <a:avLst/>
                    </a:prstGeom>
                    <a:ln/>
                  </pic:spPr>
                </pic:pic>
              </a:graphicData>
            </a:graphic>
          </wp:inline>
        </w:drawing>
      </w:r>
    </w:p>
    <w:p w14:paraId="764EAAEF" w14:textId="66FBDA8F" w:rsidR="00CB66A1" w:rsidRPr="002479B7" w:rsidRDefault="0092502A" w:rsidP="00627BC4">
      <w:pPr>
        <w:jc w:val="center"/>
        <w:rPr>
          <w:rFonts w:ascii="Arial" w:hAnsi="Arial" w:cs="Arial"/>
          <w:b/>
          <w:bCs/>
          <w:lang w:val="en-GB"/>
        </w:rPr>
      </w:pPr>
      <w:r w:rsidRPr="002479B7">
        <w:rPr>
          <w:rFonts w:ascii="Arial" w:hAnsi="Arial" w:cs="Arial"/>
          <w:b/>
          <w:bCs/>
          <w:lang w:val="en-GB"/>
        </w:rPr>
        <w:t>Figure</w:t>
      </w:r>
      <w:r w:rsidR="00627BC4" w:rsidRPr="002479B7">
        <w:rPr>
          <w:rFonts w:ascii="Arial" w:hAnsi="Arial" w:cs="Arial"/>
          <w:b/>
          <w:bCs/>
          <w:lang w:val="en-GB"/>
        </w:rPr>
        <w:t xml:space="preserve"> 14</w:t>
      </w:r>
      <w:r w:rsidRPr="002479B7">
        <w:rPr>
          <w:rFonts w:ascii="Arial" w:hAnsi="Arial" w:cs="Arial"/>
          <w:b/>
          <w:bCs/>
          <w:lang w:val="en-GB"/>
        </w:rPr>
        <w:t>: Ansoff matrix</w:t>
      </w:r>
    </w:p>
    <w:p w14:paraId="430088D6" w14:textId="55F0D054" w:rsidR="00CB66A1" w:rsidRPr="002479B7" w:rsidRDefault="0092502A" w:rsidP="00627BC4">
      <w:pPr>
        <w:jc w:val="center"/>
        <w:rPr>
          <w:rFonts w:ascii="Arial" w:hAnsi="Arial" w:cs="Arial"/>
          <w:lang w:val="en-GB"/>
        </w:rPr>
      </w:pPr>
      <w:r w:rsidRPr="002479B7">
        <w:rPr>
          <w:rFonts w:ascii="Arial" w:hAnsi="Arial" w:cs="Arial"/>
          <w:lang w:val="en-GB"/>
        </w:rPr>
        <w:t>(Source: Pereira Ferraz Soares Ferreira and Marques, 2024)</w:t>
      </w:r>
    </w:p>
    <w:p w14:paraId="068E56E2" w14:textId="77777777" w:rsidR="00CB66A1" w:rsidRPr="002479B7" w:rsidRDefault="0092502A">
      <w:pPr>
        <w:rPr>
          <w:rFonts w:ascii="Arial" w:hAnsi="Arial" w:cs="Arial"/>
          <w:lang w:val="en-GB"/>
        </w:rPr>
      </w:pPr>
      <w:r w:rsidRPr="002479B7">
        <w:rPr>
          <w:rFonts w:ascii="Arial" w:hAnsi="Arial" w:cs="Arial"/>
          <w:lang w:val="en-GB"/>
        </w:rPr>
        <w:t xml:space="preserve">With respect to this growth matrix, the pioneering organisations mainly focus on market penetration and product development. </w:t>
      </w:r>
    </w:p>
    <w:p w14:paraId="1DA7C71D" w14:textId="77777777" w:rsidR="00CB66A1" w:rsidRPr="002479B7" w:rsidRDefault="0092502A">
      <w:pPr>
        <w:rPr>
          <w:rFonts w:ascii="Arial" w:hAnsi="Arial" w:cs="Arial"/>
          <w:lang w:val="en-GB"/>
        </w:rPr>
      </w:pPr>
      <w:r w:rsidRPr="002479B7">
        <w:rPr>
          <w:rFonts w:ascii="Arial" w:hAnsi="Arial" w:cs="Arial"/>
          <w:b/>
          <w:bCs/>
          <w:i/>
          <w:iCs/>
          <w:lang w:val="en-GB"/>
        </w:rPr>
        <w:t xml:space="preserve">Market penetration: </w:t>
      </w:r>
      <w:r w:rsidRPr="002479B7">
        <w:rPr>
          <w:rFonts w:ascii="Arial" w:hAnsi="Arial" w:cs="Arial"/>
          <w:lang w:val="en-GB"/>
        </w:rPr>
        <w:t xml:space="preserve">This strategy is mainly applicable in the automobile industry for expanding its business into developing countries. EV products have attracted customers where the environmental policies are strong and customers are highly conscious about the environment. Based on the below image, in 2024, 17.1 million EV sales have been reported, which is been increase of 25% from 2023. </w:t>
      </w:r>
    </w:p>
    <w:p w14:paraId="488E610D" w14:textId="77777777" w:rsidR="00CB66A1" w:rsidRPr="002479B7" w:rsidRDefault="0092502A" w:rsidP="00627BC4">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3DD47994" wp14:editId="1B48F497">
            <wp:extent cx="5943600" cy="31369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5943600" cy="3136900"/>
                    </a:xfrm>
                    <a:prstGeom prst="rect">
                      <a:avLst/>
                    </a:prstGeom>
                    <a:ln/>
                  </pic:spPr>
                </pic:pic>
              </a:graphicData>
            </a:graphic>
          </wp:inline>
        </w:drawing>
      </w:r>
    </w:p>
    <w:p w14:paraId="192E0E6F" w14:textId="4E697A7D" w:rsidR="00CB66A1" w:rsidRPr="002479B7" w:rsidRDefault="0092502A" w:rsidP="00627BC4">
      <w:pPr>
        <w:jc w:val="center"/>
        <w:rPr>
          <w:rFonts w:ascii="Arial" w:hAnsi="Arial" w:cs="Arial"/>
          <w:b/>
          <w:bCs/>
          <w:lang w:val="en-GB"/>
        </w:rPr>
      </w:pPr>
      <w:r w:rsidRPr="002479B7">
        <w:rPr>
          <w:rFonts w:ascii="Arial" w:hAnsi="Arial" w:cs="Arial"/>
          <w:b/>
          <w:bCs/>
          <w:lang w:val="en-GB"/>
        </w:rPr>
        <w:t>Figure</w:t>
      </w:r>
      <w:r w:rsidR="00627BC4" w:rsidRPr="002479B7">
        <w:rPr>
          <w:rFonts w:ascii="Arial" w:hAnsi="Arial" w:cs="Arial"/>
          <w:b/>
          <w:bCs/>
          <w:lang w:val="en-GB"/>
        </w:rPr>
        <w:t xml:space="preserve"> 15</w:t>
      </w:r>
      <w:r w:rsidRPr="002479B7">
        <w:rPr>
          <w:rFonts w:ascii="Arial" w:hAnsi="Arial" w:cs="Arial"/>
          <w:b/>
          <w:bCs/>
          <w:lang w:val="en-GB"/>
        </w:rPr>
        <w:t>: Rate of EV sales in different regions</w:t>
      </w:r>
    </w:p>
    <w:p w14:paraId="16EC8295" w14:textId="04AFC8CF" w:rsidR="00CB66A1" w:rsidRPr="002479B7" w:rsidRDefault="0092502A" w:rsidP="00627BC4">
      <w:pPr>
        <w:jc w:val="center"/>
        <w:rPr>
          <w:rFonts w:ascii="Arial" w:hAnsi="Arial" w:cs="Arial"/>
          <w:lang w:val="en-GB"/>
        </w:rPr>
      </w:pPr>
      <w:r w:rsidRPr="002479B7">
        <w:rPr>
          <w:rFonts w:ascii="Arial" w:hAnsi="Arial" w:cs="Arial"/>
          <w:lang w:val="en-GB"/>
        </w:rPr>
        <w:t>(Source: leadintelligent, 2024)</w:t>
      </w:r>
    </w:p>
    <w:p w14:paraId="0A5A41D5" w14:textId="77777777" w:rsidR="00CB66A1" w:rsidRPr="002479B7" w:rsidRDefault="0092502A">
      <w:pPr>
        <w:rPr>
          <w:rFonts w:ascii="Arial" w:hAnsi="Arial" w:cs="Arial"/>
          <w:lang w:val="en-GB"/>
        </w:rPr>
      </w:pPr>
      <w:r w:rsidRPr="002479B7">
        <w:rPr>
          <w:rFonts w:ascii="Arial" w:hAnsi="Arial" w:cs="Arial"/>
          <w:b/>
          <w:bCs/>
          <w:i/>
          <w:iCs/>
          <w:lang w:val="en-GB"/>
        </w:rPr>
        <w:t xml:space="preserve">Product development: </w:t>
      </w:r>
      <w:r w:rsidRPr="002479B7">
        <w:rPr>
          <w:rFonts w:ascii="Arial" w:hAnsi="Arial" w:cs="Arial"/>
          <w:lang w:val="en-GB"/>
        </w:rPr>
        <w:t xml:space="preserve">Pioneers have focused on autonomous driving, improving the battery life, and investing in cutting-edge technologies.  </w:t>
      </w:r>
    </w:p>
    <w:p w14:paraId="439C4898" w14:textId="6246953D" w:rsidR="00CB66A1" w:rsidRPr="002479B7" w:rsidRDefault="00436765" w:rsidP="00D23C56">
      <w:pPr>
        <w:pStyle w:val="Heading3"/>
        <w:rPr>
          <w:rFonts w:ascii="Arial" w:hAnsi="Arial" w:cs="Arial"/>
          <w:lang w:val="en-GB"/>
        </w:rPr>
      </w:pPr>
      <w:bookmarkStart w:id="23" w:name="_Toc213774643"/>
      <w:r w:rsidRPr="002479B7">
        <w:rPr>
          <w:rFonts w:ascii="Arial" w:hAnsi="Arial" w:cs="Arial"/>
          <w:lang w:val="en-GB"/>
        </w:rPr>
        <w:t>3.1.4 Application of Porter’s Generic Strategies</w:t>
      </w:r>
      <w:bookmarkEnd w:id="23"/>
    </w:p>
    <w:p w14:paraId="5D99BC3E" w14:textId="6EA1B11E" w:rsidR="00CB66A1" w:rsidRPr="002479B7" w:rsidRDefault="0064314F">
      <w:pPr>
        <w:rPr>
          <w:rFonts w:ascii="Arial" w:hAnsi="Arial" w:cs="Arial"/>
          <w:lang w:val="en-GB"/>
        </w:rPr>
      </w:pPr>
      <w:r w:rsidRPr="002479B7">
        <w:rPr>
          <w:rFonts w:ascii="Arial" w:hAnsi="Arial" w:cs="Arial"/>
          <w:lang w:val="en-GB"/>
        </w:rPr>
        <w:t xml:space="preserve">Through the application of Porter’s Generic Strategy, the organisations have mainly focused on product differentiation strategy. This has influenced building a strong brand identity, enhancing technological capability mainly by adopting innovation and a sustainable approach. This carbon-neutral manufacturing with an updated software network ecosystem helps the pioneer in making product differentiation. As the market-shaper pioneers in the automobile industry, it has placed importance on customers’ expectations, regulatory standards and technological benchmarks. Due to the technological development, the automobile sales and output are 24.363 million units and 24.333 million units, respectively The Wiree, 2025). </w:t>
      </w:r>
    </w:p>
    <w:p w14:paraId="6DD78C3C" w14:textId="4E88ED35" w:rsidR="00CB66A1" w:rsidRPr="002479B7" w:rsidRDefault="0092502A">
      <w:pPr>
        <w:pStyle w:val="Heading2"/>
        <w:rPr>
          <w:rFonts w:ascii="Arial" w:hAnsi="Arial" w:cs="Arial"/>
          <w:lang w:val="en-GB"/>
        </w:rPr>
      </w:pPr>
      <w:bookmarkStart w:id="24" w:name="_8rpzprjw60wh" w:colFirst="0" w:colLast="0"/>
      <w:bookmarkStart w:id="25" w:name="_Toc213774644"/>
      <w:bookmarkEnd w:id="24"/>
      <w:r w:rsidRPr="002479B7">
        <w:rPr>
          <w:rFonts w:ascii="Arial" w:hAnsi="Arial" w:cs="Arial"/>
          <w:lang w:val="en-GB"/>
        </w:rPr>
        <w:lastRenderedPageBreak/>
        <w:t>3.2 Follower Organisations’ Strategic Responses</w:t>
      </w:r>
      <w:bookmarkEnd w:id="25"/>
      <w:r w:rsidRPr="002479B7">
        <w:rPr>
          <w:rFonts w:ascii="Arial" w:hAnsi="Arial" w:cs="Arial"/>
          <w:lang w:val="en-GB"/>
        </w:rPr>
        <w:t xml:space="preserve"> </w:t>
      </w:r>
    </w:p>
    <w:p w14:paraId="012BC15A" w14:textId="40BCFF9C" w:rsidR="00CB66A1" w:rsidRPr="002479B7" w:rsidRDefault="001C07B8" w:rsidP="00D23C56">
      <w:pPr>
        <w:pStyle w:val="Heading3"/>
        <w:rPr>
          <w:rFonts w:ascii="Arial" w:hAnsi="Arial" w:cs="Arial"/>
          <w:lang w:val="en-GB"/>
        </w:rPr>
      </w:pPr>
      <w:bookmarkStart w:id="26" w:name="_Toc213774645"/>
      <w:r w:rsidRPr="002479B7">
        <w:rPr>
          <w:rFonts w:ascii="Arial" w:hAnsi="Arial" w:cs="Arial"/>
          <w:lang w:val="en-GB"/>
        </w:rPr>
        <w:t xml:space="preserve">3.2.1 The way </w:t>
      </w:r>
      <w:r w:rsidR="00457490" w:rsidRPr="002479B7">
        <w:rPr>
          <w:rFonts w:ascii="Arial" w:hAnsi="Arial" w:cs="Arial"/>
          <w:lang w:val="en-GB"/>
        </w:rPr>
        <w:t>followers’</w:t>
      </w:r>
      <w:r w:rsidRPr="002479B7">
        <w:rPr>
          <w:rFonts w:ascii="Arial" w:hAnsi="Arial" w:cs="Arial"/>
          <w:lang w:val="en-GB"/>
        </w:rPr>
        <w:t xml:space="preserve"> organisations have established sustainable competitive advantage strategies</w:t>
      </w:r>
      <w:bookmarkEnd w:id="26"/>
      <w:r w:rsidRPr="002479B7">
        <w:rPr>
          <w:rFonts w:ascii="Arial" w:hAnsi="Arial" w:cs="Arial"/>
          <w:lang w:val="en-GB"/>
        </w:rPr>
        <w:t xml:space="preserve"> </w:t>
      </w:r>
    </w:p>
    <w:p w14:paraId="06A54E60" w14:textId="77777777" w:rsidR="00CB66A1" w:rsidRPr="002479B7" w:rsidRDefault="0092502A">
      <w:pPr>
        <w:rPr>
          <w:rFonts w:ascii="Arial" w:hAnsi="Arial" w:cs="Arial"/>
          <w:lang w:val="en-GB"/>
        </w:rPr>
      </w:pPr>
      <w:r w:rsidRPr="002479B7">
        <w:rPr>
          <w:rFonts w:ascii="Arial" w:hAnsi="Arial" w:cs="Arial"/>
          <w:lang w:val="en-GB"/>
        </w:rPr>
        <w:t xml:space="preserve">The follower organisations in the global automobile industry have mainly adopted and strategic practices of the automobile pioneer firms. The followers have mainly focused on the market validation and developing a risk mitigation process. The followers have invested in the disruptive innovations. Based on the image below, the application of EVs as passenger cars has increased by 30.2% (EVBoosters, 2025). Integrating the practice of digitalisation and sustainability has leveraged the organisational strength that has highly contributed to the production capacity, brand equity and customers’ trust. </w:t>
      </w:r>
    </w:p>
    <w:p w14:paraId="0EBC6097" w14:textId="77777777" w:rsidR="00CB66A1" w:rsidRPr="002479B7" w:rsidRDefault="0092502A" w:rsidP="00BB174A">
      <w:pPr>
        <w:jc w:val="center"/>
        <w:rPr>
          <w:rFonts w:ascii="Arial" w:hAnsi="Arial" w:cs="Arial"/>
          <w:lang w:val="en-GB"/>
        </w:rPr>
      </w:pPr>
      <w:r w:rsidRPr="002479B7">
        <w:rPr>
          <w:rFonts w:ascii="Arial" w:hAnsi="Arial" w:cs="Arial"/>
          <w:noProof/>
          <w:lang w:val="en-GB" w:eastAsia="en-GB"/>
        </w:rPr>
        <w:drawing>
          <wp:inline distT="114300" distB="114300" distL="114300" distR="114300" wp14:anchorId="58DC05D1" wp14:editId="0BD80F47">
            <wp:extent cx="5943600" cy="41529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5943600" cy="4152900"/>
                    </a:xfrm>
                    <a:prstGeom prst="rect">
                      <a:avLst/>
                    </a:prstGeom>
                    <a:ln/>
                  </pic:spPr>
                </pic:pic>
              </a:graphicData>
            </a:graphic>
          </wp:inline>
        </w:drawing>
      </w:r>
    </w:p>
    <w:p w14:paraId="6BD24A2A" w14:textId="0BBE5990" w:rsidR="00CB66A1" w:rsidRPr="002479B7" w:rsidRDefault="0092502A" w:rsidP="00BB174A">
      <w:pPr>
        <w:jc w:val="center"/>
        <w:rPr>
          <w:rFonts w:ascii="Arial" w:hAnsi="Arial" w:cs="Arial"/>
          <w:b/>
          <w:bCs/>
          <w:lang w:val="en-GB"/>
        </w:rPr>
      </w:pPr>
      <w:r w:rsidRPr="002479B7">
        <w:rPr>
          <w:rFonts w:ascii="Arial" w:hAnsi="Arial" w:cs="Arial"/>
          <w:b/>
          <w:bCs/>
          <w:lang w:val="en-GB"/>
        </w:rPr>
        <w:t>Figure</w:t>
      </w:r>
      <w:r w:rsidR="00BB174A" w:rsidRPr="002479B7">
        <w:rPr>
          <w:rFonts w:ascii="Arial" w:hAnsi="Arial" w:cs="Arial"/>
          <w:b/>
          <w:bCs/>
          <w:lang w:val="en-GB"/>
        </w:rPr>
        <w:t xml:space="preserve"> 16</w:t>
      </w:r>
      <w:r w:rsidRPr="002479B7">
        <w:rPr>
          <w:rFonts w:ascii="Arial" w:hAnsi="Arial" w:cs="Arial"/>
          <w:b/>
          <w:bCs/>
          <w:lang w:val="en-GB"/>
        </w:rPr>
        <w:t>: Growth of EV passenger cars throughout the world</w:t>
      </w:r>
    </w:p>
    <w:p w14:paraId="7D742EDD" w14:textId="77777777" w:rsidR="00CB66A1" w:rsidRPr="002479B7" w:rsidRDefault="0092502A" w:rsidP="00BB174A">
      <w:pPr>
        <w:jc w:val="center"/>
        <w:rPr>
          <w:rFonts w:ascii="Arial" w:hAnsi="Arial" w:cs="Arial"/>
          <w:lang w:val="en-GB"/>
        </w:rPr>
      </w:pPr>
      <w:r w:rsidRPr="002479B7">
        <w:rPr>
          <w:rFonts w:ascii="Arial" w:hAnsi="Arial" w:cs="Arial"/>
          <w:lang w:val="en-GB"/>
        </w:rPr>
        <w:t>(Source: evboosters, 2025)</w:t>
      </w:r>
    </w:p>
    <w:p w14:paraId="6D36BF35" w14:textId="31EC39D4" w:rsidR="00CB66A1" w:rsidRPr="002479B7" w:rsidRDefault="00191A74" w:rsidP="00D23C56">
      <w:pPr>
        <w:pStyle w:val="Heading3"/>
        <w:rPr>
          <w:rFonts w:ascii="Arial" w:hAnsi="Arial" w:cs="Arial"/>
          <w:lang w:val="en-GB"/>
        </w:rPr>
      </w:pPr>
      <w:bookmarkStart w:id="27" w:name="_Toc213774646"/>
      <w:r w:rsidRPr="002479B7">
        <w:rPr>
          <w:rFonts w:ascii="Arial" w:hAnsi="Arial" w:cs="Arial"/>
          <w:lang w:val="en-GB"/>
        </w:rPr>
        <w:lastRenderedPageBreak/>
        <w:t>3.2.2 Application of Ansoff’s Growth Matrix</w:t>
      </w:r>
      <w:bookmarkEnd w:id="27"/>
    </w:p>
    <w:p w14:paraId="685235E2" w14:textId="34FE3B4C" w:rsidR="00CB66A1" w:rsidRPr="002479B7" w:rsidRDefault="0092502A">
      <w:pPr>
        <w:rPr>
          <w:rFonts w:ascii="Arial" w:hAnsi="Arial" w:cs="Arial"/>
          <w:lang w:val="en-GB"/>
        </w:rPr>
      </w:pPr>
      <w:r w:rsidRPr="002479B7">
        <w:rPr>
          <w:rFonts w:ascii="Arial" w:hAnsi="Arial" w:cs="Arial"/>
          <w:lang w:val="en-GB"/>
        </w:rPr>
        <w:t xml:space="preserve">Considering the application of the Ansoff matrix, the organisations in the automobile industry have been pursuing product development as well as market development strategies. For example, the follower organisation Volkswagen have focused on driving their EV production by 12.2% within the affordable range within the target customers to gain 28% market share (CNBC, 2025). The followers have focused on emerging market development by enhancing dominant in the automotive segment. On the other hand, Toyota has focused on the legacy of the hybrid vehicle, which has an influence on product development. The followers are highly invested in the hybrid model, with affordability mainly focusing on </w:t>
      </w:r>
      <w:r w:rsidR="00BB174A" w:rsidRPr="002479B7">
        <w:rPr>
          <w:rFonts w:ascii="Arial" w:hAnsi="Arial" w:cs="Arial"/>
          <w:lang w:val="en-GB"/>
        </w:rPr>
        <w:t>price</w:t>
      </w:r>
      <w:r w:rsidRPr="002479B7">
        <w:rPr>
          <w:rFonts w:ascii="Arial" w:hAnsi="Arial" w:cs="Arial"/>
          <w:lang w:val="en-GB"/>
        </w:rPr>
        <w:t xml:space="preserve"> sensitivity and eco-conscious customers. Due to the evaluation in the automobile industry, the follower organisations need to focus on technological trends as well as green regulatory standards, which highly contribute to reducing the risk exposure. </w:t>
      </w:r>
    </w:p>
    <w:p w14:paraId="34EA1304" w14:textId="77777777" w:rsidR="00CB66A1" w:rsidRPr="002479B7" w:rsidRDefault="0092502A" w:rsidP="00BB174A">
      <w:pPr>
        <w:jc w:val="center"/>
        <w:rPr>
          <w:rFonts w:ascii="Arial" w:hAnsi="Arial" w:cs="Arial"/>
          <w:lang w:val="en-GB"/>
        </w:rPr>
      </w:pPr>
      <w:r w:rsidRPr="002479B7">
        <w:rPr>
          <w:rFonts w:ascii="Arial" w:hAnsi="Arial" w:cs="Arial"/>
          <w:noProof/>
          <w:lang w:val="en-GB" w:eastAsia="en-GB"/>
        </w:rPr>
        <w:drawing>
          <wp:inline distT="114300" distB="114300" distL="114300" distR="114300" wp14:anchorId="7ACEBCEE" wp14:editId="6832E1C2">
            <wp:extent cx="5943600" cy="1854200"/>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5943600" cy="1854200"/>
                    </a:xfrm>
                    <a:prstGeom prst="rect">
                      <a:avLst/>
                    </a:prstGeom>
                    <a:ln/>
                  </pic:spPr>
                </pic:pic>
              </a:graphicData>
            </a:graphic>
          </wp:inline>
        </w:drawing>
      </w:r>
    </w:p>
    <w:p w14:paraId="12E85A38" w14:textId="7D63813C" w:rsidR="00CB66A1" w:rsidRPr="002479B7" w:rsidRDefault="0092502A" w:rsidP="00BB174A">
      <w:pPr>
        <w:jc w:val="center"/>
        <w:rPr>
          <w:rFonts w:ascii="Arial" w:hAnsi="Arial" w:cs="Arial"/>
          <w:b/>
          <w:bCs/>
          <w:lang w:val="en-GB"/>
        </w:rPr>
      </w:pPr>
      <w:r w:rsidRPr="002479B7">
        <w:rPr>
          <w:rFonts w:ascii="Arial" w:hAnsi="Arial" w:cs="Arial"/>
          <w:b/>
          <w:bCs/>
          <w:lang w:val="en-GB"/>
        </w:rPr>
        <w:t>Figure</w:t>
      </w:r>
      <w:r w:rsidR="00BB174A" w:rsidRPr="002479B7">
        <w:rPr>
          <w:rFonts w:ascii="Arial" w:hAnsi="Arial" w:cs="Arial"/>
          <w:b/>
          <w:bCs/>
          <w:lang w:val="en-GB"/>
        </w:rPr>
        <w:t xml:space="preserve"> 17</w:t>
      </w:r>
      <w:r w:rsidRPr="002479B7">
        <w:rPr>
          <w:rFonts w:ascii="Arial" w:hAnsi="Arial" w:cs="Arial"/>
          <w:b/>
          <w:bCs/>
          <w:lang w:val="en-GB"/>
        </w:rPr>
        <w:t>: Evidence that VW focuses on affordable EV</w:t>
      </w:r>
    </w:p>
    <w:p w14:paraId="76D9E10B" w14:textId="5B84E7B6" w:rsidR="00CB66A1" w:rsidRPr="002479B7" w:rsidRDefault="0092502A" w:rsidP="00BB174A">
      <w:pPr>
        <w:jc w:val="center"/>
        <w:rPr>
          <w:rFonts w:ascii="Arial" w:hAnsi="Arial" w:cs="Arial"/>
          <w:lang w:val="en-GB"/>
        </w:rPr>
      </w:pPr>
      <w:r w:rsidRPr="002479B7">
        <w:rPr>
          <w:rFonts w:ascii="Arial" w:hAnsi="Arial" w:cs="Arial"/>
          <w:lang w:val="en-GB"/>
        </w:rPr>
        <w:t>(Source: CNBC, 2025)</w:t>
      </w:r>
    </w:p>
    <w:p w14:paraId="1F9B66DF" w14:textId="6B05704B" w:rsidR="00CB66A1" w:rsidRPr="002479B7" w:rsidRDefault="00191A74" w:rsidP="00D23C56">
      <w:pPr>
        <w:pStyle w:val="Heading3"/>
        <w:rPr>
          <w:rFonts w:ascii="Arial" w:hAnsi="Arial" w:cs="Arial"/>
          <w:lang w:val="en-GB"/>
        </w:rPr>
      </w:pPr>
      <w:bookmarkStart w:id="28" w:name="_Toc213774647"/>
      <w:r w:rsidRPr="002479B7">
        <w:rPr>
          <w:rFonts w:ascii="Arial" w:hAnsi="Arial" w:cs="Arial"/>
          <w:lang w:val="en-GB"/>
        </w:rPr>
        <w:t>3.2.3 Application of Porter’s Generic Strategies</w:t>
      </w:r>
      <w:bookmarkEnd w:id="28"/>
    </w:p>
    <w:p w14:paraId="27C646DD" w14:textId="6EBABFE8" w:rsidR="00CB66A1" w:rsidRPr="002479B7" w:rsidRDefault="0092502A">
      <w:pPr>
        <w:rPr>
          <w:rFonts w:ascii="Arial" w:hAnsi="Arial" w:cs="Arial"/>
          <w:lang w:val="en-GB"/>
        </w:rPr>
      </w:pPr>
      <w:r w:rsidRPr="002479B7">
        <w:rPr>
          <w:rFonts w:ascii="Arial" w:hAnsi="Arial" w:cs="Arial"/>
          <w:lang w:val="en-GB"/>
        </w:rPr>
        <w:t xml:space="preserve">Porter’s generic strategy model has significantly contributed to the strategic </w:t>
      </w:r>
      <w:r w:rsidR="00BB174A" w:rsidRPr="002479B7">
        <w:rPr>
          <w:rFonts w:ascii="Arial" w:hAnsi="Arial" w:cs="Arial"/>
          <w:lang w:val="en-GB"/>
        </w:rPr>
        <w:t>management</w:t>
      </w:r>
      <w:r w:rsidRPr="002479B7">
        <w:rPr>
          <w:rFonts w:ascii="Arial" w:hAnsi="Arial" w:cs="Arial"/>
          <w:lang w:val="en-GB"/>
        </w:rPr>
        <w:t xml:space="preserve">, which drives higher competitive advantages (Acar, 2024). Porter’s generic strategic model consists of three elements like cost leadership, differentiation and focus.  </w:t>
      </w:r>
    </w:p>
    <w:p w14:paraId="7C995B8E" w14:textId="77777777" w:rsidR="00CB66A1" w:rsidRPr="002479B7" w:rsidRDefault="0092502A" w:rsidP="00320EF2">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030BAD84" wp14:editId="720C52DA">
            <wp:extent cx="5695950" cy="4067175"/>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6"/>
                    <a:srcRect/>
                    <a:stretch>
                      <a:fillRect/>
                    </a:stretch>
                  </pic:blipFill>
                  <pic:spPr>
                    <a:xfrm>
                      <a:off x="0" y="0"/>
                      <a:ext cx="5695950" cy="4067175"/>
                    </a:xfrm>
                    <a:prstGeom prst="rect">
                      <a:avLst/>
                    </a:prstGeom>
                    <a:ln/>
                  </pic:spPr>
                </pic:pic>
              </a:graphicData>
            </a:graphic>
          </wp:inline>
        </w:drawing>
      </w:r>
    </w:p>
    <w:p w14:paraId="225A5D89" w14:textId="3086080E" w:rsidR="00CB66A1" w:rsidRPr="002479B7" w:rsidRDefault="0092502A" w:rsidP="00320EF2">
      <w:pPr>
        <w:jc w:val="center"/>
        <w:rPr>
          <w:rFonts w:ascii="Arial" w:hAnsi="Arial" w:cs="Arial"/>
          <w:b/>
          <w:bCs/>
          <w:lang w:val="en-GB"/>
        </w:rPr>
      </w:pPr>
      <w:r w:rsidRPr="002479B7">
        <w:rPr>
          <w:rFonts w:ascii="Arial" w:hAnsi="Arial" w:cs="Arial"/>
          <w:b/>
          <w:bCs/>
          <w:lang w:val="en-GB"/>
        </w:rPr>
        <w:t>Figure</w:t>
      </w:r>
      <w:r w:rsidR="00320EF2" w:rsidRPr="002479B7">
        <w:rPr>
          <w:rFonts w:ascii="Arial" w:hAnsi="Arial" w:cs="Arial"/>
          <w:b/>
          <w:bCs/>
          <w:lang w:val="en-GB"/>
        </w:rPr>
        <w:t xml:space="preserve"> 18</w:t>
      </w:r>
      <w:r w:rsidRPr="002479B7">
        <w:rPr>
          <w:rFonts w:ascii="Arial" w:hAnsi="Arial" w:cs="Arial"/>
          <w:b/>
          <w:bCs/>
          <w:lang w:val="en-GB"/>
        </w:rPr>
        <w:t>: Porter’s generic strategic model</w:t>
      </w:r>
    </w:p>
    <w:p w14:paraId="7FC3097D" w14:textId="77777777" w:rsidR="00CB66A1" w:rsidRPr="002479B7" w:rsidRDefault="0092502A" w:rsidP="00320EF2">
      <w:pPr>
        <w:jc w:val="center"/>
        <w:rPr>
          <w:rFonts w:ascii="Arial" w:hAnsi="Arial" w:cs="Arial"/>
          <w:lang w:val="en-GB"/>
        </w:rPr>
      </w:pPr>
      <w:r w:rsidRPr="002479B7">
        <w:rPr>
          <w:rFonts w:ascii="Arial" w:hAnsi="Arial" w:cs="Arial"/>
          <w:lang w:val="en-GB"/>
        </w:rPr>
        <w:t>(Source: Acar, 2024)</w:t>
      </w:r>
    </w:p>
    <w:p w14:paraId="784FED81" w14:textId="77777777" w:rsidR="00CB66A1" w:rsidRPr="002479B7" w:rsidRDefault="0092502A">
      <w:pPr>
        <w:rPr>
          <w:rFonts w:ascii="Arial" w:hAnsi="Arial" w:cs="Arial"/>
          <w:lang w:val="en-GB"/>
        </w:rPr>
      </w:pPr>
      <w:r w:rsidRPr="002479B7">
        <w:rPr>
          <w:rFonts w:ascii="Arial" w:hAnsi="Arial" w:cs="Arial"/>
          <w:lang w:val="en-GB"/>
        </w:rPr>
        <w:t xml:space="preserve">In the case of the follower organisations, they mainly adopt focus differentiation and cost leadership models, which are highly influential for driving the sustainable competitive advantage. Toyota has adopted a cost leadership approach where it focuses on competitive pricing by maintaining quality. It has also invested in the optimisation of the global scale, driving the manufacturing efficiency and maintaining economic stability. On the other hand, Ford has adopted focus differentiation to build diverse models for different customer segments. Based on the above evidence, Ford has gained 6% higher record in EV sales through the retail channels (CBTNews, 2025). </w:t>
      </w:r>
    </w:p>
    <w:p w14:paraId="2D5759B0" w14:textId="77777777" w:rsidR="00CB66A1" w:rsidRPr="002479B7" w:rsidRDefault="0092502A" w:rsidP="009912C4">
      <w:pPr>
        <w:jc w:val="center"/>
        <w:rPr>
          <w:rFonts w:ascii="Arial" w:hAnsi="Arial" w:cs="Arial"/>
          <w:lang w:val="en-GB"/>
        </w:rPr>
      </w:pPr>
      <w:r w:rsidRPr="002479B7">
        <w:rPr>
          <w:rFonts w:ascii="Arial" w:hAnsi="Arial" w:cs="Arial"/>
          <w:noProof/>
          <w:lang w:val="en-GB" w:eastAsia="en-GB"/>
        </w:rPr>
        <w:lastRenderedPageBreak/>
        <w:drawing>
          <wp:inline distT="114300" distB="114300" distL="114300" distR="114300" wp14:anchorId="5DD37459" wp14:editId="1423748B">
            <wp:extent cx="5943600" cy="175260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7"/>
                    <a:srcRect/>
                    <a:stretch>
                      <a:fillRect/>
                    </a:stretch>
                  </pic:blipFill>
                  <pic:spPr>
                    <a:xfrm>
                      <a:off x="0" y="0"/>
                      <a:ext cx="5943600" cy="1752600"/>
                    </a:xfrm>
                    <a:prstGeom prst="rect">
                      <a:avLst/>
                    </a:prstGeom>
                    <a:ln/>
                  </pic:spPr>
                </pic:pic>
              </a:graphicData>
            </a:graphic>
          </wp:inline>
        </w:drawing>
      </w:r>
    </w:p>
    <w:p w14:paraId="0B18771A" w14:textId="6792FE3A" w:rsidR="00CB66A1" w:rsidRPr="002479B7" w:rsidRDefault="0092502A" w:rsidP="009912C4">
      <w:pPr>
        <w:jc w:val="center"/>
        <w:rPr>
          <w:rFonts w:ascii="Arial" w:hAnsi="Arial" w:cs="Arial"/>
          <w:b/>
          <w:bCs/>
          <w:lang w:val="en-GB"/>
        </w:rPr>
      </w:pPr>
      <w:r w:rsidRPr="002479B7">
        <w:rPr>
          <w:rFonts w:ascii="Arial" w:hAnsi="Arial" w:cs="Arial"/>
          <w:b/>
          <w:bCs/>
          <w:lang w:val="en-GB"/>
        </w:rPr>
        <w:t>Figure</w:t>
      </w:r>
      <w:r w:rsidR="009912C4" w:rsidRPr="002479B7">
        <w:rPr>
          <w:rFonts w:ascii="Arial" w:hAnsi="Arial" w:cs="Arial"/>
          <w:b/>
          <w:bCs/>
          <w:lang w:val="en-GB"/>
        </w:rPr>
        <w:t xml:space="preserve"> 19</w:t>
      </w:r>
      <w:r w:rsidRPr="002479B7">
        <w:rPr>
          <w:rFonts w:ascii="Arial" w:hAnsi="Arial" w:cs="Arial"/>
          <w:b/>
          <w:bCs/>
          <w:lang w:val="en-GB"/>
        </w:rPr>
        <w:t>: Evidence of Ford's increase in EV sales</w:t>
      </w:r>
    </w:p>
    <w:p w14:paraId="449DE2D5" w14:textId="77777777" w:rsidR="00CB66A1" w:rsidRPr="002479B7" w:rsidRDefault="0092502A" w:rsidP="009912C4">
      <w:pPr>
        <w:jc w:val="center"/>
        <w:rPr>
          <w:rFonts w:ascii="Arial" w:hAnsi="Arial" w:cs="Arial"/>
          <w:lang w:val="en-GB"/>
        </w:rPr>
      </w:pPr>
      <w:r w:rsidRPr="002479B7">
        <w:rPr>
          <w:rFonts w:ascii="Arial" w:hAnsi="Arial" w:cs="Arial"/>
          <w:lang w:val="en-GB"/>
        </w:rPr>
        <w:t xml:space="preserve">(Source: </w:t>
      </w:r>
      <w:r w:rsidRPr="002479B7">
        <w:rPr>
          <w:rFonts w:ascii="Arial" w:hAnsi="Arial" w:cs="Arial"/>
          <w:color w:val="222222"/>
          <w:highlight w:val="white"/>
          <w:lang w:val="en-GB"/>
        </w:rPr>
        <w:t>Cbtnews, 2025)</w:t>
      </w:r>
    </w:p>
    <w:p w14:paraId="7813DCAB" w14:textId="5F81932E" w:rsidR="00CB66A1" w:rsidRPr="002479B7" w:rsidRDefault="0092502A">
      <w:pPr>
        <w:pStyle w:val="Heading1"/>
        <w:rPr>
          <w:rFonts w:ascii="Arial" w:hAnsi="Arial" w:cs="Arial"/>
          <w:lang w:val="en-GB"/>
        </w:rPr>
      </w:pPr>
      <w:bookmarkStart w:id="29" w:name="_a14i149njub9" w:colFirst="0" w:colLast="0"/>
      <w:bookmarkStart w:id="30" w:name="_Toc213774648"/>
      <w:bookmarkEnd w:id="29"/>
      <w:r w:rsidRPr="002479B7">
        <w:rPr>
          <w:rFonts w:ascii="Arial" w:hAnsi="Arial" w:cs="Arial"/>
          <w:lang w:val="en-GB"/>
        </w:rPr>
        <w:t>4. Conclusion</w:t>
      </w:r>
      <w:bookmarkEnd w:id="30"/>
      <w:r w:rsidRPr="002479B7">
        <w:rPr>
          <w:rFonts w:ascii="Arial" w:hAnsi="Arial" w:cs="Arial"/>
          <w:lang w:val="en-GB"/>
        </w:rPr>
        <w:t xml:space="preserve"> </w:t>
      </w:r>
    </w:p>
    <w:p w14:paraId="1B93F057" w14:textId="77777777" w:rsidR="00180D9A" w:rsidRPr="002479B7" w:rsidRDefault="00180D9A">
      <w:pPr>
        <w:rPr>
          <w:rFonts w:ascii="Arial" w:hAnsi="Arial" w:cs="Arial"/>
          <w:b/>
          <w:bCs/>
          <w:i/>
          <w:iCs/>
          <w:lang w:val="en-GB"/>
        </w:rPr>
      </w:pPr>
      <w:r w:rsidRPr="002479B7">
        <w:rPr>
          <w:rFonts w:ascii="Arial" w:hAnsi="Arial" w:cs="Arial"/>
          <w:b/>
          <w:bCs/>
          <w:i/>
          <w:iCs/>
          <w:lang w:val="en-GB"/>
        </w:rPr>
        <w:t xml:space="preserve">Summarise the key findings </w:t>
      </w:r>
    </w:p>
    <w:p w14:paraId="2462A3CF" w14:textId="77777777" w:rsidR="00191A74" w:rsidRPr="002479B7" w:rsidRDefault="0092502A">
      <w:pPr>
        <w:rPr>
          <w:rFonts w:ascii="Arial" w:hAnsi="Arial" w:cs="Arial"/>
          <w:lang w:val="en-GB"/>
        </w:rPr>
      </w:pPr>
      <w:r w:rsidRPr="002479B7">
        <w:rPr>
          <w:rFonts w:ascii="Arial" w:hAnsi="Arial" w:cs="Arial"/>
          <w:lang w:val="en-GB"/>
        </w:rPr>
        <w:t xml:space="preserve">Considering the macro marketing environmental analysis, the automobile industry has gained both opportunities and challenges. With respect to the strategic response, the organisation has focused on strategic agility and environmental scanning. In the case of pioneer organisations, they can gain effective market opportunities, ecosystem control, and shape the electric vehicle market. The market opportunity can access the follower organisations by driving the </w:t>
      </w:r>
      <w:r w:rsidR="000F6279" w:rsidRPr="002479B7">
        <w:rPr>
          <w:rFonts w:ascii="Arial" w:hAnsi="Arial" w:cs="Arial"/>
          <w:lang w:val="en-GB"/>
        </w:rPr>
        <w:t>high-cost</w:t>
      </w:r>
      <w:r w:rsidRPr="002479B7">
        <w:rPr>
          <w:rFonts w:ascii="Arial" w:hAnsi="Arial" w:cs="Arial"/>
          <w:lang w:val="en-GB"/>
        </w:rPr>
        <w:t xml:space="preserve"> advantages, along with developing strategic partnerships. </w:t>
      </w:r>
    </w:p>
    <w:p w14:paraId="2D057D6A" w14:textId="4AB1DC70" w:rsidR="006A6809" w:rsidRPr="002479B7" w:rsidRDefault="000F6279">
      <w:pPr>
        <w:rPr>
          <w:rFonts w:ascii="Arial" w:hAnsi="Arial" w:cs="Arial"/>
          <w:lang w:val="en-GB"/>
        </w:rPr>
      </w:pPr>
      <w:r w:rsidRPr="002479B7">
        <w:rPr>
          <w:rFonts w:ascii="Arial" w:hAnsi="Arial" w:cs="Arial"/>
          <w:lang w:val="en-GB"/>
        </w:rPr>
        <w:t xml:space="preserve">Referring to the strategic response, the pioneering organisation has adopted a market penetration and product development strategy. This highly contributes to adopting autonomous driving along with cutting-edge innovation. Pioneer organisations have adopted Porter’s generic strategy, which mainly focuses on the differentiation approach. In the case of the global </w:t>
      </w:r>
      <w:r w:rsidR="00371A8F" w:rsidRPr="002479B7">
        <w:rPr>
          <w:rFonts w:ascii="Arial" w:hAnsi="Arial" w:cs="Arial"/>
          <w:lang w:val="en-GB"/>
        </w:rPr>
        <w:t>followers’</w:t>
      </w:r>
      <w:r w:rsidRPr="002479B7">
        <w:rPr>
          <w:rFonts w:ascii="Arial" w:hAnsi="Arial" w:cs="Arial"/>
          <w:lang w:val="en-GB"/>
        </w:rPr>
        <w:t xml:space="preserve"> organisation</w:t>
      </w:r>
      <w:r w:rsidR="00F64F18" w:rsidRPr="002479B7">
        <w:rPr>
          <w:rFonts w:ascii="Arial" w:hAnsi="Arial" w:cs="Arial"/>
          <w:lang w:val="en-GB"/>
        </w:rPr>
        <w:t xml:space="preserve">s </w:t>
      </w:r>
      <w:r w:rsidRPr="002479B7">
        <w:rPr>
          <w:rFonts w:ascii="Arial" w:hAnsi="Arial" w:cs="Arial"/>
          <w:lang w:val="en-GB"/>
        </w:rPr>
        <w:t xml:space="preserve">in the automobile industry, they have focused on market development and product development strategic approach. In the case of Porter’s generic strategy model, it mainly adapts focus differentiation and cost leadership. These are highly essential for the followers to accelerate their business growth.  </w:t>
      </w:r>
    </w:p>
    <w:p w14:paraId="4F7CFB5F" w14:textId="64720399" w:rsidR="00180D9A" w:rsidRPr="002479B7" w:rsidRDefault="00180D9A">
      <w:pPr>
        <w:rPr>
          <w:rFonts w:ascii="Arial" w:hAnsi="Arial" w:cs="Arial"/>
          <w:b/>
          <w:bCs/>
          <w:i/>
          <w:iCs/>
          <w:lang w:val="en-GB"/>
        </w:rPr>
      </w:pPr>
      <w:r w:rsidRPr="002479B7">
        <w:rPr>
          <w:rFonts w:ascii="Arial" w:hAnsi="Arial" w:cs="Arial"/>
          <w:b/>
          <w:bCs/>
          <w:i/>
          <w:iCs/>
          <w:lang w:val="en-GB"/>
        </w:rPr>
        <w:t>Strategic significance of environmental scanning</w:t>
      </w:r>
    </w:p>
    <w:p w14:paraId="7A4698D1" w14:textId="77777777" w:rsidR="00191A74" w:rsidRPr="002479B7" w:rsidRDefault="00180D9A" w:rsidP="00180D9A">
      <w:pPr>
        <w:rPr>
          <w:rFonts w:ascii="Arial" w:hAnsi="Arial" w:cs="Arial"/>
          <w:lang w:val="en-GB"/>
        </w:rPr>
      </w:pPr>
      <w:r w:rsidRPr="002479B7">
        <w:rPr>
          <w:rFonts w:ascii="Arial" w:hAnsi="Arial" w:cs="Arial"/>
          <w:lang w:val="en-GB"/>
        </w:rPr>
        <w:t xml:space="preserve">This is an innovation-driven and globally integrated sector. This helps to monitor how sustainability practices and technological disruption drive the current pace of organisational growth. </w:t>
      </w:r>
    </w:p>
    <w:p w14:paraId="5A3A9D79" w14:textId="0FC424DE" w:rsidR="00191A74" w:rsidRPr="002479B7" w:rsidRDefault="00191A74" w:rsidP="00180D9A">
      <w:pPr>
        <w:rPr>
          <w:rFonts w:ascii="Arial" w:hAnsi="Arial" w:cs="Arial"/>
          <w:b/>
          <w:bCs/>
          <w:i/>
          <w:iCs/>
          <w:lang w:val="en-GB"/>
        </w:rPr>
      </w:pPr>
      <w:r w:rsidRPr="002479B7">
        <w:rPr>
          <w:rFonts w:ascii="Arial" w:hAnsi="Arial" w:cs="Arial"/>
          <w:b/>
          <w:bCs/>
          <w:i/>
          <w:iCs/>
          <w:lang w:val="en-GB"/>
        </w:rPr>
        <w:lastRenderedPageBreak/>
        <w:t xml:space="preserve">Adaptive marketing response </w:t>
      </w:r>
    </w:p>
    <w:p w14:paraId="721D0921" w14:textId="3D2BF3F4" w:rsidR="00180D9A" w:rsidRPr="002479B7" w:rsidRDefault="00180D9A" w:rsidP="00180D9A">
      <w:pPr>
        <w:rPr>
          <w:rFonts w:ascii="Arial" w:hAnsi="Arial" w:cs="Arial"/>
          <w:lang w:val="en-GB"/>
        </w:rPr>
      </w:pPr>
      <w:r w:rsidRPr="002479B7">
        <w:rPr>
          <w:rFonts w:ascii="Arial" w:hAnsi="Arial" w:cs="Arial"/>
          <w:lang w:val="en-GB"/>
        </w:rPr>
        <w:t xml:space="preserve">The effective strategic management decision has an influential driving long-term competitive advantage. Environmental analysis has collectively boosted the industry dynamic, which supports making strategic directions. </w:t>
      </w:r>
    </w:p>
    <w:p w14:paraId="3212DEA9" w14:textId="017B4BF1" w:rsidR="00180D9A" w:rsidRPr="002479B7" w:rsidRDefault="00180D9A">
      <w:pPr>
        <w:rPr>
          <w:rFonts w:ascii="Arial" w:hAnsi="Arial" w:cs="Arial"/>
          <w:lang w:val="en-GB"/>
        </w:rPr>
      </w:pPr>
    </w:p>
    <w:p w14:paraId="5A664AF7" w14:textId="77777777" w:rsidR="00180D9A" w:rsidRPr="002479B7" w:rsidRDefault="00180D9A">
      <w:pPr>
        <w:rPr>
          <w:rFonts w:ascii="Arial" w:hAnsi="Arial" w:cs="Arial"/>
          <w:b/>
          <w:bCs/>
          <w:sz w:val="28"/>
          <w:szCs w:val="28"/>
          <w:lang w:val="en-GB"/>
        </w:rPr>
      </w:pPr>
      <w:r w:rsidRPr="002479B7">
        <w:rPr>
          <w:rFonts w:ascii="Arial" w:hAnsi="Arial" w:cs="Arial"/>
          <w:lang w:val="en-GB"/>
        </w:rPr>
        <w:br w:type="page"/>
      </w:r>
    </w:p>
    <w:p w14:paraId="51C94243" w14:textId="5EF43A1D" w:rsidR="00CB66A1" w:rsidRPr="002479B7" w:rsidRDefault="006A6809" w:rsidP="006A6809">
      <w:pPr>
        <w:pStyle w:val="Heading1"/>
        <w:rPr>
          <w:rFonts w:ascii="Arial" w:hAnsi="Arial" w:cs="Arial"/>
          <w:lang w:val="en-GB"/>
        </w:rPr>
      </w:pPr>
      <w:bookmarkStart w:id="31" w:name="_Toc213774649"/>
      <w:r w:rsidRPr="002479B7">
        <w:rPr>
          <w:rFonts w:ascii="Arial" w:hAnsi="Arial" w:cs="Arial"/>
          <w:lang w:val="en-GB"/>
        </w:rPr>
        <w:lastRenderedPageBreak/>
        <w:t>References</w:t>
      </w:r>
      <w:bookmarkEnd w:id="31"/>
      <w:r w:rsidRPr="002479B7">
        <w:rPr>
          <w:rFonts w:ascii="Arial" w:hAnsi="Arial" w:cs="Arial"/>
          <w:lang w:val="en-GB"/>
        </w:rPr>
        <w:t xml:space="preserve"> </w:t>
      </w:r>
    </w:p>
    <w:p w14:paraId="16FDF4B1"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Acar, S., (2024). A Review of Porter’s Generic Strategies: Strategy Examples in International Firms. </w:t>
      </w:r>
      <w:r w:rsidRPr="002479B7">
        <w:rPr>
          <w:rFonts w:ascii="Arial" w:hAnsi="Arial" w:cs="Arial"/>
          <w:i/>
          <w:iCs/>
          <w:color w:val="222222"/>
          <w:shd w:val="clear" w:color="auto" w:fill="FFFFFF"/>
        </w:rPr>
        <w:t>International Social Sciences Studies Journal</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10</w:t>
      </w:r>
      <w:r w:rsidRPr="002479B7">
        <w:rPr>
          <w:rFonts w:ascii="Arial" w:hAnsi="Arial" w:cs="Arial"/>
          <w:color w:val="222222"/>
          <w:shd w:val="clear" w:color="auto" w:fill="FFFFFF"/>
        </w:rPr>
        <w:t>(11), pp.1902-1918.</w:t>
      </w:r>
      <w:hyperlink r:id="rId28" w:history="1">
        <w:r w:rsidRPr="002479B7">
          <w:rPr>
            <w:rStyle w:val="Hyperlink"/>
            <w:rFonts w:ascii="Arial" w:hAnsi="Arial" w:cs="Arial"/>
            <w:color w:val="1155CC"/>
            <w:shd w:val="clear" w:color="auto" w:fill="FFFFFF"/>
          </w:rPr>
          <w:t>https://sssjournal.com/files/sssjournal/e5935340-8b65-4cf6-a1c1-cf266026257d.pdf</w:t>
        </w:r>
      </w:hyperlink>
      <w:r w:rsidRPr="002479B7">
        <w:rPr>
          <w:rFonts w:ascii="Arial" w:hAnsi="Arial" w:cs="Arial"/>
          <w:color w:val="222222"/>
          <w:shd w:val="clear" w:color="auto" w:fill="FFFFFF"/>
        </w:rPr>
        <w:t>. </w:t>
      </w:r>
    </w:p>
    <w:p w14:paraId="27A0E532"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Ainvest (2025) </w:t>
      </w:r>
      <w:r w:rsidRPr="002479B7">
        <w:rPr>
          <w:rFonts w:ascii="Arial" w:hAnsi="Arial" w:cs="Arial"/>
          <w:i/>
          <w:iCs/>
          <w:color w:val="222222"/>
          <w:shd w:val="clear" w:color="auto" w:fill="FFFFFF"/>
        </w:rPr>
        <w:t xml:space="preserve">Tesla Plans $80 Billion Investment in 2024, $100 Billion in AI, </w:t>
      </w:r>
      <w:r w:rsidRPr="002479B7">
        <w:rPr>
          <w:rFonts w:ascii="Arial" w:hAnsi="Arial" w:cs="Arial"/>
          <w:color w:val="222222"/>
          <w:shd w:val="clear" w:color="auto" w:fill="FFFFFF"/>
        </w:rPr>
        <w:t xml:space="preserve">Available at: </w:t>
      </w:r>
      <w:hyperlink r:id="rId29" w:history="1">
        <w:r w:rsidRPr="002479B7">
          <w:rPr>
            <w:rStyle w:val="Hyperlink"/>
            <w:rFonts w:ascii="Arial" w:hAnsi="Arial" w:cs="Arial"/>
            <w:color w:val="1155CC"/>
            <w:shd w:val="clear" w:color="auto" w:fill="FFFFFF"/>
          </w:rPr>
          <w:t>https://www.ainvest.com/news/tesla-plans-80-billion-investment-2024-100-billion-ai-2506/</w:t>
        </w:r>
      </w:hyperlink>
      <w:r w:rsidRPr="002479B7">
        <w:rPr>
          <w:rFonts w:ascii="Arial" w:hAnsi="Arial" w:cs="Arial"/>
          <w:color w:val="222222"/>
          <w:shd w:val="clear" w:color="auto" w:fill="FFFFFF"/>
        </w:rPr>
        <w:t>.  [Accessed on 11.11.2025]</w:t>
      </w:r>
    </w:p>
    <w:p w14:paraId="62858029"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Am-online (2024)</w:t>
      </w:r>
      <w:r w:rsidRPr="002479B7">
        <w:rPr>
          <w:rFonts w:ascii="Arial" w:hAnsi="Arial" w:cs="Arial"/>
          <w:i/>
          <w:iCs/>
          <w:color w:val="222222"/>
          <w:shd w:val="clear" w:color="auto" w:fill="FFFFFF"/>
        </w:rPr>
        <w:t xml:space="preserve"> Volkswagen and Ford will struggle to meet new EU emission targets, </w:t>
      </w:r>
      <w:r w:rsidRPr="002479B7">
        <w:rPr>
          <w:rFonts w:ascii="Arial" w:hAnsi="Arial" w:cs="Arial"/>
          <w:color w:val="222222"/>
          <w:shd w:val="clear" w:color="auto" w:fill="FFFFFF"/>
        </w:rPr>
        <w:t xml:space="preserve">Available at: </w:t>
      </w:r>
      <w:hyperlink r:id="rId30" w:history="1">
        <w:r w:rsidRPr="002479B7">
          <w:rPr>
            <w:rStyle w:val="Hyperlink"/>
            <w:rFonts w:ascii="Arial" w:hAnsi="Arial" w:cs="Arial"/>
            <w:color w:val="1155CC"/>
            <w:shd w:val="clear" w:color="auto" w:fill="FFFFFF"/>
          </w:rPr>
          <w:t>https://www.am-online.com/news/volkswagen-and-ford-will-struggle-to-meet-new-eu-emission-targets</w:t>
        </w:r>
      </w:hyperlink>
      <w:r w:rsidRPr="002479B7">
        <w:rPr>
          <w:rFonts w:ascii="Arial" w:hAnsi="Arial" w:cs="Arial"/>
          <w:color w:val="222222"/>
          <w:shd w:val="clear" w:color="auto" w:fill="FFFFFF"/>
        </w:rPr>
        <w:t>.  [Accessed on 11.11.2025]</w:t>
      </w:r>
    </w:p>
    <w:p w14:paraId="36928C4C"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Bas, S.A., (2024). A hybrid approach based on consensus decision making for green supplier selection in automotive industry. </w:t>
      </w:r>
      <w:r w:rsidRPr="002479B7">
        <w:rPr>
          <w:rFonts w:ascii="Arial" w:hAnsi="Arial" w:cs="Arial"/>
          <w:i/>
          <w:iCs/>
          <w:color w:val="222222"/>
          <w:shd w:val="clear" w:color="auto" w:fill="FFFFFF"/>
        </w:rPr>
        <w:t>Sustainability</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16</w:t>
      </w:r>
      <w:r w:rsidRPr="002479B7">
        <w:rPr>
          <w:rFonts w:ascii="Arial" w:hAnsi="Arial" w:cs="Arial"/>
          <w:color w:val="222222"/>
          <w:shd w:val="clear" w:color="auto" w:fill="FFFFFF"/>
        </w:rPr>
        <w:t>(7), p.3096.</w:t>
      </w:r>
      <w:hyperlink r:id="rId31" w:history="1">
        <w:r w:rsidRPr="002479B7">
          <w:rPr>
            <w:rStyle w:val="Hyperlink"/>
            <w:rFonts w:ascii="Arial" w:hAnsi="Arial" w:cs="Arial"/>
            <w:color w:val="1155CC"/>
            <w:shd w:val="clear" w:color="auto" w:fill="FFFFFF"/>
          </w:rPr>
          <w:t>https://www.mdpi.com/2071-1050/16/7/3096</w:t>
        </w:r>
      </w:hyperlink>
      <w:r w:rsidRPr="002479B7">
        <w:rPr>
          <w:rFonts w:ascii="Arial" w:hAnsi="Arial" w:cs="Arial"/>
          <w:color w:val="222222"/>
          <w:shd w:val="clear" w:color="auto" w:fill="FFFFFF"/>
        </w:rPr>
        <w:t>. </w:t>
      </w:r>
    </w:p>
    <w:p w14:paraId="2F1D0C90"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Cbtnews (2025) </w:t>
      </w:r>
      <w:r w:rsidRPr="002479B7">
        <w:rPr>
          <w:rFonts w:ascii="Arial" w:hAnsi="Arial" w:cs="Arial"/>
          <w:i/>
          <w:iCs/>
          <w:color w:val="222222"/>
          <w:shd w:val="clear" w:color="auto" w:fill="FFFFFF"/>
        </w:rPr>
        <w:t xml:space="preserve">Ford powers into 2025 with record EV sales and a 6% retail boost, </w:t>
      </w:r>
      <w:r w:rsidRPr="002479B7">
        <w:rPr>
          <w:rFonts w:ascii="Arial" w:hAnsi="Arial" w:cs="Arial"/>
          <w:color w:val="222222"/>
          <w:shd w:val="clear" w:color="auto" w:fill="FFFFFF"/>
        </w:rPr>
        <w:t xml:space="preserve">Available at: </w:t>
      </w:r>
      <w:hyperlink r:id="rId32" w:history="1">
        <w:r w:rsidRPr="002479B7">
          <w:rPr>
            <w:rStyle w:val="Hyperlink"/>
            <w:rFonts w:ascii="Arial" w:hAnsi="Arial" w:cs="Arial"/>
            <w:color w:val="1155CC"/>
            <w:shd w:val="clear" w:color="auto" w:fill="FFFFFF"/>
          </w:rPr>
          <w:t>https://www.cbtnews.com/ford-powers-into-2025-with-record-ev-sales-and-a-6-retail-boost/</w:t>
        </w:r>
      </w:hyperlink>
      <w:r w:rsidRPr="002479B7">
        <w:rPr>
          <w:rFonts w:ascii="Arial" w:hAnsi="Arial" w:cs="Arial"/>
          <w:color w:val="222222"/>
          <w:shd w:val="clear" w:color="auto" w:fill="FFFFFF"/>
        </w:rPr>
        <w:t>.  [Accessed on 11.11.2025]</w:t>
      </w:r>
    </w:p>
    <w:p w14:paraId="0877B8B2"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Chen, J., Zhang, E., Wan, Y., Huang, T., Wang, Y. and Jiang, H., (2024). A quick and innovative pipeline for producing chondrocyte-homing peptide-modified extracellular vesicles by three-dimensional dynamic culture of hADSCs spheroids to modulate the fate of remaining ear chondrocytes in the M1 macrophage-infiltrated microenvironment. </w:t>
      </w:r>
      <w:r w:rsidRPr="002479B7">
        <w:rPr>
          <w:rFonts w:ascii="Arial" w:hAnsi="Arial" w:cs="Arial"/>
          <w:i/>
          <w:iCs/>
          <w:color w:val="222222"/>
          <w:shd w:val="clear" w:color="auto" w:fill="FFFFFF"/>
        </w:rPr>
        <w:t>Journal of Nanobiotechnology</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22</w:t>
      </w:r>
      <w:r w:rsidRPr="002479B7">
        <w:rPr>
          <w:rFonts w:ascii="Arial" w:hAnsi="Arial" w:cs="Arial"/>
          <w:color w:val="222222"/>
          <w:shd w:val="clear" w:color="auto" w:fill="FFFFFF"/>
        </w:rPr>
        <w:t>(1), p.300.</w:t>
      </w:r>
      <w:hyperlink r:id="rId33" w:history="1">
        <w:r w:rsidRPr="002479B7">
          <w:rPr>
            <w:rStyle w:val="Hyperlink"/>
            <w:rFonts w:ascii="Arial" w:hAnsi="Arial" w:cs="Arial"/>
            <w:color w:val="1155CC"/>
            <w:shd w:val="clear" w:color="auto" w:fill="FFFFFF"/>
          </w:rPr>
          <w:t>https://link.springer.com/content/pdf/10.1186/s12951-024-02567-5.pdf</w:t>
        </w:r>
      </w:hyperlink>
      <w:r w:rsidRPr="002479B7">
        <w:rPr>
          <w:rFonts w:ascii="Arial" w:hAnsi="Arial" w:cs="Arial"/>
          <w:color w:val="222222"/>
          <w:shd w:val="clear" w:color="auto" w:fill="FFFFFF"/>
        </w:rPr>
        <w:t>. </w:t>
      </w:r>
    </w:p>
    <w:p w14:paraId="73F549F8"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Chernev, A., (2025). </w:t>
      </w:r>
      <w:r w:rsidRPr="002479B7">
        <w:rPr>
          <w:rFonts w:ascii="Arial" w:hAnsi="Arial" w:cs="Arial"/>
          <w:i/>
          <w:iCs/>
          <w:color w:val="222222"/>
          <w:shd w:val="clear" w:color="auto" w:fill="FFFFFF"/>
        </w:rPr>
        <w:t>Strategic marketing management</w:t>
      </w:r>
      <w:r w:rsidRPr="002479B7">
        <w:rPr>
          <w:rFonts w:ascii="Arial" w:hAnsi="Arial" w:cs="Arial"/>
          <w:color w:val="222222"/>
          <w:shd w:val="clear" w:color="auto" w:fill="FFFFFF"/>
        </w:rPr>
        <w:t>. Cerebellum Press.</w:t>
      </w:r>
      <w:hyperlink r:id="rId34" w:history="1">
        <w:r w:rsidRPr="002479B7">
          <w:rPr>
            <w:rStyle w:val="Hyperlink"/>
            <w:rFonts w:ascii="Arial" w:hAnsi="Arial" w:cs="Arial"/>
            <w:color w:val="1155CC"/>
            <w:shd w:val="clear" w:color="auto" w:fill="FFFFFF"/>
          </w:rPr>
          <w:t>https://f.letmeprint.ru/261509496-dd9247aa/fragment_9671009.pdf</w:t>
        </w:r>
      </w:hyperlink>
      <w:r w:rsidRPr="002479B7">
        <w:rPr>
          <w:rFonts w:ascii="Arial" w:hAnsi="Arial" w:cs="Arial"/>
          <w:color w:val="222222"/>
          <w:shd w:val="clear" w:color="auto" w:fill="FFFFFF"/>
        </w:rPr>
        <w:t>. </w:t>
      </w:r>
    </w:p>
    <w:p w14:paraId="2423AFF9"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CNBC (2025)</w:t>
      </w:r>
      <w:r w:rsidRPr="002479B7">
        <w:rPr>
          <w:rFonts w:ascii="Arial" w:hAnsi="Arial" w:cs="Arial"/>
          <w:i/>
          <w:iCs/>
          <w:color w:val="222222"/>
          <w:shd w:val="clear" w:color="auto" w:fill="FFFFFF"/>
        </w:rPr>
        <w:t xml:space="preserve"> Volkswagen targets dominance in Europe with affordable EV push, </w:t>
      </w:r>
      <w:r w:rsidRPr="002479B7">
        <w:rPr>
          <w:rFonts w:ascii="Arial" w:hAnsi="Arial" w:cs="Arial"/>
          <w:color w:val="222222"/>
          <w:shd w:val="clear" w:color="auto" w:fill="FFFFFF"/>
        </w:rPr>
        <w:t xml:space="preserve">Available at: </w:t>
      </w:r>
      <w:hyperlink r:id="rId35" w:history="1">
        <w:r w:rsidRPr="002479B7">
          <w:rPr>
            <w:rStyle w:val="Hyperlink"/>
            <w:rFonts w:ascii="Arial" w:hAnsi="Arial" w:cs="Arial"/>
            <w:color w:val="1155CC"/>
            <w:shd w:val="clear" w:color="auto" w:fill="FFFFFF"/>
          </w:rPr>
          <w:t>https://www.cnbc.com/2025/09/08/volkswagen-targets-dominance-in-europe-with-affordable-ev-push.html</w:t>
        </w:r>
      </w:hyperlink>
      <w:r w:rsidRPr="002479B7">
        <w:rPr>
          <w:rFonts w:ascii="Arial" w:hAnsi="Arial" w:cs="Arial"/>
          <w:color w:val="222222"/>
          <w:shd w:val="clear" w:color="auto" w:fill="FFFFFF"/>
        </w:rPr>
        <w:t>.  [Accessed on 11.11.2025]</w:t>
      </w:r>
    </w:p>
    <w:p w14:paraId="0822A71F"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Covin, J.G., Slevin, D.P. and Heeley, M.B., (2000). Pioneers and followers: Competitive tactics, environment, and firm growth. </w:t>
      </w:r>
      <w:r w:rsidRPr="002479B7">
        <w:rPr>
          <w:rFonts w:ascii="Arial" w:hAnsi="Arial" w:cs="Arial"/>
          <w:i/>
          <w:iCs/>
          <w:color w:val="222222"/>
          <w:shd w:val="clear" w:color="auto" w:fill="FFFFFF"/>
        </w:rPr>
        <w:t>Journal of business venturing</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15</w:t>
      </w:r>
      <w:r w:rsidRPr="002479B7">
        <w:rPr>
          <w:rFonts w:ascii="Arial" w:hAnsi="Arial" w:cs="Arial"/>
          <w:color w:val="222222"/>
          <w:shd w:val="clear" w:color="auto" w:fill="FFFFFF"/>
        </w:rPr>
        <w:t>(2), pp.175-</w:t>
      </w:r>
      <w:r w:rsidRPr="002479B7">
        <w:rPr>
          <w:rFonts w:ascii="Arial" w:hAnsi="Arial" w:cs="Arial"/>
          <w:color w:val="222222"/>
          <w:shd w:val="clear" w:color="auto" w:fill="FFFFFF"/>
        </w:rPr>
        <w:lastRenderedPageBreak/>
        <w:t>210.</w:t>
      </w:r>
      <w:hyperlink r:id="rId36" w:history="1">
        <w:r w:rsidRPr="002479B7">
          <w:rPr>
            <w:rStyle w:val="Hyperlink"/>
            <w:rFonts w:ascii="Arial" w:hAnsi="Arial" w:cs="Arial"/>
            <w:color w:val="1155CC"/>
            <w:shd w:val="clear" w:color="auto" w:fill="FFFFFF"/>
          </w:rPr>
          <w:t>https://www.academia.edu/download/67341664/s0883-9026_2898_2900015-920210516-3730-rx3scc.pdf</w:t>
        </w:r>
      </w:hyperlink>
      <w:r w:rsidRPr="002479B7">
        <w:rPr>
          <w:rFonts w:ascii="Arial" w:hAnsi="Arial" w:cs="Arial"/>
          <w:color w:val="222222"/>
          <w:shd w:val="clear" w:color="auto" w:fill="FFFFFF"/>
        </w:rPr>
        <w:t>. </w:t>
      </w:r>
    </w:p>
    <w:p w14:paraId="34720490"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Deloitte (2025)</w:t>
      </w:r>
      <w:r w:rsidRPr="002479B7">
        <w:rPr>
          <w:rFonts w:ascii="Arial" w:hAnsi="Arial" w:cs="Arial"/>
          <w:i/>
          <w:iCs/>
          <w:color w:val="222222"/>
          <w:shd w:val="clear" w:color="auto" w:fill="FFFFFF"/>
        </w:rPr>
        <w:t xml:space="preserve"> In the gen AI economy, consumers want innovation they can trust, </w:t>
      </w:r>
      <w:r w:rsidRPr="002479B7">
        <w:rPr>
          <w:rFonts w:ascii="Arial" w:hAnsi="Arial" w:cs="Arial"/>
          <w:color w:val="222222"/>
          <w:shd w:val="clear" w:color="auto" w:fill="FFFFFF"/>
        </w:rPr>
        <w:t xml:space="preserve">Available at: </w:t>
      </w:r>
      <w:hyperlink r:id="rId37" w:history="1">
        <w:r w:rsidRPr="002479B7">
          <w:rPr>
            <w:rStyle w:val="Hyperlink"/>
            <w:rFonts w:ascii="Arial" w:hAnsi="Arial" w:cs="Arial"/>
            <w:color w:val="1155CC"/>
            <w:shd w:val="clear" w:color="auto" w:fill="FFFFFF"/>
          </w:rPr>
          <w:t>https://www.deloitte.com/us/en/insights/industry/telecommunications/connectivity-mobile-trends-survey.html</w:t>
        </w:r>
      </w:hyperlink>
      <w:r w:rsidRPr="002479B7">
        <w:rPr>
          <w:rFonts w:ascii="Arial" w:hAnsi="Arial" w:cs="Arial"/>
          <w:color w:val="222222"/>
          <w:shd w:val="clear" w:color="auto" w:fill="FFFFFF"/>
        </w:rPr>
        <w:t>. [Accessed on 11.11.2025]</w:t>
      </w:r>
    </w:p>
    <w:p w14:paraId="1525D9EA"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Europarl (2024) </w:t>
      </w:r>
      <w:r w:rsidRPr="002479B7">
        <w:rPr>
          <w:rFonts w:ascii="Arial" w:hAnsi="Arial" w:cs="Arial"/>
          <w:i/>
          <w:iCs/>
          <w:color w:val="222222"/>
          <w:shd w:val="clear" w:color="auto" w:fill="FFFFFF"/>
        </w:rPr>
        <w:t>CO2 emissions from cars: facts and figures,</w:t>
      </w:r>
      <w:r w:rsidRPr="002479B7">
        <w:rPr>
          <w:rFonts w:ascii="Arial" w:hAnsi="Arial" w:cs="Arial"/>
          <w:color w:val="222222"/>
          <w:shd w:val="clear" w:color="auto" w:fill="FFFFFF"/>
        </w:rPr>
        <w:t xml:space="preserve"> Available at: </w:t>
      </w:r>
      <w:hyperlink r:id="rId38" w:history="1">
        <w:r w:rsidRPr="002479B7">
          <w:rPr>
            <w:rStyle w:val="Hyperlink"/>
            <w:rFonts w:ascii="Arial" w:hAnsi="Arial" w:cs="Arial"/>
            <w:color w:val="1155CC"/>
            <w:shd w:val="clear" w:color="auto" w:fill="FFFFFF"/>
          </w:rPr>
          <w:t>https://www.europarl.europa.eu/topics/en/article/20190313STO31218/co2-emissions-from-cars-facts-and-figures-infographics</w:t>
        </w:r>
      </w:hyperlink>
      <w:r w:rsidRPr="002479B7">
        <w:rPr>
          <w:rFonts w:ascii="Arial" w:hAnsi="Arial" w:cs="Arial"/>
          <w:color w:val="222222"/>
          <w:shd w:val="clear" w:color="auto" w:fill="FFFFFF"/>
        </w:rPr>
        <w:t>.  [Accessed on 11.11.2025]</w:t>
      </w:r>
    </w:p>
    <w:p w14:paraId="68259210"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Evboosters (2025) </w:t>
      </w:r>
      <w:r w:rsidRPr="002479B7">
        <w:rPr>
          <w:rFonts w:ascii="Arial" w:hAnsi="Arial" w:cs="Arial"/>
          <w:i/>
          <w:iCs/>
          <w:color w:val="222222"/>
          <w:shd w:val="clear" w:color="auto" w:fill="FFFFFF"/>
        </w:rPr>
        <w:t xml:space="preserve">Electric Vehicle sales forecast to hit 30 million by 2027 as global adoption accelerates, </w:t>
      </w:r>
      <w:r w:rsidRPr="002479B7">
        <w:rPr>
          <w:rFonts w:ascii="Arial" w:hAnsi="Arial" w:cs="Arial"/>
          <w:color w:val="222222"/>
          <w:shd w:val="clear" w:color="auto" w:fill="FFFFFF"/>
        </w:rPr>
        <w:t xml:space="preserve">Available at: </w:t>
      </w:r>
      <w:hyperlink r:id="rId39" w:history="1">
        <w:r w:rsidRPr="002479B7">
          <w:rPr>
            <w:rStyle w:val="Hyperlink"/>
            <w:rFonts w:ascii="Arial" w:hAnsi="Arial" w:cs="Arial"/>
            <w:color w:val="1155CC"/>
            <w:shd w:val="clear" w:color="auto" w:fill="FFFFFF"/>
          </w:rPr>
          <w:t>https://evboosters.com/ev-charging-news/electric-vehicle-sales-forecast-to-hit-30-million-by-2027-as-global-adoption-accelerates/</w:t>
        </w:r>
      </w:hyperlink>
      <w:r w:rsidRPr="002479B7">
        <w:rPr>
          <w:rFonts w:ascii="Arial" w:hAnsi="Arial" w:cs="Arial"/>
          <w:color w:val="222222"/>
          <w:shd w:val="clear" w:color="auto" w:fill="FFFFFF"/>
        </w:rPr>
        <w:t>.  [Accessed on 11.11.2025]</w:t>
      </w:r>
    </w:p>
    <w:p w14:paraId="04616887"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Factcheck (2024) </w:t>
      </w:r>
      <w:r w:rsidRPr="002479B7">
        <w:rPr>
          <w:rFonts w:ascii="Arial" w:hAnsi="Arial" w:cs="Arial"/>
          <w:i/>
          <w:iCs/>
          <w:color w:val="222222"/>
          <w:shd w:val="clear" w:color="auto" w:fill="FFFFFF"/>
        </w:rPr>
        <w:t xml:space="preserve">Electric Vehicles Contribute Fewer Emissions Than Gasoline-Powered Cars Over Their Lifetimes, </w:t>
      </w:r>
      <w:r w:rsidRPr="002479B7">
        <w:rPr>
          <w:rFonts w:ascii="Arial" w:hAnsi="Arial" w:cs="Arial"/>
          <w:color w:val="222222"/>
          <w:shd w:val="clear" w:color="auto" w:fill="FFFFFF"/>
        </w:rPr>
        <w:t xml:space="preserve">Available at: </w:t>
      </w:r>
      <w:hyperlink r:id="rId40" w:history="1">
        <w:r w:rsidRPr="002479B7">
          <w:rPr>
            <w:rStyle w:val="Hyperlink"/>
            <w:rFonts w:ascii="Arial" w:hAnsi="Arial" w:cs="Arial"/>
            <w:color w:val="1155CC"/>
            <w:shd w:val="clear" w:color="auto" w:fill="FFFFFF"/>
          </w:rPr>
          <w:t>https://www.factcheck.org/2024/02/electric-vehicles-contribute-fewer-emissions-than-gasoline-powered-cars-over-their-lifetimes/</w:t>
        </w:r>
      </w:hyperlink>
      <w:r w:rsidRPr="002479B7">
        <w:rPr>
          <w:rFonts w:ascii="Arial" w:hAnsi="Arial" w:cs="Arial"/>
          <w:color w:val="222222"/>
          <w:shd w:val="clear" w:color="auto" w:fill="FFFFFF"/>
        </w:rPr>
        <w:t>.  [Accessed on 11.11.2025]</w:t>
      </w:r>
    </w:p>
    <w:p w14:paraId="27F3A80F"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Jain, M., Talwar, S., Rastogi, R., Kaur, P. and Dhir, A., (2024). Policy stimulation for the electric vehicle industry: An analysis of mainstream media discourse. </w:t>
      </w:r>
      <w:r w:rsidRPr="002479B7">
        <w:rPr>
          <w:rFonts w:ascii="Arial" w:hAnsi="Arial" w:cs="Arial"/>
          <w:i/>
          <w:iCs/>
          <w:color w:val="222222"/>
          <w:shd w:val="clear" w:color="auto" w:fill="FFFFFF"/>
        </w:rPr>
        <w:t>Business Strategy and the Environment</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33</w:t>
      </w:r>
      <w:r w:rsidRPr="002479B7">
        <w:rPr>
          <w:rFonts w:ascii="Arial" w:hAnsi="Arial" w:cs="Arial"/>
          <w:color w:val="222222"/>
          <w:shd w:val="clear" w:color="auto" w:fill="FFFFFF"/>
        </w:rPr>
        <w:t>(6), pp.5303-5324.</w:t>
      </w:r>
      <w:hyperlink r:id="rId41" w:history="1">
        <w:r w:rsidRPr="002479B7">
          <w:rPr>
            <w:rStyle w:val="Hyperlink"/>
            <w:rFonts w:ascii="Arial" w:hAnsi="Arial" w:cs="Arial"/>
            <w:color w:val="1155CC"/>
            <w:shd w:val="clear" w:color="auto" w:fill="FFFFFF"/>
          </w:rPr>
          <w:t>https://onlinelibrary.wiley.com/doi/pdfdirect/10.1002/bse.3750</w:t>
        </w:r>
      </w:hyperlink>
      <w:r w:rsidRPr="002479B7">
        <w:rPr>
          <w:rFonts w:ascii="Arial" w:hAnsi="Arial" w:cs="Arial"/>
          <w:color w:val="222222"/>
          <w:shd w:val="clear" w:color="auto" w:fill="FFFFFF"/>
        </w:rPr>
        <w:t>. </w:t>
      </w:r>
    </w:p>
    <w:p w14:paraId="498316F3"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Leadintelligent (2024) </w:t>
      </w:r>
      <w:r w:rsidRPr="002479B7">
        <w:rPr>
          <w:rFonts w:ascii="Arial" w:hAnsi="Arial" w:cs="Arial"/>
          <w:i/>
          <w:iCs/>
          <w:color w:val="222222"/>
          <w:shd w:val="clear" w:color="auto" w:fill="FFFFFF"/>
        </w:rPr>
        <w:t xml:space="preserve">Global EV: Record-Breaking Sales in 2024 &amp; Outlook for 2025, </w:t>
      </w:r>
      <w:r w:rsidRPr="002479B7">
        <w:rPr>
          <w:rFonts w:ascii="Arial" w:hAnsi="Arial" w:cs="Arial"/>
          <w:color w:val="222222"/>
          <w:shd w:val="clear" w:color="auto" w:fill="FFFFFF"/>
        </w:rPr>
        <w:t xml:space="preserve">Available at: </w:t>
      </w:r>
      <w:hyperlink r:id="rId42" w:history="1">
        <w:r w:rsidRPr="002479B7">
          <w:rPr>
            <w:rStyle w:val="Hyperlink"/>
            <w:rFonts w:ascii="Arial" w:hAnsi="Arial" w:cs="Arial"/>
            <w:color w:val="1155CC"/>
            <w:shd w:val="clear" w:color="auto" w:fill="FFFFFF"/>
          </w:rPr>
          <w:t>https://www.leadintelligent.com/en/global-ev-record-breaking-sales-in-2024-and-outlook-for-2025</w:t>
        </w:r>
      </w:hyperlink>
      <w:r w:rsidRPr="002479B7">
        <w:rPr>
          <w:rFonts w:ascii="Arial" w:hAnsi="Arial" w:cs="Arial"/>
          <w:color w:val="222222"/>
          <w:shd w:val="clear" w:color="auto" w:fill="FFFFFF"/>
        </w:rPr>
        <w:t>  [Accessed on 11.11.2025]</w:t>
      </w:r>
    </w:p>
    <w:p w14:paraId="45143767"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Li, Y., (2025), June. The Application and Practice of Business Analysis in Market Forecasting. In </w:t>
      </w:r>
      <w:r w:rsidRPr="002479B7">
        <w:rPr>
          <w:rFonts w:ascii="Arial" w:hAnsi="Arial" w:cs="Arial"/>
          <w:i/>
          <w:iCs/>
          <w:color w:val="222222"/>
          <w:shd w:val="clear" w:color="auto" w:fill="FFFFFF"/>
        </w:rPr>
        <w:t>2025 3rd International Conference on Digital Economy and Management Science (CDEMS 2025)</w:t>
      </w:r>
      <w:r w:rsidRPr="002479B7">
        <w:rPr>
          <w:rFonts w:ascii="Arial" w:hAnsi="Arial" w:cs="Arial"/>
          <w:color w:val="222222"/>
          <w:shd w:val="clear" w:color="auto" w:fill="FFFFFF"/>
        </w:rPr>
        <w:t xml:space="preserve"> (pp. 393-401). Atlantis Press.</w:t>
      </w:r>
      <w:hyperlink r:id="rId43" w:history="1">
        <w:r w:rsidRPr="002479B7">
          <w:rPr>
            <w:rStyle w:val="Hyperlink"/>
            <w:rFonts w:ascii="Arial" w:hAnsi="Arial" w:cs="Arial"/>
            <w:color w:val="1155CC"/>
            <w:shd w:val="clear" w:color="auto" w:fill="FFFFFF"/>
          </w:rPr>
          <w:t>https://www.atlantis-press.com/article/126012784.pdf</w:t>
        </w:r>
      </w:hyperlink>
      <w:r w:rsidRPr="002479B7">
        <w:rPr>
          <w:rFonts w:ascii="Arial" w:hAnsi="Arial" w:cs="Arial"/>
          <w:color w:val="222222"/>
          <w:shd w:val="clear" w:color="auto" w:fill="FFFFFF"/>
        </w:rPr>
        <w:t>. </w:t>
      </w:r>
    </w:p>
    <w:p w14:paraId="339E3D11"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Market (2025)</w:t>
      </w:r>
      <w:r w:rsidRPr="002479B7">
        <w:rPr>
          <w:rFonts w:ascii="Arial" w:hAnsi="Arial" w:cs="Arial"/>
          <w:i/>
          <w:iCs/>
          <w:color w:val="222222"/>
          <w:shd w:val="clear" w:color="auto" w:fill="FFFFFF"/>
        </w:rPr>
        <w:t xml:space="preserve"> Global AI in Automotive Market by Component (Hardware, Software) by Autonomy (Semi-Autonomous Vehicles, Fully-Autonomous Vehicles) by Technology (Machine Learning &amp; Deep Learning, Natural Language Processing, Computer Vision, </w:t>
      </w:r>
      <w:r w:rsidRPr="002479B7">
        <w:rPr>
          <w:rFonts w:ascii="Arial" w:hAnsi="Arial" w:cs="Arial"/>
          <w:i/>
          <w:iCs/>
          <w:color w:val="222222"/>
          <w:shd w:val="clear" w:color="auto" w:fill="FFFFFF"/>
        </w:rPr>
        <w:lastRenderedPageBreak/>
        <w:t>Context-aware Computing, Others) Region and Companies – Industry Segment Outlook, Market Assessment, Competition Scenario, Trends and Forecast 2024-2033</w:t>
      </w:r>
      <w:r w:rsidRPr="002479B7">
        <w:rPr>
          <w:rFonts w:ascii="Arial" w:hAnsi="Arial" w:cs="Arial"/>
          <w:color w:val="222222"/>
          <w:shd w:val="clear" w:color="auto" w:fill="FFFFFF"/>
        </w:rPr>
        <w:t xml:space="preserve">, Available at: </w:t>
      </w:r>
      <w:hyperlink r:id="rId44" w:history="1">
        <w:r w:rsidRPr="002479B7">
          <w:rPr>
            <w:rStyle w:val="Hyperlink"/>
            <w:rFonts w:ascii="Arial" w:hAnsi="Arial" w:cs="Arial"/>
            <w:color w:val="1155CC"/>
            <w:shd w:val="clear" w:color="auto" w:fill="FFFFFF"/>
          </w:rPr>
          <w:t>https://market.us/report/ai-in-automotive-market/</w:t>
        </w:r>
      </w:hyperlink>
      <w:r w:rsidRPr="002479B7">
        <w:rPr>
          <w:rFonts w:ascii="Arial" w:hAnsi="Arial" w:cs="Arial"/>
          <w:color w:val="222222"/>
          <w:shd w:val="clear" w:color="auto" w:fill="FFFFFF"/>
        </w:rPr>
        <w:t>.  [Accessed on 11.11.2025]</w:t>
      </w:r>
    </w:p>
    <w:p w14:paraId="58997610"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Pereira Ferraz Soares Ferreira, A.P. and Marques, M.B.P.D.S.M., (2024). The Importance of the Ansoff Matrix for the Study of the Information Services Market. </w:t>
      </w:r>
      <w:r w:rsidRPr="002479B7">
        <w:rPr>
          <w:rFonts w:ascii="Arial" w:hAnsi="Arial" w:cs="Arial"/>
          <w:i/>
          <w:iCs/>
          <w:color w:val="222222"/>
          <w:shd w:val="clear" w:color="auto" w:fill="FFFFFF"/>
        </w:rPr>
        <w:t>The Canadian Journal of Information and Library Science</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47</w:t>
      </w:r>
      <w:r w:rsidRPr="002479B7">
        <w:rPr>
          <w:rFonts w:ascii="Arial" w:hAnsi="Arial" w:cs="Arial"/>
          <w:color w:val="222222"/>
          <w:shd w:val="clear" w:color="auto" w:fill="FFFFFF"/>
        </w:rPr>
        <w:t>(2), pp.78-84.</w:t>
      </w:r>
      <w:hyperlink r:id="rId45" w:history="1">
        <w:r w:rsidRPr="002479B7">
          <w:rPr>
            <w:rStyle w:val="Hyperlink"/>
            <w:rFonts w:ascii="Arial" w:hAnsi="Arial" w:cs="Arial"/>
            <w:color w:val="1155CC"/>
            <w:shd w:val="clear" w:color="auto" w:fill="FFFFFF"/>
          </w:rPr>
          <w:t>https://www.erudit.org/en/journals/cjils/2024-v47-n2-cjils09826/1115996ar.pdf</w:t>
        </w:r>
      </w:hyperlink>
      <w:r w:rsidRPr="002479B7">
        <w:rPr>
          <w:rFonts w:ascii="Arial" w:hAnsi="Arial" w:cs="Arial"/>
          <w:color w:val="222222"/>
          <w:shd w:val="clear" w:color="auto" w:fill="FFFFFF"/>
        </w:rPr>
        <w:t>. </w:t>
      </w:r>
    </w:p>
    <w:p w14:paraId="12532932"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Pvknowhow (2025) </w:t>
      </w:r>
      <w:r w:rsidRPr="002479B7">
        <w:rPr>
          <w:rFonts w:ascii="Arial" w:hAnsi="Arial" w:cs="Arial"/>
          <w:i/>
          <w:iCs/>
          <w:color w:val="222222"/>
          <w:shd w:val="clear" w:color="auto" w:fill="FFFFFF"/>
        </w:rPr>
        <w:t xml:space="preserve">Impressive BYD energy storage: 300MWh Plan is Essential, </w:t>
      </w:r>
      <w:r w:rsidRPr="002479B7">
        <w:rPr>
          <w:rFonts w:ascii="Arial" w:hAnsi="Arial" w:cs="Arial"/>
          <w:color w:val="222222"/>
          <w:shd w:val="clear" w:color="auto" w:fill="FFFFFF"/>
        </w:rPr>
        <w:t xml:space="preserve">Available at: </w:t>
      </w:r>
      <w:hyperlink r:id="rId46" w:history="1">
        <w:r w:rsidRPr="002479B7">
          <w:rPr>
            <w:rStyle w:val="Hyperlink"/>
            <w:rFonts w:ascii="Arial" w:hAnsi="Arial" w:cs="Arial"/>
            <w:color w:val="1155CC"/>
            <w:shd w:val="clear" w:color="auto" w:fill="FFFFFF"/>
          </w:rPr>
          <w:t>https://www.pvknowhow.com/news/impressive-byd-energy-storage-300mwh-plan-is-essential/</w:t>
        </w:r>
      </w:hyperlink>
      <w:r w:rsidRPr="002479B7">
        <w:rPr>
          <w:rFonts w:ascii="Arial" w:hAnsi="Arial" w:cs="Arial"/>
          <w:color w:val="222222"/>
          <w:shd w:val="clear" w:color="auto" w:fill="FFFFFF"/>
        </w:rPr>
        <w:t>  [Accessed on 11.11.2025]. </w:t>
      </w:r>
    </w:p>
    <w:p w14:paraId="1B600D6D"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Rastogi, N., Singh, J., Tyagi, S., Ahmad, V., Kumar, R., Singh, R., Sharma, A., Priyadarshi, N. and Twala, B., (2025). Building Trust through ESG: A Study on Consumer Behaviour in Sustainable Fashion. </w:t>
      </w:r>
      <w:r w:rsidRPr="002479B7">
        <w:rPr>
          <w:rFonts w:ascii="Arial" w:hAnsi="Arial" w:cs="Arial"/>
          <w:i/>
          <w:iCs/>
          <w:color w:val="222222"/>
          <w:shd w:val="clear" w:color="auto" w:fill="FFFFFF"/>
        </w:rPr>
        <w:t>F1000Research</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14</w:t>
      </w:r>
      <w:r w:rsidRPr="002479B7">
        <w:rPr>
          <w:rFonts w:ascii="Arial" w:hAnsi="Arial" w:cs="Arial"/>
          <w:color w:val="222222"/>
          <w:shd w:val="clear" w:color="auto" w:fill="FFFFFF"/>
        </w:rPr>
        <w:t>, p.97.</w:t>
      </w:r>
      <w:hyperlink r:id="rId47" w:history="1">
        <w:r w:rsidRPr="002479B7">
          <w:rPr>
            <w:rStyle w:val="Hyperlink"/>
            <w:rFonts w:ascii="Arial" w:hAnsi="Arial" w:cs="Arial"/>
            <w:color w:val="1155CC"/>
            <w:shd w:val="clear" w:color="auto" w:fill="FFFFFF"/>
          </w:rPr>
          <w:t>https://f1000research.com/articles/14-97/pdf</w:t>
        </w:r>
      </w:hyperlink>
      <w:r w:rsidRPr="002479B7">
        <w:rPr>
          <w:rFonts w:ascii="Arial" w:hAnsi="Arial" w:cs="Arial"/>
          <w:color w:val="222222"/>
          <w:shd w:val="clear" w:color="auto" w:fill="FFFFFF"/>
        </w:rPr>
        <w:t>. </w:t>
      </w:r>
    </w:p>
    <w:p w14:paraId="4EEFD328"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Reuters (2024) </w:t>
      </w:r>
      <w:r w:rsidRPr="002479B7">
        <w:rPr>
          <w:rFonts w:ascii="Arial" w:hAnsi="Arial" w:cs="Arial"/>
          <w:i/>
          <w:iCs/>
          <w:color w:val="222222"/>
          <w:shd w:val="clear" w:color="auto" w:fill="FFFFFF"/>
        </w:rPr>
        <w:t xml:space="preserve">Global electric vehicle sales up 25% in record 2024, </w:t>
      </w:r>
      <w:r w:rsidRPr="002479B7">
        <w:rPr>
          <w:rFonts w:ascii="Arial" w:hAnsi="Arial" w:cs="Arial"/>
          <w:color w:val="222222"/>
          <w:shd w:val="clear" w:color="auto" w:fill="FFFFFF"/>
        </w:rPr>
        <w:t xml:space="preserve">Available at: </w:t>
      </w:r>
      <w:hyperlink r:id="rId48" w:history="1">
        <w:r w:rsidRPr="002479B7">
          <w:rPr>
            <w:rStyle w:val="Hyperlink"/>
            <w:rFonts w:ascii="Arial" w:hAnsi="Arial" w:cs="Arial"/>
            <w:color w:val="1155CC"/>
            <w:shd w:val="clear" w:color="auto" w:fill="FFFFFF"/>
          </w:rPr>
          <w:t>https://www.reuters.com/business/autos-transportation/global-electric-vehicle-sales-up-25-record-2024-2025-01-14/</w:t>
        </w:r>
      </w:hyperlink>
      <w:r w:rsidRPr="002479B7">
        <w:rPr>
          <w:rFonts w:ascii="Arial" w:hAnsi="Arial" w:cs="Arial"/>
          <w:color w:val="222222"/>
          <w:shd w:val="clear" w:color="auto" w:fill="FFFFFF"/>
        </w:rPr>
        <w:t>.  [Accessed on 11.11.2025]</w:t>
      </w:r>
    </w:p>
    <w:p w14:paraId="61848716"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Slattery, M., Dunn, J. and Kendall, A., (2024). Charting the electric vehicle battery reuse and recycling network in North America. </w:t>
      </w:r>
      <w:r w:rsidRPr="002479B7">
        <w:rPr>
          <w:rFonts w:ascii="Arial" w:hAnsi="Arial" w:cs="Arial"/>
          <w:i/>
          <w:iCs/>
          <w:color w:val="222222"/>
          <w:shd w:val="clear" w:color="auto" w:fill="FFFFFF"/>
        </w:rPr>
        <w:t>Waste Management</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174</w:t>
      </w:r>
      <w:r w:rsidRPr="002479B7">
        <w:rPr>
          <w:rFonts w:ascii="Arial" w:hAnsi="Arial" w:cs="Arial"/>
          <w:color w:val="222222"/>
          <w:shd w:val="clear" w:color="auto" w:fill="FFFFFF"/>
        </w:rPr>
        <w:t>, pp.76-87.</w:t>
      </w:r>
      <w:hyperlink r:id="rId49" w:history="1">
        <w:r w:rsidRPr="002479B7">
          <w:rPr>
            <w:rStyle w:val="Hyperlink"/>
            <w:rFonts w:ascii="Arial" w:hAnsi="Arial" w:cs="Arial"/>
            <w:color w:val="1155CC"/>
            <w:shd w:val="clear" w:color="auto" w:fill="FFFFFF"/>
          </w:rPr>
          <w:t>https://www.sciencedirect.com/science/article/pii/S0956053X23006931</w:t>
        </w:r>
      </w:hyperlink>
      <w:r w:rsidRPr="002479B7">
        <w:rPr>
          <w:rFonts w:ascii="Arial" w:hAnsi="Arial" w:cs="Arial"/>
          <w:color w:val="222222"/>
          <w:shd w:val="clear" w:color="auto" w:fill="FFFFFF"/>
        </w:rPr>
        <w:t>. </w:t>
      </w:r>
    </w:p>
    <w:p w14:paraId="343F43DD"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Statista (2025a) </w:t>
      </w:r>
      <w:r w:rsidRPr="002479B7">
        <w:rPr>
          <w:rFonts w:ascii="Arial" w:hAnsi="Arial" w:cs="Arial"/>
          <w:i/>
          <w:iCs/>
          <w:color w:val="222222"/>
          <w:shd w:val="clear" w:color="auto" w:fill="FFFFFF"/>
        </w:rPr>
        <w:t xml:space="preserve">Electric Cars Found to Cut Emissions Drastically, </w:t>
      </w:r>
      <w:r w:rsidRPr="002479B7">
        <w:rPr>
          <w:rFonts w:ascii="Arial" w:hAnsi="Arial" w:cs="Arial"/>
          <w:color w:val="222222"/>
          <w:shd w:val="clear" w:color="auto" w:fill="FFFFFF"/>
        </w:rPr>
        <w:t xml:space="preserve">Available at: </w:t>
      </w:r>
      <w:hyperlink r:id="rId50" w:history="1">
        <w:r w:rsidRPr="002479B7">
          <w:rPr>
            <w:rStyle w:val="Hyperlink"/>
            <w:rFonts w:ascii="Arial" w:hAnsi="Arial" w:cs="Arial"/>
            <w:color w:val="1155CC"/>
            <w:shd w:val="clear" w:color="auto" w:fill="FFFFFF"/>
          </w:rPr>
          <w:t>https://www.statista.com/chart/25412/life-cycle-emissions-savings-of-electric-cars/</w:t>
        </w:r>
      </w:hyperlink>
      <w:r w:rsidRPr="002479B7">
        <w:rPr>
          <w:rFonts w:ascii="Arial" w:hAnsi="Arial" w:cs="Arial"/>
          <w:color w:val="222222"/>
          <w:shd w:val="clear" w:color="auto" w:fill="FFFFFF"/>
        </w:rPr>
        <w:t>.  [Accessed on 11.11.2025]</w:t>
      </w:r>
    </w:p>
    <w:p w14:paraId="7A1B4C33"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Statista (2025b) </w:t>
      </w:r>
      <w:r w:rsidRPr="002479B7">
        <w:rPr>
          <w:rFonts w:ascii="Arial" w:hAnsi="Arial" w:cs="Arial"/>
          <w:i/>
          <w:iCs/>
          <w:color w:val="222222"/>
          <w:shd w:val="clear" w:color="auto" w:fill="FFFFFF"/>
        </w:rPr>
        <w:t xml:space="preserve">5G to Disrupt Auto Industry Most, </w:t>
      </w:r>
      <w:r w:rsidRPr="002479B7">
        <w:rPr>
          <w:rFonts w:ascii="Arial" w:hAnsi="Arial" w:cs="Arial"/>
          <w:color w:val="222222"/>
          <w:shd w:val="clear" w:color="auto" w:fill="FFFFFF"/>
        </w:rPr>
        <w:t xml:space="preserve">Available at: </w:t>
      </w:r>
      <w:hyperlink r:id="rId51" w:history="1">
        <w:r w:rsidRPr="002479B7">
          <w:rPr>
            <w:rStyle w:val="Hyperlink"/>
            <w:rFonts w:ascii="Arial" w:hAnsi="Arial" w:cs="Arial"/>
            <w:color w:val="1155CC"/>
            <w:shd w:val="clear" w:color="auto" w:fill="FFFFFF"/>
          </w:rPr>
          <w:t>https://www.statista.com/chart/23424/share-of-it-executives-expecting-5g-disruptions-to-different-industries/?srsltid=AfmBOorrwyujDMLaqiuYGSqAOjv3S6sJ09jGkG63ohByrSO8dkULb8C-</w:t>
        </w:r>
      </w:hyperlink>
      <w:r w:rsidRPr="002479B7">
        <w:rPr>
          <w:rFonts w:ascii="Arial" w:hAnsi="Arial" w:cs="Arial"/>
          <w:color w:val="222222"/>
          <w:shd w:val="clear" w:color="auto" w:fill="FFFFFF"/>
        </w:rPr>
        <w:t>.  [Accessed on 11.11.2025]</w:t>
      </w:r>
    </w:p>
    <w:p w14:paraId="04473558"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Statista (2025c) </w:t>
      </w:r>
      <w:r w:rsidRPr="002479B7">
        <w:rPr>
          <w:rFonts w:ascii="Arial" w:hAnsi="Arial" w:cs="Arial"/>
          <w:i/>
          <w:iCs/>
          <w:color w:val="222222"/>
          <w:shd w:val="clear" w:color="auto" w:fill="FFFFFF"/>
        </w:rPr>
        <w:t xml:space="preserve">Ford Announces Restructuring to Catch Up With EV Leaders, </w:t>
      </w:r>
      <w:r w:rsidRPr="002479B7">
        <w:rPr>
          <w:rFonts w:ascii="Arial" w:hAnsi="Arial" w:cs="Arial"/>
          <w:color w:val="222222"/>
          <w:shd w:val="clear" w:color="auto" w:fill="FFFFFF"/>
        </w:rPr>
        <w:t xml:space="preserve">Available at: </w:t>
      </w:r>
      <w:hyperlink r:id="rId52" w:history="1">
        <w:r w:rsidRPr="002479B7">
          <w:rPr>
            <w:rStyle w:val="Hyperlink"/>
            <w:rFonts w:ascii="Arial" w:hAnsi="Arial" w:cs="Arial"/>
            <w:color w:val="1155CC"/>
            <w:shd w:val="clear" w:color="auto" w:fill="FFFFFF"/>
          </w:rPr>
          <w:t>https://www.statista.com/chart/26981/top-electric-vehicle-</w:t>
        </w:r>
        <w:r w:rsidRPr="002479B7">
          <w:rPr>
            <w:rStyle w:val="Hyperlink"/>
            <w:rFonts w:ascii="Arial" w:hAnsi="Arial" w:cs="Arial"/>
            <w:color w:val="1155CC"/>
            <w:shd w:val="clear" w:color="auto" w:fill="FFFFFF"/>
          </w:rPr>
          <w:lastRenderedPageBreak/>
          <w:t>makers/?srsltid=AfmBOoougAL0Q7PPJd-pVkg5vPiqPsjoJp6buvs91WiSb43BCXkNcjYa</w:t>
        </w:r>
      </w:hyperlink>
      <w:r w:rsidRPr="002479B7">
        <w:rPr>
          <w:rFonts w:ascii="Arial" w:hAnsi="Arial" w:cs="Arial"/>
          <w:color w:val="222222"/>
          <w:shd w:val="clear" w:color="auto" w:fill="FFFFFF"/>
        </w:rPr>
        <w:t>.  [Accessed on 11.11.2025]</w:t>
      </w:r>
    </w:p>
    <w:p w14:paraId="3AD62B57"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Statista (2025d)</w:t>
      </w:r>
      <w:r w:rsidRPr="002479B7">
        <w:rPr>
          <w:rFonts w:ascii="Arial" w:hAnsi="Arial" w:cs="Arial"/>
          <w:i/>
          <w:iCs/>
          <w:color w:val="222222"/>
          <w:shd w:val="clear" w:color="auto" w:fill="FFFFFF"/>
        </w:rPr>
        <w:t xml:space="preserve"> Tesla Is Dominating U.S. Electric Vehicle Sales, </w:t>
      </w:r>
      <w:r w:rsidRPr="002479B7">
        <w:rPr>
          <w:rFonts w:ascii="Arial" w:hAnsi="Arial" w:cs="Arial"/>
          <w:color w:val="222222"/>
          <w:shd w:val="clear" w:color="auto" w:fill="FFFFFF"/>
        </w:rPr>
        <w:t xml:space="preserve">Available at: </w:t>
      </w:r>
      <w:hyperlink r:id="rId53" w:history="1">
        <w:r w:rsidRPr="002479B7">
          <w:rPr>
            <w:rStyle w:val="Hyperlink"/>
            <w:rFonts w:ascii="Arial" w:hAnsi="Arial" w:cs="Arial"/>
            <w:color w:val="1155CC"/>
            <w:shd w:val="clear" w:color="auto" w:fill="FFFFFF"/>
          </w:rPr>
          <w:t>https://www.statista.com/chart/18361/electric-cars-sales-by-type/?srsltid=AfmBOooBCKuAtd-CXuGIwiLZn1MWkqHipLGtlha8GNBk5qzo0RS4TBjw</w:t>
        </w:r>
      </w:hyperlink>
      <w:r w:rsidRPr="002479B7">
        <w:rPr>
          <w:rFonts w:ascii="Arial" w:hAnsi="Arial" w:cs="Arial"/>
          <w:color w:val="222222"/>
          <w:shd w:val="clear" w:color="auto" w:fill="FFFFFF"/>
        </w:rPr>
        <w:t>.  [Accessed on 11.11.2025]</w:t>
      </w:r>
    </w:p>
    <w:p w14:paraId="45496F30"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Stocker, M. and Erdélyi, Á., 2024. The influence of perceived macro environment on the competitiveness of internationalized medium-sized and large enterprises. </w:t>
      </w:r>
      <w:r w:rsidRPr="002479B7">
        <w:rPr>
          <w:rFonts w:ascii="Arial" w:hAnsi="Arial" w:cs="Arial"/>
          <w:i/>
          <w:iCs/>
          <w:color w:val="222222"/>
          <w:shd w:val="clear" w:color="auto" w:fill="FFFFFF"/>
        </w:rPr>
        <w:t>Administrative Sciences</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14</w:t>
      </w:r>
      <w:r w:rsidRPr="002479B7">
        <w:rPr>
          <w:rFonts w:ascii="Arial" w:hAnsi="Arial" w:cs="Arial"/>
          <w:color w:val="222222"/>
          <w:shd w:val="clear" w:color="auto" w:fill="FFFFFF"/>
        </w:rPr>
        <w:t>(6), p.116.</w:t>
      </w:r>
      <w:hyperlink r:id="rId54" w:history="1">
        <w:r w:rsidRPr="002479B7">
          <w:rPr>
            <w:rStyle w:val="Hyperlink"/>
            <w:rFonts w:ascii="Arial" w:hAnsi="Arial" w:cs="Arial"/>
            <w:color w:val="1155CC"/>
            <w:shd w:val="clear" w:color="auto" w:fill="FFFFFF"/>
          </w:rPr>
          <w:t>https://www.mdpi.com/2076-3387/14/6/116</w:t>
        </w:r>
      </w:hyperlink>
      <w:r w:rsidRPr="002479B7">
        <w:rPr>
          <w:rFonts w:ascii="Arial" w:hAnsi="Arial" w:cs="Arial"/>
          <w:color w:val="222222"/>
          <w:shd w:val="clear" w:color="auto" w:fill="FFFFFF"/>
        </w:rPr>
        <w:t>. </w:t>
      </w:r>
    </w:p>
    <w:p w14:paraId="2D3B6253"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Tetteh, C., Tasavori, M., Bhattarai, C.R., Zaefarian, R. and Rajwani, T., (2024). How do environmental factors shape entrepreneurial intention? A review and future research. </w:t>
      </w:r>
      <w:r w:rsidRPr="002479B7">
        <w:rPr>
          <w:rFonts w:ascii="Arial" w:hAnsi="Arial" w:cs="Arial"/>
          <w:i/>
          <w:iCs/>
          <w:color w:val="222222"/>
          <w:shd w:val="clear" w:color="auto" w:fill="FFFFFF"/>
        </w:rPr>
        <w:t>International Entrepreneurship and Management Journal</w:t>
      </w:r>
      <w:r w:rsidRPr="002479B7">
        <w:rPr>
          <w:rFonts w:ascii="Arial" w:hAnsi="Arial" w:cs="Arial"/>
          <w:color w:val="222222"/>
          <w:shd w:val="clear" w:color="auto" w:fill="FFFFFF"/>
        </w:rPr>
        <w:t xml:space="preserve">, </w:t>
      </w:r>
      <w:r w:rsidRPr="002479B7">
        <w:rPr>
          <w:rFonts w:ascii="Arial" w:hAnsi="Arial" w:cs="Arial"/>
          <w:i/>
          <w:iCs/>
          <w:color w:val="222222"/>
          <w:shd w:val="clear" w:color="auto" w:fill="FFFFFF"/>
        </w:rPr>
        <w:t>20</w:t>
      </w:r>
      <w:r w:rsidRPr="002479B7">
        <w:rPr>
          <w:rFonts w:ascii="Arial" w:hAnsi="Arial" w:cs="Arial"/>
          <w:color w:val="222222"/>
          <w:shd w:val="clear" w:color="auto" w:fill="FFFFFF"/>
        </w:rPr>
        <w:t>(4), pp.2955-2977.</w:t>
      </w:r>
      <w:hyperlink r:id="rId55" w:history="1">
        <w:r w:rsidRPr="002479B7">
          <w:rPr>
            <w:rStyle w:val="Hyperlink"/>
            <w:rFonts w:ascii="Arial" w:hAnsi="Arial" w:cs="Arial"/>
            <w:color w:val="1155CC"/>
            <w:shd w:val="clear" w:color="auto" w:fill="FFFFFF"/>
          </w:rPr>
          <w:t>https://link.springer.com/content/pdf/10.1007/s11365-024-01002-3.pdf</w:t>
        </w:r>
      </w:hyperlink>
      <w:r w:rsidRPr="002479B7">
        <w:rPr>
          <w:rFonts w:ascii="Arial" w:hAnsi="Arial" w:cs="Arial"/>
          <w:color w:val="222222"/>
          <w:shd w:val="clear" w:color="auto" w:fill="FFFFFF"/>
        </w:rPr>
        <w:t>. </w:t>
      </w:r>
    </w:p>
    <w:p w14:paraId="5A37D47B"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Thewire (2025) </w:t>
      </w:r>
      <w:r w:rsidRPr="002479B7">
        <w:rPr>
          <w:rFonts w:ascii="Arial" w:hAnsi="Arial" w:cs="Arial"/>
          <w:i/>
          <w:iCs/>
          <w:color w:val="222222"/>
          <w:shd w:val="clear" w:color="auto" w:fill="FFFFFF"/>
        </w:rPr>
        <w:t xml:space="preserve">Building on Equipment, Leading with Technology: Industry Leaders Explore New Pathways for High-Quality Automotive Development, </w:t>
      </w:r>
      <w:r w:rsidRPr="002479B7">
        <w:rPr>
          <w:rFonts w:ascii="Arial" w:hAnsi="Arial" w:cs="Arial"/>
          <w:color w:val="222222"/>
          <w:shd w:val="clear" w:color="auto" w:fill="FFFFFF"/>
        </w:rPr>
        <w:t xml:space="preserve">Available at: </w:t>
      </w:r>
      <w:hyperlink r:id="rId56" w:history="1">
        <w:r w:rsidRPr="002479B7">
          <w:rPr>
            <w:rStyle w:val="Hyperlink"/>
            <w:rFonts w:ascii="Arial" w:hAnsi="Arial" w:cs="Arial"/>
            <w:color w:val="1155CC"/>
            <w:shd w:val="clear" w:color="auto" w:fill="FFFFFF"/>
          </w:rPr>
          <w:t>https://thewire.in/ptiprnews/building-on-equipment-leading-with-technology-industry-leaders-explore-new-pathways-for-high-quality-automotive-development</w:t>
        </w:r>
      </w:hyperlink>
      <w:r w:rsidRPr="002479B7">
        <w:rPr>
          <w:rFonts w:ascii="Arial" w:hAnsi="Arial" w:cs="Arial"/>
          <w:color w:val="222222"/>
          <w:shd w:val="clear" w:color="auto" w:fill="FFFFFF"/>
        </w:rPr>
        <w:t>.  [Accessed on 11.11.2025]</w:t>
      </w:r>
    </w:p>
    <w:p w14:paraId="2ADF53B8" w14:textId="77777777" w:rsidR="00A57E06" w:rsidRPr="002479B7" w:rsidRDefault="00A57E06" w:rsidP="00A57E06">
      <w:pPr>
        <w:pStyle w:val="NormalWeb"/>
        <w:spacing w:before="0" w:beforeAutospacing="0" w:after="0" w:afterAutospacing="0" w:line="360" w:lineRule="auto"/>
        <w:jc w:val="both"/>
        <w:rPr>
          <w:rFonts w:ascii="Arial" w:hAnsi="Arial" w:cs="Arial"/>
        </w:rPr>
      </w:pPr>
      <w:r w:rsidRPr="002479B7">
        <w:rPr>
          <w:rFonts w:ascii="Arial" w:hAnsi="Arial" w:cs="Arial"/>
          <w:color w:val="222222"/>
          <w:shd w:val="clear" w:color="auto" w:fill="FFFFFF"/>
        </w:rPr>
        <w:t xml:space="preserve">Yahho Finance (2025) </w:t>
      </w:r>
      <w:r w:rsidRPr="002479B7">
        <w:rPr>
          <w:rFonts w:ascii="Arial" w:hAnsi="Arial" w:cs="Arial"/>
          <w:i/>
          <w:iCs/>
          <w:color w:val="222222"/>
          <w:shd w:val="clear" w:color="auto" w:fill="FFFFFF"/>
        </w:rPr>
        <w:t xml:space="preserve">5 Ways To Invest in the Tesla Ecosystem and Maximize Your Returns, </w:t>
      </w:r>
      <w:r w:rsidRPr="002479B7">
        <w:rPr>
          <w:rFonts w:ascii="Arial" w:hAnsi="Arial" w:cs="Arial"/>
          <w:color w:val="222222"/>
          <w:shd w:val="clear" w:color="auto" w:fill="FFFFFF"/>
        </w:rPr>
        <w:t xml:space="preserve">Available at: </w:t>
      </w:r>
      <w:hyperlink r:id="rId57" w:history="1">
        <w:r w:rsidRPr="002479B7">
          <w:rPr>
            <w:rStyle w:val="Hyperlink"/>
            <w:rFonts w:ascii="Arial" w:hAnsi="Arial" w:cs="Arial"/>
            <w:color w:val="1155CC"/>
            <w:shd w:val="clear" w:color="auto" w:fill="FFFFFF"/>
          </w:rPr>
          <w:t>https://finance.yahoo.com/news/5-ways-invest-tesla-ecosystem-133057327.html</w:t>
        </w:r>
      </w:hyperlink>
      <w:r w:rsidRPr="002479B7">
        <w:rPr>
          <w:rFonts w:ascii="Arial" w:hAnsi="Arial" w:cs="Arial"/>
          <w:color w:val="222222"/>
          <w:shd w:val="clear" w:color="auto" w:fill="FFFFFF"/>
        </w:rPr>
        <w:t>.  [Accessed on 11.11.2025]</w:t>
      </w:r>
    </w:p>
    <w:p w14:paraId="74884752" w14:textId="77777777" w:rsidR="006A6809" w:rsidRPr="002479B7" w:rsidRDefault="006A6809" w:rsidP="006A6809">
      <w:pPr>
        <w:rPr>
          <w:rFonts w:ascii="Arial" w:hAnsi="Arial" w:cs="Arial"/>
          <w:lang w:val="en-GB"/>
        </w:rPr>
      </w:pPr>
    </w:p>
    <w:sectPr w:rsidR="006A6809" w:rsidRPr="002479B7" w:rsidSect="0021671F">
      <w:footerReference w:type="default" r:id="rId5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F4027" w14:textId="77777777" w:rsidR="00A372C2" w:rsidRDefault="00A372C2">
      <w:pPr>
        <w:spacing w:line="240" w:lineRule="auto"/>
      </w:pPr>
      <w:r>
        <w:separator/>
      </w:r>
    </w:p>
  </w:endnote>
  <w:endnote w:type="continuationSeparator" w:id="0">
    <w:p w14:paraId="099712C0" w14:textId="77777777" w:rsidR="00A372C2" w:rsidRDefault="00A372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58D4DA7-EC00-426E-9531-601F30791E06}"/>
  </w:font>
  <w:font w:name="Shruti">
    <w:panose1 w:val="020B0502040204020203"/>
    <w:charset w:val="00"/>
    <w:family w:val="swiss"/>
    <w:pitch w:val="variable"/>
    <w:sig w:usb0="00040003" w:usb1="00000000" w:usb2="00000000" w:usb3="00000000" w:csb0="00000001" w:csb1="00000000"/>
    <w:embedRegular r:id="rId2" w:fontKey="{B1CFE23F-A0C3-4BF3-A3BF-493EC5382EB8}"/>
  </w:font>
  <w:font w:name="Cambria">
    <w:panose1 w:val="02040503050406030204"/>
    <w:charset w:val="00"/>
    <w:family w:val="roman"/>
    <w:pitch w:val="variable"/>
    <w:sig w:usb0="E00006FF" w:usb1="420024FF" w:usb2="02000000" w:usb3="00000000" w:csb0="0000019F" w:csb1="00000000"/>
    <w:embedRegular r:id="rId3" w:fontKey="{A7E38D83-78EC-4164-A416-7BF521CC880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3689106"/>
      <w:docPartObj>
        <w:docPartGallery w:val="Page Numbers (Bottom of Page)"/>
        <w:docPartUnique/>
      </w:docPartObj>
    </w:sdtPr>
    <w:sdtEndPr>
      <w:rPr>
        <w:noProof/>
      </w:rPr>
    </w:sdtEndPr>
    <w:sdtContent>
      <w:p w14:paraId="5548AEFB" w14:textId="7A37876F" w:rsidR="0021671F" w:rsidRDefault="0021671F">
        <w:pPr>
          <w:pStyle w:val="Footer"/>
          <w:jc w:val="right"/>
        </w:pPr>
        <w:r>
          <w:fldChar w:fldCharType="begin"/>
        </w:r>
        <w:r>
          <w:instrText xml:space="preserve"> PAGE   \* MERGEFORMAT </w:instrText>
        </w:r>
        <w:r>
          <w:fldChar w:fldCharType="separate"/>
        </w:r>
        <w:r w:rsidR="007C484A">
          <w:rPr>
            <w:noProof/>
          </w:rPr>
          <w:t>2</w:t>
        </w:r>
        <w:r>
          <w:rPr>
            <w:noProof/>
          </w:rPr>
          <w:fldChar w:fldCharType="end"/>
        </w:r>
      </w:p>
    </w:sdtContent>
  </w:sdt>
  <w:p w14:paraId="308B1089" w14:textId="77777777" w:rsidR="0021671F" w:rsidRDefault="002167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F195A" w14:textId="77777777" w:rsidR="00A372C2" w:rsidRDefault="00A372C2">
      <w:pPr>
        <w:spacing w:line="240" w:lineRule="auto"/>
      </w:pPr>
      <w:r>
        <w:separator/>
      </w:r>
    </w:p>
  </w:footnote>
  <w:footnote w:type="continuationSeparator" w:id="0">
    <w:p w14:paraId="5364A232" w14:textId="77777777" w:rsidR="00A372C2" w:rsidRDefault="00A372C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413CA"/>
    <w:multiLevelType w:val="multilevel"/>
    <w:tmpl w:val="79923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BB67691"/>
    <w:multiLevelType w:val="multilevel"/>
    <w:tmpl w:val="B37E5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0AD7EB7"/>
    <w:multiLevelType w:val="multilevel"/>
    <w:tmpl w:val="23A4B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03D72EE"/>
    <w:multiLevelType w:val="multilevel"/>
    <w:tmpl w:val="E0303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7C1266"/>
    <w:multiLevelType w:val="multilevel"/>
    <w:tmpl w:val="FB604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2057096"/>
    <w:multiLevelType w:val="multilevel"/>
    <w:tmpl w:val="0E38F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2B43B1B"/>
    <w:multiLevelType w:val="multilevel"/>
    <w:tmpl w:val="7BAAA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F9835B9"/>
    <w:multiLevelType w:val="hybridMultilevel"/>
    <w:tmpl w:val="752ECA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68513FBF"/>
    <w:multiLevelType w:val="multilevel"/>
    <w:tmpl w:val="79923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795912DC"/>
    <w:multiLevelType w:val="multilevel"/>
    <w:tmpl w:val="814A56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6"/>
  </w:num>
  <w:num w:numId="5">
    <w:abstractNumId w:val="10"/>
  </w:num>
  <w:num w:numId="6">
    <w:abstractNumId w:val="9"/>
  </w:num>
  <w:num w:numId="7">
    <w:abstractNumId w:val="5"/>
  </w:num>
  <w:num w:numId="8">
    <w:abstractNumId w:val="7"/>
  </w:num>
  <w:num w:numId="9">
    <w:abstractNumId w:val="8"/>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6A1"/>
    <w:rsid w:val="00011392"/>
    <w:rsid w:val="000306F4"/>
    <w:rsid w:val="000F6279"/>
    <w:rsid w:val="00180D9A"/>
    <w:rsid w:val="00187D52"/>
    <w:rsid w:val="00191A74"/>
    <w:rsid w:val="00193E36"/>
    <w:rsid w:val="001A017C"/>
    <w:rsid w:val="001C07B8"/>
    <w:rsid w:val="001C2B8A"/>
    <w:rsid w:val="001E3879"/>
    <w:rsid w:val="0021671F"/>
    <w:rsid w:val="00224CE5"/>
    <w:rsid w:val="002479B7"/>
    <w:rsid w:val="00320EF2"/>
    <w:rsid w:val="00341164"/>
    <w:rsid w:val="00371A8F"/>
    <w:rsid w:val="00411DAA"/>
    <w:rsid w:val="00436765"/>
    <w:rsid w:val="00457490"/>
    <w:rsid w:val="00471ABF"/>
    <w:rsid w:val="004C22D7"/>
    <w:rsid w:val="0059097C"/>
    <w:rsid w:val="005978C2"/>
    <w:rsid w:val="005A3B5E"/>
    <w:rsid w:val="005F4D99"/>
    <w:rsid w:val="00627BC4"/>
    <w:rsid w:val="0064314F"/>
    <w:rsid w:val="006A6809"/>
    <w:rsid w:val="006B7CF7"/>
    <w:rsid w:val="006C35B5"/>
    <w:rsid w:val="0074096D"/>
    <w:rsid w:val="00763821"/>
    <w:rsid w:val="00763E43"/>
    <w:rsid w:val="007807DF"/>
    <w:rsid w:val="007A220E"/>
    <w:rsid w:val="007A7271"/>
    <w:rsid w:val="007C484A"/>
    <w:rsid w:val="00833B18"/>
    <w:rsid w:val="00865541"/>
    <w:rsid w:val="00873445"/>
    <w:rsid w:val="008A44C2"/>
    <w:rsid w:val="008B5F30"/>
    <w:rsid w:val="008C0DB7"/>
    <w:rsid w:val="008D676F"/>
    <w:rsid w:val="008E25BC"/>
    <w:rsid w:val="008E3D50"/>
    <w:rsid w:val="008E60C8"/>
    <w:rsid w:val="008F5ADA"/>
    <w:rsid w:val="00915FE0"/>
    <w:rsid w:val="0092502A"/>
    <w:rsid w:val="00941A94"/>
    <w:rsid w:val="00981DAD"/>
    <w:rsid w:val="009864FC"/>
    <w:rsid w:val="009912C4"/>
    <w:rsid w:val="009D44B1"/>
    <w:rsid w:val="00A028D5"/>
    <w:rsid w:val="00A11A6B"/>
    <w:rsid w:val="00A372C2"/>
    <w:rsid w:val="00A5007A"/>
    <w:rsid w:val="00A57E06"/>
    <w:rsid w:val="00A67CF4"/>
    <w:rsid w:val="00AC317B"/>
    <w:rsid w:val="00B25CDE"/>
    <w:rsid w:val="00BB174A"/>
    <w:rsid w:val="00BB7A54"/>
    <w:rsid w:val="00C65303"/>
    <w:rsid w:val="00CB66A1"/>
    <w:rsid w:val="00D23C56"/>
    <w:rsid w:val="00D42DB1"/>
    <w:rsid w:val="00DC10C9"/>
    <w:rsid w:val="00DF31E1"/>
    <w:rsid w:val="00DF5131"/>
    <w:rsid w:val="00E96F1E"/>
    <w:rsid w:val="00EB1650"/>
    <w:rsid w:val="00F64F18"/>
    <w:rsid w:val="00F73F51"/>
    <w:rsid w:val="00FB0B8F"/>
    <w:rsid w:val="00FC52FD"/>
    <w:rsid w:val="00FE1859"/>
    <w:rsid w:val="00FE240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8A48"/>
  <w15:docId w15:val="{4E575CE9-5719-4F68-A659-3B1084F12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rsid w:val="00D23C56"/>
    <w:pPr>
      <w:keepNext/>
      <w:keepLines/>
      <w:spacing w:before="320" w:after="80"/>
      <w:outlineLvl w:val="2"/>
    </w:pPr>
    <w:rPr>
      <w:b/>
      <w:i/>
      <w:color w:val="434343"/>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E60C8"/>
    <w:pPr>
      <w:tabs>
        <w:tab w:val="center" w:pos="4513"/>
        <w:tab w:val="right" w:pos="9026"/>
      </w:tabs>
      <w:spacing w:line="240" w:lineRule="auto"/>
    </w:pPr>
  </w:style>
  <w:style w:type="character" w:customStyle="1" w:styleId="HeaderChar">
    <w:name w:val="Header Char"/>
    <w:basedOn w:val="DefaultParagraphFont"/>
    <w:link w:val="Header"/>
    <w:uiPriority w:val="99"/>
    <w:rsid w:val="008E60C8"/>
  </w:style>
  <w:style w:type="paragraph" w:styleId="Footer">
    <w:name w:val="footer"/>
    <w:basedOn w:val="Normal"/>
    <w:link w:val="FooterChar"/>
    <w:uiPriority w:val="99"/>
    <w:unhideWhenUsed/>
    <w:rsid w:val="008E60C8"/>
    <w:pPr>
      <w:tabs>
        <w:tab w:val="center" w:pos="4513"/>
        <w:tab w:val="right" w:pos="9026"/>
      </w:tabs>
      <w:spacing w:line="240" w:lineRule="auto"/>
    </w:pPr>
  </w:style>
  <w:style w:type="character" w:customStyle="1" w:styleId="FooterChar">
    <w:name w:val="Footer Char"/>
    <w:basedOn w:val="DefaultParagraphFont"/>
    <w:link w:val="Footer"/>
    <w:uiPriority w:val="99"/>
    <w:rsid w:val="008E60C8"/>
  </w:style>
  <w:style w:type="paragraph" w:styleId="NormalWeb">
    <w:name w:val="Normal (Web)"/>
    <w:basedOn w:val="Normal"/>
    <w:uiPriority w:val="99"/>
    <w:semiHidden/>
    <w:unhideWhenUsed/>
    <w:rsid w:val="005F4D99"/>
    <w:pPr>
      <w:spacing w:before="100" w:beforeAutospacing="1" w:after="100" w:afterAutospacing="1" w:line="240" w:lineRule="auto"/>
      <w:jc w:val="left"/>
    </w:pPr>
    <w:rPr>
      <w:lang w:val="en-IN"/>
    </w:rPr>
  </w:style>
  <w:style w:type="character" w:styleId="Hyperlink">
    <w:name w:val="Hyperlink"/>
    <w:basedOn w:val="DefaultParagraphFont"/>
    <w:uiPriority w:val="99"/>
    <w:unhideWhenUsed/>
    <w:rsid w:val="005F4D99"/>
    <w:rPr>
      <w:color w:val="0000FF"/>
      <w:u w:val="single"/>
    </w:rPr>
  </w:style>
  <w:style w:type="paragraph" w:styleId="TOCHeading">
    <w:name w:val="TOC Heading"/>
    <w:basedOn w:val="Heading1"/>
    <w:next w:val="Normal"/>
    <w:uiPriority w:val="39"/>
    <w:unhideWhenUsed/>
    <w:qFormat/>
    <w:rsid w:val="008C0DB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C0DB7"/>
    <w:pPr>
      <w:spacing w:after="100"/>
    </w:pPr>
  </w:style>
  <w:style w:type="paragraph" w:styleId="TOC2">
    <w:name w:val="toc 2"/>
    <w:basedOn w:val="Normal"/>
    <w:next w:val="Normal"/>
    <w:autoRedefine/>
    <w:uiPriority w:val="39"/>
    <w:unhideWhenUsed/>
    <w:rsid w:val="008C0DB7"/>
    <w:pPr>
      <w:spacing w:after="100"/>
      <w:ind w:left="240"/>
    </w:pPr>
  </w:style>
  <w:style w:type="character" w:styleId="CommentReference">
    <w:name w:val="annotation reference"/>
    <w:basedOn w:val="DefaultParagraphFont"/>
    <w:uiPriority w:val="99"/>
    <w:semiHidden/>
    <w:unhideWhenUsed/>
    <w:rsid w:val="00763E43"/>
    <w:rPr>
      <w:sz w:val="16"/>
      <w:szCs w:val="16"/>
    </w:rPr>
  </w:style>
  <w:style w:type="paragraph" w:styleId="CommentText">
    <w:name w:val="annotation text"/>
    <w:basedOn w:val="Normal"/>
    <w:link w:val="CommentTextChar"/>
    <w:uiPriority w:val="99"/>
    <w:semiHidden/>
    <w:unhideWhenUsed/>
    <w:rsid w:val="00763E43"/>
    <w:pPr>
      <w:spacing w:line="240" w:lineRule="auto"/>
    </w:pPr>
    <w:rPr>
      <w:sz w:val="20"/>
      <w:szCs w:val="20"/>
    </w:rPr>
  </w:style>
  <w:style w:type="character" w:customStyle="1" w:styleId="CommentTextChar">
    <w:name w:val="Comment Text Char"/>
    <w:basedOn w:val="DefaultParagraphFont"/>
    <w:link w:val="CommentText"/>
    <w:uiPriority w:val="99"/>
    <w:semiHidden/>
    <w:rsid w:val="00763E43"/>
    <w:rPr>
      <w:sz w:val="20"/>
      <w:szCs w:val="20"/>
    </w:rPr>
  </w:style>
  <w:style w:type="paragraph" w:styleId="CommentSubject">
    <w:name w:val="annotation subject"/>
    <w:basedOn w:val="CommentText"/>
    <w:next w:val="CommentText"/>
    <w:link w:val="CommentSubjectChar"/>
    <w:uiPriority w:val="99"/>
    <w:semiHidden/>
    <w:unhideWhenUsed/>
    <w:rsid w:val="00763E43"/>
    <w:rPr>
      <w:b/>
      <w:bCs/>
    </w:rPr>
  </w:style>
  <w:style w:type="character" w:customStyle="1" w:styleId="CommentSubjectChar">
    <w:name w:val="Comment Subject Char"/>
    <w:basedOn w:val="CommentTextChar"/>
    <w:link w:val="CommentSubject"/>
    <w:uiPriority w:val="99"/>
    <w:semiHidden/>
    <w:rsid w:val="00763E43"/>
    <w:rPr>
      <w:b/>
      <w:bCs/>
      <w:sz w:val="20"/>
      <w:szCs w:val="20"/>
    </w:rPr>
  </w:style>
  <w:style w:type="paragraph" w:styleId="ListParagraph">
    <w:name w:val="List Paragraph"/>
    <w:basedOn w:val="Normal"/>
    <w:uiPriority w:val="34"/>
    <w:qFormat/>
    <w:rsid w:val="00471ABF"/>
    <w:pPr>
      <w:ind w:left="720"/>
      <w:contextualSpacing/>
    </w:pPr>
  </w:style>
  <w:style w:type="paragraph" w:styleId="TOC3">
    <w:name w:val="toc 3"/>
    <w:basedOn w:val="Normal"/>
    <w:next w:val="Normal"/>
    <w:autoRedefine/>
    <w:uiPriority w:val="39"/>
    <w:unhideWhenUsed/>
    <w:rsid w:val="00D23C5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evboosters.com/ev-charging-news/electric-vehicle-sales-forecast-to-hit-30-million-by-2027-as-global-adoption-accelerates/" TargetMode="External"/><Relationship Id="rId21" Type="http://schemas.openxmlformats.org/officeDocument/2006/relationships/image" Target="media/image14.png"/><Relationship Id="rId34" Type="http://schemas.openxmlformats.org/officeDocument/2006/relationships/hyperlink" Target="https://f.letmeprint.ru/261509496-dd9247aa/fragment_9671009.pdf" TargetMode="External"/><Relationship Id="rId42" Type="http://schemas.openxmlformats.org/officeDocument/2006/relationships/hyperlink" Target="https://www.leadintelligent.com/en/global-ev-record-breaking-sales-in-2024-and-outlook-for-2025/" TargetMode="External"/><Relationship Id="rId47" Type="http://schemas.openxmlformats.org/officeDocument/2006/relationships/hyperlink" Target="https://f1000research.com/articles/14-97/pdf" TargetMode="External"/><Relationship Id="rId50" Type="http://schemas.openxmlformats.org/officeDocument/2006/relationships/hyperlink" Target="https://www.statista.com/chart/25412/life-cycle-emissions-savings-of-electric-cars/" TargetMode="External"/><Relationship Id="rId55" Type="http://schemas.openxmlformats.org/officeDocument/2006/relationships/hyperlink" Target="https://link.springer.com/content/pdf/10.1007/s11365-024-01002-3.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ainvest.com/news/tesla-plans-80-billion-investment-2024-100-billion-ai-2506/"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cbtnews.com/ford-powers-into-2025-with-record-ev-sales-and-a-6-retail-boost/" TargetMode="External"/><Relationship Id="rId37" Type="http://schemas.openxmlformats.org/officeDocument/2006/relationships/hyperlink" Target="https://www.deloitte.com/us/en/insights/industry/telecommunications/connectivity-mobile-trends-survey.html" TargetMode="External"/><Relationship Id="rId40" Type="http://schemas.openxmlformats.org/officeDocument/2006/relationships/hyperlink" Target="https://www.factcheck.org/2024/02/electric-vehicles-contribute-fewer-emissions-than-gasoline-powered-cars-over-their-lifetimes/" TargetMode="External"/><Relationship Id="rId45" Type="http://schemas.openxmlformats.org/officeDocument/2006/relationships/hyperlink" Target="https://www.erudit.org/en/journals/cjils/2024-v47-n2-cjils09826/1115996ar.pdf" TargetMode="External"/><Relationship Id="rId53" Type="http://schemas.openxmlformats.org/officeDocument/2006/relationships/hyperlink" Target="https://www.statista.com/chart/18361/electric-cars-sales-by-type/?srsltid=AfmBOooBCKuAtd-CXuGIwiLZn1MWkqHipLGtlha8GNBk5qzo0RS4TBjw"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am-online.com/news/volkswagen-and-ford-will-struggle-to-meet-new-eu-emission-targets" TargetMode="External"/><Relationship Id="rId35" Type="http://schemas.openxmlformats.org/officeDocument/2006/relationships/hyperlink" Target="https://www.cnbc.com/2025/09/08/volkswagen-targets-dominance-in-europe-with-affordable-ev-push.html" TargetMode="External"/><Relationship Id="rId43" Type="http://schemas.openxmlformats.org/officeDocument/2006/relationships/hyperlink" Target="https://www.atlantis-press.com/article/126012784.pdf" TargetMode="External"/><Relationship Id="rId48" Type="http://schemas.openxmlformats.org/officeDocument/2006/relationships/hyperlink" Target="https://www.reuters.com/business/autos-transportation/global-electric-vehicle-sales-up-25-record-2024-2025-01-14/" TargetMode="External"/><Relationship Id="rId56" Type="http://schemas.openxmlformats.org/officeDocument/2006/relationships/hyperlink" Target="https://thewire.in/ptiprnews/building-on-equipment-leading-with-technology-industry-leaders-explore-new-pathways-for-high-quality-automotive-development" TargetMode="External"/><Relationship Id="rId8" Type="http://schemas.openxmlformats.org/officeDocument/2006/relationships/image" Target="media/image1.png"/><Relationship Id="rId51" Type="http://schemas.openxmlformats.org/officeDocument/2006/relationships/hyperlink" Target="https://www.statista.com/chart/23420/share-of-it-executives-expecting-5g-disruptions-to-different-industries/?srsltid=AfmBOorrwyujDMLaqiuYGSqAOjv3S6sJ09jGkG63ohByrSO8dkULb8C-"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link.springer.com/content/pdf/10.1186/s12951-024-02567-5.pdf" TargetMode="External"/><Relationship Id="rId38" Type="http://schemas.openxmlformats.org/officeDocument/2006/relationships/hyperlink" Target="https://www.europarl.europa.eu/topics/en/article/20190313STO31218/co2-emissions-from-cars-facts-and-figures-infographics" TargetMode="External"/><Relationship Id="rId46" Type="http://schemas.openxmlformats.org/officeDocument/2006/relationships/hyperlink" Target="https://www.pvknowhow.com/news/impressive-byd-energy-storage-300mwh-plan-is-essential/" TargetMode="External"/><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onlinelibrary.wiley.com/doi/pdfdirect/10.1002/bse.3750" TargetMode="External"/><Relationship Id="rId54" Type="http://schemas.openxmlformats.org/officeDocument/2006/relationships/hyperlink" Target="https://www.mdpi.com/2076-3387/14/6/11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sssjournal.com/files/sssjournal/e5935340-8b65-4cf6-a1c1-cf266026257d.pdf" TargetMode="External"/><Relationship Id="rId36" Type="http://schemas.openxmlformats.org/officeDocument/2006/relationships/hyperlink" Target="https://www.academia.edu/download/67341664/s0883-9026_2898_2900015-920210516-3730-rx3scc.pdf" TargetMode="External"/><Relationship Id="rId49" Type="http://schemas.openxmlformats.org/officeDocument/2006/relationships/hyperlink" Target="https://www.sciencedirect.com/science/article/pii/S0956053X23006931" TargetMode="External"/><Relationship Id="rId57" Type="http://schemas.openxmlformats.org/officeDocument/2006/relationships/hyperlink" Target="https://finance.yahoo.com/news/5-ways-invest-tesla-ecosystem-133057327.html" TargetMode="External"/><Relationship Id="rId10" Type="http://schemas.openxmlformats.org/officeDocument/2006/relationships/image" Target="media/image3.png"/><Relationship Id="rId31" Type="http://schemas.openxmlformats.org/officeDocument/2006/relationships/hyperlink" Target="https://www.mdpi.com/2071-1050/16/7/3096" TargetMode="External"/><Relationship Id="rId44" Type="http://schemas.openxmlformats.org/officeDocument/2006/relationships/hyperlink" Target="https://market.us/report/ai-in-automotive-market/" TargetMode="External"/><Relationship Id="rId52" Type="http://schemas.openxmlformats.org/officeDocument/2006/relationships/hyperlink" Target="https://www.statista.com/chart/26981/top-electric-vehicle-makers/?srsltid=AfmBOoougAL0Q7PPJd-pVkg5vPiqPsjoJp6buvs91WiSb43BCXkNcjYa" TargetMode="External"/><Relationship Id="rId6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70190-5DFF-487A-BBB7-30188A0C3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4938</Words>
  <Characters>28147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Sagar Tala</dc:creator>
  <cp:lastModifiedBy>Sagar Tala</cp:lastModifiedBy>
  <cp:revision>2</cp:revision>
  <dcterms:created xsi:type="dcterms:W3CDTF">2025-11-17T21:34:00Z</dcterms:created>
  <dcterms:modified xsi:type="dcterms:W3CDTF">2025-11-17T21:34:00Z</dcterms:modified>
</cp:coreProperties>
</file>