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DE8CA" w14:textId="3EA8DBFC" w:rsidR="00D212A4" w:rsidRDefault="00D212A4" w:rsidP="00894CA9">
      <w:pPr>
        <w:spacing w:after="0" w:line="480" w:lineRule="auto"/>
        <w:rPr>
          <w:rFonts w:ascii="Times New Roman" w:hAnsi="Times New Roman"/>
          <w:sz w:val="24"/>
          <w:szCs w:val="24"/>
        </w:rPr>
      </w:pPr>
      <w:r w:rsidRPr="00D212A4">
        <w:rPr>
          <w:rFonts w:ascii="Times New Roman" w:hAnsi="Times New Roman"/>
          <w:noProof/>
          <w:sz w:val="24"/>
          <w:szCs w:val="24"/>
        </w:rPr>
        <mc:AlternateContent>
          <mc:Choice Requires="wps">
            <w:drawing>
              <wp:anchor distT="45720" distB="45720" distL="114300" distR="114300" simplePos="0" relativeHeight="251658240" behindDoc="0" locked="0" layoutInCell="1" allowOverlap="1" wp14:anchorId="11177B7B" wp14:editId="5D0EF1DB">
                <wp:simplePos x="0" y="0"/>
                <wp:positionH relativeFrom="column">
                  <wp:posOffset>-44450</wp:posOffset>
                </wp:positionH>
                <wp:positionV relativeFrom="paragraph">
                  <wp:posOffset>158750</wp:posOffset>
                </wp:positionV>
                <wp:extent cx="6026150" cy="70675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0" cy="7067550"/>
                        </a:xfrm>
                        <a:prstGeom prst="rect">
                          <a:avLst/>
                        </a:prstGeom>
                        <a:solidFill>
                          <a:srgbClr val="FFFFFF"/>
                        </a:solidFill>
                        <a:ln w="9525">
                          <a:solidFill>
                            <a:srgbClr val="000000"/>
                          </a:solidFill>
                          <a:miter lim="800000"/>
                          <a:headEnd/>
                          <a:tailEnd/>
                        </a:ln>
                      </wps:spPr>
                      <wps:txbx>
                        <w:txbxContent>
                          <w:p w14:paraId="57F446E8" w14:textId="2D53728C" w:rsidR="00D212A4" w:rsidRDefault="00D212A4" w:rsidP="00D212A4">
                            <w:pPr>
                              <w:jc w:val="center"/>
                              <w:rPr>
                                <w:rFonts w:ascii="Aharoni" w:hAnsi="Aharoni" w:cs="Aharoni"/>
                                <w:sz w:val="40"/>
                                <w:szCs w:val="40"/>
                              </w:rPr>
                            </w:pPr>
                            <w:proofErr w:type="spellStart"/>
                            <w:r w:rsidRPr="00D212A4">
                              <w:rPr>
                                <w:rFonts w:ascii="Aharoni" w:hAnsi="Aharoni" w:cs="Aharoni" w:hint="cs"/>
                                <w:sz w:val="40"/>
                                <w:szCs w:val="40"/>
                              </w:rPr>
                              <w:t>Andreea</w:t>
                            </w:r>
                            <w:proofErr w:type="spellEnd"/>
                            <w:r w:rsidRPr="00D212A4">
                              <w:rPr>
                                <w:rFonts w:ascii="Aharoni" w:hAnsi="Aharoni" w:cs="Aharoni" w:hint="cs"/>
                                <w:sz w:val="40"/>
                                <w:szCs w:val="40"/>
                              </w:rPr>
                              <w:t xml:space="preserve"> Catalina Paun</w:t>
                            </w:r>
                          </w:p>
                          <w:p w14:paraId="755E31E2" w14:textId="39ACA0D1" w:rsidR="00D212A4" w:rsidRDefault="00D212A4" w:rsidP="00D212A4">
                            <w:pPr>
                              <w:jc w:val="center"/>
                              <w:rPr>
                                <w:rFonts w:ascii="Aharoni" w:hAnsi="Aharoni" w:cs="Aharoni"/>
                                <w:sz w:val="40"/>
                                <w:szCs w:val="40"/>
                              </w:rPr>
                            </w:pPr>
                          </w:p>
                          <w:p w14:paraId="2EA23331" w14:textId="77777777" w:rsidR="00D212A4" w:rsidRPr="00D212A4" w:rsidRDefault="00D212A4" w:rsidP="00D212A4">
                            <w:pPr>
                              <w:jc w:val="center"/>
                              <w:rPr>
                                <w:rFonts w:ascii="Aharoni" w:hAnsi="Aharoni" w:cs="Aharoni" w:hint="cs"/>
                                <w:sz w:val="40"/>
                                <w:szCs w:val="40"/>
                              </w:rPr>
                            </w:pPr>
                          </w:p>
                          <w:p w14:paraId="26807FD3" w14:textId="1F929A4C" w:rsidR="00D212A4" w:rsidRDefault="00D212A4" w:rsidP="00D212A4">
                            <w:pPr>
                              <w:jc w:val="center"/>
                              <w:rPr>
                                <w:rFonts w:ascii="Aharoni" w:hAnsi="Aharoni" w:cs="Aharoni"/>
                                <w:sz w:val="40"/>
                                <w:szCs w:val="40"/>
                              </w:rPr>
                            </w:pPr>
                            <w:r w:rsidRPr="00D212A4">
                              <w:rPr>
                                <w:rFonts w:ascii="Aharoni" w:hAnsi="Aharoni" w:cs="Aharoni" w:hint="cs"/>
                                <w:sz w:val="40"/>
                                <w:szCs w:val="40"/>
                              </w:rPr>
                              <w:t>Student number:1919504</w:t>
                            </w:r>
                          </w:p>
                          <w:p w14:paraId="563611A0" w14:textId="734F13EB" w:rsidR="00D212A4" w:rsidRDefault="00D212A4" w:rsidP="00D212A4">
                            <w:pPr>
                              <w:jc w:val="center"/>
                              <w:rPr>
                                <w:rFonts w:ascii="Aharoni" w:hAnsi="Aharoni" w:cs="Aharoni"/>
                                <w:sz w:val="40"/>
                                <w:szCs w:val="40"/>
                              </w:rPr>
                            </w:pPr>
                          </w:p>
                          <w:p w14:paraId="3BBC14AF" w14:textId="77777777" w:rsidR="00D212A4" w:rsidRPr="00D212A4" w:rsidRDefault="00D212A4" w:rsidP="00D212A4">
                            <w:pPr>
                              <w:jc w:val="center"/>
                              <w:rPr>
                                <w:rFonts w:ascii="Aharoni" w:hAnsi="Aharoni" w:cs="Aharoni" w:hint="cs"/>
                                <w:sz w:val="40"/>
                                <w:szCs w:val="40"/>
                              </w:rPr>
                            </w:pPr>
                          </w:p>
                          <w:p w14:paraId="459FF23D" w14:textId="39725039" w:rsidR="00D212A4" w:rsidRDefault="00D212A4" w:rsidP="00D212A4">
                            <w:pPr>
                              <w:jc w:val="center"/>
                              <w:rPr>
                                <w:rFonts w:ascii="Aharoni" w:hAnsi="Aharoni" w:cs="Aharoni"/>
                                <w:sz w:val="40"/>
                                <w:szCs w:val="40"/>
                              </w:rPr>
                            </w:pPr>
                            <w:r w:rsidRPr="00D212A4">
                              <w:rPr>
                                <w:rFonts w:ascii="Aharoni" w:hAnsi="Aharoni" w:cs="Aharoni" w:hint="cs"/>
                                <w:sz w:val="40"/>
                                <w:szCs w:val="40"/>
                              </w:rPr>
                              <w:t xml:space="preserve">Module </w:t>
                            </w:r>
                            <w:proofErr w:type="gramStart"/>
                            <w:r w:rsidRPr="00D212A4">
                              <w:rPr>
                                <w:rFonts w:ascii="Aharoni" w:hAnsi="Aharoni" w:cs="Aharoni" w:hint="cs"/>
                                <w:sz w:val="40"/>
                                <w:szCs w:val="40"/>
                              </w:rPr>
                              <w:t>code:BMSW</w:t>
                            </w:r>
                            <w:proofErr w:type="gramEnd"/>
                            <w:r w:rsidRPr="00D212A4">
                              <w:rPr>
                                <w:rFonts w:ascii="Aharoni" w:hAnsi="Aharoni" w:cs="Aharoni" w:hint="cs"/>
                                <w:sz w:val="40"/>
                                <w:szCs w:val="40"/>
                              </w:rPr>
                              <w:t>4005</w:t>
                            </w:r>
                          </w:p>
                          <w:p w14:paraId="717C5B98" w14:textId="4AD2BB99" w:rsidR="00D212A4" w:rsidRDefault="00D212A4" w:rsidP="00D212A4">
                            <w:pPr>
                              <w:jc w:val="center"/>
                              <w:rPr>
                                <w:rFonts w:ascii="Aharoni" w:hAnsi="Aharoni" w:cs="Aharoni"/>
                                <w:sz w:val="40"/>
                                <w:szCs w:val="40"/>
                              </w:rPr>
                            </w:pPr>
                          </w:p>
                          <w:p w14:paraId="1173AD48" w14:textId="77777777" w:rsidR="00D212A4" w:rsidRPr="00D212A4" w:rsidRDefault="00D212A4" w:rsidP="00D212A4">
                            <w:pPr>
                              <w:jc w:val="center"/>
                              <w:rPr>
                                <w:rFonts w:ascii="Aharoni" w:hAnsi="Aharoni" w:cs="Aharoni" w:hint="cs"/>
                                <w:sz w:val="40"/>
                                <w:szCs w:val="40"/>
                              </w:rPr>
                            </w:pPr>
                          </w:p>
                          <w:p w14:paraId="56E41DD4" w14:textId="1DCB6EB0" w:rsidR="00D212A4" w:rsidRDefault="00D212A4" w:rsidP="00D212A4">
                            <w:pPr>
                              <w:jc w:val="center"/>
                              <w:rPr>
                                <w:rFonts w:ascii="Aharoni" w:hAnsi="Aharoni" w:cs="Aharoni"/>
                                <w:sz w:val="40"/>
                                <w:szCs w:val="40"/>
                              </w:rPr>
                            </w:pPr>
                            <w:proofErr w:type="spellStart"/>
                            <w:proofErr w:type="gramStart"/>
                            <w:r w:rsidRPr="00D212A4">
                              <w:rPr>
                                <w:rFonts w:ascii="Aharoni" w:hAnsi="Aharoni" w:cs="Aharoni" w:hint="cs"/>
                                <w:sz w:val="40"/>
                                <w:szCs w:val="40"/>
                              </w:rPr>
                              <w:t>Title:Portfolio</w:t>
                            </w:r>
                            <w:proofErr w:type="spellEnd"/>
                            <w:proofErr w:type="gramEnd"/>
                            <w:r w:rsidRPr="00D212A4">
                              <w:rPr>
                                <w:rFonts w:ascii="Aharoni" w:hAnsi="Aharoni" w:cs="Aharoni" w:hint="cs"/>
                                <w:sz w:val="40"/>
                                <w:szCs w:val="40"/>
                              </w:rPr>
                              <w:t xml:space="preserve"> of work</w:t>
                            </w:r>
                          </w:p>
                          <w:p w14:paraId="20620D03" w14:textId="6C99F2F8" w:rsidR="00D212A4" w:rsidRDefault="00D212A4" w:rsidP="00D212A4">
                            <w:pPr>
                              <w:jc w:val="center"/>
                              <w:rPr>
                                <w:rFonts w:ascii="Aharoni" w:hAnsi="Aharoni" w:cs="Aharoni"/>
                                <w:sz w:val="40"/>
                                <w:szCs w:val="40"/>
                              </w:rPr>
                            </w:pPr>
                          </w:p>
                          <w:p w14:paraId="690B0DDA" w14:textId="77777777" w:rsidR="00D212A4" w:rsidRPr="00D212A4" w:rsidRDefault="00D212A4" w:rsidP="00D212A4">
                            <w:pPr>
                              <w:jc w:val="center"/>
                              <w:rPr>
                                <w:rFonts w:ascii="Aharoni" w:hAnsi="Aharoni" w:cs="Aharoni" w:hint="cs"/>
                                <w:sz w:val="40"/>
                                <w:szCs w:val="40"/>
                              </w:rPr>
                            </w:pPr>
                          </w:p>
                          <w:p w14:paraId="3E519824" w14:textId="692431E4" w:rsidR="00D212A4" w:rsidRDefault="00D212A4" w:rsidP="00D212A4">
                            <w:pPr>
                              <w:jc w:val="center"/>
                              <w:rPr>
                                <w:rFonts w:ascii="Aharoni" w:hAnsi="Aharoni" w:cs="Aharoni"/>
                                <w:sz w:val="40"/>
                                <w:szCs w:val="40"/>
                              </w:rPr>
                            </w:pPr>
                            <w:r w:rsidRPr="00D212A4">
                              <w:rPr>
                                <w:rFonts w:ascii="Aharoni" w:hAnsi="Aharoni" w:cs="Aharoni" w:hint="cs"/>
                                <w:sz w:val="40"/>
                                <w:szCs w:val="40"/>
                              </w:rPr>
                              <w:t>Lecture’s name: Abdi Rahman</w:t>
                            </w:r>
                          </w:p>
                          <w:p w14:paraId="2C9AE11B" w14:textId="4CBA8427" w:rsidR="00D212A4" w:rsidRDefault="00D212A4" w:rsidP="00D212A4">
                            <w:pPr>
                              <w:jc w:val="center"/>
                              <w:rPr>
                                <w:rFonts w:ascii="Aharoni" w:hAnsi="Aharoni" w:cs="Aharoni"/>
                                <w:sz w:val="40"/>
                                <w:szCs w:val="40"/>
                              </w:rPr>
                            </w:pPr>
                          </w:p>
                          <w:p w14:paraId="2A6CA09D" w14:textId="77777777" w:rsidR="00D212A4" w:rsidRPr="00D212A4" w:rsidRDefault="00D212A4" w:rsidP="00D212A4">
                            <w:pPr>
                              <w:jc w:val="center"/>
                              <w:rPr>
                                <w:rFonts w:ascii="Aharoni" w:hAnsi="Aharoni" w:cs="Aharoni" w:hint="cs"/>
                                <w:sz w:val="40"/>
                                <w:szCs w:val="40"/>
                              </w:rPr>
                            </w:pPr>
                          </w:p>
                          <w:p w14:paraId="4A76270A" w14:textId="4196366C" w:rsidR="00D212A4" w:rsidRPr="00D212A4" w:rsidRDefault="00D212A4" w:rsidP="00D212A4">
                            <w:pPr>
                              <w:jc w:val="center"/>
                              <w:rPr>
                                <w:rFonts w:ascii="Aharoni" w:hAnsi="Aharoni" w:cs="Aharoni" w:hint="cs"/>
                                <w:sz w:val="40"/>
                                <w:szCs w:val="40"/>
                              </w:rPr>
                            </w:pPr>
                            <w:r w:rsidRPr="00D212A4">
                              <w:rPr>
                                <w:rFonts w:ascii="Aharoni" w:hAnsi="Aharoni" w:cs="Aharoni" w:hint="cs"/>
                                <w:sz w:val="40"/>
                                <w:szCs w:val="40"/>
                              </w:rPr>
                              <w:t>Professional and career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177B7B" id="_x0000_t202" coordsize="21600,21600" o:spt="202" path="m,l,21600r21600,l21600,xe">
                <v:stroke joinstyle="miter"/>
                <v:path gradientshapeok="t" o:connecttype="rect"/>
              </v:shapetype>
              <v:shape id="Text Box 2" o:spid="_x0000_s1026" type="#_x0000_t202" style="position:absolute;margin-left:-3.5pt;margin-top:12.5pt;width:474.5pt;height:55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">
                <v:textbox>
                  <w:txbxContent>
                    <w:p w14:paraId="57F446E8" w14:textId="2D53728C" w:rsidR="00D212A4" w:rsidRDefault="00D212A4" w:rsidP="00D212A4">
                      <w:pPr>
                        <w:jc w:val="center"/>
                        <w:rPr>
                          <w:rFonts w:ascii="Aharoni" w:hAnsi="Aharoni" w:cs="Aharoni"/>
                          <w:sz w:val="40"/>
                          <w:szCs w:val="40"/>
                        </w:rPr>
                      </w:pPr>
                      <w:proofErr w:type="spellStart"/>
                      <w:r w:rsidRPr="00D212A4">
                        <w:rPr>
                          <w:rFonts w:ascii="Aharoni" w:hAnsi="Aharoni" w:cs="Aharoni" w:hint="cs"/>
                          <w:sz w:val="40"/>
                          <w:szCs w:val="40"/>
                        </w:rPr>
                        <w:t>Andreea</w:t>
                      </w:r>
                      <w:proofErr w:type="spellEnd"/>
                      <w:r w:rsidRPr="00D212A4">
                        <w:rPr>
                          <w:rFonts w:ascii="Aharoni" w:hAnsi="Aharoni" w:cs="Aharoni" w:hint="cs"/>
                          <w:sz w:val="40"/>
                          <w:szCs w:val="40"/>
                        </w:rPr>
                        <w:t xml:space="preserve"> Catalina Paun</w:t>
                      </w:r>
                    </w:p>
                    <w:p w14:paraId="755E31E2" w14:textId="39ACA0D1" w:rsidR="00D212A4" w:rsidRDefault="00D212A4" w:rsidP="00D212A4">
                      <w:pPr>
                        <w:jc w:val="center"/>
                        <w:rPr>
                          <w:rFonts w:ascii="Aharoni" w:hAnsi="Aharoni" w:cs="Aharoni"/>
                          <w:sz w:val="40"/>
                          <w:szCs w:val="40"/>
                        </w:rPr>
                      </w:pPr>
                    </w:p>
                    <w:p w14:paraId="2EA23331" w14:textId="77777777" w:rsidR="00D212A4" w:rsidRPr="00D212A4" w:rsidRDefault="00D212A4" w:rsidP="00D212A4">
                      <w:pPr>
                        <w:jc w:val="center"/>
                        <w:rPr>
                          <w:rFonts w:ascii="Aharoni" w:hAnsi="Aharoni" w:cs="Aharoni" w:hint="cs"/>
                          <w:sz w:val="40"/>
                          <w:szCs w:val="40"/>
                        </w:rPr>
                      </w:pPr>
                    </w:p>
                    <w:p w14:paraId="26807FD3" w14:textId="1F929A4C" w:rsidR="00D212A4" w:rsidRDefault="00D212A4" w:rsidP="00D212A4">
                      <w:pPr>
                        <w:jc w:val="center"/>
                        <w:rPr>
                          <w:rFonts w:ascii="Aharoni" w:hAnsi="Aharoni" w:cs="Aharoni"/>
                          <w:sz w:val="40"/>
                          <w:szCs w:val="40"/>
                        </w:rPr>
                      </w:pPr>
                      <w:r w:rsidRPr="00D212A4">
                        <w:rPr>
                          <w:rFonts w:ascii="Aharoni" w:hAnsi="Aharoni" w:cs="Aharoni" w:hint="cs"/>
                          <w:sz w:val="40"/>
                          <w:szCs w:val="40"/>
                        </w:rPr>
                        <w:t>Student number:1919504</w:t>
                      </w:r>
                    </w:p>
                    <w:p w14:paraId="563611A0" w14:textId="734F13EB" w:rsidR="00D212A4" w:rsidRDefault="00D212A4" w:rsidP="00D212A4">
                      <w:pPr>
                        <w:jc w:val="center"/>
                        <w:rPr>
                          <w:rFonts w:ascii="Aharoni" w:hAnsi="Aharoni" w:cs="Aharoni"/>
                          <w:sz w:val="40"/>
                          <w:szCs w:val="40"/>
                        </w:rPr>
                      </w:pPr>
                    </w:p>
                    <w:p w14:paraId="3BBC14AF" w14:textId="77777777" w:rsidR="00D212A4" w:rsidRPr="00D212A4" w:rsidRDefault="00D212A4" w:rsidP="00D212A4">
                      <w:pPr>
                        <w:jc w:val="center"/>
                        <w:rPr>
                          <w:rFonts w:ascii="Aharoni" w:hAnsi="Aharoni" w:cs="Aharoni" w:hint="cs"/>
                          <w:sz w:val="40"/>
                          <w:szCs w:val="40"/>
                        </w:rPr>
                      </w:pPr>
                    </w:p>
                    <w:p w14:paraId="459FF23D" w14:textId="39725039" w:rsidR="00D212A4" w:rsidRDefault="00D212A4" w:rsidP="00D212A4">
                      <w:pPr>
                        <w:jc w:val="center"/>
                        <w:rPr>
                          <w:rFonts w:ascii="Aharoni" w:hAnsi="Aharoni" w:cs="Aharoni"/>
                          <w:sz w:val="40"/>
                          <w:szCs w:val="40"/>
                        </w:rPr>
                      </w:pPr>
                      <w:r w:rsidRPr="00D212A4">
                        <w:rPr>
                          <w:rFonts w:ascii="Aharoni" w:hAnsi="Aharoni" w:cs="Aharoni" w:hint="cs"/>
                          <w:sz w:val="40"/>
                          <w:szCs w:val="40"/>
                        </w:rPr>
                        <w:t xml:space="preserve">Module </w:t>
                      </w:r>
                      <w:proofErr w:type="gramStart"/>
                      <w:r w:rsidRPr="00D212A4">
                        <w:rPr>
                          <w:rFonts w:ascii="Aharoni" w:hAnsi="Aharoni" w:cs="Aharoni" w:hint="cs"/>
                          <w:sz w:val="40"/>
                          <w:szCs w:val="40"/>
                        </w:rPr>
                        <w:t>code:BMSW</w:t>
                      </w:r>
                      <w:proofErr w:type="gramEnd"/>
                      <w:r w:rsidRPr="00D212A4">
                        <w:rPr>
                          <w:rFonts w:ascii="Aharoni" w:hAnsi="Aharoni" w:cs="Aharoni" w:hint="cs"/>
                          <w:sz w:val="40"/>
                          <w:szCs w:val="40"/>
                        </w:rPr>
                        <w:t>4005</w:t>
                      </w:r>
                    </w:p>
                    <w:p w14:paraId="717C5B98" w14:textId="4AD2BB99" w:rsidR="00D212A4" w:rsidRDefault="00D212A4" w:rsidP="00D212A4">
                      <w:pPr>
                        <w:jc w:val="center"/>
                        <w:rPr>
                          <w:rFonts w:ascii="Aharoni" w:hAnsi="Aharoni" w:cs="Aharoni"/>
                          <w:sz w:val="40"/>
                          <w:szCs w:val="40"/>
                        </w:rPr>
                      </w:pPr>
                    </w:p>
                    <w:p w14:paraId="1173AD48" w14:textId="77777777" w:rsidR="00D212A4" w:rsidRPr="00D212A4" w:rsidRDefault="00D212A4" w:rsidP="00D212A4">
                      <w:pPr>
                        <w:jc w:val="center"/>
                        <w:rPr>
                          <w:rFonts w:ascii="Aharoni" w:hAnsi="Aharoni" w:cs="Aharoni" w:hint="cs"/>
                          <w:sz w:val="40"/>
                          <w:szCs w:val="40"/>
                        </w:rPr>
                      </w:pPr>
                    </w:p>
                    <w:p w14:paraId="56E41DD4" w14:textId="1DCB6EB0" w:rsidR="00D212A4" w:rsidRDefault="00D212A4" w:rsidP="00D212A4">
                      <w:pPr>
                        <w:jc w:val="center"/>
                        <w:rPr>
                          <w:rFonts w:ascii="Aharoni" w:hAnsi="Aharoni" w:cs="Aharoni"/>
                          <w:sz w:val="40"/>
                          <w:szCs w:val="40"/>
                        </w:rPr>
                      </w:pPr>
                      <w:proofErr w:type="spellStart"/>
                      <w:proofErr w:type="gramStart"/>
                      <w:r w:rsidRPr="00D212A4">
                        <w:rPr>
                          <w:rFonts w:ascii="Aharoni" w:hAnsi="Aharoni" w:cs="Aharoni" w:hint="cs"/>
                          <w:sz w:val="40"/>
                          <w:szCs w:val="40"/>
                        </w:rPr>
                        <w:t>Title:Portfolio</w:t>
                      </w:r>
                      <w:proofErr w:type="spellEnd"/>
                      <w:proofErr w:type="gramEnd"/>
                      <w:r w:rsidRPr="00D212A4">
                        <w:rPr>
                          <w:rFonts w:ascii="Aharoni" w:hAnsi="Aharoni" w:cs="Aharoni" w:hint="cs"/>
                          <w:sz w:val="40"/>
                          <w:szCs w:val="40"/>
                        </w:rPr>
                        <w:t xml:space="preserve"> of work</w:t>
                      </w:r>
                    </w:p>
                    <w:p w14:paraId="20620D03" w14:textId="6C99F2F8" w:rsidR="00D212A4" w:rsidRDefault="00D212A4" w:rsidP="00D212A4">
                      <w:pPr>
                        <w:jc w:val="center"/>
                        <w:rPr>
                          <w:rFonts w:ascii="Aharoni" w:hAnsi="Aharoni" w:cs="Aharoni"/>
                          <w:sz w:val="40"/>
                          <w:szCs w:val="40"/>
                        </w:rPr>
                      </w:pPr>
                    </w:p>
                    <w:p w14:paraId="690B0DDA" w14:textId="77777777" w:rsidR="00D212A4" w:rsidRPr="00D212A4" w:rsidRDefault="00D212A4" w:rsidP="00D212A4">
                      <w:pPr>
                        <w:jc w:val="center"/>
                        <w:rPr>
                          <w:rFonts w:ascii="Aharoni" w:hAnsi="Aharoni" w:cs="Aharoni" w:hint="cs"/>
                          <w:sz w:val="40"/>
                          <w:szCs w:val="40"/>
                        </w:rPr>
                      </w:pPr>
                    </w:p>
                    <w:p w14:paraId="3E519824" w14:textId="692431E4" w:rsidR="00D212A4" w:rsidRDefault="00D212A4" w:rsidP="00D212A4">
                      <w:pPr>
                        <w:jc w:val="center"/>
                        <w:rPr>
                          <w:rFonts w:ascii="Aharoni" w:hAnsi="Aharoni" w:cs="Aharoni"/>
                          <w:sz w:val="40"/>
                          <w:szCs w:val="40"/>
                        </w:rPr>
                      </w:pPr>
                      <w:r w:rsidRPr="00D212A4">
                        <w:rPr>
                          <w:rFonts w:ascii="Aharoni" w:hAnsi="Aharoni" w:cs="Aharoni" w:hint="cs"/>
                          <w:sz w:val="40"/>
                          <w:szCs w:val="40"/>
                        </w:rPr>
                        <w:t>Lecture’s name: Abdi Rahman</w:t>
                      </w:r>
                    </w:p>
                    <w:p w14:paraId="2C9AE11B" w14:textId="4CBA8427" w:rsidR="00D212A4" w:rsidRDefault="00D212A4" w:rsidP="00D212A4">
                      <w:pPr>
                        <w:jc w:val="center"/>
                        <w:rPr>
                          <w:rFonts w:ascii="Aharoni" w:hAnsi="Aharoni" w:cs="Aharoni"/>
                          <w:sz w:val="40"/>
                          <w:szCs w:val="40"/>
                        </w:rPr>
                      </w:pPr>
                    </w:p>
                    <w:p w14:paraId="2A6CA09D" w14:textId="77777777" w:rsidR="00D212A4" w:rsidRPr="00D212A4" w:rsidRDefault="00D212A4" w:rsidP="00D212A4">
                      <w:pPr>
                        <w:jc w:val="center"/>
                        <w:rPr>
                          <w:rFonts w:ascii="Aharoni" w:hAnsi="Aharoni" w:cs="Aharoni" w:hint="cs"/>
                          <w:sz w:val="40"/>
                          <w:szCs w:val="40"/>
                        </w:rPr>
                      </w:pPr>
                    </w:p>
                    <w:p w14:paraId="4A76270A" w14:textId="4196366C" w:rsidR="00D212A4" w:rsidRPr="00D212A4" w:rsidRDefault="00D212A4" w:rsidP="00D212A4">
                      <w:pPr>
                        <w:jc w:val="center"/>
                        <w:rPr>
                          <w:rFonts w:ascii="Aharoni" w:hAnsi="Aharoni" w:cs="Aharoni" w:hint="cs"/>
                          <w:sz w:val="40"/>
                          <w:szCs w:val="40"/>
                        </w:rPr>
                      </w:pPr>
                      <w:r w:rsidRPr="00D212A4">
                        <w:rPr>
                          <w:rFonts w:ascii="Aharoni" w:hAnsi="Aharoni" w:cs="Aharoni" w:hint="cs"/>
                          <w:sz w:val="40"/>
                          <w:szCs w:val="40"/>
                        </w:rPr>
                        <w:t>Professional and career development</w:t>
                      </w:r>
                    </w:p>
                  </w:txbxContent>
                </v:textbox>
                <w10:wrap type="square"/>
              </v:shape>
            </w:pict>
          </mc:Fallback>
        </mc:AlternateContent>
      </w:r>
    </w:p>
    <w:p w14:paraId="1032FB20" w14:textId="00B1C395" w:rsidR="00D212A4" w:rsidRDefault="00D212A4">
      <w:pPr>
        <w:rPr>
          <w:rFonts w:ascii="Times New Roman" w:hAnsi="Times New Roman"/>
          <w:sz w:val="24"/>
          <w:szCs w:val="24"/>
        </w:rPr>
      </w:pPr>
      <w:r>
        <w:rPr>
          <w:rFonts w:ascii="Times New Roman" w:hAnsi="Times New Roman"/>
          <w:sz w:val="24"/>
          <w:szCs w:val="24"/>
        </w:rPr>
        <w:br w:type="page"/>
      </w:r>
    </w:p>
    <w:p w14:paraId="598C528B" w14:textId="77777777" w:rsidR="00C07C52" w:rsidRDefault="00C07C52" w:rsidP="00894CA9">
      <w:pPr>
        <w:spacing w:after="0" w:line="480" w:lineRule="auto"/>
        <w:rPr>
          <w:rFonts w:ascii="Times New Roman" w:hAnsi="Times New Roman"/>
          <w:sz w:val="24"/>
          <w:szCs w:val="24"/>
        </w:rPr>
      </w:pPr>
    </w:p>
    <w:p w14:paraId="31994AF5" w14:textId="77777777" w:rsidR="000C349B" w:rsidRPr="000C349B" w:rsidRDefault="000C349B" w:rsidP="000C349B">
      <w:pPr>
        <w:suppressAutoHyphens/>
        <w:spacing w:after="0" w:line="480" w:lineRule="auto"/>
        <w:jc w:val="center"/>
        <w:rPr>
          <w:rFonts w:ascii="Times New Roman" w:eastAsia="Times New Roman" w:hAnsi="Times New Roman"/>
          <w:b/>
          <w:bCs/>
          <w:color w:val="000000"/>
          <w:spacing w:val="-10"/>
          <w:kern w:val="28"/>
          <w:sz w:val="24"/>
          <w:szCs w:val="24"/>
          <w:lang w:eastAsia="ja-JP"/>
        </w:rPr>
      </w:pPr>
      <w:r>
        <w:rPr>
          <w:rFonts w:ascii="Times New Roman" w:eastAsia="Times New Roman" w:hAnsi="Times New Roman"/>
          <w:b/>
          <w:bCs/>
          <w:color w:val="000000"/>
          <w:spacing w:val="-10"/>
          <w:kern w:val="28"/>
          <w:sz w:val="24"/>
          <w:szCs w:val="24"/>
          <w:lang w:eastAsia="ja-JP"/>
        </w:rPr>
        <w:t xml:space="preserve">Task Three: </w:t>
      </w:r>
      <w:r w:rsidR="003D3ED3">
        <w:rPr>
          <w:rFonts w:ascii="Times New Roman" w:eastAsia="Times New Roman" w:hAnsi="Times New Roman"/>
          <w:b/>
          <w:bCs/>
          <w:color w:val="000000"/>
          <w:sz w:val="24"/>
          <w:szCs w:val="24"/>
          <w:lang w:eastAsia="ja-JP"/>
        </w:rPr>
        <w:t>Reflective P</w:t>
      </w:r>
      <w:r w:rsidRPr="000C349B">
        <w:rPr>
          <w:rFonts w:ascii="Times New Roman" w:eastAsia="Times New Roman" w:hAnsi="Times New Roman"/>
          <w:b/>
          <w:bCs/>
          <w:color w:val="000000"/>
          <w:sz w:val="24"/>
          <w:szCs w:val="24"/>
          <w:lang w:eastAsia="ja-JP"/>
        </w:rPr>
        <w:t>ortfolio - Professional and Career Development</w:t>
      </w:r>
    </w:p>
    <w:p w14:paraId="60DD7577" w14:textId="77777777" w:rsidR="000C349B" w:rsidRPr="00395B7F" w:rsidRDefault="00395B7F" w:rsidP="00395B7F">
      <w:pPr>
        <w:pStyle w:val="ListParagraph"/>
        <w:numPr>
          <w:ilvl w:val="0"/>
          <w:numId w:val="4"/>
        </w:numPr>
        <w:suppressAutoHyphens/>
        <w:spacing w:after="160" w:line="480" w:lineRule="auto"/>
        <w:rPr>
          <w:rFonts w:ascii="Times New Roman" w:hAnsi="Times New Roman"/>
          <w:b/>
          <w:bCs/>
          <w:color w:val="000000"/>
          <w:sz w:val="24"/>
          <w:szCs w:val="24"/>
          <w:lang w:val="en-GB"/>
        </w:rPr>
      </w:pPr>
      <w:r w:rsidRPr="00395B7F">
        <w:rPr>
          <w:rFonts w:ascii="Times New Roman" w:hAnsi="Times New Roman"/>
          <w:b/>
          <w:bCs/>
          <w:color w:val="000000"/>
          <w:sz w:val="24"/>
          <w:szCs w:val="24"/>
          <w:lang w:val="en-GB"/>
        </w:rPr>
        <w:t>A</w:t>
      </w:r>
      <w:r w:rsidR="000C349B" w:rsidRPr="00395B7F">
        <w:rPr>
          <w:rFonts w:ascii="Times New Roman" w:hAnsi="Times New Roman"/>
          <w:b/>
          <w:bCs/>
          <w:color w:val="000000"/>
          <w:sz w:val="24"/>
          <w:szCs w:val="24"/>
          <w:lang w:val="en-GB"/>
        </w:rPr>
        <w:t>udit your own skills and competencies using the analysis tools learned in the class using a P</w:t>
      </w:r>
      <w:r w:rsidRPr="00395B7F">
        <w:rPr>
          <w:rFonts w:ascii="Times New Roman" w:hAnsi="Times New Roman"/>
          <w:b/>
          <w:bCs/>
          <w:color w:val="000000"/>
          <w:sz w:val="24"/>
          <w:szCs w:val="24"/>
          <w:lang w:val="en-GB"/>
        </w:rPr>
        <w:t>ersonal development Plan (PDP)</w:t>
      </w:r>
    </w:p>
    <w:p w14:paraId="2AF0359E" w14:textId="77777777" w:rsidR="000C349B" w:rsidRPr="000C349B" w:rsidRDefault="000C349B" w:rsidP="00395B7F">
      <w:pPr>
        <w:spacing w:after="0" w:line="480" w:lineRule="auto"/>
        <w:ind w:firstLine="360"/>
        <w:rPr>
          <w:rFonts w:ascii="Times New Roman" w:eastAsia="Times New Roman" w:hAnsi="Times New Roman"/>
          <w:color w:val="0E101A"/>
          <w:sz w:val="24"/>
          <w:szCs w:val="24"/>
        </w:rPr>
      </w:pPr>
      <w:r w:rsidRPr="000C349B">
        <w:rPr>
          <w:rFonts w:ascii="Times New Roman" w:eastAsia="Times New Roman" w:hAnsi="Times New Roman"/>
          <w:color w:val="0E101A"/>
          <w:sz w:val="24"/>
          <w:szCs w:val="24"/>
        </w:rPr>
        <w:t xml:space="preserve">I used the </w:t>
      </w:r>
      <w:r w:rsidR="00395B7F">
        <w:rPr>
          <w:rFonts w:ascii="Times New Roman" w:eastAsia="Times New Roman" w:hAnsi="Times New Roman"/>
          <w:color w:val="0E101A"/>
          <w:sz w:val="24"/>
          <w:szCs w:val="24"/>
        </w:rPr>
        <w:t>Project Based Learning (</w:t>
      </w:r>
      <w:r w:rsidRPr="000C349B">
        <w:rPr>
          <w:rFonts w:ascii="Times New Roman" w:eastAsia="Times New Roman" w:hAnsi="Times New Roman"/>
          <w:color w:val="0E101A"/>
          <w:sz w:val="24"/>
          <w:szCs w:val="24"/>
        </w:rPr>
        <w:t>PBL</w:t>
      </w:r>
      <w:r w:rsidR="00395B7F">
        <w:rPr>
          <w:rFonts w:ascii="Times New Roman" w:eastAsia="Times New Roman" w:hAnsi="Times New Roman"/>
          <w:color w:val="0E101A"/>
          <w:sz w:val="24"/>
          <w:szCs w:val="24"/>
        </w:rPr>
        <w:t>)</w:t>
      </w:r>
      <w:r w:rsidRPr="000C349B">
        <w:rPr>
          <w:rFonts w:ascii="Times New Roman" w:eastAsia="Times New Roman" w:hAnsi="Times New Roman"/>
          <w:color w:val="0E101A"/>
          <w:sz w:val="24"/>
          <w:szCs w:val="24"/>
        </w:rPr>
        <w:t xml:space="preserve"> technique to audit my current skills and competencies. The method proved invaluable in auditing my current skill levels in child care. It facilitates a more novel way to assess my course objectives and achievements. The assessment entailed the initial auditing of my competencies and skillsets followed by the continual reviews that allowed me to monitor the child care course progress. The skills assessment proved useful in enabling me to be more effective in grouping children according to their respective skillsets. The evaluation allowed me to group students into the most appropriate discipline areas to form well-balanced teams. In turn, the balance facilitated efficient team mentoring among the children. It provided new insights about the role of improving individuals and groups collectively using formal assessments. The PBL course showed me the importance of encouraging mentoring and class discussion for better performance. </w:t>
      </w:r>
    </w:p>
    <w:p w14:paraId="5C45AAA4" w14:textId="77777777" w:rsidR="000C349B" w:rsidRPr="000C349B" w:rsidRDefault="000C349B" w:rsidP="000C349B">
      <w:pPr>
        <w:spacing w:after="0" w:line="480" w:lineRule="auto"/>
        <w:rPr>
          <w:rFonts w:ascii="Times New Roman" w:eastAsia="Times New Roman" w:hAnsi="Times New Roman"/>
          <w:b/>
          <w:color w:val="0E101A"/>
          <w:sz w:val="24"/>
          <w:szCs w:val="24"/>
        </w:rPr>
      </w:pPr>
      <w:r w:rsidRPr="000C349B">
        <w:rPr>
          <w:rFonts w:ascii="Times New Roman" w:eastAsia="Times New Roman" w:hAnsi="Times New Roman"/>
          <w:b/>
          <w:color w:val="0E101A"/>
          <w:sz w:val="24"/>
          <w:szCs w:val="24"/>
        </w:rPr>
        <w:t>Skills and Competencies </w:t>
      </w:r>
    </w:p>
    <w:p w14:paraId="77B030EA" w14:textId="77777777" w:rsidR="000C349B" w:rsidRPr="000C349B" w:rsidRDefault="000C349B" w:rsidP="00395B7F">
      <w:pPr>
        <w:spacing w:after="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E101A"/>
          <w:sz w:val="24"/>
          <w:szCs w:val="24"/>
        </w:rPr>
        <w:t xml:space="preserve">The assessment revealed that I have skills, competencies, and a knowledge set that demonstrate the importance of tailoring their current skills to enhance advancements. Specifically, it revealed that I have excellent time management skills to plan for the child care activities in advance. I possess other skills, including report writing, clear communication, and computer literacy, enhancing my professionalism. The approach improves overall competence by showing the risks of striving the minimum child care standards. According to the PBL learned in class, the ability to tailor the learning needs to the specific abilities of the students is a valuable skill because it significantly improves the effectiveness of child care </w:t>
      </w:r>
      <w:r w:rsidRPr="000C349B">
        <w:rPr>
          <w:rFonts w:ascii="Times New Roman" w:eastAsia="Times New Roman" w:hAnsi="Times New Roman"/>
          <w:color w:val="0E101A"/>
          <w:sz w:val="24"/>
          <w:szCs w:val="24"/>
        </w:rPr>
        <w:lastRenderedPageBreak/>
        <w:t>programs. Furthermore, the novel system provides the flexibilities needed for equitable assessment across different skills and competencies levels (Maloney 160). The approach highlighted the need to track progress to motivate students towards attaining objectives (Zein 291). It revealed their current lack of achievement portfolios for students I intend to review following the comprehensive PBL courses.</w:t>
      </w:r>
    </w:p>
    <w:p w14:paraId="3D516AF5" w14:textId="77777777" w:rsidR="000C349B" w:rsidRPr="00395B7F" w:rsidRDefault="000C349B" w:rsidP="00395B7F">
      <w:pPr>
        <w:pStyle w:val="ListParagraph"/>
        <w:numPr>
          <w:ilvl w:val="0"/>
          <w:numId w:val="4"/>
        </w:numPr>
        <w:suppressAutoHyphens/>
        <w:spacing w:before="240" w:after="240" w:line="480" w:lineRule="auto"/>
        <w:rPr>
          <w:rFonts w:ascii="Times New Roman" w:eastAsia="Times New Roman" w:hAnsi="Times New Roman"/>
          <w:b/>
          <w:bCs/>
          <w:color w:val="000000"/>
          <w:sz w:val="24"/>
          <w:szCs w:val="24"/>
          <w:lang w:eastAsia="ja-JP"/>
        </w:rPr>
      </w:pPr>
      <w:r w:rsidRPr="00395B7F">
        <w:rPr>
          <w:rFonts w:ascii="Times New Roman" w:eastAsia="Times New Roman" w:hAnsi="Times New Roman"/>
          <w:b/>
          <w:bCs/>
          <w:color w:val="000000"/>
          <w:sz w:val="24"/>
          <w:szCs w:val="24"/>
          <w:lang w:eastAsia="ja-JP"/>
        </w:rPr>
        <w:t>Skills Required for the Future</w:t>
      </w:r>
    </w:p>
    <w:p w14:paraId="77810CD8"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Some of the concepts I learned in the module include mental models and learning trends and opportunities that improved content delivery in the professional setting. The PBL assessment revealed the need for child care professionals to be effective in decision-making, communication, and demonstrating great skill in administering the new lessons in the most efficient manner possible. Child care requires profound care and responsibility, and such workers have the sole responsibility of developing educational and fun activities to support growth and development. It revealed the importance of gaining formal accreditations, including certificates in child care. The courses instill the skills required for good child care practice. I plan to take these courses to meet the professional skills requirements, including the basics of childhood development, the best ways to demonstrate care for children and ensure that they learn and grow in safe and supportive environments. The child care courses are imperative in boosting knowledge aside from assisting in developing and enhancing some of the skills required to be a successful child care worker.</w:t>
      </w:r>
    </w:p>
    <w:p w14:paraId="2CD6C47D"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During child care, there are numerous instances during which I had to act quickly to make the most appropriate and correct judgments intending to fix the situation. For example, on several occasions, I had to resolve minor conflicts among children by asking them to share resources even when there were adequate resources to instill values such as kindness and sharing. Besides, I sometimes had to deal with more complex situations where my decision-</w:t>
      </w:r>
      <w:r w:rsidRPr="000C349B">
        <w:rPr>
          <w:rFonts w:ascii="Times New Roman" w:eastAsia="Times New Roman" w:hAnsi="Times New Roman"/>
          <w:color w:val="000000"/>
          <w:sz w:val="24"/>
          <w:szCs w:val="24"/>
          <w:lang w:eastAsia="ja-JP"/>
        </w:rPr>
        <w:lastRenderedPageBreak/>
        <w:t xml:space="preserve">making skills intervened to make the correct call for the parties involved. These incidents revealed the need for skillful decision-making in my current and future child care experiences. </w:t>
      </w:r>
    </w:p>
    <w:p w14:paraId="463CB95D" w14:textId="77777777" w:rsidR="00395B7F" w:rsidRDefault="000C349B" w:rsidP="00395B7F">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Consequently, I plan to acquire analytic skills to identify the specific needs of each student. During my child care practice, I noted that each child was going through a different development phase and learning. The finding revealed the importance of dealing with situations individually by monitoring and observing the unique needs of each child (</w:t>
      </w:r>
      <w:proofErr w:type="spellStart"/>
      <w:r w:rsidRPr="000C349B">
        <w:rPr>
          <w:rFonts w:ascii="Times New Roman" w:eastAsia="Times New Roman" w:hAnsi="Times New Roman"/>
          <w:color w:val="000000"/>
          <w:sz w:val="24"/>
          <w:szCs w:val="24"/>
          <w:lang w:eastAsia="ja-JP"/>
        </w:rPr>
        <w:t>Reime</w:t>
      </w:r>
      <w:proofErr w:type="spellEnd"/>
      <w:r w:rsidRPr="000C349B">
        <w:rPr>
          <w:rFonts w:ascii="Times New Roman" w:eastAsia="Times New Roman" w:hAnsi="Times New Roman"/>
          <w:color w:val="000000"/>
          <w:sz w:val="24"/>
          <w:szCs w:val="24"/>
          <w:lang w:eastAsia="ja-JP"/>
        </w:rPr>
        <w:t>). Besides the professional skills, I plan to incorporate other values, including patience and listening to understand individual needs better. Oss notes the importance of patience in supporting the educational and emotional development of children and highlights it as an essential skill that child workers should have (168). I will need report writing skills since I realized the need for clear reports with</w:t>
      </w:r>
      <w:r w:rsidR="00DD62FB">
        <w:rPr>
          <w:rFonts w:ascii="Times New Roman" w:eastAsia="Times New Roman" w:hAnsi="Times New Roman"/>
          <w:color w:val="000000"/>
          <w:sz w:val="24"/>
          <w:szCs w:val="24"/>
          <w:lang w:eastAsia="ja-JP"/>
        </w:rPr>
        <w:t xml:space="preserve"> relevant details during the</w:t>
      </w:r>
      <w:r w:rsidRPr="000C349B">
        <w:rPr>
          <w:rFonts w:ascii="Times New Roman" w:eastAsia="Times New Roman" w:hAnsi="Times New Roman"/>
          <w:color w:val="000000"/>
          <w:sz w:val="24"/>
          <w:szCs w:val="24"/>
          <w:lang w:eastAsia="ja-JP"/>
        </w:rPr>
        <w:t xml:space="preserve"> exercise. During the program, the facilitators asked us to create an individual log that would be used to note our skills and competence achievements. It was interesting to observe the similarities of the approach with others adopted by child care professionals in Australia. In these countries, the professionals hold the legal responsibility of assessing child care practitioners against the national standards to ensure the quality of services. Report writing skills will enable me to handle portfolio logging correctly. Analytic skills will enhance my interpretation of the data stored in reports and allow a more practical approach to monitoring their skills.</w:t>
      </w:r>
    </w:p>
    <w:p w14:paraId="22A00957" w14:textId="77777777" w:rsidR="000C349B" w:rsidRPr="00395B7F" w:rsidRDefault="000C349B" w:rsidP="00395B7F">
      <w:pPr>
        <w:pStyle w:val="ListParagraph"/>
        <w:numPr>
          <w:ilvl w:val="0"/>
          <w:numId w:val="4"/>
        </w:numPr>
        <w:suppressAutoHyphens/>
        <w:spacing w:before="240" w:after="240" w:line="480" w:lineRule="auto"/>
        <w:rPr>
          <w:rFonts w:ascii="Times New Roman" w:eastAsia="Times New Roman" w:hAnsi="Times New Roman"/>
          <w:color w:val="000000"/>
          <w:sz w:val="24"/>
          <w:szCs w:val="24"/>
          <w:lang w:eastAsia="ja-JP"/>
        </w:rPr>
      </w:pPr>
      <w:r w:rsidRPr="00395B7F">
        <w:rPr>
          <w:rFonts w:ascii="Times New Roman" w:eastAsia="Times New Roman" w:hAnsi="Times New Roman"/>
          <w:b/>
          <w:bCs/>
          <w:color w:val="000000"/>
          <w:sz w:val="24"/>
          <w:szCs w:val="24"/>
          <w:lang w:eastAsia="ja-JP"/>
        </w:rPr>
        <w:t xml:space="preserve">Assess the Concepts You Have Learned from This Module </w:t>
      </w:r>
    </w:p>
    <w:p w14:paraId="70931F4D"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 xml:space="preserve">The PBL course comprised several consecutive methods that positively affected my child care professional development program. The primary objectives of the PBL course, which the faculty made compulsory, were to enable the development of the primary skills needed to be exemplary child care professionals (King 170; Lloyd et al. 360). The second </w:t>
      </w:r>
      <w:r w:rsidRPr="000C349B">
        <w:rPr>
          <w:rFonts w:ascii="Times New Roman" w:eastAsia="Times New Roman" w:hAnsi="Times New Roman"/>
          <w:color w:val="000000"/>
          <w:sz w:val="24"/>
          <w:szCs w:val="24"/>
          <w:lang w:eastAsia="ja-JP"/>
        </w:rPr>
        <w:lastRenderedPageBreak/>
        <w:t xml:space="preserve">objective was to support the acquisition of skills needed to participate actively in multi-disciplinary teams. The course played a leading role in exposing me to a full spectrum of problem-solving tools and enabled me to gain a broad range of skills. The problem-solving courses that were part of the PBL program were well designed with clear structures, pedagogy, and content. Together, they helped me to develop and expand my child care skills and, at the same time, allowed me to improve and acquire the skills needed to impart valuable content to the children. </w:t>
      </w:r>
    </w:p>
    <w:p w14:paraId="5724BEDD"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Furthermore, during the problem-solving courses, the instructors presented different technical problems. They asked us to create, justify, and deliver effective solutions for these problems. The programs were invaluable in ensuring that we acquired the skills and knowledge needed by the course specifications. I intend to apply these lessons in my professional child care practice continuously.</w:t>
      </w:r>
    </w:p>
    <w:p w14:paraId="37BB01B9"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Presently, each of the assessments used in child care varies slightly from those outlined in the courses (</w:t>
      </w:r>
      <w:proofErr w:type="spellStart"/>
      <w:r w:rsidRPr="000C349B">
        <w:rPr>
          <w:rFonts w:ascii="Times New Roman" w:eastAsia="Times New Roman" w:hAnsi="Times New Roman"/>
          <w:color w:val="000000"/>
          <w:sz w:val="24"/>
          <w:szCs w:val="24"/>
          <w:lang w:eastAsia="ja-JP"/>
        </w:rPr>
        <w:t>Avidov</w:t>
      </w:r>
      <w:proofErr w:type="spellEnd"/>
      <w:r w:rsidRPr="000C349B">
        <w:rPr>
          <w:rFonts w:ascii="Times New Roman" w:eastAsia="Times New Roman" w:hAnsi="Times New Roman"/>
          <w:color w:val="000000"/>
          <w:sz w:val="24"/>
          <w:szCs w:val="24"/>
          <w:lang w:eastAsia="ja-JP"/>
        </w:rPr>
        <w:t xml:space="preserve">-Ungar 653; </w:t>
      </w:r>
      <w:proofErr w:type="spellStart"/>
      <w:r w:rsidRPr="000C349B">
        <w:rPr>
          <w:rFonts w:ascii="Times New Roman" w:eastAsia="Times New Roman" w:hAnsi="Times New Roman"/>
          <w:color w:val="000000"/>
          <w:sz w:val="24"/>
          <w:szCs w:val="24"/>
          <w:lang w:eastAsia="ja-JP"/>
        </w:rPr>
        <w:t>Avidov</w:t>
      </w:r>
      <w:proofErr w:type="spellEnd"/>
      <w:r w:rsidRPr="000C349B">
        <w:rPr>
          <w:rFonts w:ascii="Times New Roman" w:eastAsia="Times New Roman" w:hAnsi="Times New Roman"/>
          <w:color w:val="000000"/>
          <w:sz w:val="24"/>
          <w:szCs w:val="24"/>
          <w:lang w:eastAsia="ja-JP"/>
        </w:rPr>
        <w:t xml:space="preserve">-Ungar, and </w:t>
      </w:r>
      <w:proofErr w:type="spellStart"/>
      <w:r w:rsidRPr="000C349B">
        <w:rPr>
          <w:rFonts w:ascii="Times New Roman" w:eastAsia="Times New Roman" w:hAnsi="Times New Roman"/>
          <w:color w:val="000000"/>
          <w:sz w:val="24"/>
          <w:szCs w:val="24"/>
          <w:lang w:eastAsia="ja-JP"/>
        </w:rPr>
        <w:t>Herscu</w:t>
      </w:r>
      <w:proofErr w:type="spellEnd"/>
      <w:r w:rsidRPr="000C349B">
        <w:rPr>
          <w:rFonts w:ascii="Times New Roman" w:eastAsia="Times New Roman" w:hAnsi="Times New Roman"/>
          <w:color w:val="000000"/>
          <w:sz w:val="24"/>
          <w:szCs w:val="24"/>
          <w:lang w:eastAsia="ja-JP"/>
        </w:rPr>
        <w:t xml:space="preserve"> 835; </w:t>
      </w:r>
      <w:proofErr w:type="spellStart"/>
      <w:r w:rsidRPr="000C349B">
        <w:rPr>
          <w:rFonts w:ascii="Times New Roman" w:eastAsia="Times New Roman" w:hAnsi="Times New Roman"/>
          <w:color w:val="000000"/>
          <w:sz w:val="24"/>
          <w:szCs w:val="24"/>
          <w:lang w:eastAsia="ja-JP"/>
        </w:rPr>
        <w:t>Dvir</w:t>
      </w:r>
      <w:proofErr w:type="spellEnd"/>
      <w:r w:rsidRPr="000C349B">
        <w:rPr>
          <w:rFonts w:ascii="Times New Roman" w:eastAsia="Times New Roman" w:hAnsi="Times New Roman"/>
          <w:color w:val="000000"/>
          <w:sz w:val="24"/>
          <w:szCs w:val="24"/>
          <w:lang w:eastAsia="ja-JP"/>
        </w:rPr>
        <w:t xml:space="preserve"> 2; Hope 7). During the course, I learned that the proper forms of course evaluations that span across students, staff reviews, anecdotal evidence provided by stakeholders, and quality audits revealed significant deficiencies of the current learning and assessment strategies. Specific shortcomings that I observed include the tendency of some students to prefer completing tasks themselves. Often, I noticed that the children with better learning abilities rarely relied on others to complete group tasks. Simultaneously, I noticed that some of the students lacked motivation and made very minimal contributions towards team efforts.</w:t>
      </w:r>
    </w:p>
    <w:p w14:paraId="1C3DDD17"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 xml:space="preserve">Noting these differences allowed me to learn about the importance of a well-balanced assessment strategy to ensure that none of the participants is disadvantaged. In sum, the exercise revealed the prevailing limitations of the current assessment schemes. During the </w:t>
      </w:r>
      <w:r w:rsidRPr="000C349B">
        <w:rPr>
          <w:rFonts w:ascii="Times New Roman" w:eastAsia="Times New Roman" w:hAnsi="Times New Roman"/>
          <w:color w:val="000000"/>
          <w:sz w:val="24"/>
          <w:szCs w:val="24"/>
          <w:lang w:eastAsia="ja-JP"/>
        </w:rPr>
        <w:lastRenderedPageBreak/>
        <w:t>training, I noted the overall lack of tangible incentives for child care students to acquire new skills. I noted that proficient children with exceptional reading and writing skills in the current system tended to maintain top performance in other projects and extra curriculum activities, including sports and arts. Therefore, these students were more likely to get higher grades and be motivated toward learning.</w:t>
      </w:r>
    </w:p>
    <w:p w14:paraId="0C578EC1"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I noted the general lack of mentoring incentives among the child care attendees. The assessment required evaluating mentoring and its importance and alignment to the learning goals. The evaluation revealed the need for more tangible incentives to the children and staff by providing constructive feedback. Mentoring evidence can effectively demonstrate the need for immediate action on the feedback to improve learning outcomes (</w:t>
      </w:r>
      <w:proofErr w:type="spellStart"/>
      <w:r w:rsidRPr="000C349B">
        <w:rPr>
          <w:rFonts w:ascii="Times New Roman" w:eastAsia="Times New Roman" w:hAnsi="Times New Roman"/>
          <w:color w:val="000000"/>
          <w:sz w:val="24"/>
          <w:szCs w:val="24"/>
          <w:lang w:eastAsia="ja-JP"/>
        </w:rPr>
        <w:t>Karsenty</w:t>
      </w:r>
      <w:proofErr w:type="spellEnd"/>
      <w:r w:rsidRPr="000C349B">
        <w:rPr>
          <w:rFonts w:ascii="Times New Roman" w:eastAsia="Times New Roman" w:hAnsi="Times New Roman"/>
          <w:color w:val="000000"/>
          <w:sz w:val="24"/>
          <w:szCs w:val="24"/>
          <w:lang w:eastAsia="ja-JP"/>
        </w:rPr>
        <w:t xml:space="preserve"> 1). Although the assessment offered new insights into my skills and competencies, I intend to carry on with personal reflection to better my professional ambitions. I plan to reflect on the lessons and how the PBL course improved my child care skills and competence levels.</w:t>
      </w:r>
    </w:p>
    <w:p w14:paraId="160C3BF6"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The initial skills audit w</w:t>
      </w:r>
      <w:r w:rsidR="00DD62FB">
        <w:rPr>
          <w:rFonts w:ascii="Times New Roman" w:eastAsia="Times New Roman" w:hAnsi="Times New Roman"/>
          <w:color w:val="000000"/>
          <w:sz w:val="24"/>
          <w:szCs w:val="24"/>
          <w:lang w:eastAsia="ja-JP"/>
        </w:rPr>
        <w:t>as an essential part of the PDP</w:t>
      </w:r>
      <w:r w:rsidRPr="000C349B">
        <w:rPr>
          <w:rFonts w:ascii="Times New Roman" w:eastAsia="Times New Roman" w:hAnsi="Times New Roman"/>
          <w:color w:val="000000"/>
          <w:sz w:val="24"/>
          <w:szCs w:val="24"/>
          <w:lang w:eastAsia="ja-JP"/>
        </w:rPr>
        <w:t xml:space="preserve"> course. The program facilitators created and tailored a unique method to develop and validate my initial skill levels. The technique enabled the program facilitators to assess students based on the course objectives continuously. The approach increased my self-awareness of my progress through the </w:t>
      </w:r>
      <w:r w:rsidR="00DD62FB">
        <w:rPr>
          <w:rFonts w:ascii="Times New Roman" w:eastAsia="Times New Roman" w:hAnsi="Times New Roman"/>
          <w:color w:val="000000"/>
          <w:sz w:val="24"/>
          <w:szCs w:val="24"/>
          <w:lang w:eastAsia="ja-JP"/>
        </w:rPr>
        <w:t xml:space="preserve">PDP </w:t>
      </w:r>
      <w:r w:rsidRPr="000C349B">
        <w:rPr>
          <w:rFonts w:ascii="Times New Roman" w:eastAsia="Times New Roman" w:hAnsi="Times New Roman"/>
          <w:color w:val="000000"/>
          <w:sz w:val="24"/>
          <w:szCs w:val="24"/>
          <w:lang w:eastAsia="ja-JP"/>
        </w:rPr>
        <w:t>courses and how to apply the new lessons to my child care program. The first segment of the evaluation entailed a detailed assessment of my current child care skills and unique competencies.</w:t>
      </w:r>
    </w:p>
    <w:p w14:paraId="6E650888"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By contrast, the second part of the shift entailed a continuous assessment of the skills to map my learning progress throughout the PBL courses (</w:t>
      </w:r>
      <w:proofErr w:type="spellStart"/>
      <w:r w:rsidRPr="000C349B">
        <w:rPr>
          <w:rFonts w:ascii="Times New Roman" w:eastAsia="Times New Roman" w:hAnsi="Times New Roman"/>
          <w:color w:val="000000"/>
          <w:sz w:val="24"/>
          <w:szCs w:val="24"/>
          <w:lang w:eastAsia="ja-JP"/>
        </w:rPr>
        <w:t>Alibakhshi</w:t>
      </w:r>
      <w:proofErr w:type="spellEnd"/>
      <w:r w:rsidRPr="000C349B">
        <w:rPr>
          <w:rFonts w:ascii="Times New Roman" w:eastAsia="Times New Roman" w:hAnsi="Times New Roman"/>
          <w:color w:val="000000"/>
          <w:sz w:val="24"/>
          <w:szCs w:val="24"/>
          <w:lang w:eastAsia="ja-JP"/>
        </w:rPr>
        <w:t xml:space="preserve"> and </w:t>
      </w:r>
      <w:proofErr w:type="spellStart"/>
      <w:r w:rsidRPr="000C349B">
        <w:rPr>
          <w:rFonts w:ascii="Times New Roman" w:eastAsia="Times New Roman" w:hAnsi="Times New Roman"/>
          <w:color w:val="000000"/>
          <w:sz w:val="24"/>
          <w:szCs w:val="24"/>
          <w:lang w:eastAsia="ja-JP"/>
        </w:rPr>
        <w:t>Dehvari</w:t>
      </w:r>
      <w:proofErr w:type="spellEnd"/>
      <w:r w:rsidRPr="000C349B">
        <w:rPr>
          <w:rFonts w:ascii="Times New Roman" w:eastAsia="Times New Roman" w:hAnsi="Times New Roman"/>
          <w:color w:val="000000"/>
          <w:sz w:val="24"/>
          <w:szCs w:val="24"/>
          <w:lang w:eastAsia="ja-JP"/>
        </w:rPr>
        <w:t xml:space="preserve"> 28). I intend to integrate the findings of the skills audit in my current professional practice for better outcomes. For instance, I could allocate assignments based on the skill levels of students and </w:t>
      </w:r>
      <w:r w:rsidRPr="000C349B">
        <w:rPr>
          <w:rFonts w:ascii="Times New Roman" w:eastAsia="Times New Roman" w:hAnsi="Times New Roman"/>
          <w:color w:val="000000"/>
          <w:sz w:val="24"/>
          <w:szCs w:val="24"/>
          <w:lang w:eastAsia="ja-JP"/>
        </w:rPr>
        <w:lastRenderedPageBreak/>
        <w:t xml:space="preserve">apply the course insights to form well-balanced teams for better learning. I firmly believe that the approach will enhance mentoring and group work among </w:t>
      </w:r>
      <w:proofErr w:type="gramStart"/>
      <w:r w:rsidRPr="000C349B">
        <w:rPr>
          <w:rFonts w:ascii="Times New Roman" w:eastAsia="Times New Roman" w:hAnsi="Times New Roman"/>
          <w:color w:val="000000"/>
          <w:sz w:val="24"/>
          <w:szCs w:val="24"/>
          <w:lang w:eastAsia="ja-JP"/>
        </w:rPr>
        <w:t>children</w:t>
      </w:r>
      <w:proofErr w:type="gramEnd"/>
      <w:r w:rsidRPr="000C349B">
        <w:rPr>
          <w:rFonts w:ascii="Times New Roman" w:eastAsia="Times New Roman" w:hAnsi="Times New Roman"/>
          <w:color w:val="000000"/>
          <w:sz w:val="24"/>
          <w:szCs w:val="24"/>
          <w:lang w:eastAsia="ja-JP"/>
        </w:rPr>
        <w:t xml:space="preserve"> learners. I plan to evaluate their skill levels by assessing how well they work with others. It allows me to use PBL recommended techniques to identify the skills that can be improved, such as class and team participation.</w:t>
      </w:r>
    </w:p>
    <w:p w14:paraId="35054424"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Furthermore, the skills audit was different from the formal assessments, although it formed an excellent starting point for my portfolio that highlighted my skills achievement. The skills audit was still essential for my traditional evaluation of the skills informed by PBL techniques like reflection and self-evaluation</w:t>
      </w:r>
      <w:r w:rsidR="003755FB" w:rsidRPr="003755FB">
        <w:rPr>
          <w:rFonts w:ascii="Times New Roman" w:eastAsia="Times New Roman" w:hAnsi="Times New Roman"/>
          <w:color w:val="000000"/>
          <w:sz w:val="24"/>
          <w:szCs w:val="24"/>
          <w:shd w:val="clear" w:color="auto" w:fill="FFFFFF"/>
          <w:lang w:eastAsia="ja-JP"/>
        </w:rPr>
        <w:t xml:space="preserve"> </w:t>
      </w:r>
      <w:r w:rsidR="003755FB">
        <w:rPr>
          <w:rFonts w:ascii="Times New Roman" w:eastAsia="Times New Roman" w:hAnsi="Times New Roman"/>
          <w:color w:val="000000"/>
          <w:sz w:val="24"/>
          <w:szCs w:val="24"/>
          <w:shd w:val="clear" w:color="auto" w:fill="FFFFFF"/>
          <w:lang w:eastAsia="ja-JP"/>
        </w:rPr>
        <w:t>(</w:t>
      </w:r>
      <w:proofErr w:type="spellStart"/>
      <w:r w:rsidR="003755FB">
        <w:rPr>
          <w:rFonts w:ascii="Times New Roman" w:eastAsia="Times New Roman" w:hAnsi="Times New Roman"/>
          <w:color w:val="000000"/>
          <w:sz w:val="24"/>
          <w:szCs w:val="24"/>
          <w:lang w:eastAsia="ja-JP"/>
        </w:rPr>
        <w:t>Wermke</w:t>
      </w:r>
      <w:proofErr w:type="spellEnd"/>
      <w:r w:rsidR="003755FB">
        <w:rPr>
          <w:rFonts w:ascii="Times New Roman" w:eastAsia="Times New Roman" w:hAnsi="Times New Roman"/>
          <w:color w:val="000000"/>
          <w:sz w:val="24"/>
          <w:szCs w:val="24"/>
          <w:lang w:eastAsia="ja-JP"/>
        </w:rPr>
        <w:t xml:space="preserve"> 670)</w:t>
      </w:r>
      <w:r w:rsidRPr="000C349B">
        <w:rPr>
          <w:rFonts w:ascii="Times New Roman" w:eastAsia="Times New Roman" w:hAnsi="Times New Roman"/>
          <w:color w:val="000000"/>
          <w:sz w:val="24"/>
          <w:szCs w:val="24"/>
          <w:lang w:eastAsia="ja-JP"/>
        </w:rPr>
        <w:t>. The focus was on skills and competencies advancement and the strategies that would be effective in new skills acquisitions. The assessment revealed the need for excellence and why we should not focus on attaining the minimum professional standards.</w:t>
      </w:r>
    </w:p>
    <w:p w14:paraId="2613E0F0"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During the assessment, facilitators asked us to choose our objectives, skills, and competencies for the PBL course. They asked us to submit our portfolios to provide overviews of particular competency levels and note how well we addressed each objective using our professional skills. I learned the importance of formally demonstrating skills achievement, which for this program includes verification from my peers, the program facilitators, and the course examiner.</w:t>
      </w:r>
    </w:p>
    <w:p w14:paraId="63A91214"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 xml:space="preserve">The processes outlined above provided valuable insights about peer agreements and performance documentation when assessing team projects. Professionals should carry out this assessment according to the predetermined team roles and learning objectives. I learned the value of effective mentoring when working with teams. Individual requests should be accompanied with conduct evidence in the course of the project. I learned the importance of enrolling students with advanced standing with grant exemptions and the value of </w:t>
      </w:r>
      <w:r w:rsidRPr="000C349B">
        <w:rPr>
          <w:rFonts w:ascii="Times New Roman" w:eastAsia="Times New Roman" w:hAnsi="Times New Roman"/>
          <w:color w:val="000000"/>
          <w:sz w:val="24"/>
          <w:szCs w:val="24"/>
          <w:lang w:eastAsia="ja-JP"/>
        </w:rPr>
        <w:lastRenderedPageBreak/>
        <w:t xml:space="preserve">recognizing the achievements of those who meet the facilitator's standards. These high learning students should be motivated towards mentoring their peers to improve outcomes. </w:t>
      </w:r>
    </w:p>
    <w:p w14:paraId="682780A0" w14:textId="77777777" w:rsidR="000C349B" w:rsidRPr="000C349B" w:rsidRDefault="000C349B" w:rsidP="000C349B">
      <w:pPr>
        <w:suppressAutoHyphens/>
        <w:spacing w:before="240" w:after="240" w:line="480" w:lineRule="auto"/>
        <w:ind w:firstLine="720"/>
        <w:rPr>
          <w:rFonts w:ascii="Times New Roman" w:eastAsia="Times New Roman" w:hAnsi="Times New Roman"/>
          <w:color w:val="000000"/>
          <w:sz w:val="24"/>
          <w:szCs w:val="24"/>
          <w:lang w:eastAsia="ja-JP"/>
        </w:rPr>
      </w:pPr>
      <w:r w:rsidRPr="000C349B">
        <w:rPr>
          <w:rFonts w:ascii="Times New Roman" w:eastAsia="Times New Roman" w:hAnsi="Times New Roman"/>
          <w:color w:val="000000"/>
          <w:sz w:val="24"/>
          <w:szCs w:val="24"/>
          <w:lang w:eastAsia="ja-JP"/>
        </w:rPr>
        <w:t>As I learned about the skills that I will require for my future professional practice, I gathered that report writing is essential because it will enhance performance monitoring and assess skills achievements and competencies in the relevant skill areas. Recording the performance using known techniques such as excel will foster the formal recognition of skills achievement. The reports will be readily accessible to course facilitators and examiners. It is essential to only disclose the initial skills audit results to others at their discretion. The process is appropriate because it will allow the facilitators to identify and acknowledge the current specialization areas using documentary evidence of student skills and competencies. Therefore, it is essential to note down the specialization areas to ensure that students at least attain better results than the minimum skills levels, competency, and knowledge. The PBL outlines stringent steps that outline the requirements used to recognize, assess, and credit practitioner performance.</w:t>
      </w:r>
    </w:p>
    <w:p w14:paraId="4E7E6187" w14:textId="77777777" w:rsidR="000C349B" w:rsidRPr="000C349B" w:rsidRDefault="000C349B" w:rsidP="000C349B">
      <w:pPr>
        <w:suppressAutoHyphens/>
        <w:spacing w:before="240" w:after="240" w:line="480" w:lineRule="auto"/>
        <w:rPr>
          <w:rFonts w:ascii="Times New Roman" w:eastAsia="Times New Roman" w:hAnsi="Times New Roman"/>
          <w:color w:val="000000"/>
          <w:sz w:val="24"/>
          <w:szCs w:val="24"/>
          <w:lang w:eastAsia="ja-JP"/>
        </w:rPr>
      </w:pPr>
    </w:p>
    <w:p w14:paraId="617044FE" w14:textId="77777777" w:rsidR="000C349B" w:rsidRPr="000C349B" w:rsidRDefault="000C349B" w:rsidP="000C349B">
      <w:pPr>
        <w:suppressAutoHyphens/>
        <w:spacing w:after="0" w:line="480" w:lineRule="auto"/>
        <w:ind w:firstLine="720"/>
        <w:rPr>
          <w:rFonts w:ascii="Times New Roman" w:eastAsia="Times New Roman" w:hAnsi="Times New Roman"/>
          <w:b/>
          <w:bCs/>
          <w:color w:val="000000"/>
          <w:sz w:val="24"/>
          <w:szCs w:val="24"/>
          <w:lang w:eastAsia="ja-JP"/>
        </w:rPr>
      </w:pPr>
    </w:p>
    <w:p w14:paraId="2B13B305" w14:textId="77777777" w:rsidR="00395B7F" w:rsidRDefault="00395B7F" w:rsidP="000C349B">
      <w:pPr>
        <w:suppressAutoHyphens/>
        <w:spacing w:after="0" w:line="480" w:lineRule="auto"/>
        <w:jc w:val="center"/>
        <w:rPr>
          <w:rFonts w:ascii="Times New Roman" w:eastAsia="Times New Roman" w:hAnsi="Times New Roman"/>
          <w:b/>
          <w:bCs/>
          <w:color w:val="000000"/>
          <w:sz w:val="24"/>
          <w:szCs w:val="24"/>
          <w:lang w:eastAsia="ja-JP"/>
        </w:rPr>
      </w:pPr>
    </w:p>
    <w:p w14:paraId="2DC78C20" w14:textId="77777777" w:rsidR="00395B7F" w:rsidRDefault="00395B7F" w:rsidP="000C349B">
      <w:pPr>
        <w:suppressAutoHyphens/>
        <w:spacing w:after="0" w:line="480" w:lineRule="auto"/>
        <w:jc w:val="center"/>
        <w:rPr>
          <w:rFonts w:ascii="Times New Roman" w:eastAsia="Times New Roman" w:hAnsi="Times New Roman"/>
          <w:b/>
          <w:bCs/>
          <w:color w:val="000000"/>
          <w:sz w:val="24"/>
          <w:szCs w:val="24"/>
          <w:lang w:eastAsia="ja-JP"/>
        </w:rPr>
      </w:pPr>
    </w:p>
    <w:p w14:paraId="5B578223" w14:textId="77777777" w:rsidR="000C349B" w:rsidRPr="000C349B" w:rsidRDefault="000C349B" w:rsidP="00395B7F">
      <w:pPr>
        <w:suppressAutoHyphens/>
        <w:spacing w:after="0" w:line="480" w:lineRule="auto"/>
        <w:jc w:val="center"/>
        <w:rPr>
          <w:rFonts w:ascii="Times New Roman" w:eastAsia="Times New Roman" w:hAnsi="Times New Roman"/>
          <w:b/>
          <w:bCs/>
          <w:color w:val="000000"/>
          <w:sz w:val="24"/>
          <w:szCs w:val="24"/>
          <w:lang w:eastAsia="ja-JP"/>
        </w:rPr>
      </w:pPr>
      <w:r w:rsidRPr="000C349B">
        <w:rPr>
          <w:rFonts w:ascii="Times New Roman" w:eastAsia="Times New Roman" w:hAnsi="Times New Roman"/>
          <w:b/>
          <w:bCs/>
          <w:color w:val="000000"/>
          <w:sz w:val="24"/>
          <w:szCs w:val="24"/>
          <w:lang w:eastAsia="ja-JP"/>
        </w:rPr>
        <w:t>Works Cited</w:t>
      </w:r>
    </w:p>
    <w:p w14:paraId="472862BD"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Avidov</w:t>
      </w:r>
      <w:proofErr w:type="spellEnd"/>
      <w:r w:rsidRPr="000C349B">
        <w:rPr>
          <w:rFonts w:ascii="Times New Roman" w:eastAsia="Times New Roman" w:hAnsi="Times New Roman"/>
          <w:color w:val="000000"/>
          <w:sz w:val="24"/>
          <w:szCs w:val="24"/>
          <w:shd w:val="clear" w:color="auto" w:fill="FFFFFF"/>
          <w:lang w:eastAsia="ja-JP"/>
        </w:rPr>
        <w:t>-Ungar, Orit. "A Model of Professional Development: Teachers’ Perceptions of Their Professional Development". </w:t>
      </w:r>
      <w:r w:rsidRPr="000C349B">
        <w:rPr>
          <w:rFonts w:ascii="Times New Roman" w:eastAsia="Times New Roman" w:hAnsi="Times New Roman"/>
          <w:i/>
          <w:iCs/>
          <w:color w:val="000000"/>
          <w:sz w:val="24"/>
          <w:szCs w:val="24"/>
          <w:shd w:val="clear" w:color="auto" w:fill="FFFFFF"/>
          <w:lang w:eastAsia="ja-JP"/>
        </w:rPr>
        <w:t>Teachers and Teaching</w:t>
      </w:r>
      <w:r w:rsidRPr="000C349B">
        <w:rPr>
          <w:rFonts w:ascii="Times New Roman" w:eastAsia="Times New Roman" w:hAnsi="Times New Roman"/>
          <w:color w:val="000000"/>
          <w:sz w:val="24"/>
          <w:szCs w:val="24"/>
          <w:shd w:val="clear" w:color="auto" w:fill="FFFFFF"/>
          <w:lang w:eastAsia="ja-JP"/>
        </w:rPr>
        <w:t>, vol 22, no. 6, 2016, pp. 653-669.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doi:10.1080/13540602.2016.1158955.</w:t>
      </w:r>
    </w:p>
    <w:p w14:paraId="7360C752"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Alibakhshi</w:t>
      </w:r>
      <w:proofErr w:type="spellEnd"/>
      <w:r w:rsidRPr="000C349B">
        <w:rPr>
          <w:rFonts w:ascii="Times New Roman" w:eastAsia="Times New Roman" w:hAnsi="Times New Roman"/>
          <w:color w:val="000000"/>
          <w:sz w:val="24"/>
          <w:szCs w:val="24"/>
          <w:shd w:val="clear" w:color="auto" w:fill="FFFFFF"/>
          <w:lang w:eastAsia="ja-JP"/>
        </w:rPr>
        <w:t xml:space="preserve">, </w:t>
      </w:r>
      <w:proofErr w:type="spellStart"/>
      <w:r w:rsidRPr="000C349B">
        <w:rPr>
          <w:rFonts w:ascii="Times New Roman" w:eastAsia="Times New Roman" w:hAnsi="Times New Roman"/>
          <w:color w:val="000000"/>
          <w:sz w:val="24"/>
          <w:szCs w:val="24"/>
          <w:shd w:val="clear" w:color="auto" w:fill="FFFFFF"/>
          <w:lang w:eastAsia="ja-JP"/>
        </w:rPr>
        <w:t>Goudarz</w:t>
      </w:r>
      <w:proofErr w:type="spellEnd"/>
      <w:r w:rsidRPr="000C349B">
        <w:rPr>
          <w:rFonts w:ascii="Times New Roman" w:eastAsia="Times New Roman" w:hAnsi="Times New Roman"/>
          <w:color w:val="000000"/>
          <w:sz w:val="24"/>
          <w:szCs w:val="24"/>
          <w:shd w:val="clear" w:color="auto" w:fill="FFFFFF"/>
          <w:lang w:eastAsia="ja-JP"/>
        </w:rPr>
        <w:t xml:space="preserve">, and </w:t>
      </w:r>
      <w:proofErr w:type="spellStart"/>
      <w:r w:rsidRPr="000C349B">
        <w:rPr>
          <w:rFonts w:ascii="Times New Roman" w:eastAsia="Times New Roman" w:hAnsi="Times New Roman"/>
          <w:color w:val="000000"/>
          <w:sz w:val="24"/>
          <w:szCs w:val="24"/>
          <w:shd w:val="clear" w:color="auto" w:fill="FFFFFF"/>
          <w:lang w:eastAsia="ja-JP"/>
        </w:rPr>
        <w:t>Najibeh</w:t>
      </w:r>
      <w:proofErr w:type="spellEnd"/>
      <w:r w:rsidRPr="000C349B">
        <w:rPr>
          <w:rFonts w:ascii="Times New Roman" w:eastAsia="Times New Roman" w:hAnsi="Times New Roman"/>
          <w:color w:val="000000"/>
          <w:sz w:val="24"/>
          <w:szCs w:val="24"/>
          <w:shd w:val="clear" w:color="auto" w:fill="FFFFFF"/>
          <w:lang w:eastAsia="ja-JP"/>
        </w:rPr>
        <w:t xml:space="preserve"> </w:t>
      </w:r>
      <w:proofErr w:type="spellStart"/>
      <w:r w:rsidRPr="000C349B">
        <w:rPr>
          <w:rFonts w:ascii="Times New Roman" w:eastAsia="Times New Roman" w:hAnsi="Times New Roman"/>
          <w:color w:val="000000"/>
          <w:sz w:val="24"/>
          <w:szCs w:val="24"/>
          <w:shd w:val="clear" w:color="auto" w:fill="FFFFFF"/>
          <w:lang w:eastAsia="ja-JP"/>
        </w:rPr>
        <w:t>Dehvari</w:t>
      </w:r>
      <w:proofErr w:type="spellEnd"/>
      <w:r w:rsidRPr="000C349B">
        <w:rPr>
          <w:rFonts w:ascii="Times New Roman" w:eastAsia="Times New Roman" w:hAnsi="Times New Roman"/>
          <w:color w:val="000000"/>
          <w:sz w:val="24"/>
          <w:szCs w:val="24"/>
          <w:shd w:val="clear" w:color="auto" w:fill="FFFFFF"/>
          <w:lang w:eastAsia="ja-JP"/>
        </w:rPr>
        <w:t>. "EFL Teachers’ Perceptions of Continuing Professional Development: A Case of Iranian High School Teachers". </w:t>
      </w:r>
      <w:r w:rsidRPr="000C349B">
        <w:rPr>
          <w:rFonts w:ascii="Times New Roman" w:eastAsia="Times New Roman" w:hAnsi="Times New Roman"/>
          <w:i/>
          <w:iCs/>
          <w:color w:val="000000"/>
          <w:sz w:val="24"/>
          <w:szCs w:val="24"/>
          <w:shd w:val="clear" w:color="auto" w:fill="FFFFFF"/>
          <w:lang w:eastAsia="ja-JP"/>
        </w:rPr>
        <w:t xml:space="preserve">PROFILE </w:t>
      </w:r>
      <w:r w:rsidRPr="000C349B">
        <w:rPr>
          <w:rFonts w:ascii="Times New Roman" w:eastAsia="Times New Roman" w:hAnsi="Times New Roman"/>
          <w:i/>
          <w:iCs/>
          <w:color w:val="000000"/>
          <w:sz w:val="24"/>
          <w:szCs w:val="24"/>
          <w:shd w:val="clear" w:color="auto" w:fill="FFFFFF"/>
          <w:lang w:eastAsia="ja-JP"/>
        </w:rPr>
        <w:lastRenderedPageBreak/>
        <w:t>Issues in Teachers' Professional Development</w:t>
      </w:r>
      <w:r w:rsidRPr="000C349B">
        <w:rPr>
          <w:rFonts w:ascii="Times New Roman" w:eastAsia="Times New Roman" w:hAnsi="Times New Roman"/>
          <w:color w:val="000000"/>
          <w:sz w:val="24"/>
          <w:szCs w:val="24"/>
          <w:shd w:val="clear" w:color="auto" w:fill="FFFFFF"/>
          <w:lang w:eastAsia="ja-JP"/>
        </w:rPr>
        <w:t>, vol 17, no. 2, 2017, pp. 29-42. </w:t>
      </w:r>
      <w:r w:rsidRPr="000C349B">
        <w:rPr>
          <w:rFonts w:ascii="Times New Roman" w:eastAsia="Times New Roman" w:hAnsi="Times New Roman"/>
          <w:i/>
          <w:iCs/>
          <w:color w:val="000000"/>
          <w:sz w:val="24"/>
          <w:szCs w:val="24"/>
          <w:shd w:val="clear" w:color="auto" w:fill="FFFFFF"/>
          <w:lang w:eastAsia="ja-JP"/>
        </w:rPr>
        <w:t>Universidad Nacional De Colombia</w:t>
      </w:r>
      <w:r w:rsidRPr="000C349B">
        <w:rPr>
          <w:rFonts w:ascii="Times New Roman" w:eastAsia="Times New Roman" w:hAnsi="Times New Roman"/>
          <w:color w:val="000000"/>
          <w:sz w:val="24"/>
          <w:szCs w:val="24"/>
          <w:shd w:val="clear" w:color="auto" w:fill="FFFFFF"/>
          <w:lang w:eastAsia="ja-JP"/>
        </w:rPr>
        <w:t>, doi:10.15446/</w:t>
      </w:r>
      <w:proofErr w:type="gramStart"/>
      <w:r w:rsidRPr="000C349B">
        <w:rPr>
          <w:rFonts w:ascii="Times New Roman" w:eastAsia="Times New Roman" w:hAnsi="Times New Roman"/>
          <w:color w:val="000000"/>
          <w:sz w:val="24"/>
          <w:szCs w:val="24"/>
          <w:shd w:val="clear" w:color="auto" w:fill="FFFFFF"/>
          <w:lang w:eastAsia="ja-JP"/>
        </w:rPr>
        <w:t>profile.v</w:t>
      </w:r>
      <w:proofErr w:type="gramEnd"/>
      <w:r w:rsidRPr="000C349B">
        <w:rPr>
          <w:rFonts w:ascii="Times New Roman" w:eastAsia="Times New Roman" w:hAnsi="Times New Roman"/>
          <w:color w:val="000000"/>
          <w:sz w:val="24"/>
          <w:szCs w:val="24"/>
          <w:shd w:val="clear" w:color="auto" w:fill="FFFFFF"/>
          <w:lang w:eastAsia="ja-JP"/>
        </w:rPr>
        <w:t>17n2.44374.</w:t>
      </w:r>
    </w:p>
    <w:p w14:paraId="62CB8CBF"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Avidov</w:t>
      </w:r>
      <w:proofErr w:type="spellEnd"/>
      <w:r w:rsidRPr="000C349B">
        <w:rPr>
          <w:rFonts w:ascii="Times New Roman" w:eastAsia="Times New Roman" w:hAnsi="Times New Roman"/>
          <w:color w:val="000000"/>
          <w:sz w:val="24"/>
          <w:szCs w:val="24"/>
          <w:shd w:val="clear" w:color="auto" w:fill="FFFFFF"/>
          <w:lang w:eastAsia="ja-JP"/>
        </w:rPr>
        <w:t xml:space="preserve">-Ungar, Orit. "The Professional Learning Expectations of Teachers </w:t>
      </w:r>
      <w:r w:rsidR="000F65DE" w:rsidRPr="000C349B">
        <w:rPr>
          <w:rFonts w:ascii="Times New Roman" w:eastAsia="Times New Roman" w:hAnsi="Times New Roman"/>
          <w:color w:val="000000"/>
          <w:sz w:val="24"/>
          <w:szCs w:val="24"/>
          <w:shd w:val="clear" w:color="auto" w:fill="FFFFFF"/>
          <w:lang w:eastAsia="ja-JP"/>
        </w:rPr>
        <w:t>in</w:t>
      </w:r>
      <w:r w:rsidRPr="000C349B">
        <w:rPr>
          <w:rFonts w:ascii="Times New Roman" w:eastAsia="Times New Roman" w:hAnsi="Times New Roman"/>
          <w:color w:val="000000"/>
          <w:sz w:val="24"/>
          <w:szCs w:val="24"/>
          <w:shd w:val="clear" w:color="auto" w:fill="FFFFFF"/>
          <w:lang w:eastAsia="ja-JP"/>
        </w:rPr>
        <w:t xml:space="preserve"> Different Professional Development Periods". </w:t>
      </w:r>
      <w:r w:rsidRPr="000C349B">
        <w:rPr>
          <w:rFonts w:ascii="Times New Roman" w:eastAsia="Times New Roman" w:hAnsi="Times New Roman"/>
          <w:i/>
          <w:iCs/>
          <w:color w:val="000000"/>
          <w:sz w:val="24"/>
          <w:szCs w:val="24"/>
          <w:shd w:val="clear" w:color="auto" w:fill="FFFFFF"/>
          <w:lang w:eastAsia="ja-JP"/>
        </w:rPr>
        <w:t>Professional Development in Education</w:t>
      </w:r>
      <w:r w:rsidRPr="000C349B">
        <w:rPr>
          <w:rFonts w:ascii="Times New Roman" w:eastAsia="Times New Roman" w:hAnsi="Times New Roman"/>
          <w:color w:val="000000"/>
          <w:sz w:val="24"/>
          <w:szCs w:val="24"/>
          <w:shd w:val="clear" w:color="auto" w:fill="FFFFFF"/>
          <w:lang w:eastAsia="ja-JP"/>
        </w:rPr>
        <w:t>, 2020, pp. 1-12.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doi:10.1080/19415257.2020.1763435.</w:t>
      </w:r>
    </w:p>
    <w:p w14:paraId="35E3743F"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Avidov</w:t>
      </w:r>
      <w:proofErr w:type="spellEnd"/>
      <w:r w:rsidRPr="000C349B">
        <w:rPr>
          <w:rFonts w:ascii="Times New Roman" w:eastAsia="Times New Roman" w:hAnsi="Times New Roman"/>
          <w:color w:val="000000"/>
          <w:sz w:val="24"/>
          <w:szCs w:val="24"/>
          <w:shd w:val="clear" w:color="auto" w:fill="FFFFFF"/>
          <w:lang w:eastAsia="ja-JP"/>
        </w:rPr>
        <w:t xml:space="preserve">-Ungar, Orit, and </w:t>
      </w:r>
      <w:proofErr w:type="spellStart"/>
      <w:r w:rsidRPr="000C349B">
        <w:rPr>
          <w:rFonts w:ascii="Times New Roman" w:eastAsia="Times New Roman" w:hAnsi="Times New Roman"/>
          <w:color w:val="000000"/>
          <w:sz w:val="24"/>
          <w:szCs w:val="24"/>
          <w:shd w:val="clear" w:color="auto" w:fill="FFFFFF"/>
          <w:lang w:eastAsia="ja-JP"/>
        </w:rPr>
        <w:t>Osnat</w:t>
      </w:r>
      <w:proofErr w:type="spellEnd"/>
      <w:r w:rsidRPr="000C349B">
        <w:rPr>
          <w:rFonts w:ascii="Times New Roman" w:eastAsia="Times New Roman" w:hAnsi="Times New Roman"/>
          <w:color w:val="000000"/>
          <w:sz w:val="24"/>
          <w:szCs w:val="24"/>
          <w:shd w:val="clear" w:color="auto" w:fill="FFFFFF"/>
          <w:lang w:eastAsia="ja-JP"/>
        </w:rPr>
        <w:t xml:space="preserve"> </w:t>
      </w:r>
      <w:proofErr w:type="spellStart"/>
      <w:r w:rsidRPr="000C349B">
        <w:rPr>
          <w:rFonts w:ascii="Times New Roman" w:eastAsia="Times New Roman" w:hAnsi="Times New Roman"/>
          <w:color w:val="000000"/>
          <w:sz w:val="24"/>
          <w:szCs w:val="24"/>
          <w:shd w:val="clear" w:color="auto" w:fill="FFFFFF"/>
          <w:lang w:eastAsia="ja-JP"/>
        </w:rPr>
        <w:t>Herscu</w:t>
      </w:r>
      <w:proofErr w:type="spellEnd"/>
      <w:r w:rsidRPr="000C349B">
        <w:rPr>
          <w:rFonts w:ascii="Times New Roman" w:eastAsia="Times New Roman" w:hAnsi="Times New Roman"/>
          <w:color w:val="000000"/>
          <w:sz w:val="24"/>
          <w:szCs w:val="24"/>
          <w:shd w:val="clear" w:color="auto" w:fill="FFFFFF"/>
          <w:lang w:eastAsia="ja-JP"/>
        </w:rPr>
        <w:t>. "Formal Professional Development as Perceived by Teachers in Different Professional Life Periods". </w:t>
      </w:r>
      <w:r w:rsidRPr="000C349B">
        <w:rPr>
          <w:rFonts w:ascii="Times New Roman" w:eastAsia="Times New Roman" w:hAnsi="Times New Roman"/>
          <w:i/>
          <w:iCs/>
          <w:color w:val="000000"/>
          <w:sz w:val="24"/>
          <w:szCs w:val="24"/>
          <w:shd w:val="clear" w:color="auto" w:fill="FFFFFF"/>
          <w:lang w:eastAsia="ja-JP"/>
        </w:rPr>
        <w:t xml:space="preserve">Professional Development </w:t>
      </w:r>
      <w:proofErr w:type="gramStart"/>
      <w:r w:rsidRPr="000C349B">
        <w:rPr>
          <w:rFonts w:ascii="Times New Roman" w:eastAsia="Times New Roman" w:hAnsi="Times New Roman"/>
          <w:i/>
          <w:iCs/>
          <w:color w:val="000000"/>
          <w:sz w:val="24"/>
          <w:szCs w:val="24"/>
          <w:shd w:val="clear" w:color="auto" w:fill="FFFFFF"/>
          <w:lang w:eastAsia="ja-JP"/>
        </w:rPr>
        <w:t>In</w:t>
      </w:r>
      <w:proofErr w:type="gramEnd"/>
      <w:r w:rsidRPr="000C349B">
        <w:rPr>
          <w:rFonts w:ascii="Times New Roman" w:eastAsia="Times New Roman" w:hAnsi="Times New Roman"/>
          <w:i/>
          <w:iCs/>
          <w:color w:val="000000"/>
          <w:sz w:val="24"/>
          <w:szCs w:val="24"/>
          <w:shd w:val="clear" w:color="auto" w:fill="FFFFFF"/>
          <w:lang w:eastAsia="ja-JP"/>
        </w:rPr>
        <w:t xml:space="preserve"> Education</w:t>
      </w:r>
      <w:r w:rsidRPr="000C349B">
        <w:rPr>
          <w:rFonts w:ascii="Times New Roman" w:eastAsia="Times New Roman" w:hAnsi="Times New Roman"/>
          <w:color w:val="000000"/>
          <w:sz w:val="24"/>
          <w:szCs w:val="24"/>
          <w:shd w:val="clear" w:color="auto" w:fill="FFFFFF"/>
          <w:lang w:eastAsia="ja-JP"/>
        </w:rPr>
        <w:t>, vol 46, no. 5, 2019, pp. 833-844.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doi:10.1080/19415257.2019.1647271.</w:t>
      </w:r>
    </w:p>
    <w:p w14:paraId="71EF6E33"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Dvir</w:t>
      </w:r>
      <w:proofErr w:type="spellEnd"/>
      <w:r w:rsidRPr="000C349B">
        <w:rPr>
          <w:rFonts w:ascii="Times New Roman" w:eastAsia="Times New Roman" w:hAnsi="Times New Roman"/>
          <w:color w:val="000000"/>
          <w:sz w:val="24"/>
          <w:szCs w:val="24"/>
          <w:shd w:val="clear" w:color="auto" w:fill="FFFFFF"/>
          <w:lang w:eastAsia="ja-JP"/>
        </w:rPr>
        <w:t xml:space="preserve">, </w:t>
      </w:r>
      <w:proofErr w:type="spellStart"/>
      <w:r w:rsidRPr="000C349B">
        <w:rPr>
          <w:rFonts w:ascii="Times New Roman" w:eastAsia="Times New Roman" w:hAnsi="Times New Roman"/>
          <w:color w:val="000000"/>
          <w:sz w:val="24"/>
          <w:szCs w:val="24"/>
          <w:shd w:val="clear" w:color="auto" w:fill="FFFFFF"/>
          <w:lang w:eastAsia="ja-JP"/>
        </w:rPr>
        <w:t>Nurit</w:t>
      </w:r>
      <w:proofErr w:type="spellEnd"/>
      <w:r w:rsidRPr="000C349B">
        <w:rPr>
          <w:rFonts w:ascii="Times New Roman" w:eastAsia="Times New Roman" w:hAnsi="Times New Roman"/>
          <w:color w:val="000000"/>
          <w:sz w:val="24"/>
          <w:szCs w:val="24"/>
          <w:shd w:val="clear" w:color="auto" w:fill="FFFFFF"/>
          <w:lang w:eastAsia="ja-JP"/>
        </w:rPr>
        <w:t>. "Using Narrative Pedagogy for Novice Teachers’ Professional Development". </w:t>
      </w:r>
      <w:r w:rsidRPr="000C349B">
        <w:rPr>
          <w:rFonts w:ascii="Times New Roman" w:eastAsia="Times New Roman" w:hAnsi="Times New Roman"/>
          <w:i/>
          <w:iCs/>
          <w:color w:val="000000"/>
          <w:sz w:val="24"/>
          <w:szCs w:val="24"/>
          <w:shd w:val="clear" w:color="auto" w:fill="FFFFFF"/>
          <w:lang w:eastAsia="ja-JP"/>
        </w:rPr>
        <w:t xml:space="preserve">Professional Development </w:t>
      </w:r>
      <w:proofErr w:type="gramStart"/>
      <w:r w:rsidRPr="000C349B">
        <w:rPr>
          <w:rFonts w:ascii="Times New Roman" w:eastAsia="Times New Roman" w:hAnsi="Times New Roman"/>
          <w:i/>
          <w:iCs/>
          <w:color w:val="000000"/>
          <w:sz w:val="24"/>
          <w:szCs w:val="24"/>
          <w:shd w:val="clear" w:color="auto" w:fill="FFFFFF"/>
          <w:lang w:eastAsia="ja-JP"/>
        </w:rPr>
        <w:t>In</w:t>
      </w:r>
      <w:proofErr w:type="gramEnd"/>
      <w:r w:rsidRPr="000C349B">
        <w:rPr>
          <w:rFonts w:ascii="Times New Roman" w:eastAsia="Times New Roman" w:hAnsi="Times New Roman"/>
          <w:i/>
          <w:iCs/>
          <w:color w:val="000000"/>
          <w:sz w:val="24"/>
          <w:szCs w:val="24"/>
          <w:shd w:val="clear" w:color="auto" w:fill="FFFFFF"/>
          <w:lang w:eastAsia="ja-JP"/>
        </w:rPr>
        <w:t xml:space="preserve"> Education</w:t>
      </w:r>
      <w:r w:rsidRPr="000C349B">
        <w:rPr>
          <w:rFonts w:ascii="Times New Roman" w:eastAsia="Times New Roman" w:hAnsi="Times New Roman"/>
          <w:color w:val="000000"/>
          <w:sz w:val="24"/>
          <w:szCs w:val="24"/>
          <w:shd w:val="clear" w:color="auto" w:fill="FFFFFF"/>
          <w:lang w:eastAsia="ja-JP"/>
        </w:rPr>
        <w:t>, 2021, pp. 1-13.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doi:10.1080/19415257.2021.1895285.</w:t>
      </w:r>
    </w:p>
    <w:p w14:paraId="09638827"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r w:rsidRPr="000C349B">
        <w:rPr>
          <w:rFonts w:ascii="Times New Roman" w:eastAsia="Times New Roman" w:hAnsi="Times New Roman"/>
          <w:color w:val="000000"/>
          <w:sz w:val="24"/>
          <w:szCs w:val="24"/>
          <w:shd w:val="clear" w:color="auto" w:fill="FFFFFF"/>
          <w:lang w:eastAsia="ja-JP"/>
        </w:rPr>
        <w:t xml:space="preserve">Hope, Joan. "Focus </w:t>
      </w:r>
      <w:proofErr w:type="gramStart"/>
      <w:r w:rsidRPr="000C349B">
        <w:rPr>
          <w:rFonts w:ascii="Times New Roman" w:eastAsia="Times New Roman" w:hAnsi="Times New Roman"/>
          <w:color w:val="000000"/>
          <w:sz w:val="24"/>
          <w:szCs w:val="24"/>
          <w:shd w:val="clear" w:color="auto" w:fill="FFFFFF"/>
          <w:lang w:eastAsia="ja-JP"/>
        </w:rPr>
        <w:t>On</w:t>
      </w:r>
      <w:proofErr w:type="gramEnd"/>
      <w:r w:rsidRPr="000C349B">
        <w:rPr>
          <w:rFonts w:ascii="Times New Roman" w:eastAsia="Times New Roman" w:hAnsi="Times New Roman"/>
          <w:color w:val="000000"/>
          <w:sz w:val="24"/>
          <w:szCs w:val="24"/>
          <w:shd w:val="clear" w:color="auto" w:fill="FFFFFF"/>
          <w:lang w:eastAsia="ja-JP"/>
        </w:rPr>
        <w:t xml:space="preserve"> Data To Plan Professional Development For Faculty". </w:t>
      </w:r>
      <w:r w:rsidRPr="000C349B">
        <w:rPr>
          <w:rFonts w:ascii="Times New Roman" w:eastAsia="Times New Roman" w:hAnsi="Times New Roman"/>
          <w:i/>
          <w:iCs/>
          <w:color w:val="000000"/>
          <w:sz w:val="24"/>
          <w:szCs w:val="24"/>
          <w:shd w:val="clear" w:color="auto" w:fill="FFFFFF"/>
          <w:lang w:eastAsia="ja-JP"/>
        </w:rPr>
        <w:t>Recruiting &amp; Retaining Adult Learners</w:t>
      </w:r>
      <w:r w:rsidRPr="000C349B">
        <w:rPr>
          <w:rFonts w:ascii="Times New Roman" w:eastAsia="Times New Roman" w:hAnsi="Times New Roman"/>
          <w:color w:val="000000"/>
          <w:sz w:val="24"/>
          <w:szCs w:val="24"/>
          <w:shd w:val="clear" w:color="auto" w:fill="FFFFFF"/>
          <w:lang w:eastAsia="ja-JP"/>
        </w:rPr>
        <w:t>, vol 18, no. 1, 2015, pp. 7-7. </w:t>
      </w:r>
      <w:r w:rsidRPr="000C349B">
        <w:rPr>
          <w:rFonts w:ascii="Times New Roman" w:eastAsia="Times New Roman" w:hAnsi="Times New Roman"/>
          <w:i/>
          <w:iCs/>
          <w:color w:val="000000"/>
          <w:sz w:val="24"/>
          <w:szCs w:val="24"/>
          <w:shd w:val="clear" w:color="auto" w:fill="FFFFFF"/>
          <w:lang w:eastAsia="ja-JP"/>
        </w:rPr>
        <w:t>Wiley</w:t>
      </w:r>
      <w:r w:rsidRPr="000C349B">
        <w:rPr>
          <w:rFonts w:ascii="Times New Roman" w:eastAsia="Times New Roman" w:hAnsi="Times New Roman"/>
          <w:color w:val="000000"/>
          <w:sz w:val="24"/>
          <w:szCs w:val="24"/>
          <w:shd w:val="clear" w:color="auto" w:fill="FFFFFF"/>
          <w:lang w:eastAsia="ja-JP"/>
        </w:rPr>
        <w:t>, doi:10.1002/nsr.30092.</w:t>
      </w:r>
    </w:p>
    <w:p w14:paraId="4A6AE9C1"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Karsenty</w:t>
      </w:r>
      <w:proofErr w:type="spellEnd"/>
      <w:r w:rsidRPr="000C349B">
        <w:rPr>
          <w:rFonts w:ascii="Times New Roman" w:eastAsia="Times New Roman" w:hAnsi="Times New Roman"/>
          <w:color w:val="000000"/>
          <w:sz w:val="24"/>
          <w:szCs w:val="24"/>
          <w:shd w:val="clear" w:color="auto" w:fill="FFFFFF"/>
          <w:lang w:eastAsia="ja-JP"/>
        </w:rPr>
        <w:t xml:space="preserve">, Ronnie. "Implementing Professional Development Programs for Mathematics Teachers </w:t>
      </w:r>
      <w:proofErr w:type="gramStart"/>
      <w:r w:rsidRPr="000C349B">
        <w:rPr>
          <w:rFonts w:ascii="Times New Roman" w:eastAsia="Times New Roman" w:hAnsi="Times New Roman"/>
          <w:color w:val="000000"/>
          <w:sz w:val="24"/>
          <w:szCs w:val="24"/>
          <w:shd w:val="clear" w:color="auto" w:fill="FFFFFF"/>
          <w:lang w:eastAsia="ja-JP"/>
        </w:rPr>
        <w:t>At</w:t>
      </w:r>
      <w:proofErr w:type="gramEnd"/>
      <w:r w:rsidRPr="000C349B">
        <w:rPr>
          <w:rFonts w:ascii="Times New Roman" w:eastAsia="Times New Roman" w:hAnsi="Times New Roman"/>
          <w:color w:val="000000"/>
          <w:sz w:val="24"/>
          <w:szCs w:val="24"/>
          <w:shd w:val="clear" w:color="auto" w:fill="FFFFFF"/>
          <w:lang w:eastAsia="ja-JP"/>
        </w:rPr>
        <w:t xml:space="preserve"> Scale: What Counts As Success?". </w:t>
      </w:r>
      <w:r w:rsidRPr="000C349B">
        <w:rPr>
          <w:rFonts w:ascii="Times New Roman" w:eastAsia="Times New Roman" w:hAnsi="Times New Roman"/>
          <w:i/>
          <w:iCs/>
          <w:color w:val="000000"/>
          <w:sz w:val="24"/>
          <w:szCs w:val="24"/>
          <w:shd w:val="clear" w:color="auto" w:fill="FFFFFF"/>
          <w:lang w:eastAsia="ja-JP"/>
        </w:rPr>
        <w:t>ZDM – Mathematics Education</w:t>
      </w:r>
      <w:r w:rsidRPr="000C349B">
        <w:rPr>
          <w:rFonts w:ascii="Times New Roman" w:eastAsia="Times New Roman" w:hAnsi="Times New Roman"/>
          <w:color w:val="000000"/>
          <w:sz w:val="24"/>
          <w:szCs w:val="24"/>
          <w:shd w:val="clear" w:color="auto" w:fill="FFFFFF"/>
          <w:lang w:eastAsia="ja-JP"/>
        </w:rPr>
        <w:t>, 2021. </w:t>
      </w:r>
      <w:r w:rsidRPr="000C349B">
        <w:rPr>
          <w:rFonts w:ascii="Times New Roman" w:eastAsia="Times New Roman" w:hAnsi="Times New Roman"/>
          <w:i/>
          <w:iCs/>
          <w:color w:val="000000"/>
          <w:sz w:val="24"/>
          <w:szCs w:val="24"/>
          <w:shd w:val="clear" w:color="auto" w:fill="FFFFFF"/>
          <w:lang w:eastAsia="ja-JP"/>
        </w:rPr>
        <w:t xml:space="preserve">Springer Science </w:t>
      </w:r>
      <w:proofErr w:type="gramStart"/>
      <w:r w:rsidRPr="000C349B">
        <w:rPr>
          <w:rFonts w:ascii="Times New Roman" w:eastAsia="Times New Roman" w:hAnsi="Times New Roman"/>
          <w:i/>
          <w:iCs/>
          <w:color w:val="000000"/>
          <w:sz w:val="24"/>
          <w:szCs w:val="24"/>
          <w:shd w:val="clear" w:color="auto" w:fill="FFFFFF"/>
          <w:lang w:eastAsia="ja-JP"/>
        </w:rPr>
        <w:t>And</w:t>
      </w:r>
      <w:proofErr w:type="gramEnd"/>
      <w:r w:rsidRPr="000C349B">
        <w:rPr>
          <w:rFonts w:ascii="Times New Roman" w:eastAsia="Times New Roman" w:hAnsi="Times New Roman"/>
          <w:i/>
          <w:iCs/>
          <w:color w:val="000000"/>
          <w:sz w:val="24"/>
          <w:szCs w:val="24"/>
          <w:shd w:val="clear" w:color="auto" w:fill="FFFFFF"/>
          <w:lang w:eastAsia="ja-JP"/>
        </w:rPr>
        <w:t xml:space="preserve"> Business Media LLC</w:t>
      </w:r>
      <w:r w:rsidRPr="000C349B">
        <w:rPr>
          <w:rFonts w:ascii="Times New Roman" w:eastAsia="Times New Roman" w:hAnsi="Times New Roman"/>
          <w:color w:val="000000"/>
          <w:sz w:val="24"/>
          <w:szCs w:val="24"/>
          <w:shd w:val="clear" w:color="auto" w:fill="FFFFFF"/>
          <w:lang w:eastAsia="ja-JP"/>
        </w:rPr>
        <w:t>, doi:10.1007/s11858-021-01250-5.</w:t>
      </w:r>
    </w:p>
    <w:p w14:paraId="029663B0"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r w:rsidRPr="000C349B">
        <w:rPr>
          <w:rFonts w:ascii="Times New Roman" w:eastAsia="Times New Roman" w:hAnsi="Times New Roman"/>
          <w:color w:val="000000"/>
          <w:sz w:val="24"/>
          <w:szCs w:val="24"/>
          <w:shd w:val="clear" w:color="auto" w:fill="FFFFFF"/>
          <w:lang w:eastAsia="ja-JP"/>
        </w:rPr>
        <w:t>King, Fiona. "Professional Learning: Empowering Teachers?". </w:t>
      </w:r>
      <w:r w:rsidRPr="000C349B">
        <w:rPr>
          <w:rFonts w:ascii="Times New Roman" w:eastAsia="Times New Roman" w:hAnsi="Times New Roman"/>
          <w:i/>
          <w:iCs/>
          <w:color w:val="000000"/>
          <w:sz w:val="24"/>
          <w:szCs w:val="24"/>
          <w:shd w:val="clear" w:color="auto" w:fill="FFFFFF"/>
          <w:lang w:eastAsia="ja-JP"/>
        </w:rPr>
        <w:t>Professional Development in Education</w:t>
      </w:r>
      <w:r w:rsidRPr="000C349B">
        <w:rPr>
          <w:rFonts w:ascii="Times New Roman" w:eastAsia="Times New Roman" w:hAnsi="Times New Roman"/>
          <w:color w:val="000000"/>
          <w:sz w:val="24"/>
          <w:szCs w:val="24"/>
          <w:shd w:val="clear" w:color="auto" w:fill="FFFFFF"/>
          <w:lang w:eastAsia="ja-JP"/>
        </w:rPr>
        <w:t>, vol 45, no. 2, 2019, pp. 169-172.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doi:10.1080/19415257.2019.1580849.</w:t>
      </w:r>
    </w:p>
    <w:p w14:paraId="5E7B10DB"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r w:rsidRPr="000C349B">
        <w:rPr>
          <w:rFonts w:ascii="Times New Roman" w:eastAsia="Times New Roman" w:hAnsi="Times New Roman"/>
          <w:color w:val="000000"/>
          <w:sz w:val="24"/>
          <w:szCs w:val="24"/>
          <w:shd w:val="clear" w:color="auto" w:fill="FFFFFF"/>
          <w:lang w:eastAsia="ja-JP"/>
        </w:rPr>
        <w:t>Lloyd, Mary Elizabeth Riley et al. "The Use of Teachers’ Baseline Normative Beliefs to Guide Professional Development in Teaching Mathematics". </w:t>
      </w:r>
      <w:r w:rsidRPr="000C349B">
        <w:rPr>
          <w:rFonts w:ascii="Times New Roman" w:eastAsia="Times New Roman" w:hAnsi="Times New Roman"/>
          <w:i/>
          <w:iCs/>
          <w:color w:val="000000"/>
          <w:sz w:val="24"/>
          <w:szCs w:val="24"/>
          <w:shd w:val="clear" w:color="auto" w:fill="FFFFFF"/>
          <w:lang w:eastAsia="ja-JP"/>
        </w:rPr>
        <w:t xml:space="preserve">Professional Development </w:t>
      </w:r>
      <w:proofErr w:type="gramStart"/>
      <w:r w:rsidRPr="000C349B">
        <w:rPr>
          <w:rFonts w:ascii="Times New Roman" w:eastAsia="Times New Roman" w:hAnsi="Times New Roman"/>
          <w:i/>
          <w:iCs/>
          <w:color w:val="000000"/>
          <w:sz w:val="24"/>
          <w:szCs w:val="24"/>
          <w:shd w:val="clear" w:color="auto" w:fill="FFFFFF"/>
          <w:lang w:eastAsia="ja-JP"/>
        </w:rPr>
        <w:t>In</w:t>
      </w:r>
      <w:proofErr w:type="gramEnd"/>
      <w:r w:rsidRPr="000C349B">
        <w:rPr>
          <w:rFonts w:ascii="Times New Roman" w:eastAsia="Times New Roman" w:hAnsi="Times New Roman"/>
          <w:i/>
          <w:iCs/>
          <w:color w:val="000000"/>
          <w:sz w:val="24"/>
          <w:szCs w:val="24"/>
          <w:shd w:val="clear" w:color="auto" w:fill="FFFFFF"/>
          <w:lang w:eastAsia="ja-JP"/>
        </w:rPr>
        <w:t xml:space="preserve"> Education</w:t>
      </w:r>
      <w:r w:rsidRPr="000C349B">
        <w:rPr>
          <w:rFonts w:ascii="Times New Roman" w:eastAsia="Times New Roman" w:hAnsi="Times New Roman"/>
          <w:color w:val="000000"/>
          <w:sz w:val="24"/>
          <w:szCs w:val="24"/>
          <w:shd w:val="clear" w:color="auto" w:fill="FFFFFF"/>
          <w:lang w:eastAsia="ja-JP"/>
        </w:rPr>
        <w:t>, vol 42, no. 3, 2015, pp. 359-386.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doi:10.1080/19415257.2015.1015747.</w:t>
      </w:r>
    </w:p>
    <w:p w14:paraId="32428B10"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r w:rsidRPr="000C349B">
        <w:rPr>
          <w:rFonts w:ascii="Times New Roman" w:eastAsia="Times New Roman" w:hAnsi="Times New Roman"/>
          <w:color w:val="000000"/>
          <w:sz w:val="24"/>
          <w:szCs w:val="24"/>
          <w:shd w:val="clear" w:color="auto" w:fill="FFFFFF"/>
          <w:lang w:eastAsia="ja-JP"/>
        </w:rPr>
        <w:lastRenderedPageBreak/>
        <w:t>Maloney, Patsy. "ANPD Strategic Plan". </w:t>
      </w:r>
      <w:r w:rsidRPr="000C349B">
        <w:rPr>
          <w:rFonts w:ascii="Times New Roman" w:eastAsia="Times New Roman" w:hAnsi="Times New Roman"/>
          <w:i/>
          <w:iCs/>
          <w:color w:val="000000"/>
          <w:sz w:val="24"/>
          <w:szCs w:val="24"/>
          <w:shd w:val="clear" w:color="auto" w:fill="FFFFFF"/>
          <w:lang w:eastAsia="ja-JP"/>
        </w:rPr>
        <w:t>Journal for Teachers in Professional Development</w:t>
      </w:r>
      <w:r w:rsidRPr="000C349B">
        <w:rPr>
          <w:rFonts w:ascii="Times New Roman" w:eastAsia="Times New Roman" w:hAnsi="Times New Roman"/>
          <w:color w:val="000000"/>
          <w:sz w:val="24"/>
          <w:szCs w:val="24"/>
          <w:shd w:val="clear" w:color="auto" w:fill="FFFFFF"/>
          <w:lang w:eastAsia="ja-JP"/>
        </w:rPr>
        <w:t>, vol 32, no. 2, 2016, pp. 112-114. </w:t>
      </w:r>
      <w:r w:rsidRPr="000C349B">
        <w:rPr>
          <w:rFonts w:ascii="Times New Roman" w:eastAsia="Times New Roman" w:hAnsi="Times New Roman"/>
          <w:i/>
          <w:iCs/>
          <w:color w:val="000000"/>
          <w:sz w:val="24"/>
          <w:szCs w:val="24"/>
          <w:shd w:val="clear" w:color="auto" w:fill="FFFFFF"/>
          <w:lang w:eastAsia="ja-JP"/>
        </w:rPr>
        <w:t>Ovid Technologies (Wolters Kluwer Health)</w:t>
      </w:r>
      <w:r w:rsidRPr="000C349B">
        <w:rPr>
          <w:rFonts w:ascii="Times New Roman" w:eastAsia="Times New Roman" w:hAnsi="Times New Roman"/>
          <w:color w:val="000000"/>
          <w:sz w:val="24"/>
          <w:szCs w:val="24"/>
          <w:shd w:val="clear" w:color="auto" w:fill="FFFFFF"/>
          <w:lang w:eastAsia="ja-JP"/>
        </w:rPr>
        <w:t>, doi:10.1097/nnd.0000000000000243.</w:t>
      </w:r>
    </w:p>
    <w:p w14:paraId="3DDDA5B3"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r w:rsidRPr="000C349B">
        <w:rPr>
          <w:rFonts w:ascii="Times New Roman" w:eastAsia="Times New Roman" w:hAnsi="Times New Roman"/>
          <w:color w:val="000000"/>
          <w:sz w:val="24"/>
          <w:szCs w:val="24"/>
          <w:shd w:val="clear" w:color="auto" w:fill="FFFFFF"/>
          <w:lang w:eastAsia="ja-JP"/>
        </w:rPr>
        <w:t xml:space="preserve">Oss, </w:t>
      </w:r>
      <w:proofErr w:type="spellStart"/>
      <w:r w:rsidRPr="000C349B">
        <w:rPr>
          <w:rFonts w:ascii="Times New Roman" w:eastAsia="Times New Roman" w:hAnsi="Times New Roman"/>
          <w:color w:val="000000"/>
          <w:sz w:val="24"/>
          <w:szCs w:val="24"/>
          <w:shd w:val="clear" w:color="auto" w:fill="FFFFFF"/>
          <w:lang w:eastAsia="ja-JP"/>
        </w:rPr>
        <w:t>Débora</w:t>
      </w:r>
      <w:proofErr w:type="spellEnd"/>
      <w:r w:rsidRPr="000C349B">
        <w:rPr>
          <w:rFonts w:ascii="Times New Roman" w:eastAsia="Times New Roman" w:hAnsi="Times New Roman"/>
          <w:color w:val="000000"/>
          <w:sz w:val="24"/>
          <w:szCs w:val="24"/>
          <w:shd w:val="clear" w:color="auto" w:fill="FFFFFF"/>
          <w:lang w:eastAsia="ja-JP"/>
        </w:rPr>
        <w:t xml:space="preserve"> </w:t>
      </w:r>
      <w:proofErr w:type="spellStart"/>
      <w:r w:rsidRPr="000C349B">
        <w:rPr>
          <w:rFonts w:ascii="Times New Roman" w:eastAsia="Times New Roman" w:hAnsi="Times New Roman"/>
          <w:color w:val="000000"/>
          <w:sz w:val="24"/>
          <w:szCs w:val="24"/>
          <w:shd w:val="clear" w:color="auto" w:fill="FFFFFF"/>
          <w:lang w:eastAsia="ja-JP"/>
        </w:rPr>
        <w:t>Izé</w:t>
      </w:r>
      <w:proofErr w:type="spellEnd"/>
      <w:r w:rsidRPr="000C349B">
        <w:rPr>
          <w:rFonts w:ascii="Times New Roman" w:eastAsia="Times New Roman" w:hAnsi="Times New Roman"/>
          <w:color w:val="000000"/>
          <w:sz w:val="24"/>
          <w:szCs w:val="24"/>
          <w:shd w:val="clear" w:color="auto" w:fill="FFFFFF"/>
          <w:lang w:eastAsia="ja-JP"/>
        </w:rPr>
        <w:t xml:space="preserve"> </w:t>
      </w:r>
      <w:proofErr w:type="spellStart"/>
      <w:r w:rsidRPr="000C349B">
        <w:rPr>
          <w:rFonts w:ascii="Times New Roman" w:eastAsia="Times New Roman" w:hAnsi="Times New Roman"/>
          <w:color w:val="000000"/>
          <w:sz w:val="24"/>
          <w:szCs w:val="24"/>
          <w:shd w:val="clear" w:color="auto" w:fill="FFFFFF"/>
          <w:lang w:eastAsia="ja-JP"/>
        </w:rPr>
        <w:t>Balsemão</w:t>
      </w:r>
      <w:proofErr w:type="spellEnd"/>
      <w:r w:rsidRPr="000C349B">
        <w:rPr>
          <w:rFonts w:ascii="Times New Roman" w:eastAsia="Times New Roman" w:hAnsi="Times New Roman"/>
          <w:color w:val="000000"/>
          <w:sz w:val="24"/>
          <w:szCs w:val="24"/>
          <w:shd w:val="clear" w:color="auto" w:fill="FFFFFF"/>
          <w:lang w:eastAsia="ja-JP"/>
        </w:rPr>
        <w:t>. "The Relevance of Teachers’ Practical Knowledge in the Development of Teacher Education Programs". </w:t>
      </w:r>
      <w:r w:rsidRPr="000C349B">
        <w:rPr>
          <w:rFonts w:ascii="Times New Roman" w:eastAsia="Times New Roman" w:hAnsi="Times New Roman"/>
          <w:i/>
          <w:iCs/>
          <w:color w:val="000000"/>
          <w:sz w:val="24"/>
          <w:szCs w:val="24"/>
          <w:shd w:val="clear" w:color="auto" w:fill="FFFFFF"/>
          <w:lang w:eastAsia="ja-JP"/>
        </w:rPr>
        <w:t xml:space="preserve">Profile: Issues </w:t>
      </w:r>
      <w:proofErr w:type="gramStart"/>
      <w:r w:rsidRPr="000C349B">
        <w:rPr>
          <w:rFonts w:ascii="Times New Roman" w:eastAsia="Times New Roman" w:hAnsi="Times New Roman"/>
          <w:i/>
          <w:iCs/>
          <w:color w:val="000000"/>
          <w:sz w:val="24"/>
          <w:szCs w:val="24"/>
          <w:shd w:val="clear" w:color="auto" w:fill="FFFFFF"/>
          <w:lang w:eastAsia="ja-JP"/>
        </w:rPr>
        <w:t>In</w:t>
      </w:r>
      <w:proofErr w:type="gramEnd"/>
      <w:r w:rsidRPr="000C349B">
        <w:rPr>
          <w:rFonts w:ascii="Times New Roman" w:eastAsia="Times New Roman" w:hAnsi="Times New Roman"/>
          <w:i/>
          <w:iCs/>
          <w:color w:val="000000"/>
          <w:sz w:val="24"/>
          <w:szCs w:val="24"/>
          <w:shd w:val="clear" w:color="auto" w:fill="FFFFFF"/>
          <w:lang w:eastAsia="ja-JP"/>
        </w:rPr>
        <w:t xml:space="preserve"> Teachers´ Professional Development</w:t>
      </w:r>
      <w:r w:rsidRPr="000C349B">
        <w:rPr>
          <w:rFonts w:ascii="Times New Roman" w:eastAsia="Times New Roman" w:hAnsi="Times New Roman"/>
          <w:color w:val="000000"/>
          <w:sz w:val="24"/>
          <w:szCs w:val="24"/>
          <w:shd w:val="clear" w:color="auto" w:fill="FFFFFF"/>
          <w:lang w:eastAsia="ja-JP"/>
        </w:rPr>
        <w:t>, vol 20, no. 1, 2018, pp. 167-178. </w:t>
      </w:r>
      <w:r w:rsidRPr="000C349B">
        <w:rPr>
          <w:rFonts w:ascii="Times New Roman" w:eastAsia="Times New Roman" w:hAnsi="Times New Roman"/>
          <w:i/>
          <w:iCs/>
          <w:color w:val="000000"/>
          <w:sz w:val="24"/>
          <w:szCs w:val="24"/>
          <w:shd w:val="clear" w:color="auto" w:fill="FFFFFF"/>
          <w:lang w:eastAsia="ja-JP"/>
        </w:rPr>
        <w:t>Universidad Nacional De Colombia</w:t>
      </w:r>
      <w:r w:rsidRPr="000C349B">
        <w:rPr>
          <w:rFonts w:ascii="Times New Roman" w:eastAsia="Times New Roman" w:hAnsi="Times New Roman"/>
          <w:color w:val="000000"/>
          <w:sz w:val="24"/>
          <w:szCs w:val="24"/>
          <w:shd w:val="clear" w:color="auto" w:fill="FFFFFF"/>
          <w:lang w:eastAsia="ja-JP"/>
        </w:rPr>
        <w:t>, doi:10.15446/</w:t>
      </w:r>
      <w:proofErr w:type="gramStart"/>
      <w:r w:rsidRPr="000C349B">
        <w:rPr>
          <w:rFonts w:ascii="Times New Roman" w:eastAsia="Times New Roman" w:hAnsi="Times New Roman"/>
          <w:color w:val="000000"/>
          <w:sz w:val="24"/>
          <w:szCs w:val="24"/>
          <w:shd w:val="clear" w:color="auto" w:fill="FFFFFF"/>
          <w:lang w:eastAsia="ja-JP"/>
        </w:rPr>
        <w:t>profile.v</w:t>
      </w:r>
      <w:proofErr w:type="gramEnd"/>
      <w:r w:rsidRPr="000C349B">
        <w:rPr>
          <w:rFonts w:ascii="Times New Roman" w:eastAsia="Times New Roman" w:hAnsi="Times New Roman"/>
          <w:color w:val="000000"/>
          <w:sz w:val="24"/>
          <w:szCs w:val="24"/>
          <w:shd w:val="clear" w:color="auto" w:fill="FFFFFF"/>
          <w:lang w:eastAsia="ja-JP"/>
        </w:rPr>
        <w:t>20n1.62327.</w:t>
      </w:r>
    </w:p>
    <w:p w14:paraId="7B2AA967"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Reime</w:t>
      </w:r>
      <w:proofErr w:type="spellEnd"/>
      <w:r w:rsidRPr="000C349B">
        <w:rPr>
          <w:rFonts w:ascii="Times New Roman" w:eastAsia="Times New Roman" w:hAnsi="Times New Roman"/>
          <w:color w:val="000000"/>
          <w:sz w:val="24"/>
          <w:szCs w:val="24"/>
          <w:shd w:val="clear" w:color="auto" w:fill="FFFFFF"/>
          <w:lang w:eastAsia="ja-JP"/>
        </w:rPr>
        <w:t>, Monika. "Discourses in Residential Child Care and Possibilities for Evidence-Based Practice". </w:t>
      </w:r>
      <w:r w:rsidRPr="000C349B">
        <w:rPr>
          <w:rFonts w:ascii="Times New Roman" w:eastAsia="Times New Roman" w:hAnsi="Times New Roman"/>
          <w:i/>
          <w:iCs/>
          <w:color w:val="000000"/>
          <w:sz w:val="24"/>
          <w:szCs w:val="24"/>
          <w:shd w:val="clear" w:color="auto" w:fill="FFFFFF"/>
          <w:lang w:eastAsia="ja-JP"/>
        </w:rPr>
        <w:t xml:space="preserve">Professions </w:t>
      </w:r>
      <w:proofErr w:type="gramStart"/>
      <w:r w:rsidRPr="000C349B">
        <w:rPr>
          <w:rFonts w:ascii="Times New Roman" w:eastAsia="Times New Roman" w:hAnsi="Times New Roman"/>
          <w:i/>
          <w:iCs/>
          <w:color w:val="000000"/>
          <w:sz w:val="24"/>
          <w:szCs w:val="24"/>
          <w:shd w:val="clear" w:color="auto" w:fill="FFFFFF"/>
          <w:lang w:eastAsia="ja-JP"/>
        </w:rPr>
        <w:t>And</w:t>
      </w:r>
      <w:proofErr w:type="gramEnd"/>
      <w:r w:rsidRPr="000C349B">
        <w:rPr>
          <w:rFonts w:ascii="Times New Roman" w:eastAsia="Times New Roman" w:hAnsi="Times New Roman"/>
          <w:i/>
          <w:iCs/>
          <w:color w:val="000000"/>
          <w:sz w:val="24"/>
          <w:szCs w:val="24"/>
          <w:shd w:val="clear" w:color="auto" w:fill="FFFFFF"/>
          <w:lang w:eastAsia="ja-JP"/>
        </w:rPr>
        <w:t xml:space="preserve"> Professionalism</w:t>
      </w:r>
      <w:r w:rsidRPr="000C349B">
        <w:rPr>
          <w:rFonts w:ascii="Times New Roman" w:eastAsia="Times New Roman" w:hAnsi="Times New Roman"/>
          <w:color w:val="000000"/>
          <w:sz w:val="24"/>
          <w:szCs w:val="24"/>
          <w:shd w:val="clear" w:color="auto" w:fill="FFFFFF"/>
          <w:lang w:eastAsia="ja-JP"/>
        </w:rPr>
        <w:t>, vol 6, no. 1, 2016. </w:t>
      </w:r>
      <w:proofErr w:type="spellStart"/>
      <w:r w:rsidRPr="000C349B">
        <w:rPr>
          <w:rFonts w:ascii="Times New Roman" w:eastAsia="Times New Roman" w:hAnsi="Times New Roman"/>
          <w:i/>
          <w:iCs/>
          <w:color w:val="000000"/>
          <w:sz w:val="24"/>
          <w:szCs w:val="24"/>
          <w:shd w:val="clear" w:color="auto" w:fill="FFFFFF"/>
          <w:lang w:eastAsia="ja-JP"/>
        </w:rPr>
        <w:t>Oslomet</w:t>
      </w:r>
      <w:proofErr w:type="spellEnd"/>
      <w:r w:rsidRPr="000C349B">
        <w:rPr>
          <w:rFonts w:ascii="Times New Roman" w:eastAsia="Times New Roman" w:hAnsi="Times New Roman"/>
          <w:i/>
          <w:iCs/>
          <w:color w:val="000000"/>
          <w:sz w:val="24"/>
          <w:szCs w:val="24"/>
          <w:shd w:val="clear" w:color="auto" w:fill="FFFFFF"/>
          <w:lang w:eastAsia="ja-JP"/>
        </w:rPr>
        <w:t xml:space="preserve"> - Oslo Metropolitan University</w:t>
      </w:r>
      <w:r w:rsidRPr="000C349B">
        <w:rPr>
          <w:rFonts w:ascii="Times New Roman" w:eastAsia="Times New Roman" w:hAnsi="Times New Roman"/>
          <w:color w:val="000000"/>
          <w:sz w:val="24"/>
          <w:szCs w:val="24"/>
          <w:shd w:val="clear" w:color="auto" w:fill="FFFFFF"/>
          <w:lang w:eastAsia="ja-JP"/>
        </w:rPr>
        <w:t>, doi:10.7577/pp.1434.</w:t>
      </w:r>
    </w:p>
    <w:p w14:paraId="2EB1CB68" w14:textId="77777777" w:rsidR="000C349B" w:rsidRPr="000C349B" w:rsidRDefault="000C349B" w:rsidP="000C349B">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proofErr w:type="spellStart"/>
      <w:r w:rsidRPr="000C349B">
        <w:rPr>
          <w:rFonts w:ascii="Times New Roman" w:eastAsia="Times New Roman" w:hAnsi="Times New Roman"/>
          <w:color w:val="000000"/>
          <w:sz w:val="24"/>
          <w:szCs w:val="24"/>
          <w:shd w:val="clear" w:color="auto" w:fill="FFFFFF"/>
          <w:lang w:eastAsia="ja-JP"/>
        </w:rPr>
        <w:t>Wermke</w:t>
      </w:r>
      <w:proofErr w:type="spellEnd"/>
      <w:r w:rsidRPr="000C349B">
        <w:rPr>
          <w:rFonts w:ascii="Times New Roman" w:eastAsia="Times New Roman" w:hAnsi="Times New Roman"/>
          <w:color w:val="000000"/>
          <w:sz w:val="24"/>
          <w:szCs w:val="24"/>
          <w:shd w:val="clear" w:color="auto" w:fill="FFFFFF"/>
          <w:lang w:eastAsia="ja-JP"/>
        </w:rPr>
        <w:t>, Wieland. "Continuing Professional Development in Context: Teachers' Continuing Professional Development Culture in Germany and Sweden". </w:t>
      </w:r>
      <w:r w:rsidRPr="000C349B">
        <w:rPr>
          <w:rFonts w:ascii="Times New Roman" w:eastAsia="Times New Roman" w:hAnsi="Times New Roman"/>
          <w:i/>
          <w:iCs/>
          <w:color w:val="000000"/>
          <w:sz w:val="24"/>
          <w:szCs w:val="24"/>
          <w:shd w:val="clear" w:color="auto" w:fill="FFFFFF"/>
          <w:lang w:eastAsia="ja-JP"/>
        </w:rPr>
        <w:t xml:space="preserve">Professional Development </w:t>
      </w:r>
      <w:r w:rsidR="003755FB" w:rsidRPr="000C349B">
        <w:rPr>
          <w:rFonts w:ascii="Times New Roman" w:eastAsia="Times New Roman" w:hAnsi="Times New Roman"/>
          <w:i/>
          <w:iCs/>
          <w:color w:val="000000"/>
          <w:sz w:val="24"/>
          <w:szCs w:val="24"/>
          <w:shd w:val="clear" w:color="auto" w:fill="FFFFFF"/>
          <w:lang w:eastAsia="ja-JP"/>
        </w:rPr>
        <w:t>in</w:t>
      </w:r>
      <w:r w:rsidRPr="000C349B">
        <w:rPr>
          <w:rFonts w:ascii="Times New Roman" w:eastAsia="Times New Roman" w:hAnsi="Times New Roman"/>
          <w:i/>
          <w:iCs/>
          <w:color w:val="000000"/>
          <w:sz w:val="24"/>
          <w:szCs w:val="24"/>
          <w:shd w:val="clear" w:color="auto" w:fill="FFFFFF"/>
          <w:lang w:eastAsia="ja-JP"/>
        </w:rPr>
        <w:t xml:space="preserve"> Education</w:t>
      </w:r>
      <w:r w:rsidRPr="000C349B">
        <w:rPr>
          <w:rFonts w:ascii="Times New Roman" w:eastAsia="Times New Roman" w:hAnsi="Times New Roman"/>
          <w:color w:val="000000"/>
          <w:sz w:val="24"/>
          <w:szCs w:val="24"/>
          <w:shd w:val="clear" w:color="auto" w:fill="FFFFFF"/>
          <w:lang w:eastAsia="ja-JP"/>
        </w:rPr>
        <w:t>, vol 37, no. 5, 2018, pp. 665-683.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doi:10.1080/19415257.2010.533573.</w:t>
      </w:r>
    </w:p>
    <w:p w14:paraId="75D51956" w14:textId="77777777" w:rsidR="00330A54" w:rsidRPr="00B013D3" w:rsidRDefault="000C349B" w:rsidP="00FB437E">
      <w:pPr>
        <w:suppressAutoHyphens/>
        <w:spacing w:after="0" w:line="480" w:lineRule="auto"/>
        <w:ind w:left="720" w:hanging="720"/>
        <w:rPr>
          <w:rFonts w:ascii="Times New Roman" w:eastAsia="Times New Roman" w:hAnsi="Times New Roman"/>
          <w:color w:val="000000"/>
          <w:sz w:val="24"/>
          <w:szCs w:val="24"/>
          <w:shd w:val="clear" w:color="auto" w:fill="FFFFFF"/>
          <w:lang w:eastAsia="ja-JP"/>
        </w:rPr>
      </w:pPr>
      <w:r w:rsidRPr="000C349B">
        <w:rPr>
          <w:rFonts w:ascii="Times New Roman" w:eastAsia="Times New Roman" w:hAnsi="Times New Roman"/>
          <w:color w:val="000000"/>
          <w:sz w:val="24"/>
          <w:szCs w:val="24"/>
          <w:shd w:val="clear" w:color="auto" w:fill="FFFFFF"/>
          <w:lang w:eastAsia="ja-JP"/>
        </w:rPr>
        <w:t xml:space="preserve">Zein, </w:t>
      </w:r>
      <w:proofErr w:type="spellStart"/>
      <w:r w:rsidRPr="000C349B">
        <w:rPr>
          <w:rFonts w:ascii="Times New Roman" w:eastAsia="Times New Roman" w:hAnsi="Times New Roman"/>
          <w:color w:val="000000"/>
          <w:sz w:val="24"/>
          <w:szCs w:val="24"/>
          <w:shd w:val="clear" w:color="auto" w:fill="FFFFFF"/>
          <w:lang w:eastAsia="ja-JP"/>
        </w:rPr>
        <w:t>Mochamad</w:t>
      </w:r>
      <w:proofErr w:type="spellEnd"/>
      <w:r w:rsidRPr="000C349B">
        <w:rPr>
          <w:rFonts w:ascii="Times New Roman" w:eastAsia="Times New Roman" w:hAnsi="Times New Roman"/>
          <w:color w:val="000000"/>
          <w:sz w:val="24"/>
          <w:szCs w:val="24"/>
          <w:shd w:val="clear" w:color="auto" w:fill="FFFFFF"/>
          <w:lang w:eastAsia="ja-JP"/>
        </w:rPr>
        <w:t xml:space="preserve"> Subhan. "Professional Development Needs of Primary EFL Teachers: Perspectives of Teachers and Teacher Educators". </w:t>
      </w:r>
      <w:r w:rsidRPr="000C349B">
        <w:rPr>
          <w:rFonts w:ascii="Times New Roman" w:eastAsia="Times New Roman" w:hAnsi="Times New Roman"/>
          <w:i/>
          <w:iCs/>
          <w:color w:val="000000"/>
          <w:sz w:val="24"/>
          <w:szCs w:val="24"/>
          <w:shd w:val="clear" w:color="auto" w:fill="FFFFFF"/>
          <w:lang w:eastAsia="ja-JP"/>
        </w:rPr>
        <w:t>Professional Development in Education</w:t>
      </w:r>
      <w:r w:rsidRPr="000C349B">
        <w:rPr>
          <w:rFonts w:ascii="Times New Roman" w:eastAsia="Times New Roman" w:hAnsi="Times New Roman"/>
          <w:color w:val="000000"/>
          <w:sz w:val="24"/>
          <w:szCs w:val="24"/>
          <w:shd w:val="clear" w:color="auto" w:fill="FFFFFF"/>
          <w:lang w:eastAsia="ja-JP"/>
        </w:rPr>
        <w:t>, vol 43, no. 2, 2016, pp. 293-313. </w:t>
      </w:r>
      <w:r w:rsidRPr="000C349B">
        <w:rPr>
          <w:rFonts w:ascii="Times New Roman" w:eastAsia="Times New Roman" w:hAnsi="Times New Roman"/>
          <w:i/>
          <w:iCs/>
          <w:color w:val="000000"/>
          <w:sz w:val="24"/>
          <w:szCs w:val="24"/>
          <w:shd w:val="clear" w:color="auto" w:fill="FFFFFF"/>
          <w:lang w:eastAsia="ja-JP"/>
        </w:rPr>
        <w:t>Informa UK Limited</w:t>
      </w:r>
      <w:r w:rsidRPr="000C349B">
        <w:rPr>
          <w:rFonts w:ascii="Times New Roman" w:eastAsia="Times New Roman" w:hAnsi="Times New Roman"/>
          <w:color w:val="000000"/>
          <w:sz w:val="24"/>
          <w:szCs w:val="24"/>
          <w:shd w:val="clear" w:color="auto" w:fill="FFFFFF"/>
          <w:lang w:eastAsia="ja-JP"/>
        </w:rPr>
        <w:t>, doi:10.1080/19415257.2016.1156013.</w:t>
      </w:r>
    </w:p>
    <w:sectPr w:rsidR="00330A54" w:rsidRPr="00B013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2D492E" w14:textId="77777777" w:rsidR="0017334A" w:rsidRDefault="0017334A">
      <w:pPr>
        <w:spacing w:after="0" w:line="240" w:lineRule="auto"/>
      </w:pPr>
      <w:r>
        <w:separator/>
      </w:r>
    </w:p>
  </w:endnote>
  <w:endnote w:type="continuationSeparator" w:id="0">
    <w:p w14:paraId="5FB8C119" w14:textId="77777777" w:rsidR="0017334A" w:rsidRDefault="00173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A002A" w14:textId="77777777" w:rsidR="0017334A" w:rsidRDefault="0017334A">
      <w:pPr>
        <w:spacing w:after="0" w:line="240" w:lineRule="auto"/>
      </w:pPr>
      <w:r>
        <w:separator/>
      </w:r>
    </w:p>
  </w:footnote>
  <w:footnote w:type="continuationSeparator" w:id="0">
    <w:p w14:paraId="682D22DC" w14:textId="77777777" w:rsidR="0017334A" w:rsidRDefault="00173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74B36"/>
    <w:multiLevelType w:val="hybridMultilevel"/>
    <w:tmpl w:val="EE4680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37C85"/>
    <w:multiLevelType w:val="multilevel"/>
    <w:tmpl w:val="B636C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122A8A"/>
    <w:multiLevelType w:val="multilevel"/>
    <w:tmpl w:val="6C30E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4F63E3"/>
    <w:multiLevelType w:val="hybridMultilevel"/>
    <w:tmpl w:val="2F2AB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C52"/>
    <w:rsid w:val="00005135"/>
    <w:rsid w:val="000503E5"/>
    <w:rsid w:val="000B7C21"/>
    <w:rsid w:val="000C349B"/>
    <w:rsid w:val="000D144E"/>
    <w:rsid w:val="000E548B"/>
    <w:rsid w:val="000F65DE"/>
    <w:rsid w:val="001102F9"/>
    <w:rsid w:val="00114972"/>
    <w:rsid w:val="00156640"/>
    <w:rsid w:val="0016599C"/>
    <w:rsid w:val="0017334A"/>
    <w:rsid w:val="00245E83"/>
    <w:rsid w:val="00261FDC"/>
    <w:rsid w:val="002700D8"/>
    <w:rsid w:val="002806DA"/>
    <w:rsid w:val="002C46C0"/>
    <w:rsid w:val="00330A54"/>
    <w:rsid w:val="00337FF4"/>
    <w:rsid w:val="003755FB"/>
    <w:rsid w:val="00393060"/>
    <w:rsid w:val="00395B7F"/>
    <w:rsid w:val="003B7EBD"/>
    <w:rsid w:val="003C2B04"/>
    <w:rsid w:val="003D0CC5"/>
    <w:rsid w:val="003D3ED3"/>
    <w:rsid w:val="003E42B1"/>
    <w:rsid w:val="00423F3B"/>
    <w:rsid w:val="00430F8E"/>
    <w:rsid w:val="004446CF"/>
    <w:rsid w:val="004A12E7"/>
    <w:rsid w:val="004D2D39"/>
    <w:rsid w:val="005C248E"/>
    <w:rsid w:val="005D6E96"/>
    <w:rsid w:val="006004C2"/>
    <w:rsid w:val="006342DD"/>
    <w:rsid w:val="0067093C"/>
    <w:rsid w:val="006850CA"/>
    <w:rsid w:val="00692E48"/>
    <w:rsid w:val="006A10D1"/>
    <w:rsid w:val="006E5DC7"/>
    <w:rsid w:val="007062B1"/>
    <w:rsid w:val="00706546"/>
    <w:rsid w:val="007158CD"/>
    <w:rsid w:val="0071623E"/>
    <w:rsid w:val="007220C4"/>
    <w:rsid w:val="007D5086"/>
    <w:rsid w:val="007D5B27"/>
    <w:rsid w:val="00856F28"/>
    <w:rsid w:val="00872B42"/>
    <w:rsid w:val="00874021"/>
    <w:rsid w:val="00884F04"/>
    <w:rsid w:val="00885B89"/>
    <w:rsid w:val="00894CA9"/>
    <w:rsid w:val="00910EFB"/>
    <w:rsid w:val="00934D09"/>
    <w:rsid w:val="00963017"/>
    <w:rsid w:val="00981174"/>
    <w:rsid w:val="00983C03"/>
    <w:rsid w:val="009A2061"/>
    <w:rsid w:val="009E09F0"/>
    <w:rsid w:val="00A04A13"/>
    <w:rsid w:val="00A14A12"/>
    <w:rsid w:val="00A63138"/>
    <w:rsid w:val="00A80578"/>
    <w:rsid w:val="00A84C70"/>
    <w:rsid w:val="00AB790B"/>
    <w:rsid w:val="00AC1E7D"/>
    <w:rsid w:val="00B013D3"/>
    <w:rsid w:val="00B06299"/>
    <w:rsid w:val="00B60AE1"/>
    <w:rsid w:val="00BE5770"/>
    <w:rsid w:val="00C07C52"/>
    <w:rsid w:val="00C24E9D"/>
    <w:rsid w:val="00C75E1A"/>
    <w:rsid w:val="00C863FD"/>
    <w:rsid w:val="00D126F9"/>
    <w:rsid w:val="00D212A4"/>
    <w:rsid w:val="00D234AB"/>
    <w:rsid w:val="00D348B9"/>
    <w:rsid w:val="00D508C2"/>
    <w:rsid w:val="00DD62FB"/>
    <w:rsid w:val="00DD7B78"/>
    <w:rsid w:val="00E0090B"/>
    <w:rsid w:val="00E177CC"/>
    <w:rsid w:val="00EE6EB0"/>
    <w:rsid w:val="00F54AD8"/>
    <w:rsid w:val="00FB437E"/>
    <w:rsid w:val="00FF7A5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F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Times New Roman"/>
      <w:lang w:val="en-US"/>
    </w:rPr>
  </w:style>
  <w:style w:type="paragraph" w:styleId="Heading1">
    <w:name w:val="heading 1"/>
    <w:basedOn w:val="Normal"/>
    <w:next w:val="Normal"/>
    <w:link w:val="Heading1Char"/>
    <w:uiPriority w:val="9"/>
    <w:qFormat/>
    <w:rsid w:val="00884F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eastAsia="Calibri" w:hAnsi="Calibri" w:cs="Times New Roman"/>
      <w:lang w:val="en-U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eastAsia="Calibri" w:hAnsi="Calibri" w:cs="Times New Roman"/>
      <w:lang w:val="en-US"/>
    </w:rPr>
  </w:style>
  <w:style w:type="character" w:styleId="Hyperlink">
    <w:name w:val="Hyperlink"/>
    <w:basedOn w:val="DefaultParagraphFont"/>
    <w:uiPriority w:val="99"/>
    <w:unhideWhenUsed/>
    <w:rPr>
      <w:color w:val="0000FF" w:themeColor="hyperlink"/>
      <w:u w:val="single"/>
    </w:r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lang w:val="en-US"/>
    </w:rPr>
  </w:style>
  <w:style w:type="character" w:customStyle="1" w:styleId="Heading1Char">
    <w:name w:val="Heading 1 Char"/>
    <w:basedOn w:val="DefaultParagraphFont"/>
    <w:link w:val="Heading1"/>
    <w:uiPriority w:val="9"/>
    <w:rsid w:val="00884F04"/>
    <w:rPr>
      <w:rFonts w:asciiTheme="majorHAnsi" w:eastAsiaTheme="majorEastAsia" w:hAnsiTheme="majorHAnsi" w:cstheme="majorBidi"/>
      <w:b/>
      <w:bCs/>
      <w:color w:val="365F91" w:themeColor="accent1" w:themeShade="BF"/>
      <w:sz w:val="28"/>
      <w:szCs w:val="28"/>
      <w:lang w:val="en-US"/>
    </w:rPr>
  </w:style>
  <w:style w:type="paragraph" w:styleId="Bibliography">
    <w:name w:val="Bibliography"/>
    <w:basedOn w:val="Normal"/>
    <w:next w:val="Normal"/>
    <w:uiPriority w:val="37"/>
    <w:semiHidden/>
    <w:unhideWhenUsed/>
    <w:rsid w:val="009A2061"/>
  </w:style>
  <w:style w:type="paragraph" w:styleId="ListParagraph">
    <w:name w:val="List Paragraph"/>
    <w:basedOn w:val="Normal"/>
    <w:uiPriority w:val="34"/>
    <w:qFormat/>
    <w:rsid w:val="00395B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71966">
      <w:bodyDiv w:val="1"/>
      <w:marLeft w:val="0"/>
      <w:marRight w:val="0"/>
      <w:marTop w:val="0"/>
      <w:marBottom w:val="0"/>
      <w:divBdr>
        <w:top w:val="none" w:sz="0" w:space="0" w:color="auto"/>
        <w:left w:val="none" w:sz="0" w:space="0" w:color="auto"/>
        <w:bottom w:val="none" w:sz="0" w:space="0" w:color="auto"/>
        <w:right w:val="none" w:sz="0" w:space="0" w:color="auto"/>
      </w:divBdr>
    </w:div>
    <w:div w:id="507525921">
      <w:bodyDiv w:val="1"/>
      <w:marLeft w:val="0"/>
      <w:marRight w:val="0"/>
      <w:marTop w:val="0"/>
      <w:marBottom w:val="0"/>
      <w:divBdr>
        <w:top w:val="none" w:sz="0" w:space="0" w:color="auto"/>
        <w:left w:val="none" w:sz="0" w:space="0" w:color="auto"/>
        <w:bottom w:val="none" w:sz="0" w:space="0" w:color="auto"/>
        <w:right w:val="none" w:sz="0" w:space="0" w:color="auto"/>
      </w:divBdr>
    </w:div>
    <w:div w:id="537933205">
      <w:bodyDiv w:val="1"/>
      <w:marLeft w:val="0"/>
      <w:marRight w:val="0"/>
      <w:marTop w:val="0"/>
      <w:marBottom w:val="0"/>
      <w:divBdr>
        <w:top w:val="none" w:sz="0" w:space="0" w:color="auto"/>
        <w:left w:val="none" w:sz="0" w:space="0" w:color="auto"/>
        <w:bottom w:val="none" w:sz="0" w:space="0" w:color="auto"/>
        <w:right w:val="none" w:sz="0" w:space="0" w:color="auto"/>
      </w:divBdr>
    </w:div>
    <w:div w:id="609359187">
      <w:bodyDiv w:val="1"/>
      <w:marLeft w:val="0"/>
      <w:marRight w:val="0"/>
      <w:marTop w:val="0"/>
      <w:marBottom w:val="0"/>
      <w:divBdr>
        <w:top w:val="none" w:sz="0" w:space="0" w:color="auto"/>
        <w:left w:val="none" w:sz="0" w:space="0" w:color="auto"/>
        <w:bottom w:val="none" w:sz="0" w:space="0" w:color="auto"/>
        <w:right w:val="none" w:sz="0" w:space="0" w:color="auto"/>
      </w:divBdr>
    </w:div>
    <w:div w:id="1212618994">
      <w:bodyDiv w:val="1"/>
      <w:marLeft w:val="0"/>
      <w:marRight w:val="0"/>
      <w:marTop w:val="0"/>
      <w:marBottom w:val="0"/>
      <w:divBdr>
        <w:top w:val="none" w:sz="0" w:space="0" w:color="auto"/>
        <w:left w:val="none" w:sz="0" w:space="0" w:color="auto"/>
        <w:bottom w:val="none" w:sz="0" w:space="0" w:color="auto"/>
        <w:right w:val="none" w:sz="0" w:space="0" w:color="auto"/>
      </w:divBdr>
    </w:div>
    <w:div w:id="1370648611">
      <w:bodyDiv w:val="1"/>
      <w:marLeft w:val="0"/>
      <w:marRight w:val="0"/>
      <w:marTop w:val="0"/>
      <w:marBottom w:val="0"/>
      <w:divBdr>
        <w:top w:val="none" w:sz="0" w:space="0" w:color="auto"/>
        <w:left w:val="none" w:sz="0" w:space="0" w:color="auto"/>
        <w:bottom w:val="none" w:sz="0" w:space="0" w:color="auto"/>
        <w:right w:val="none" w:sz="0" w:space="0" w:color="auto"/>
      </w:divBdr>
    </w:div>
    <w:div w:id="1438209403">
      <w:bodyDiv w:val="1"/>
      <w:marLeft w:val="0"/>
      <w:marRight w:val="0"/>
      <w:marTop w:val="0"/>
      <w:marBottom w:val="0"/>
      <w:divBdr>
        <w:top w:val="none" w:sz="0" w:space="0" w:color="auto"/>
        <w:left w:val="none" w:sz="0" w:space="0" w:color="auto"/>
        <w:bottom w:val="none" w:sz="0" w:space="0" w:color="auto"/>
        <w:right w:val="none" w:sz="0" w:space="0" w:color="auto"/>
      </w:divBdr>
    </w:div>
    <w:div w:id="1645232372">
      <w:bodyDiv w:val="1"/>
      <w:marLeft w:val="0"/>
      <w:marRight w:val="0"/>
      <w:marTop w:val="0"/>
      <w:marBottom w:val="0"/>
      <w:divBdr>
        <w:top w:val="none" w:sz="0" w:space="0" w:color="auto"/>
        <w:left w:val="none" w:sz="0" w:space="0" w:color="auto"/>
        <w:bottom w:val="none" w:sz="0" w:space="0" w:color="auto"/>
        <w:right w:val="none" w:sz="0" w:space="0" w:color="auto"/>
      </w:divBdr>
    </w:div>
    <w:div w:id="1850171696">
      <w:bodyDiv w:val="1"/>
      <w:marLeft w:val="0"/>
      <w:marRight w:val="0"/>
      <w:marTop w:val="0"/>
      <w:marBottom w:val="0"/>
      <w:divBdr>
        <w:top w:val="none" w:sz="0" w:space="0" w:color="auto"/>
        <w:left w:val="none" w:sz="0" w:space="0" w:color="auto"/>
        <w:bottom w:val="none" w:sz="0" w:space="0" w:color="auto"/>
        <w:right w:val="none" w:sz="0" w:space="0" w:color="auto"/>
      </w:divBdr>
    </w:div>
    <w:div w:id="2023162883">
      <w:bodyDiv w:val="1"/>
      <w:marLeft w:val="0"/>
      <w:marRight w:val="0"/>
      <w:marTop w:val="0"/>
      <w:marBottom w:val="0"/>
      <w:divBdr>
        <w:top w:val="none" w:sz="0" w:space="0" w:color="auto"/>
        <w:left w:val="none" w:sz="0" w:space="0" w:color="auto"/>
        <w:bottom w:val="none" w:sz="0" w:space="0" w:color="auto"/>
        <w:right w:val="none" w:sz="0" w:space="0" w:color="auto"/>
      </w:divBdr>
    </w:div>
    <w:div w:id="207823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b:Source>
    <b:Tag>San19</b:Tag>
    <b:SourceType>JournalArticle</b:SourceType>
    <b:Guid>{64A5E66E-3AE9-4DD7-B4E0-D333D4F1034C}</b:Guid>
    <b:Title>The Concept of Bureaucracy by Max Weber</b:Title>
    <b:Year>2019</b:Year>
    <b:Author>
      <b:Author>
        <b:NameList>
          <b:Person>
            <b:Last>Serpa</b:Last>
            <b:First>Sandro</b:First>
          </b:Person>
          <b:Person>
            <b:Last>Ferreira</b:Last>
            <b:First>Carlos</b:First>
            <b:Middle>Miguel</b:Middle>
          </b:Person>
        </b:NameList>
      </b:Author>
    </b:Author>
    <b:JournalName>International Journal of Social Science Studies</b:JournalName>
    <b:Pages>12-18</b:Pages>
    <b:RefOrder>2</b:RefOrder>
  </b:Source>
  <b:Source>
    <b:Tag>Irf18</b:Tag>
    <b:SourceType>JournalArticle</b:SourceType>
    <b:Guid>{E21D0D7C-ED25-44D8-9874-E23EEC66F632}</b:Guid>
    <b:Author>
      <b:Author>
        <b:NameList>
          <b:Person>
            <b:Last>Shaikh</b:Last>
            <b:First>Irfan</b:First>
            <b:Middle>Ahmed</b:Middle>
          </b:Person>
          <b:Person>
            <b:Last>Islam</b:Last>
            <b:First>Arshad</b:First>
          </b:Person>
          <b:Person>
            <b:Last>Jatoi</b:Last>
            <b:First>Bashir</b:First>
            <b:Middle>Ahmed</b:Middle>
          </b:Person>
        </b:NameList>
      </b:Author>
    </b:Author>
    <b:Title>Bureaucracy: Max Weber’s Concept and Its Application to Pakistan</b:Title>
    <b:JournalName>International Relations and Diplomacy, </b:JournalName>
    <b:Year>2018</b:Year>
    <b:Pages>251-262</b:Pages>
    <b:Medium>Document</b:Medium>
    <b:RefOrder>3</b:RefOrder>
  </b:Source>
  <b:Source>
    <b:Tag>Gid18</b:Tag>
    <b:SourceType>Book</b:SourceType>
    <b:Guid>{0C4DA9F0-B3CB-4AE8-8EEE-8EC722877E01}</b:Guid>
    <b:Author>
      <b:Author>
        <b:NameList>
          <b:Person>
            <b:Last>Giddens</b:Last>
            <b:First>Anthony</b:First>
          </b:Person>
          <b:Person>
            <b:Last>Duneier</b:Last>
            <b:First>Mitchell</b:First>
          </b:Person>
          <b:Person>
            <b:Last>Applebaum</b:Last>
            <b:First>Richard</b:First>
          </b:Person>
          <b:Person>
            <b:Last>Carr</b:Last>
            <b:First>Deborah</b:First>
          </b:Person>
        </b:NameList>
      </b:Author>
    </b:Author>
    <b:Title>Introduction to Sociology</b:Title>
    <b:Year>2018</b:Year>
    <b:Medium>Book</b:Medium>
    <b:City>Canada</b:City>
    <b:Publisher>WW NORTON &amp;COMPANY</b:Publisher>
    <b:RefOrder>1</b:RefOrder>
  </b:Source>
  <b:Source>
    <b:Tag>Kar16</b:Tag>
    <b:SourceType>JournalArticle</b:SourceType>
    <b:Guid>{C00D45CB-E134-45DC-A2A0-B4FE7C06F419}</b:Guid>
    <b:Title>Max Weber's Philosophy of Bureaucracy and Its Criticism </b:Title>
    <b:Year>2016</b:Year>
    <b:Medium>Document</b:Medium>
    <b:Author>
      <b:Author>
        <b:NameList>
          <b:Person>
            <b:Last>Daneshfard</b:Last>
            <b:First>Karamollah</b:First>
          </b:Person>
          <b:Person>
            <b:Last>Aboalmaali</b:Last>
            <b:First>Fatemeh</b:First>
            <b:Middle>Sadat</b:Middle>
          </b:Person>
        </b:NameList>
      </b:Author>
    </b:Author>
    <b:JournalName>International Journal of Scientific Management and Development </b:JournalName>
    <b:Pages>214-220</b:Pages>
    <b:RefOrder>4</b:RefOrder>
  </b:Source>
  <b:Source>
    <b:Tag>Sri18</b:Tag>
    <b:SourceType>JournalArticle</b:SourceType>
    <b:Guid>{7C4A6D19-316E-4FD1-A606-F9F1BEF2B49B}</b:Guid>
    <b:Author>
      <b:Author>
        <b:NameList>
          <b:Person>
            <b:Last>Rao</b:Last>
            <b:First>Srinivasa</b:First>
          </b:Person>
          <b:Person>
            <b:Last>Singh</b:Last>
            <b:First>Smriti</b:First>
          </b:Person>
        </b:NameList>
      </b:Author>
    </b:Author>
    <b:Title>Max Weber’s Contribution to the Sociology of Education:A Critical Appreciation</b:Title>
    <b:JournalName>Contemporary Education Dialogue</b:JournalName>
    <b:Year>2018</b:Year>
    <b:Pages>73-92</b:Pages>
    <b:Medium>Document</b:Medium>
    <b:RefOrder>5</b:RefOrder>
  </b:Source>
  <b:Source>
    <b:Tag>OCo</b:Tag>
    <b:SourceType>BookSection</b:SourceType>
    <b:Guid>{96B3C598-C74E-4895-873D-CAE7EFF6138D}</b:Guid>
    <b:Author>
      <b:Author>
        <b:NameList>
          <b:Person>
            <b:Last>O'Connor</b:Last>
            <b:First>James</b:First>
          </b:Person>
        </b:NameList>
      </b:Author>
      <b:BookAuthor>
        <b:NameList>
          <b:Person>
            <b:Last>O"Connor</b:Last>
            <b:First>James</b:First>
          </b:Person>
        </b:NameList>
      </b:BookAuthor>
    </b:Author>
    <b:Title>On Capitalist Accumulation and Economic and Ecological Crisis</b:Title>
    <b:JournalName>Economic and Ecological Crisis </b:JournalName>
    <b:Pages>178-186</b:Pages>
    <b:Medium>Document</b:Medium>
    <b:BookTitle>Natural Causes: Essays In Ecological Marxism</b:BookTitle>
    <b:City>New York</b:City>
    <b:Publisher>THE GUILFORD PRESS</b:Publisher>
    <b:RefOrder>2</b:RefOrder>
  </b:Source>
  <b:Source>
    <b:Tag>Wil</b:Tag>
    <b:SourceType>BookSection</b:SourceType>
    <b:Guid>{14B20606-3ADB-4531-AC1A-6A0A715C95A7}</b:Guid>
    <b:Author>
      <b:Author>
        <b:NameList>
          <b:Person>
            <b:Last>Rees</b:Last>
            <b:First>William</b:First>
          </b:Person>
          <b:Person>
            <b:Last>Westra</b:Last>
            <b:First>Laura</b:First>
          </b:Person>
        </b:NameList>
      </b:Author>
      <b:BookAuthor>
        <b:NameList>
          <b:Person>
            <b:Last>Rees</b:Last>
            <b:First>William</b:First>
          </b:Person>
          <b:Person>
            <b:Last>Westra</b:Last>
            <b:First>Laura</b:First>
          </b:Person>
        </b:NameList>
      </b:BookAuthor>
    </b:Author>
    <b:Title>When Consumptions Does Violence: Can There Be Sustainability and Environmental Justice In A Resource Limited World</b:Title>
    <b:BookTitle>Cities Communities and Social and Environmental Justice</b:BookTitle>
    <b:Pages>99-124</b:Pages>
    <b:Medium>Book</b:Medium>
    <b:RefOrder>1</b:RefOrder>
  </b:Source>
  <b:Source>
    <b:Tag>Wis</b:Tag>
    <b:SourceType>Book</b:SourceType>
    <b:Guid>{2A8743E2-3111-4566-8FAA-F3F04F7385DA}</b:Guid>
    <b:Author>
      <b:Author>
        <b:NameList>
          <b:Person>
            <b:Last>Wisner</b:Last>
            <b:First>Ben</b:First>
          </b:Person>
          <b:Person>
            <b:Last>Blaikie</b:Last>
            <b:First>Piers</b:First>
          </b:Person>
          <b:Person>
            <b:Last>Canon</b:Last>
            <b:First>Terry</b:First>
          </b:Person>
          <b:Person>
            <b:Last>Davis</b:Last>
            <b:First>Ian</b:First>
          </b:Person>
        </b:NameList>
      </b:Author>
    </b:Author>
    <b:Title>AT Risk Natural hazards, peoples viulnerability and disasters</b:Title>
    <b:City>New York</b:City>
    <b:Publisher>Routledge Taylor and Francis Group</b:Publisher>
    <b:Medium>Book</b:Medium>
    <b:RefOrder>3</b:RefOrder>
  </b:Source>
  <b:Source>
    <b:Tag>Sac20</b:Tag>
    <b:SourceType>InternetSite</b:SourceType>
    <b:Guid>{91650B9D-C2DA-42A3-8F3A-20DF295D4A44}</b:Guid>
    <b:Title>Mecca</b:Title>
    <b:Year>2020</b:Year>
    <b:Medium>Website</b:Medium>
    <b:Author>
      <b:Author>
        <b:NameList>
          <b:Person>
            <b:Last>SacredLand</b:Last>
          </b:Person>
        </b:NameList>
      </b:Author>
    </b:Author>
    <b:Month>february</b:Month>
    <b:Day>11</b:Day>
    <b:YearAccessed>2020</b:YearAccessed>
    <b:MonthAccessed>December</b:MonthAccessed>
    <b:DayAccessed>12</b:DayAccessed>
    <b:RefOrder>4</b:RefOrder>
  </b:Source>
  <b:Source>
    <b:Tag>Ral181</b:Tag>
    <b:SourceType>InternetSite</b:SourceType>
    <b:Guid>{8E163B64-6AD1-4428-B0D0-69517AFAD00C}</b:Guid>
    <b:Author>
      <b:Author>
        <b:NameList>
          <b:Person>
            <b:Last>Adair</b:Last>
            <b:First>Ralph</b:First>
          </b:Person>
        </b:NameList>
      </b:Author>
    </b:Author>
    <b:Title>Holy Ground: The Importance of Mosques, Mecca, and Medina for Muslims</b:Title>
    <b:Year>2018</b:Year>
    <b:Month>August</b:Month>
    <b:Day>17</b:Day>
    <b:YearAccessed>2020</b:YearAccessed>
    <b:MonthAccessed>December</b:MonthAccessed>
    <b:DayAccessed>12</b:DayAccessed>
    <b:Medium>Website</b:Medium>
    <b:RefOrder>1</b:RefOrder>
  </b:Source>
  <b:Source>
    <b:Tag>Muh18</b:Tag>
    <b:SourceType>InternetSite</b:SourceType>
    <b:Guid>{D037AF97-6F35-4208-9DA3-B6DCF2DCEDC4}</b:Guid>
    <b:Author>
      <b:Author>
        <b:NameList>
          <b:Person>
            <b:Last>Asad</b:Last>
            <b:First>Muhammad</b:First>
          </b:Person>
        </b:NameList>
      </b:Author>
    </b:Author>
    <b:Title>The Road To Mecca</b:Title>
    <b:Year>2018</b:Year>
    <b:Month>February</b:Month>
    <b:Day>2</b:Day>
    <b:YearAccessed>2020</b:YearAccessed>
    <b:MonthAccessed>December</b:MonthAccessed>
    <b:DayAccessed>11</b:DayAccessed>
    <b:Medium>Webiste</b:Medium>
    <b:RefOrder>3</b:RefOrder>
  </b:Source>
  <b:Source>
    <b:Tag>Brond</b:Tag>
    <b:SourceType>InternetSite</b:SourceType>
    <b:Guid>{FE248B8F-C630-4903-B9EA-9D63431C41B3}</b:Guid>
    <b:Author>
      <b:Author>
        <b:NameList>
          <b:Person>
            <b:Last>Brown</b:Last>
          </b:Person>
        </b:NameList>
      </b:Author>
    </b:Author>
    <b:Title>Mecca, Medina and Muhammad</b:Title>
    <b:Year>nd</b:Year>
    <b:Month>nd</b:Month>
    <b:Day>nd</b:Day>
    <b:YearAccessed>2020</b:YearAccessed>
    <b:MonthAccessed>Decmber</b:MonthAccessed>
    <b:DayAccessed>11</b:DayAccessed>
    <b:Medium>Website</b:Medium>
    <b:RefOrder>2</b:RefOrder>
  </b:Source>
  <b:Source>
    <b:Tag>Sam20</b:Tag>
    <b:SourceType>InternetSite</b:SourceType>
    <b:Guid>{F3ECE4A4-65E3-472B-9E0B-C76188D46015}</b:Guid>
    <b:Title>Helen McClinon Life and Work</b:Title>
    <b:Year>2020</b:Year>
    <b:Author>
      <b:Author>
        <b:NameList>
          <b:Person>
            <b:Last>Burton</b:Last>
            <b:First>Samantha</b:First>
          </b:Person>
        </b:NameList>
      </b:Author>
    </b:Author>
    <b:InternetSiteTitle>Art Canada Institute</b:InternetSiteTitle>
    <b:Month>January</b:Month>
    <b:Day>12</b:Day>
    <b:URL>https://www.aci-iac.ca/art-books/helen-mcnicoll</b:URL>
    <b:RefOrder>1</b:RefOrder>
  </b:Source>
  <b:Source>
    <b:Tag>And21</b:Tag>
    <b:SourceType>InternetSite</b:SourceType>
    <b:Guid>{BEF5A9D4-F91B-4601-86BE-C5DDAED16145}</b:Guid>
    <b:Author>
      <b:Author>
        <b:NameList>
          <b:Person>
            <b:Last>Terry</b:Last>
            <b:First>Andrea</b:First>
          </b:Person>
        </b:NameList>
      </b:Author>
    </b:Author>
    <b:Title>Mary Heister reid</b:Title>
    <b:InternetSiteTitle>Art Canada Institute</b:InternetSiteTitle>
    <b:Year>2021</b:Year>
    <b:Month>3</b:Month>
    <b:Day>7</b:Day>
    <b:URL>https://www.aci-iac.ca/art-books/mary-hiester-reid</b:URL>
    <b:RefOrder>2</b:RefOrder>
  </b:Source>
</b:Sources>
</file>

<file path=customXml/itemProps1.xml><?xml version="1.0" encoding="utf-8"?>
<ds:datastoreItem xmlns:ds="http://schemas.openxmlformats.org/officeDocument/2006/customXml" ds:itemID="{1D95C639-40DE-4C0E-AAA7-8FA057FCCD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2478</Words>
  <Characters>14127</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2021-04-03T12:25:00Z</dcterms:created>
  <dcterms:modified xsi:type="dcterms:W3CDTF">2021-04-03T12:25:00Z</dcterms:modified>
</cp:coreProperties>
</file>