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F6AAD" w14:textId="77777777" w:rsidR="007E4573" w:rsidRDefault="007E4573" w:rsidP="007E4573">
      <w:pPr>
        <w:pStyle w:val="ListParagraph"/>
        <w:spacing w:after="0" w:line="240" w:lineRule="auto"/>
        <w:ind w:left="454"/>
        <w:rPr>
          <w:rFonts w:ascii="Arial" w:hAnsi="Arial" w:cs="Arial"/>
          <w:sz w:val="24"/>
          <w:szCs w:val="24"/>
        </w:rPr>
      </w:pPr>
      <w:r>
        <w:rPr>
          <w:rFonts w:ascii="Arial" w:hAnsi="Arial" w:cs="Arial"/>
          <w:sz w:val="24"/>
          <w:szCs w:val="24"/>
        </w:rPr>
        <w:t>Hermes operates a defined benefit plan for its senior management. As at 1 December 2018 there was an amendment to the plan whereby the pension entitlement for scheme members was enhanced in that it was to be based on 40 years’ service as opposed to the existing 60 years. This has resulted in an increase in the present value of the plan obligation as at 30 November 2019.</w:t>
      </w:r>
    </w:p>
    <w:p w14:paraId="0D8C447E" w14:textId="77777777" w:rsidR="007E4573" w:rsidRDefault="007E4573" w:rsidP="007E4573">
      <w:pPr>
        <w:pStyle w:val="ListParagraph"/>
        <w:spacing w:after="0" w:line="240" w:lineRule="auto"/>
        <w:ind w:left="454"/>
        <w:rPr>
          <w:rFonts w:ascii="Arial" w:hAnsi="Arial" w:cs="Arial"/>
          <w:sz w:val="24"/>
          <w:szCs w:val="24"/>
        </w:rPr>
      </w:pPr>
      <w:r>
        <w:rPr>
          <w:rFonts w:ascii="Arial" w:hAnsi="Arial" w:cs="Arial"/>
          <w:sz w:val="24"/>
          <w:szCs w:val="24"/>
        </w:rPr>
        <w:t>Hermes considers this a change in accounting policy and is proposing to charge the increased liability arising from this plan amendment to other comprehensive income. It believes this will make the financial statements more consistent and understandable.</w:t>
      </w:r>
    </w:p>
    <w:p w14:paraId="592C60DA" w14:textId="77777777" w:rsidR="007E4573" w:rsidRDefault="007E4573" w:rsidP="007E4573">
      <w:pPr>
        <w:pStyle w:val="ListParagraph"/>
        <w:spacing w:after="0" w:line="240" w:lineRule="auto"/>
        <w:ind w:left="454"/>
        <w:rPr>
          <w:rFonts w:ascii="Arial" w:hAnsi="Arial" w:cs="Arial"/>
          <w:sz w:val="24"/>
          <w:szCs w:val="24"/>
        </w:rPr>
      </w:pPr>
    </w:p>
    <w:p w14:paraId="168C6530" w14:textId="5D72A026" w:rsidR="007E4573" w:rsidRPr="007E4573" w:rsidRDefault="007E4573" w:rsidP="007E4573">
      <w:pPr>
        <w:spacing w:after="0" w:line="240" w:lineRule="auto"/>
        <w:ind w:firstLine="454"/>
        <w:rPr>
          <w:rFonts w:ascii="Arial" w:hAnsi="Arial" w:cs="Arial"/>
          <w:sz w:val="24"/>
          <w:szCs w:val="24"/>
        </w:rPr>
      </w:pPr>
      <w:r w:rsidRPr="007E4573">
        <w:rPr>
          <w:rFonts w:ascii="Arial" w:hAnsi="Arial" w:cs="Arial"/>
          <w:b/>
          <w:sz w:val="24"/>
          <w:szCs w:val="24"/>
          <w:u w:val="single"/>
        </w:rPr>
        <w:t>Required</w:t>
      </w:r>
      <w:r w:rsidRPr="007E4573">
        <w:rPr>
          <w:rFonts w:ascii="Arial" w:hAnsi="Arial" w:cs="Arial"/>
          <w:sz w:val="24"/>
          <w:szCs w:val="24"/>
        </w:rPr>
        <w:t>:</w:t>
      </w:r>
    </w:p>
    <w:p w14:paraId="23129BAF" w14:textId="77777777" w:rsidR="007E4573" w:rsidRPr="009671CC" w:rsidRDefault="007E4573" w:rsidP="007E4573">
      <w:pPr>
        <w:pStyle w:val="ListParagraph"/>
        <w:spacing w:after="0" w:line="240" w:lineRule="auto"/>
        <w:ind w:left="567"/>
        <w:rPr>
          <w:rFonts w:ascii="Arial" w:hAnsi="Arial" w:cs="Arial"/>
          <w:sz w:val="24"/>
          <w:szCs w:val="24"/>
        </w:rPr>
      </w:pPr>
    </w:p>
    <w:p w14:paraId="11D84172" w14:textId="1BEB59B9" w:rsidR="009A6A88" w:rsidRDefault="007E4573" w:rsidP="007E4573">
      <w:pPr>
        <w:ind w:left="567"/>
      </w:pPr>
      <w:r w:rsidRPr="009671CC">
        <w:rPr>
          <w:rFonts w:ascii="Arial" w:hAnsi="Arial" w:cs="Arial"/>
          <w:sz w:val="24"/>
          <w:szCs w:val="24"/>
        </w:rPr>
        <w:t xml:space="preserve">Discuss the </w:t>
      </w:r>
      <w:r>
        <w:rPr>
          <w:rFonts w:ascii="Arial" w:hAnsi="Arial" w:cs="Arial"/>
          <w:sz w:val="24"/>
          <w:szCs w:val="24"/>
        </w:rPr>
        <w:t>implications of the above accounting treatment in Hermes’s financial statements for the year ended 30 November 2019</w:t>
      </w:r>
    </w:p>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73286"/>
    <w:multiLevelType w:val="hybridMultilevel"/>
    <w:tmpl w:val="7ED056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573"/>
    <w:rsid w:val="007E4573"/>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F5B9A"/>
  <w15:chartTrackingRefBased/>
  <w15:docId w15:val="{E7F5956F-F91E-4CE4-AE33-A111DA55E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573"/>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7E45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114</Words>
  <Characters>654</Characters>
  <Application>Microsoft Office Word</Application>
  <DocSecurity>0</DocSecurity>
  <Lines>5</Lines>
  <Paragraphs>1</Paragraphs>
  <ScaleCrop>false</ScaleCrop>
  <Company/>
  <LinksUpToDate>false</LinksUpToDate>
  <CharactersWithSpaces>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2021-03-10T11:55:00Z</dcterms:created>
  <dcterms:modified xsi:type="dcterms:W3CDTF">2021-03-10T11:56:00Z</dcterms:modified>
</cp:coreProperties>
</file>