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EB556" w14:textId="38C61469" w:rsidR="00C85CC0" w:rsidRPr="005879C5" w:rsidRDefault="005879C5" w:rsidP="3E92C9FC">
      <w:pPr>
        <w:pStyle w:val="p1"/>
        <w:spacing w:line="360" w:lineRule="auto"/>
        <w:rPr>
          <w:rFonts w:ascii="Arial" w:eastAsia="Arial" w:hAnsi="Arial" w:cs="Arial"/>
          <w:sz w:val="22"/>
          <w:szCs w:val="22"/>
        </w:rPr>
      </w:pPr>
      <w:r>
        <w:rPr>
          <w:rStyle w:val="s1"/>
          <w:sz w:val="22"/>
          <w:szCs w:val="22"/>
        </w:rPr>
        <w:t xml:space="preserve">  </w:t>
      </w:r>
      <w:r w:rsidRPr="07565907">
        <w:rPr>
          <w:rStyle w:val="s1"/>
          <w:rFonts w:ascii="Arial" w:eastAsia="Arial" w:hAnsi="Arial" w:cs="Arial"/>
          <w:sz w:val="22"/>
          <w:szCs w:val="22"/>
        </w:rPr>
        <w:t xml:space="preserve">    </w:t>
      </w:r>
      <w:r w:rsidR="00FD6D17" w:rsidRPr="07565907">
        <w:rPr>
          <w:rStyle w:val="s1"/>
          <w:rFonts w:ascii="Arial" w:eastAsia="Arial" w:hAnsi="Arial" w:cs="Arial"/>
          <w:sz w:val="22"/>
          <w:szCs w:val="22"/>
        </w:rPr>
        <w:t xml:space="preserve">   </w:t>
      </w:r>
    </w:p>
    <w:p w14:paraId="40B89ABF" w14:textId="6853F691" w:rsidR="00C85CC0" w:rsidRPr="005879C5" w:rsidRDefault="00C85CC0" w:rsidP="3E92C9FC">
      <w:pPr>
        <w:pStyle w:val="p1"/>
        <w:spacing w:line="360" w:lineRule="auto"/>
        <w:rPr>
          <w:rStyle w:val="s1"/>
          <w:rFonts w:ascii="Arial" w:eastAsia="Arial" w:hAnsi="Arial" w:cs="Arial"/>
          <w:sz w:val="22"/>
          <w:szCs w:val="22"/>
        </w:rPr>
      </w:pPr>
    </w:p>
    <w:p w14:paraId="3DF1282D" w14:textId="250AF764" w:rsidR="00C85CC0" w:rsidRPr="005879C5" w:rsidRDefault="00C85CC0" w:rsidP="3E92C9FC">
      <w:pPr>
        <w:pStyle w:val="p1"/>
        <w:spacing w:line="360" w:lineRule="auto"/>
        <w:rPr>
          <w:rStyle w:val="s1"/>
          <w:rFonts w:ascii="Arial" w:eastAsia="Arial" w:hAnsi="Arial" w:cs="Arial"/>
          <w:sz w:val="22"/>
          <w:szCs w:val="22"/>
        </w:rPr>
      </w:pPr>
    </w:p>
    <w:p w14:paraId="23B69600" w14:textId="24A43813" w:rsidR="00C85CC0" w:rsidRPr="005879C5" w:rsidRDefault="00C85CC0" w:rsidP="3E92C9FC">
      <w:pPr>
        <w:pStyle w:val="p1"/>
        <w:spacing w:line="360" w:lineRule="auto"/>
        <w:rPr>
          <w:rStyle w:val="s1"/>
          <w:rFonts w:ascii="Arial" w:eastAsia="Arial" w:hAnsi="Arial" w:cs="Arial"/>
          <w:sz w:val="22"/>
          <w:szCs w:val="22"/>
        </w:rPr>
      </w:pPr>
    </w:p>
    <w:p w14:paraId="3C5A110A" w14:textId="178208DA" w:rsidR="00C85CC0" w:rsidRPr="005879C5" w:rsidRDefault="00C85CC0" w:rsidP="3E92C9FC">
      <w:pPr>
        <w:pStyle w:val="p1"/>
        <w:spacing w:line="360" w:lineRule="auto"/>
        <w:rPr>
          <w:rStyle w:val="s1"/>
          <w:rFonts w:ascii="Arial" w:eastAsia="Arial" w:hAnsi="Arial" w:cs="Arial"/>
          <w:sz w:val="22"/>
          <w:szCs w:val="22"/>
        </w:rPr>
      </w:pPr>
    </w:p>
    <w:p w14:paraId="4F04AC70" w14:textId="427DBBBD" w:rsidR="00C85CC0" w:rsidRPr="005879C5" w:rsidRDefault="00C85CC0" w:rsidP="3E92C9FC">
      <w:pPr>
        <w:pStyle w:val="p1"/>
        <w:spacing w:line="360" w:lineRule="auto"/>
        <w:rPr>
          <w:rStyle w:val="s1"/>
          <w:rFonts w:ascii="Arial" w:eastAsia="Arial" w:hAnsi="Arial" w:cs="Arial"/>
          <w:sz w:val="22"/>
          <w:szCs w:val="22"/>
        </w:rPr>
      </w:pPr>
    </w:p>
    <w:p w14:paraId="0CF215A8" w14:textId="7BEEB620" w:rsidR="00C85CC0" w:rsidRPr="005879C5" w:rsidRDefault="00C85CC0" w:rsidP="3E92C9FC">
      <w:pPr>
        <w:pStyle w:val="p1"/>
        <w:spacing w:line="360" w:lineRule="auto"/>
        <w:rPr>
          <w:rStyle w:val="s1"/>
          <w:rFonts w:ascii="Arial" w:eastAsia="Arial" w:hAnsi="Arial" w:cs="Arial"/>
          <w:sz w:val="22"/>
          <w:szCs w:val="22"/>
        </w:rPr>
      </w:pPr>
    </w:p>
    <w:p w14:paraId="0D4BB152" w14:textId="39D01AD4" w:rsidR="00C85CC0" w:rsidRPr="005879C5" w:rsidRDefault="00C85CC0" w:rsidP="3E92C9FC">
      <w:pPr>
        <w:pStyle w:val="p1"/>
        <w:spacing w:line="360" w:lineRule="auto"/>
        <w:rPr>
          <w:rStyle w:val="s1"/>
          <w:rFonts w:ascii="Arial" w:eastAsia="Arial" w:hAnsi="Arial" w:cs="Arial"/>
          <w:sz w:val="22"/>
          <w:szCs w:val="22"/>
        </w:rPr>
      </w:pPr>
    </w:p>
    <w:p w14:paraId="3561BD61" w14:textId="20A86D9C" w:rsidR="00C85CC0" w:rsidRPr="005879C5" w:rsidRDefault="00C85CC0" w:rsidP="3E92C9FC">
      <w:pPr>
        <w:pStyle w:val="p1"/>
        <w:spacing w:line="360" w:lineRule="auto"/>
        <w:rPr>
          <w:rStyle w:val="s1"/>
          <w:rFonts w:ascii="Arial" w:eastAsia="Arial" w:hAnsi="Arial" w:cs="Arial"/>
          <w:sz w:val="22"/>
          <w:szCs w:val="22"/>
        </w:rPr>
      </w:pPr>
    </w:p>
    <w:p w14:paraId="667956B7" w14:textId="2359FFC8" w:rsidR="00C85CC0" w:rsidRPr="005879C5" w:rsidRDefault="00C85CC0" w:rsidP="3E92C9FC">
      <w:pPr>
        <w:pStyle w:val="p1"/>
        <w:spacing w:line="360" w:lineRule="auto"/>
        <w:rPr>
          <w:rStyle w:val="s1"/>
          <w:rFonts w:ascii="Arial" w:eastAsia="Arial" w:hAnsi="Arial" w:cs="Arial"/>
          <w:sz w:val="22"/>
          <w:szCs w:val="22"/>
        </w:rPr>
      </w:pPr>
    </w:p>
    <w:p w14:paraId="672E8DE3" w14:textId="579DF1E8" w:rsidR="00C85CC0" w:rsidRPr="005879C5" w:rsidRDefault="00C85CC0" w:rsidP="3E92C9FC">
      <w:pPr>
        <w:pStyle w:val="p1"/>
        <w:spacing w:line="360" w:lineRule="auto"/>
        <w:rPr>
          <w:rStyle w:val="s1"/>
          <w:rFonts w:ascii="Arial" w:eastAsia="Arial" w:hAnsi="Arial" w:cs="Arial"/>
          <w:sz w:val="22"/>
          <w:szCs w:val="22"/>
        </w:rPr>
      </w:pPr>
    </w:p>
    <w:p w14:paraId="1AE7EB2C" w14:textId="1F6A3FE6" w:rsidR="00C85CC0" w:rsidRPr="005879C5" w:rsidRDefault="00C85CC0" w:rsidP="3E92C9FC">
      <w:pPr>
        <w:pStyle w:val="p1"/>
        <w:spacing w:line="360" w:lineRule="auto"/>
        <w:rPr>
          <w:rStyle w:val="s1"/>
          <w:rFonts w:ascii="Arial" w:eastAsia="Arial" w:hAnsi="Arial" w:cs="Arial"/>
          <w:sz w:val="22"/>
          <w:szCs w:val="22"/>
        </w:rPr>
      </w:pPr>
    </w:p>
    <w:p w14:paraId="6E9B96F5" w14:textId="0D381F3C" w:rsidR="00C85CC0" w:rsidRPr="005879C5" w:rsidRDefault="00C85CC0" w:rsidP="3E92C9FC">
      <w:pPr>
        <w:pStyle w:val="p1"/>
        <w:spacing w:line="360" w:lineRule="auto"/>
        <w:rPr>
          <w:rStyle w:val="s1"/>
          <w:rFonts w:ascii="Arial" w:eastAsia="Arial" w:hAnsi="Arial" w:cs="Arial"/>
          <w:sz w:val="22"/>
          <w:szCs w:val="22"/>
        </w:rPr>
      </w:pPr>
    </w:p>
    <w:p w14:paraId="6CFFFD74" w14:textId="5946BF90" w:rsidR="00C85CC0" w:rsidRPr="005879C5" w:rsidRDefault="314AD1A5" w:rsidP="3E92C9FC">
      <w:pPr>
        <w:pStyle w:val="p1"/>
        <w:spacing w:line="360" w:lineRule="auto"/>
        <w:rPr>
          <w:rFonts w:ascii="Arial" w:eastAsia="Arial" w:hAnsi="Arial" w:cs="Arial"/>
          <w:sz w:val="22"/>
          <w:szCs w:val="22"/>
        </w:rPr>
      </w:pPr>
      <w:r w:rsidRPr="0C8A4E28">
        <w:rPr>
          <w:rStyle w:val="s1"/>
          <w:rFonts w:ascii="Arial" w:eastAsia="Arial" w:hAnsi="Arial" w:cs="Arial"/>
          <w:sz w:val="22"/>
          <w:szCs w:val="22"/>
        </w:rPr>
        <w:t xml:space="preserve"> </w:t>
      </w:r>
      <w:r w:rsidR="005879C5" w:rsidRPr="07565907">
        <w:rPr>
          <w:rStyle w:val="s1"/>
          <w:rFonts w:ascii="Arial" w:eastAsia="Arial" w:hAnsi="Arial" w:cs="Arial"/>
          <w:sz w:val="22"/>
          <w:szCs w:val="22"/>
        </w:rPr>
        <w:t xml:space="preserve">     </w:t>
      </w:r>
      <w:r w:rsidR="00C85CC0" w:rsidRPr="07565907">
        <w:rPr>
          <w:rStyle w:val="s1"/>
          <w:rFonts w:ascii="Arial" w:eastAsia="Arial" w:hAnsi="Arial" w:cs="Arial"/>
          <w:sz w:val="22"/>
          <w:szCs w:val="22"/>
        </w:rPr>
        <w:t>Measuring, Monitoring and Controlling Type 2 Diabetes in the Community</w:t>
      </w:r>
    </w:p>
    <w:p w14:paraId="33AB402E" w14:textId="6EF58022" w:rsidR="00C85CC0" w:rsidRPr="005879C5" w:rsidRDefault="005879C5" w:rsidP="3E92C9FC">
      <w:pPr>
        <w:pStyle w:val="p1"/>
        <w:spacing w:line="360" w:lineRule="auto"/>
        <w:rPr>
          <w:rFonts w:ascii="Arial" w:eastAsia="Arial" w:hAnsi="Arial" w:cs="Arial"/>
          <w:sz w:val="22"/>
          <w:szCs w:val="22"/>
        </w:rPr>
      </w:pPr>
      <w:r w:rsidRPr="07565907">
        <w:rPr>
          <w:rStyle w:val="s1"/>
          <w:rFonts w:ascii="Arial" w:eastAsia="Arial" w:hAnsi="Arial" w:cs="Arial"/>
          <w:sz w:val="22"/>
          <w:szCs w:val="22"/>
        </w:rPr>
        <w:t xml:space="preserve">                                               </w:t>
      </w:r>
      <w:r w:rsidR="00C85CC0" w:rsidRPr="07565907">
        <w:rPr>
          <w:rStyle w:val="s1"/>
          <w:rFonts w:ascii="Arial" w:eastAsia="Arial" w:hAnsi="Arial" w:cs="Arial"/>
          <w:sz w:val="22"/>
          <w:szCs w:val="22"/>
        </w:rPr>
        <w:t>Student Name: Tayyaba Nadeem</w:t>
      </w:r>
    </w:p>
    <w:p w14:paraId="4BC9F3E9" w14:textId="3B8EB9B2" w:rsidR="00C85CC0" w:rsidRPr="005879C5" w:rsidRDefault="005879C5" w:rsidP="3E92C9FC">
      <w:pPr>
        <w:pStyle w:val="p1"/>
        <w:spacing w:line="360" w:lineRule="auto"/>
        <w:rPr>
          <w:rFonts w:ascii="Arial" w:eastAsia="Arial" w:hAnsi="Arial" w:cs="Arial"/>
          <w:sz w:val="22"/>
          <w:szCs w:val="22"/>
        </w:rPr>
      </w:pPr>
      <w:r w:rsidRPr="07565907">
        <w:rPr>
          <w:rStyle w:val="s1"/>
          <w:rFonts w:ascii="Arial" w:eastAsia="Arial" w:hAnsi="Arial" w:cs="Arial"/>
          <w:sz w:val="22"/>
          <w:szCs w:val="22"/>
        </w:rPr>
        <w:t xml:space="preserve">                                                   </w:t>
      </w:r>
      <w:r w:rsidR="00C85CC0" w:rsidRPr="07565907">
        <w:rPr>
          <w:rStyle w:val="s1"/>
          <w:rFonts w:ascii="Arial" w:eastAsia="Arial" w:hAnsi="Arial" w:cs="Arial"/>
          <w:sz w:val="22"/>
          <w:szCs w:val="22"/>
        </w:rPr>
        <w:t>Student Number: 2432012</w:t>
      </w:r>
    </w:p>
    <w:p w14:paraId="1D9F0B43" w14:textId="13A41B2C" w:rsidR="00C85CC0" w:rsidRPr="005879C5" w:rsidRDefault="009A7038" w:rsidP="3E92C9FC">
      <w:pPr>
        <w:pStyle w:val="p1"/>
        <w:spacing w:line="360" w:lineRule="auto"/>
        <w:rPr>
          <w:rFonts w:ascii="Arial" w:eastAsia="Arial" w:hAnsi="Arial" w:cs="Arial"/>
          <w:sz w:val="22"/>
          <w:szCs w:val="22"/>
        </w:rPr>
      </w:pPr>
      <w:r w:rsidRPr="07565907">
        <w:rPr>
          <w:rStyle w:val="s1"/>
          <w:rFonts w:ascii="Arial" w:eastAsia="Arial" w:hAnsi="Arial" w:cs="Arial"/>
          <w:sz w:val="22"/>
          <w:szCs w:val="22"/>
        </w:rPr>
        <w:t xml:space="preserve">                                                </w:t>
      </w:r>
      <w:r w:rsidR="00C85CC0" w:rsidRPr="07565907">
        <w:rPr>
          <w:rStyle w:val="s1"/>
          <w:rFonts w:ascii="Arial" w:eastAsia="Arial" w:hAnsi="Arial" w:cs="Arial"/>
          <w:sz w:val="22"/>
          <w:szCs w:val="22"/>
        </w:rPr>
        <w:t>Module Code &amp; Title: LCHS4007</w:t>
      </w:r>
    </w:p>
    <w:p w14:paraId="797FC61A" w14:textId="1064D285" w:rsidR="00C85CC0" w:rsidRPr="005879C5" w:rsidRDefault="009A7038" w:rsidP="3E92C9FC">
      <w:pPr>
        <w:pStyle w:val="p1"/>
        <w:spacing w:line="360" w:lineRule="auto"/>
        <w:rPr>
          <w:rFonts w:ascii="Arial" w:eastAsia="Arial" w:hAnsi="Arial" w:cs="Arial"/>
          <w:sz w:val="22"/>
          <w:szCs w:val="22"/>
        </w:rPr>
      </w:pPr>
      <w:r w:rsidRPr="07565907">
        <w:rPr>
          <w:rStyle w:val="s1"/>
          <w:rFonts w:ascii="Arial" w:eastAsia="Arial" w:hAnsi="Arial" w:cs="Arial"/>
          <w:sz w:val="22"/>
          <w:szCs w:val="22"/>
        </w:rPr>
        <w:t xml:space="preserve">                                 </w:t>
      </w:r>
      <w:r w:rsidR="00FD6D17" w:rsidRPr="07565907">
        <w:rPr>
          <w:rStyle w:val="s1"/>
          <w:rFonts w:ascii="Arial" w:eastAsia="Arial" w:hAnsi="Arial" w:cs="Arial"/>
          <w:sz w:val="22"/>
          <w:szCs w:val="22"/>
        </w:rPr>
        <w:t xml:space="preserve">                   </w:t>
      </w:r>
      <w:r w:rsidR="00C85CC0" w:rsidRPr="07565907">
        <w:rPr>
          <w:rStyle w:val="s1"/>
          <w:rFonts w:ascii="Arial" w:eastAsia="Arial" w:hAnsi="Arial" w:cs="Arial"/>
          <w:sz w:val="22"/>
          <w:szCs w:val="22"/>
        </w:rPr>
        <w:t>Lecturer: Gillian Weaver</w:t>
      </w:r>
    </w:p>
    <w:p w14:paraId="45100247" w14:textId="2B4FEB28" w:rsidR="00C85CC0" w:rsidRDefault="5093BDFA" w:rsidP="5E685EB5">
      <w:pPr>
        <w:pStyle w:val="p1"/>
        <w:spacing w:line="360" w:lineRule="auto"/>
        <w:rPr>
          <w:rStyle w:val="s1"/>
          <w:rFonts w:ascii="Arial" w:eastAsia="Arial" w:hAnsi="Arial" w:cs="Arial"/>
          <w:sz w:val="22"/>
          <w:szCs w:val="22"/>
        </w:rPr>
      </w:pPr>
      <w:r w:rsidRPr="541726CB">
        <w:rPr>
          <w:rStyle w:val="s1"/>
          <w:rFonts w:ascii="Arial" w:eastAsia="Arial" w:hAnsi="Arial" w:cs="Arial"/>
          <w:sz w:val="22"/>
          <w:szCs w:val="22"/>
        </w:rPr>
        <w:t xml:space="preserve">                   </w:t>
      </w:r>
      <w:r w:rsidRPr="1A4CEA1A">
        <w:rPr>
          <w:rStyle w:val="s1"/>
          <w:rFonts w:ascii="Arial" w:eastAsia="Arial" w:hAnsi="Arial" w:cs="Arial"/>
          <w:sz w:val="22"/>
          <w:szCs w:val="22"/>
        </w:rPr>
        <w:t xml:space="preserve"> </w:t>
      </w:r>
      <w:r w:rsidRPr="08965060">
        <w:rPr>
          <w:rStyle w:val="s1"/>
          <w:rFonts w:ascii="Arial" w:eastAsia="Arial" w:hAnsi="Arial" w:cs="Arial"/>
          <w:sz w:val="22"/>
          <w:szCs w:val="22"/>
        </w:rPr>
        <w:t xml:space="preserve">  </w:t>
      </w:r>
      <w:r w:rsidR="00C85CC0" w:rsidRPr="07565907">
        <w:rPr>
          <w:rStyle w:val="s1"/>
          <w:rFonts w:ascii="Arial" w:eastAsia="Arial" w:hAnsi="Arial" w:cs="Arial"/>
          <w:sz w:val="22"/>
          <w:szCs w:val="22"/>
        </w:rPr>
        <w:t>Assignment Title: Measuring, Monitoring and Controlling</w:t>
      </w:r>
    </w:p>
    <w:p w14:paraId="35DFDF90" w14:textId="0FAE107D" w:rsidR="00C85CC0" w:rsidRDefault="43DBED77" w:rsidP="3E92C9FC">
      <w:pPr>
        <w:pStyle w:val="p1"/>
        <w:spacing w:line="360" w:lineRule="auto"/>
        <w:rPr>
          <w:rStyle w:val="s1"/>
          <w:rFonts w:ascii="Arial" w:eastAsia="Arial" w:hAnsi="Arial" w:cs="Arial"/>
          <w:sz w:val="22"/>
          <w:szCs w:val="22"/>
        </w:rPr>
      </w:pPr>
      <w:r w:rsidRPr="0E8399A3">
        <w:rPr>
          <w:rStyle w:val="s1"/>
          <w:rFonts w:ascii="Arial" w:eastAsia="Arial" w:hAnsi="Arial" w:cs="Arial"/>
          <w:sz w:val="22"/>
          <w:szCs w:val="22"/>
        </w:rPr>
        <w:t xml:space="preserve">                </w:t>
      </w:r>
      <w:r w:rsidRPr="69CC7445">
        <w:rPr>
          <w:rStyle w:val="s1"/>
          <w:rFonts w:ascii="Arial" w:eastAsia="Arial" w:hAnsi="Arial" w:cs="Arial"/>
          <w:sz w:val="22"/>
          <w:szCs w:val="22"/>
        </w:rPr>
        <w:t xml:space="preserve">  </w:t>
      </w:r>
      <w:r w:rsidRPr="44E37272">
        <w:rPr>
          <w:rStyle w:val="s1"/>
          <w:rFonts w:ascii="Arial" w:eastAsia="Arial" w:hAnsi="Arial" w:cs="Arial"/>
          <w:sz w:val="22"/>
          <w:szCs w:val="22"/>
        </w:rPr>
        <w:t xml:space="preserve"> </w:t>
      </w:r>
      <w:r w:rsidR="00C85CC0" w:rsidRPr="07565907">
        <w:rPr>
          <w:rStyle w:val="s1"/>
          <w:rFonts w:ascii="Arial" w:eastAsia="Arial" w:hAnsi="Arial" w:cs="Arial"/>
          <w:sz w:val="22"/>
          <w:szCs w:val="22"/>
        </w:rPr>
        <w:t xml:space="preserve"> </w:t>
      </w:r>
      <w:r w:rsidRPr="59C1CC03">
        <w:rPr>
          <w:rStyle w:val="s1"/>
          <w:rFonts w:ascii="Arial" w:eastAsia="Arial" w:hAnsi="Arial" w:cs="Arial"/>
          <w:sz w:val="22"/>
          <w:szCs w:val="22"/>
        </w:rPr>
        <w:t xml:space="preserve">       </w:t>
      </w:r>
      <w:r w:rsidR="00C85CC0" w:rsidRPr="59C1CC03">
        <w:rPr>
          <w:rStyle w:val="s1"/>
          <w:rFonts w:ascii="Arial" w:eastAsia="Arial" w:hAnsi="Arial" w:cs="Arial"/>
          <w:sz w:val="22"/>
          <w:szCs w:val="22"/>
        </w:rPr>
        <w:t xml:space="preserve"> </w:t>
      </w:r>
      <w:r w:rsidRPr="06CF40F2">
        <w:rPr>
          <w:rStyle w:val="s1"/>
          <w:rFonts w:ascii="Arial" w:eastAsia="Arial" w:hAnsi="Arial" w:cs="Arial"/>
          <w:sz w:val="22"/>
          <w:szCs w:val="22"/>
        </w:rPr>
        <w:t xml:space="preserve">            </w:t>
      </w:r>
      <w:r w:rsidR="00C85CC0" w:rsidRPr="06CF40F2">
        <w:rPr>
          <w:rStyle w:val="s1"/>
          <w:rFonts w:ascii="Arial" w:eastAsia="Arial" w:hAnsi="Arial" w:cs="Arial"/>
          <w:sz w:val="22"/>
          <w:szCs w:val="22"/>
        </w:rPr>
        <w:t xml:space="preserve"> </w:t>
      </w:r>
      <w:r w:rsidR="00C85CC0" w:rsidRPr="07565907">
        <w:rPr>
          <w:rStyle w:val="s1"/>
          <w:rFonts w:ascii="Arial" w:eastAsia="Arial" w:hAnsi="Arial" w:cs="Arial"/>
          <w:sz w:val="22"/>
          <w:szCs w:val="22"/>
        </w:rPr>
        <w:t>Type 2 Diabetes in the Community</w:t>
      </w:r>
    </w:p>
    <w:p w14:paraId="3486DB05" w14:textId="49F6853D" w:rsidR="00FD6D17" w:rsidRDefault="00FD6D17" w:rsidP="3E92C9FC">
      <w:pPr>
        <w:pStyle w:val="p1"/>
        <w:spacing w:line="360" w:lineRule="auto"/>
        <w:rPr>
          <w:rStyle w:val="s1"/>
          <w:rFonts w:ascii="Arial" w:eastAsia="Arial" w:hAnsi="Arial" w:cs="Arial"/>
          <w:sz w:val="22"/>
          <w:szCs w:val="22"/>
        </w:rPr>
      </w:pPr>
    </w:p>
    <w:p w14:paraId="24F916BE" w14:textId="77777777" w:rsidR="00FD6D17" w:rsidRDefault="00FD6D17" w:rsidP="3E92C9FC">
      <w:pPr>
        <w:pStyle w:val="p1"/>
        <w:spacing w:line="360" w:lineRule="auto"/>
        <w:rPr>
          <w:rStyle w:val="s1"/>
          <w:rFonts w:ascii="Arial" w:eastAsia="Arial" w:hAnsi="Arial" w:cs="Arial"/>
          <w:sz w:val="22"/>
          <w:szCs w:val="22"/>
        </w:rPr>
      </w:pPr>
    </w:p>
    <w:p w14:paraId="6E336DBC" w14:textId="77777777" w:rsidR="00FD6D17" w:rsidRPr="005879C5" w:rsidRDefault="00FD6D17" w:rsidP="3E92C9FC">
      <w:pPr>
        <w:pStyle w:val="p1"/>
        <w:spacing w:line="360" w:lineRule="auto"/>
        <w:rPr>
          <w:rFonts w:ascii="Arial" w:eastAsia="Arial" w:hAnsi="Arial" w:cs="Arial"/>
          <w:sz w:val="22"/>
          <w:szCs w:val="22"/>
        </w:rPr>
      </w:pPr>
    </w:p>
    <w:p w14:paraId="1E46200F" w14:textId="16E3A624" w:rsidR="310BCEA1" w:rsidRDefault="310BCEA1" w:rsidP="3E92C9FC">
      <w:pPr>
        <w:pStyle w:val="p1"/>
        <w:spacing w:line="360" w:lineRule="auto"/>
        <w:rPr>
          <w:rFonts w:ascii="Arial" w:eastAsia="Arial" w:hAnsi="Arial" w:cs="Arial"/>
          <w:sz w:val="22"/>
          <w:szCs w:val="22"/>
        </w:rPr>
      </w:pPr>
    </w:p>
    <w:p w14:paraId="27127356" w14:textId="72E6B6E3" w:rsidR="1EBAEE73" w:rsidRDefault="1EBAEE73" w:rsidP="3E92C9FC">
      <w:pPr>
        <w:pStyle w:val="p1"/>
        <w:spacing w:line="360" w:lineRule="auto"/>
        <w:rPr>
          <w:rFonts w:ascii="Arial" w:eastAsia="Arial" w:hAnsi="Arial" w:cs="Arial"/>
          <w:sz w:val="22"/>
          <w:szCs w:val="22"/>
        </w:rPr>
      </w:pPr>
    </w:p>
    <w:p w14:paraId="21BC7BAC" w14:textId="587263ED" w:rsidR="1EBAEE73" w:rsidRDefault="1EBAEE73" w:rsidP="3E92C9FC">
      <w:pPr>
        <w:pStyle w:val="p1"/>
        <w:spacing w:line="360" w:lineRule="auto"/>
        <w:rPr>
          <w:rFonts w:ascii="Arial" w:eastAsia="Arial" w:hAnsi="Arial" w:cs="Arial"/>
          <w:sz w:val="22"/>
          <w:szCs w:val="22"/>
        </w:rPr>
      </w:pPr>
    </w:p>
    <w:p w14:paraId="511FBCFC" w14:textId="7DB98437" w:rsidR="1EBAEE73" w:rsidRDefault="1EBAEE73" w:rsidP="3E92C9FC">
      <w:pPr>
        <w:pStyle w:val="p1"/>
        <w:spacing w:line="360" w:lineRule="auto"/>
        <w:rPr>
          <w:rFonts w:ascii="Arial" w:eastAsia="Arial" w:hAnsi="Arial" w:cs="Arial"/>
          <w:sz w:val="22"/>
          <w:szCs w:val="22"/>
        </w:rPr>
      </w:pPr>
    </w:p>
    <w:p w14:paraId="58B1CEC6" w14:textId="23E9C8C9" w:rsidR="1EBAEE73" w:rsidRDefault="1EBAEE73" w:rsidP="3E92C9FC">
      <w:pPr>
        <w:pStyle w:val="p1"/>
        <w:spacing w:line="360" w:lineRule="auto"/>
        <w:rPr>
          <w:rFonts w:ascii="Arial" w:eastAsia="Arial" w:hAnsi="Arial" w:cs="Arial"/>
          <w:sz w:val="22"/>
          <w:szCs w:val="22"/>
        </w:rPr>
      </w:pPr>
    </w:p>
    <w:p w14:paraId="16C08358" w14:textId="2AFAAED0" w:rsidR="1EBAEE73" w:rsidRDefault="1EBAEE73" w:rsidP="3E92C9FC">
      <w:pPr>
        <w:pStyle w:val="p1"/>
        <w:spacing w:line="360" w:lineRule="auto"/>
        <w:rPr>
          <w:rFonts w:ascii="Arial" w:eastAsia="Arial" w:hAnsi="Arial" w:cs="Arial"/>
          <w:sz w:val="22"/>
          <w:szCs w:val="22"/>
        </w:rPr>
      </w:pPr>
    </w:p>
    <w:p w14:paraId="70C62339" w14:textId="7E4507D5" w:rsidR="1EBAEE73" w:rsidRDefault="1EBAEE73" w:rsidP="3E92C9FC">
      <w:pPr>
        <w:pStyle w:val="p1"/>
        <w:spacing w:line="360" w:lineRule="auto"/>
        <w:rPr>
          <w:rFonts w:ascii="Arial" w:eastAsia="Arial" w:hAnsi="Arial" w:cs="Arial"/>
          <w:sz w:val="22"/>
          <w:szCs w:val="22"/>
        </w:rPr>
      </w:pPr>
    </w:p>
    <w:p w14:paraId="6038DB23" w14:textId="0D453496" w:rsidR="1EBAEE73" w:rsidRDefault="1EBAEE73" w:rsidP="3E92C9FC">
      <w:pPr>
        <w:pStyle w:val="p1"/>
        <w:spacing w:line="360" w:lineRule="auto"/>
        <w:rPr>
          <w:rFonts w:ascii="Arial" w:eastAsia="Arial" w:hAnsi="Arial" w:cs="Arial"/>
          <w:sz w:val="22"/>
          <w:szCs w:val="22"/>
        </w:rPr>
      </w:pPr>
    </w:p>
    <w:p w14:paraId="4125E9F0" w14:textId="05DD946E" w:rsidR="1EBAEE73" w:rsidRDefault="1EBAEE73" w:rsidP="3E92C9FC">
      <w:pPr>
        <w:pStyle w:val="p1"/>
        <w:spacing w:line="360" w:lineRule="auto"/>
        <w:rPr>
          <w:rFonts w:ascii="Arial" w:eastAsia="Arial" w:hAnsi="Arial" w:cs="Arial"/>
          <w:sz w:val="22"/>
          <w:szCs w:val="22"/>
        </w:rPr>
      </w:pPr>
    </w:p>
    <w:p w14:paraId="148620FB" w14:textId="2ACC0439" w:rsidR="1EBAEE73" w:rsidRDefault="1EBAEE73" w:rsidP="3E92C9FC">
      <w:pPr>
        <w:pStyle w:val="p1"/>
        <w:spacing w:line="360" w:lineRule="auto"/>
        <w:rPr>
          <w:rFonts w:ascii="Arial" w:eastAsia="Arial" w:hAnsi="Arial" w:cs="Arial"/>
          <w:sz w:val="22"/>
          <w:szCs w:val="22"/>
        </w:rPr>
      </w:pPr>
    </w:p>
    <w:p w14:paraId="588433FC" w14:textId="2B9D52CD" w:rsidR="554F4F70" w:rsidRDefault="554F4F70" w:rsidP="3E92C9FC">
      <w:pPr>
        <w:pStyle w:val="p1"/>
        <w:spacing w:line="360" w:lineRule="auto"/>
        <w:rPr>
          <w:rFonts w:ascii="Arial" w:eastAsia="Arial" w:hAnsi="Arial" w:cs="Arial"/>
          <w:sz w:val="22"/>
          <w:szCs w:val="22"/>
        </w:rPr>
      </w:pPr>
    </w:p>
    <w:p w14:paraId="34CFD763" w14:textId="418B1753" w:rsidR="554F4F70" w:rsidRDefault="554F4F70" w:rsidP="3E92C9FC">
      <w:pPr>
        <w:pStyle w:val="p1"/>
        <w:spacing w:line="360" w:lineRule="auto"/>
        <w:rPr>
          <w:rFonts w:ascii="Arial" w:eastAsia="Arial" w:hAnsi="Arial" w:cs="Arial"/>
          <w:sz w:val="22"/>
          <w:szCs w:val="22"/>
        </w:rPr>
      </w:pPr>
    </w:p>
    <w:p w14:paraId="6A8308CF" w14:textId="49F85C34" w:rsidR="224C40DC" w:rsidRDefault="224C40DC" w:rsidP="3E92C9FC">
      <w:pPr>
        <w:pStyle w:val="p1"/>
        <w:spacing w:line="360" w:lineRule="auto"/>
        <w:rPr>
          <w:rFonts w:ascii="Arial" w:eastAsia="Arial" w:hAnsi="Arial" w:cs="Arial"/>
          <w:sz w:val="22"/>
          <w:szCs w:val="22"/>
        </w:rPr>
      </w:pPr>
    </w:p>
    <w:p w14:paraId="4EBC3F38" w14:textId="6F227449" w:rsidR="224C40DC" w:rsidRDefault="224C40DC" w:rsidP="3E92C9FC">
      <w:pPr>
        <w:pStyle w:val="p1"/>
        <w:spacing w:line="360" w:lineRule="auto"/>
        <w:rPr>
          <w:rFonts w:ascii="Arial" w:eastAsia="Arial" w:hAnsi="Arial" w:cs="Arial"/>
          <w:sz w:val="22"/>
          <w:szCs w:val="22"/>
        </w:rPr>
      </w:pPr>
    </w:p>
    <w:p w14:paraId="4599F24D" w14:textId="685F11E1" w:rsidR="224C40DC" w:rsidRDefault="224C40DC" w:rsidP="3E92C9FC">
      <w:pPr>
        <w:pStyle w:val="p1"/>
        <w:spacing w:line="360" w:lineRule="auto"/>
        <w:rPr>
          <w:rFonts w:ascii="Arial" w:eastAsia="Arial" w:hAnsi="Arial" w:cs="Arial"/>
          <w:sz w:val="22"/>
          <w:szCs w:val="22"/>
        </w:rPr>
      </w:pPr>
    </w:p>
    <w:p w14:paraId="7B529C4B" w14:textId="45F4B882" w:rsidR="000B60D1" w:rsidRPr="003562F3" w:rsidRDefault="000B60D1" w:rsidP="3E92C9FC">
      <w:pPr>
        <w:pStyle w:val="p1"/>
        <w:spacing w:line="360" w:lineRule="auto"/>
        <w:rPr>
          <w:rFonts w:ascii="Arial" w:eastAsia="Arial" w:hAnsi="Arial" w:cs="Arial"/>
          <w:b/>
          <w:bCs/>
          <w:sz w:val="22"/>
          <w:szCs w:val="22"/>
        </w:rPr>
      </w:pPr>
      <w:r w:rsidRPr="07565907">
        <w:rPr>
          <w:rStyle w:val="s1"/>
          <w:rFonts w:ascii="Arial" w:eastAsia="Arial" w:hAnsi="Arial" w:cs="Arial"/>
          <w:b/>
          <w:bCs/>
          <w:sz w:val="22"/>
          <w:szCs w:val="22"/>
        </w:rPr>
        <w:t>Introduction</w:t>
      </w:r>
    </w:p>
    <w:p w14:paraId="2B42ECE6"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Type 2 diabetes is a long-term metabolic condition where the body becomes resistant to insulin or does not produce enough insulin to regulate blood glucose levels (Diabetes UK, 2024). Insulin allows cells to absorb glucose for energy, but when this process fails, glucose builds up in the bloodstream causing hyperglycaemia. Over time, this can lead to damage to vital organs including the heart, kidneys, nerves and eyes. Common symptoms include fatigue, excessive thirst, frequent urination, increased hunger, blurred vision, recurrent infections and slow-healing wounds. In some cases, type 2 diabetes develops gradually, meaning many people live with it for years without knowing.</w:t>
      </w:r>
    </w:p>
    <w:p w14:paraId="4186EC93" w14:textId="77777777" w:rsidR="000B60D1" w:rsidRDefault="000B60D1" w:rsidP="3E92C9FC">
      <w:pPr>
        <w:pStyle w:val="p2"/>
        <w:spacing w:line="360" w:lineRule="auto"/>
        <w:rPr>
          <w:rFonts w:ascii="Arial" w:eastAsia="Arial" w:hAnsi="Arial" w:cs="Arial"/>
          <w:sz w:val="22"/>
          <w:szCs w:val="22"/>
        </w:rPr>
      </w:pPr>
    </w:p>
    <w:p w14:paraId="702EA601"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Globally, around 589 million adults are currently living with diabetes, most of which are type 2 cases (IDF, 2025). In the UK, more than 5.8 million people have been diagnosed with diabetes, and 90% of these individuals have type 2 diabetes (Diabetes UK, 2024). Approximately 1.3 million people remain undiagnosed, placing them at risk of preventable complications. These rising numbers show the urgent need for improved monitoring, prevention and control strategies.</w:t>
      </w:r>
    </w:p>
    <w:p w14:paraId="48A37610" w14:textId="77777777" w:rsidR="000B60D1" w:rsidRDefault="000B60D1" w:rsidP="3E92C9FC">
      <w:pPr>
        <w:pStyle w:val="p2"/>
        <w:spacing w:line="360" w:lineRule="auto"/>
        <w:rPr>
          <w:rFonts w:ascii="Arial" w:eastAsia="Arial" w:hAnsi="Arial" w:cs="Arial"/>
          <w:sz w:val="22"/>
          <w:szCs w:val="22"/>
        </w:rPr>
      </w:pPr>
    </w:p>
    <w:p w14:paraId="41F52DD6"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Main Body</w:t>
      </w:r>
    </w:p>
    <w:p w14:paraId="75EC4567" w14:textId="77777777" w:rsidR="000B60D1" w:rsidRDefault="000B60D1" w:rsidP="3E92C9FC">
      <w:pPr>
        <w:pStyle w:val="p2"/>
        <w:spacing w:line="360" w:lineRule="auto"/>
        <w:rPr>
          <w:rFonts w:ascii="Arial" w:eastAsia="Arial" w:hAnsi="Arial" w:cs="Arial"/>
          <w:sz w:val="22"/>
          <w:szCs w:val="22"/>
        </w:rPr>
      </w:pPr>
    </w:p>
    <w:p w14:paraId="042F7862" w14:textId="216CDB90" w:rsidR="000B60D1" w:rsidRDefault="000B60D1" w:rsidP="3E92C9FC">
      <w:pPr>
        <w:pStyle w:val="p1"/>
        <w:spacing w:line="360" w:lineRule="auto"/>
        <w:rPr>
          <w:rStyle w:val="s1"/>
          <w:rFonts w:ascii="Arial" w:eastAsia="Arial" w:hAnsi="Arial" w:cs="Arial"/>
          <w:b/>
          <w:bCs/>
          <w:sz w:val="22"/>
          <w:szCs w:val="22"/>
        </w:rPr>
      </w:pPr>
      <w:r w:rsidRPr="2569C95A">
        <w:rPr>
          <w:rStyle w:val="s1"/>
          <w:rFonts w:ascii="Arial" w:eastAsia="Arial" w:hAnsi="Arial" w:cs="Arial"/>
          <w:b/>
          <w:bCs/>
          <w:sz w:val="22"/>
          <w:szCs w:val="22"/>
        </w:rPr>
        <w:t>Consequences of Type 2 Diabetes for Individuals, Communities and the NHS</w:t>
      </w:r>
      <w:r w:rsidR="0E12690A" w:rsidRPr="0F45F060">
        <w:rPr>
          <w:rStyle w:val="s1"/>
          <w:rFonts w:ascii="Arial" w:eastAsia="Arial" w:hAnsi="Arial" w:cs="Arial"/>
          <w:b/>
          <w:bCs/>
          <w:sz w:val="22"/>
          <w:szCs w:val="22"/>
        </w:rPr>
        <w:t>:</w:t>
      </w:r>
    </w:p>
    <w:p w14:paraId="2C29F3BC" w14:textId="77777777" w:rsidR="000B60D1" w:rsidRDefault="000B60D1" w:rsidP="3E92C9FC">
      <w:pPr>
        <w:pStyle w:val="p2"/>
        <w:spacing w:line="360" w:lineRule="auto"/>
        <w:rPr>
          <w:rFonts w:ascii="Arial" w:eastAsia="Arial" w:hAnsi="Arial" w:cs="Arial"/>
          <w:b/>
          <w:bCs/>
          <w:sz w:val="22"/>
          <w:szCs w:val="22"/>
        </w:rPr>
      </w:pPr>
    </w:p>
    <w:p w14:paraId="60784C9C"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Type 2 diabetes has serious consequences for the individual. Persistently high blood sugar can cause long-term complications such as cardiovascular disease, kidney failure, nerve damage, foot ulcers and blindness (WHO, 2023). People living with diabetes are two to three times more likely to have a heart attack or stroke compared to those without diabetes (WHO, 2023). Nerve damage, also known as neuropathy, often affects the feet and can lead to reduced sensation, infections and possible amputation. Diabetic retinopathy is a major cause of blindness among working‐age adults (NHS, 2024). These complications significantly affect quality of life, independence and physical functioning.</w:t>
      </w:r>
    </w:p>
    <w:p w14:paraId="021FEA4C" w14:textId="77777777" w:rsidR="000B60D1" w:rsidRDefault="000B60D1" w:rsidP="3E92C9FC">
      <w:pPr>
        <w:pStyle w:val="p2"/>
        <w:spacing w:line="360" w:lineRule="auto"/>
        <w:rPr>
          <w:rFonts w:ascii="Arial" w:eastAsia="Arial" w:hAnsi="Arial" w:cs="Arial"/>
          <w:sz w:val="22"/>
          <w:szCs w:val="22"/>
        </w:rPr>
      </w:pPr>
    </w:p>
    <w:p w14:paraId="1D6C0F1F"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There are also psychological consequences. Many individuals living with diabetes experience anxiety, depression or emotional strain due to the ongoing need for medication management, regular hospital appointments, dietary control and monitoring of blood glucose levels (NHS, 2024). This emotional pressure can reduce motivation, leading to poorer health outcomes. Diabetes distress describes feelings of frustration or fear related to living with a lifelong condition.</w:t>
      </w:r>
    </w:p>
    <w:p w14:paraId="558CE3DE" w14:textId="77777777" w:rsidR="000B60D1" w:rsidRDefault="000B60D1" w:rsidP="3E92C9FC">
      <w:pPr>
        <w:pStyle w:val="p2"/>
        <w:spacing w:line="360" w:lineRule="auto"/>
        <w:rPr>
          <w:rFonts w:ascii="Arial" w:eastAsia="Arial" w:hAnsi="Arial" w:cs="Arial"/>
          <w:sz w:val="22"/>
          <w:szCs w:val="22"/>
        </w:rPr>
      </w:pPr>
    </w:p>
    <w:p w14:paraId="190E90B2"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The impact of diabetes reaches into wider communities. Families often carry emotional and financial responsibilities, helping with care, monitoring, transport to appointments and coping with lifestyle changes. Reduced mobility or complications can lead to people withdrawing from community and social activities. Carers may need to reduce working hours, creating financial strain and emotional stress.</w:t>
      </w:r>
    </w:p>
    <w:p w14:paraId="5ED1B65B" w14:textId="77777777" w:rsidR="000B60D1" w:rsidRDefault="000B60D1" w:rsidP="3E92C9FC">
      <w:pPr>
        <w:pStyle w:val="p2"/>
        <w:spacing w:line="360" w:lineRule="auto"/>
        <w:rPr>
          <w:rFonts w:ascii="Arial" w:eastAsia="Arial" w:hAnsi="Arial" w:cs="Arial"/>
          <w:sz w:val="22"/>
          <w:szCs w:val="22"/>
        </w:rPr>
      </w:pPr>
    </w:p>
    <w:p w14:paraId="2E4DBC04"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Type 2 diabetes also highlights health inequalities. Rates are significantly higher among people from South Asian, Black African and Caribbean backgrounds, who are more likely to develop diabetes at a younger age and with lower BMI levels (Diabetes UK, 2024). People living in socioeconomically deprived areas have reduced access to healthy food options, safe places for physical activity and healthcare services, increasing risk of poor outcomes.</w:t>
      </w:r>
    </w:p>
    <w:p w14:paraId="7732C210" w14:textId="77777777" w:rsidR="000B60D1" w:rsidRDefault="000B60D1" w:rsidP="3E92C9FC">
      <w:pPr>
        <w:pStyle w:val="p2"/>
        <w:spacing w:line="360" w:lineRule="auto"/>
        <w:rPr>
          <w:rFonts w:ascii="Arial" w:eastAsia="Arial" w:hAnsi="Arial" w:cs="Arial"/>
          <w:sz w:val="22"/>
          <w:szCs w:val="22"/>
        </w:rPr>
      </w:pPr>
    </w:p>
    <w:p w14:paraId="714BCD21"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Type 2 diabetes has a major impact on the NHS. It costs the NHS around £10 billion every year, representing nearly 10% of the total NHS budget (NHS, 2024). Around 80% of these costs relate to preventable complications such as amputations, strokes and kidney failure (Diabetes UK, 2024). This puts a growing strain on hospital resources and staffing, particularly as the number of people diagnosed continues to increase.</w:t>
      </w:r>
    </w:p>
    <w:p w14:paraId="04096BCB" w14:textId="77777777" w:rsidR="000B60D1" w:rsidRDefault="000B60D1" w:rsidP="3E92C9FC">
      <w:pPr>
        <w:pStyle w:val="p2"/>
        <w:spacing w:line="360" w:lineRule="auto"/>
        <w:rPr>
          <w:rFonts w:ascii="Arial" w:eastAsia="Arial" w:hAnsi="Arial" w:cs="Arial"/>
          <w:sz w:val="22"/>
          <w:szCs w:val="22"/>
        </w:rPr>
      </w:pPr>
    </w:p>
    <w:p w14:paraId="78790783"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Routine care for diabetes involves GP monitoring, blood tests, retinal screening, foot checks and medication reviews. Emergency hospital admissions for complications such as hypoglycaemia, heart attacks or infections add further pressure. According to the National Diabetes Audit, only 54% of people with diabetes in England receive all nine recommended care processes each year, partly due to workload and resource pressures (NHS, 2024).</w:t>
      </w:r>
    </w:p>
    <w:p w14:paraId="56221257" w14:textId="77777777" w:rsidR="000B60D1" w:rsidRDefault="000B60D1" w:rsidP="3E92C9FC">
      <w:pPr>
        <w:pStyle w:val="p2"/>
        <w:spacing w:line="360" w:lineRule="auto"/>
        <w:rPr>
          <w:rFonts w:ascii="Arial" w:eastAsia="Arial" w:hAnsi="Arial" w:cs="Arial"/>
          <w:sz w:val="22"/>
          <w:szCs w:val="22"/>
        </w:rPr>
      </w:pPr>
    </w:p>
    <w:p w14:paraId="74268711"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How Type 2 Diabetes Is Measured, Monitored and Controlled</w:t>
      </w:r>
    </w:p>
    <w:p w14:paraId="051893DC" w14:textId="77777777" w:rsidR="000B60D1" w:rsidRDefault="000B60D1" w:rsidP="3E92C9FC">
      <w:pPr>
        <w:pStyle w:val="p2"/>
        <w:spacing w:line="360" w:lineRule="auto"/>
        <w:rPr>
          <w:rFonts w:ascii="Arial" w:eastAsia="Arial" w:hAnsi="Arial" w:cs="Arial"/>
          <w:sz w:val="22"/>
          <w:szCs w:val="22"/>
        </w:rPr>
      </w:pPr>
    </w:p>
    <w:p w14:paraId="1AED1BFE"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Diagnosis of type 2 diabetes usually involves HbA1c testing, which measures average blood glucose levels over three months. Other monitoring tests include blood pressure, cholesterol checks, kidney function tests, eye screening and foot examinations (NHS, 2024). Self-monitoring tools, such as blood glucose meters and continuous glucose monitoring devices, allow people to track their condition and respond to changes.</w:t>
      </w:r>
    </w:p>
    <w:p w14:paraId="1557942D" w14:textId="77777777" w:rsidR="000B60D1" w:rsidRDefault="000B60D1" w:rsidP="3E92C9FC">
      <w:pPr>
        <w:pStyle w:val="p2"/>
        <w:spacing w:line="360" w:lineRule="auto"/>
        <w:rPr>
          <w:rFonts w:ascii="Arial" w:eastAsia="Arial" w:hAnsi="Arial" w:cs="Arial"/>
          <w:sz w:val="22"/>
          <w:szCs w:val="22"/>
        </w:rPr>
      </w:pPr>
    </w:p>
    <w:p w14:paraId="5BDC3EF7"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The National Diabetes Audit collects national data on diabetes services, helping measure standards of care and identify inequalities between regions (NHS, 2024). This data is used to improve care and plan public health strategies.</w:t>
      </w:r>
    </w:p>
    <w:p w14:paraId="2B68618C" w14:textId="77777777" w:rsidR="000B60D1" w:rsidRDefault="000B60D1" w:rsidP="3E92C9FC">
      <w:pPr>
        <w:pStyle w:val="p2"/>
        <w:spacing w:line="360" w:lineRule="auto"/>
        <w:rPr>
          <w:rFonts w:ascii="Arial" w:eastAsia="Arial" w:hAnsi="Arial" w:cs="Arial"/>
          <w:sz w:val="22"/>
          <w:szCs w:val="22"/>
        </w:rPr>
      </w:pPr>
    </w:p>
    <w:p w14:paraId="5E730D33"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Treatment and control involve lifestyle changes, medication and ongoing support. Healthy diet, increased physical activity and weight loss are the first steps in managing type 2 diabetes. The NHS Diabetes Prevention Programme provides structured education and support to help reduce the risk of developing the condition among those identified as high risk (NHS, 2024). Studies show that participants significantly lower their chances of developing diabetes.</w:t>
      </w:r>
    </w:p>
    <w:p w14:paraId="7ECE5975" w14:textId="77777777" w:rsidR="000B60D1" w:rsidRDefault="000B60D1" w:rsidP="3E92C9FC">
      <w:pPr>
        <w:pStyle w:val="p2"/>
        <w:spacing w:line="360" w:lineRule="auto"/>
        <w:rPr>
          <w:rFonts w:ascii="Arial" w:eastAsia="Arial" w:hAnsi="Arial" w:cs="Arial"/>
          <w:sz w:val="22"/>
          <w:szCs w:val="22"/>
        </w:rPr>
      </w:pPr>
    </w:p>
    <w:p w14:paraId="4D4AC7FA"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Medication such as metformin is often used as a first treatment option to improve insulin sensitivity. Additional medications, such as SGLT‐2 inhibitors and GLP‐1 receptor agonists, are used to reduce blood glucose levels and protect heart and kidney function. Insulin may be required for some patients if other treatments do not control the condition (Diabetes UK, 2024).</w:t>
      </w:r>
    </w:p>
    <w:p w14:paraId="48E6A001" w14:textId="77777777" w:rsidR="000B60D1" w:rsidRDefault="000B60D1" w:rsidP="3E92C9FC">
      <w:pPr>
        <w:pStyle w:val="p2"/>
        <w:spacing w:line="360" w:lineRule="auto"/>
        <w:rPr>
          <w:rFonts w:ascii="Arial" w:eastAsia="Arial" w:hAnsi="Arial" w:cs="Arial"/>
          <w:sz w:val="22"/>
          <w:szCs w:val="22"/>
        </w:rPr>
      </w:pPr>
    </w:p>
    <w:p w14:paraId="52952C91" w14:textId="7777777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Education plays a key role in diabetes management. Structured education programmes provide knowledge about diet, physical activity, medication, glucose monitoring and recognising complications. Digital tools and apps support self‐management, improving treatment adherence and communication with healthcare professionals. However, access to technology may be limited for older adults or low‐income communities.</w:t>
      </w:r>
    </w:p>
    <w:p w14:paraId="3FDB8739" w14:textId="77777777" w:rsidR="000B60D1" w:rsidRDefault="000B60D1" w:rsidP="3E92C9FC">
      <w:pPr>
        <w:pStyle w:val="p2"/>
        <w:spacing w:line="360" w:lineRule="auto"/>
        <w:rPr>
          <w:rFonts w:ascii="Arial" w:eastAsia="Arial" w:hAnsi="Arial" w:cs="Arial"/>
          <w:sz w:val="22"/>
          <w:szCs w:val="22"/>
        </w:rPr>
      </w:pPr>
    </w:p>
    <w:p w14:paraId="63DF79A9" w14:textId="1250DD17" w:rsidR="000B60D1" w:rsidRDefault="000B60D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 xml:space="preserve">Public health strategies help control diabetes at community level. Government policies such as the UK Soft Drinks Industry Levy, healthy eating campaigns and restrictions on high‐fat and high‐sugar foods aim to reduce obesity rates (WHO, 2023). Improving access to affordable nutritious foods and safe green spaces can promote healthier lifestyles. Culturally tailored health promotion supports minority ethnic groups at higher </w:t>
      </w:r>
      <w:r w:rsidR="208BC1DF" w:rsidRPr="634C4087">
        <w:rPr>
          <w:rStyle w:val="s1"/>
          <w:rFonts w:ascii="Arial" w:eastAsia="Arial" w:hAnsi="Arial" w:cs="Arial"/>
          <w:sz w:val="22"/>
          <w:szCs w:val="22"/>
        </w:rPr>
        <w:t xml:space="preserve">risk. </w:t>
      </w:r>
    </w:p>
    <w:p w14:paraId="51EE382D" w14:textId="77777777" w:rsidR="00D909C1" w:rsidRDefault="00D909C1" w:rsidP="3E92C9FC">
      <w:pPr>
        <w:pStyle w:val="p1"/>
        <w:spacing w:line="360" w:lineRule="auto"/>
        <w:rPr>
          <w:rStyle w:val="s1"/>
          <w:rFonts w:ascii="Arial" w:eastAsia="Arial" w:hAnsi="Arial" w:cs="Arial"/>
          <w:sz w:val="22"/>
          <w:szCs w:val="22"/>
        </w:rPr>
      </w:pPr>
    </w:p>
    <w:p w14:paraId="57C1F4FA" w14:textId="77777777" w:rsidR="00D909C1" w:rsidRDefault="00D909C1" w:rsidP="3E92C9FC">
      <w:pPr>
        <w:pStyle w:val="p1"/>
        <w:spacing w:line="360" w:lineRule="auto"/>
        <w:rPr>
          <w:rStyle w:val="s1"/>
          <w:rFonts w:ascii="Arial" w:eastAsia="Arial" w:hAnsi="Arial" w:cs="Arial"/>
          <w:sz w:val="22"/>
          <w:szCs w:val="22"/>
        </w:rPr>
      </w:pPr>
    </w:p>
    <w:p w14:paraId="40942FB2" w14:textId="657CDEA4" w:rsidR="00D909C1" w:rsidRDefault="00D909C1" w:rsidP="3E92C9FC">
      <w:pPr>
        <w:pStyle w:val="p1"/>
        <w:spacing w:line="360" w:lineRule="auto"/>
        <w:rPr>
          <w:rStyle w:val="s1"/>
          <w:rFonts w:ascii="Arial" w:eastAsia="Arial" w:hAnsi="Arial" w:cs="Arial"/>
          <w:b/>
          <w:bCs/>
          <w:sz w:val="22"/>
          <w:szCs w:val="22"/>
        </w:rPr>
      </w:pPr>
      <w:r w:rsidRPr="244F0823">
        <w:rPr>
          <w:rStyle w:val="s1"/>
          <w:rFonts w:ascii="Arial" w:eastAsia="Arial" w:hAnsi="Arial" w:cs="Arial"/>
          <w:b/>
          <w:bCs/>
          <w:sz w:val="22"/>
          <w:szCs w:val="22"/>
        </w:rPr>
        <w:t>Factors Influencing Health and Well‐Being</w:t>
      </w:r>
      <w:r w:rsidR="4D958BCA" w:rsidRPr="3C0EF005">
        <w:rPr>
          <w:rStyle w:val="s1"/>
          <w:rFonts w:ascii="Arial" w:eastAsia="Arial" w:hAnsi="Arial" w:cs="Arial"/>
          <w:b/>
          <w:bCs/>
          <w:sz w:val="22"/>
          <w:szCs w:val="22"/>
        </w:rPr>
        <w:t>:</w:t>
      </w:r>
    </w:p>
    <w:p w14:paraId="0FF68A25" w14:textId="77777777" w:rsidR="00D909C1" w:rsidRDefault="00D909C1" w:rsidP="3E92C9FC">
      <w:pPr>
        <w:pStyle w:val="p2"/>
        <w:spacing w:line="360" w:lineRule="auto"/>
        <w:rPr>
          <w:rFonts w:ascii="Arial" w:eastAsia="Arial" w:hAnsi="Arial" w:cs="Arial"/>
          <w:sz w:val="22"/>
          <w:szCs w:val="22"/>
        </w:rPr>
      </w:pPr>
    </w:p>
    <w:p w14:paraId="001E760D" w14:textId="77777777" w:rsidR="00D909C1" w:rsidRDefault="00D909C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Health and well‐being in relation to type 2 diabetes are affected by lifestyle, socioeconomic status, environment, culture, genetics, psychological factors and access to healthcare. Poor diet, physical inactivity and obesity significantly increase risk (Diabetes UK, 2024). Family history and ethnicity also influence susceptibility, with South Asian and Black communities facing higher rates (Diabetes UK, 2024). Older adults have greater risk, although rates among younger people are increasing due to rising childhood obesity.</w:t>
      </w:r>
    </w:p>
    <w:p w14:paraId="2BA38493" w14:textId="77777777" w:rsidR="00D909C1" w:rsidRDefault="00D909C1" w:rsidP="3E92C9FC">
      <w:pPr>
        <w:pStyle w:val="p2"/>
        <w:spacing w:line="360" w:lineRule="auto"/>
        <w:rPr>
          <w:rFonts w:ascii="Arial" w:eastAsia="Arial" w:hAnsi="Arial" w:cs="Arial"/>
          <w:sz w:val="22"/>
          <w:szCs w:val="22"/>
        </w:rPr>
      </w:pPr>
    </w:p>
    <w:p w14:paraId="3B21C98E" w14:textId="77777777" w:rsidR="00D909C1" w:rsidRDefault="00D909C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Socioeconomic factors shape health behaviours. People in low‐income communities may struggle to afford healthy foods or access exercise facilities. Stress, unemployment and poor housing conditions also affect health choices. Psychological health influences self‐management; stress and depression reduce motivation and increase complications (WHO, 2023). Strong support networks improve outcomes, whereas isolation reduces them.</w:t>
      </w:r>
    </w:p>
    <w:p w14:paraId="1A3E1FC2" w14:textId="77777777" w:rsidR="00D909C1" w:rsidRDefault="00D909C1" w:rsidP="3E92C9FC">
      <w:pPr>
        <w:pStyle w:val="p2"/>
        <w:spacing w:line="360" w:lineRule="auto"/>
        <w:rPr>
          <w:rFonts w:ascii="Arial" w:eastAsia="Arial" w:hAnsi="Arial" w:cs="Arial"/>
          <w:sz w:val="22"/>
          <w:szCs w:val="22"/>
        </w:rPr>
      </w:pPr>
    </w:p>
    <w:p w14:paraId="5C5520C7" w14:textId="77777777" w:rsidR="00D909C1" w:rsidRDefault="00D909C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Access to healthcare plays a key role. Long waiting lists, limited services and inequality between regions affect disease management and outcomes (NHS, 2024). Ensuring equal access is vital to reducing complications.</w:t>
      </w:r>
    </w:p>
    <w:p w14:paraId="48D76130" w14:textId="77777777" w:rsidR="00D909C1" w:rsidRDefault="00D909C1" w:rsidP="3E92C9FC">
      <w:pPr>
        <w:pStyle w:val="p2"/>
        <w:spacing w:line="360" w:lineRule="auto"/>
        <w:rPr>
          <w:rFonts w:ascii="Arial" w:eastAsia="Arial" w:hAnsi="Arial" w:cs="Arial"/>
          <w:sz w:val="22"/>
          <w:szCs w:val="22"/>
        </w:rPr>
      </w:pPr>
    </w:p>
    <w:p w14:paraId="09B841B0" w14:textId="142967CD" w:rsidR="00D909C1" w:rsidRDefault="00D909C1" w:rsidP="3E92C9FC">
      <w:pPr>
        <w:pStyle w:val="p1"/>
        <w:spacing w:line="360" w:lineRule="auto"/>
        <w:rPr>
          <w:rStyle w:val="s1"/>
          <w:rFonts w:ascii="Arial" w:eastAsia="Arial" w:hAnsi="Arial" w:cs="Arial"/>
          <w:b/>
          <w:bCs/>
          <w:sz w:val="22"/>
          <w:szCs w:val="22"/>
        </w:rPr>
      </w:pPr>
      <w:r w:rsidRPr="6B89DF56">
        <w:rPr>
          <w:rStyle w:val="s1"/>
          <w:rFonts w:ascii="Arial" w:eastAsia="Arial" w:hAnsi="Arial" w:cs="Arial"/>
          <w:b/>
          <w:bCs/>
          <w:sz w:val="22"/>
          <w:szCs w:val="22"/>
        </w:rPr>
        <w:t>Conclusion</w:t>
      </w:r>
      <w:r w:rsidR="34453AFA" w:rsidRPr="2D9E4971">
        <w:rPr>
          <w:rStyle w:val="s1"/>
          <w:rFonts w:ascii="Arial" w:eastAsia="Arial" w:hAnsi="Arial" w:cs="Arial"/>
          <w:b/>
          <w:bCs/>
          <w:sz w:val="22"/>
          <w:szCs w:val="22"/>
        </w:rPr>
        <w:t>:</w:t>
      </w:r>
    </w:p>
    <w:p w14:paraId="7CBCA8D8" w14:textId="77777777" w:rsidR="00D909C1" w:rsidRDefault="00D909C1" w:rsidP="3E92C9FC">
      <w:pPr>
        <w:pStyle w:val="p2"/>
        <w:spacing w:line="360" w:lineRule="auto"/>
        <w:rPr>
          <w:rFonts w:ascii="Arial" w:eastAsia="Arial" w:hAnsi="Arial" w:cs="Arial"/>
          <w:sz w:val="22"/>
          <w:szCs w:val="22"/>
        </w:rPr>
      </w:pPr>
    </w:p>
    <w:p w14:paraId="6CA6513D" w14:textId="77777777" w:rsidR="00D909C1" w:rsidRDefault="00D909C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In conclusion, type 2 diabetes is a serious and growing public health issue that affects individuals, families, communities and the NHS. It leads to severe complications, reduces the quality of life and places emotional and financial strain on families and carers. The NHS faces increasing pressure due to the rising number of cases and the cost of treating preventable complications.</w:t>
      </w:r>
    </w:p>
    <w:p w14:paraId="43878B38" w14:textId="77777777" w:rsidR="00D909C1" w:rsidRDefault="00D909C1" w:rsidP="3E92C9FC">
      <w:pPr>
        <w:pStyle w:val="p2"/>
        <w:spacing w:line="360" w:lineRule="auto"/>
        <w:rPr>
          <w:rFonts w:ascii="Arial" w:eastAsia="Arial" w:hAnsi="Arial" w:cs="Arial"/>
          <w:sz w:val="22"/>
          <w:szCs w:val="22"/>
        </w:rPr>
      </w:pPr>
    </w:p>
    <w:p w14:paraId="41F4B923" w14:textId="77777777" w:rsidR="00D909C1" w:rsidRDefault="00D909C1" w:rsidP="3E92C9FC">
      <w:pPr>
        <w:pStyle w:val="p1"/>
        <w:spacing w:line="360" w:lineRule="auto"/>
        <w:rPr>
          <w:rStyle w:val="s1"/>
          <w:rFonts w:ascii="Arial" w:eastAsia="Arial" w:hAnsi="Arial" w:cs="Arial"/>
          <w:sz w:val="22"/>
          <w:szCs w:val="22"/>
        </w:rPr>
      </w:pPr>
      <w:r w:rsidRPr="634C4087">
        <w:rPr>
          <w:rStyle w:val="s1"/>
          <w:rFonts w:ascii="Arial" w:eastAsia="Arial" w:hAnsi="Arial" w:cs="Arial"/>
          <w:sz w:val="22"/>
          <w:szCs w:val="22"/>
        </w:rPr>
        <w:t>Managing and controlling type 2 diabetes requires early detection, routine monitoring, lifestyle interventions, medication and ongoing education. Public health strategies and policy changes play an important role in preventing new cases and reducing health inequalities. Effective prevention and treatment depend on collaboration between healthcare services, communities and government. Improving access to services and supporting individuals with education and resources can significantly improve outcomes and reduce the burden on the healthcare system (NHS, 2024; Diabetes UK, 2024; WHO, 2023; IDF, 2025).</w:t>
      </w:r>
    </w:p>
    <w:p w14:paraId="646F4CBA" w14:textId="77777777" w:rsidR="00D909C1" w:rsidRDefault="00D909C1">
      <w:pPr>
        <w:pStyle w:val="p2"/>
      </w:pPr>
    </w:p>
    <w:p w14:paraId="1CDF73AF" w14:textId="6FE93508" w:rsidR="00D909C1" w:rsidRDefault="00D909C1">
      <w:pPr>
        <w:pStyle w:val="p1"/>
        <w:rPr>
          <w:rStyle w:val="s1"/>
          <w:b/>
          <w:bCs/>
        </w:rPr>
      </w:pPr>
      <w:r w:rsidRPr="4E191CC5">
        <w:rPr>
          <w:rStyle w:val="s1"/>
          <w:b/>
          <w:bCs/>
        </w:rPr>
        <w:t>References</w:t>
      </w:r>
      <w:r w:rsidR="140C3448" w:rsidRPr="1B9C4265">
        <w:rPr>
          <w:rStyle w:val="s1"/>
          <w:b/>
          <w:bCs/>
        </w:rPr>
        <w:t>:</w:t>
      </w:r>
    </w:p>
    <w:p w14:paraId="4365BA92" w14:textId="77777777" w:rsidR="00D909C1" w:rsidRDefault="00D909C1">
      <w:pPr>
        <w:pStyle w:val="p2"/>
      </w:pPr>
    </w:p>
    <w:p w14:paraId="30B33D25" w14:textId="77777777" w:rsidR="00D909C1" w:rsidRDefault="00D909C1">
      <w:pPr>
        <w:pStyle w:val="p1"/>
      </w:pPr>
      <w:r>
        <w:rPr>
          <w:rStyle w:val="s1"/>
        </w:rPr>
        <w:t>Diabetes UK (2024) How many people in the UK have diabetes? Available at: https://www.diabetes.org.uk/about‐us/about‐the‐charity/our‐strategy/statistics (Accessed: 16 November 2025).</w:t>
      </w:r>
    </w:p>
    <w:p w14:paraId="673D8091" w14:textId="77777777" w:rsidR="00D909C1" w:rsidRDefault="00D909C1">
      <w:pPr>
        <w:pStyle w:val="p2"/>
      </w:pPr>
    </w:p>
    <w:p w14:paraId="3D7A297F" w14:textId="77777777" w:rsidR="00D909C1" w:rsidRDefault="00D909C1">
      <w:pPr>
        <w:pStyle w:val="p1"/>
      </w:pPr>
      <w:r>
        <w:rPr>
          <w:rStyle w:val="s1"/>
        </w:rPr>
        <w:t>IDF (2025) IDF Diabetes Atlas, 11th Edition. Available at: https://diabetesatlas.org (Accessed: 16 November 2025).</w:t>
      </w:r>
    </w:p>
    <w:p w14:paraId="1296B96B" w14:textId="77777777" w:rsidR="00D909C1" w:rsidRDefault="00D909C1">
      <w:pPr>
        <w:pStyle w:val="p2"/>
      </w:pPr>
    </w:p>
    <w:p w14:paraId="3B53EDE7" w14:textId="77777777" w:rsidR="00D909C1" w:rsidRDefault="00D909C1">
      <w:pPr>
        <w:pStyle w:val="p1"/>
      </w:pPr>
      <w:r>
        <w:rPr>
          <w:rStyle w:val="s1"/>
        </w:rPr>
        <w:t>NHS (2024) NHS Diabetes Prevention Programme. Available at: https://www.england.nhs.uk/diabetes/diabetes‐prevention (Accessed: 16 November 2025).</w:t>
      </w:r>
    </w:p>
    <w:p w14:paraId="1DDA7AF5" w14:textId="77777777" w:rsidR="00D909C1" w:rsidRDefault="00D909C1">
      <w:pPr>
        <w:pStyle w:val="p2"/>
      </w:pPr>
    </w:p>
    <w:p w14:paraId="61ABB9C8" w14:textId="77777777" w:rsidR="00D909C1" w:rsidRDefault="00D909C1">
      <w:pPr>
        <w:pStyle w:val="p1"/>
      </w:pPr>
      <w:r>
        <w:rPr>
          <w:rStyle w:val="s1"/>
        </w:rPr>
        <w:t>WHO (2023) Diabetes. World Health Organization. Available at: https://www.who.int/health‐topics/diabetes (Accessed: 16 November 2025).</w:t>
      </w:r>
    </w:p>
    <w:p w14:paraId="187D6BC9" w14:textId="77777777" w:rsidR="00D909C1" w:rsidRDefault="00D909C1">
      <w:pPr>
        <w:pStyle w:val="p1"/>
      </w:pPr>
    </w:p>
    <w:p w14:paraId="3C6DFC19" w14:textId="51D707C4" w:rsidR="15EB1C3F" w:rsidRDefault="15EB1C3F" w:rsidP="15EB1C3F">
      <w:pPr>
        <w:pStyle w:val="p1"/>
        <w:rPr>
          <w:rStyle w:val="s1"/>
        </w:rPr>
      </w:pPr>
    </w:p>
    <w:p w14:paraId="61126B6A" w14:textId="7EB3BD9F" w:rsidR="00B064D2" w:rsidRPr="00B064D2" w:rsidRDefault="00B064D2" w:rsidP="00B064D2">
      <w:pPr>
        <w:spacing w:before="100" w:beforeAutospacing="1" w:after="100" w:afterAutospacing="1" w:line="240" w:lineRule="auto"/>
        <w:rPr>
          <w:rFonts w:ascii="Times New Roman" w:hAnsi="Times New Roman" w:cs="Times New Roman"/>
          <w:kern w:val="0"/>
          <w:sz w:val="22"/>
          <w:szCs w:val="22"/>
          <w14:ligatures w14:val="none"/>
        </w:rPr>
      </w:pPr>
    </w:p>
    <w:p w14:paraId="0FE9966C" w14:textId="77777777" w:rsidR="00B064D2" w:rsidRPr="005879C5" w:rsidRDefault="00B064D2">
      <w:pPr>
        <w:rPr>
          <w:sz w:val="22"/>
          <w:szCs w:val="22"/>
        </w:rPr>
      </w:pPr>
    </w:p>
    <w:sectPr w:rsidR="00B064D2" w:rsidRPr="00587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4D2"/>
    <w:rsid w:val="000533FE"/>
    <w:rsid w:val="000815D6"/>
    <w:rsid w:val="000B60D1"/>
    <w:rsid w:val="000D11FB"/>
    <w:rsid w:val="00114E05"/>
    <w:rsid w:val="001633EC"/>
    <w:rsid w:val="00185C23"/>
    <w:rsid w:val="00187A47"/>
    <w:rsid w:val="001F3B7C"/>
    <w:rsid w:val="0025731A"/>
    <w:rsid w:val="002923DD"/>
    <w:rsid w:val="00341B9E"/>
    <w:rsid w:val="003562F3"/>
    <w:rsid w:val="00434B8D"/>
    <w:rsid w:val="00511434"/>
    <w:rsid w:val="005463FA"/>
    <w:rsid w:val="00556D18"/>
    <w:rsid w:val="0057152E"/>
    <w:rsid w:val="005879C5"/>
    <w:rsid w:val="005D60E5"/>
    <w:rsid w:val="0060263A"/>
    <w:rsid w:val="00646E41"/>
    <w:rsid w:val="0064777B"/>
    <w:rsid w:val="006C6835"/>
    <w:rsid w:val="006F12AB"/>
    <w:rsid w:val="00715592"/>
    <w:rsid w:val="00783D45"/>
    <w:rsid w:val="00795AC2"/>
    <w:rsid w:val="007B1EBE"/>
    <w:rsid w:val="007E122F"/>
    <w:rsid w:val="00811174"/>
    <w:rsid w:val="0087005B"/>
    <w:rsid w:val="0088468F"/>
    <w:rsid w:val="009A7038"/>
    <w:rsid w:val="009E3133"/>
    <w:rsid w:val="00A27F96"/>
    <w:rsid w:val="00AC093B"/>
    <w:rsid w:val="00B064D2"/>
    <w:rsid w:val="00B53276"/>
    <w:rsid w:val="00B6427F"/>
    <w:rsid w:val="00BC669D"/>
    <w:rsid w:val="00C37E57"/>
    <w:rsid w:val="00C41F8C"/>
    <w:rsid w:val="00C47821"/>
    <w:rsid w:val="00C72187"/>
    <w:rsid w:val="00C85CC0"/>
    <w:rsid w:val="00CC16E9"/>
    <w:rsid w:val="00CF4D9E"/>
    <w:rsid w:val="00D067F1"/>
    <w:rsid w:val="00D909C1"/>
    <w:rsid w:val="00DA20DA"/>
    <w:rsid w:val="00E0338F"/>
    <w:rsid w:val="00E25559"/>
    <w:rsid w:val="00E354B5"/>
    <w:rsid w:val="00EC6432"/>
    <w:rsid w:val="00F9694E"/>
    <w:rsid w:val="00FC20D4"/>
    <w:rsid w:val="00FD6D17"/>
    <w:rsid w:val="06CF40F2"/>
    <w:rsid w:val="07565907"/>
    <w:rsid w:val="08965060"/>
    <w:rsid w:val="0BC8CE46"/>
    <w:rsid w:val="0C8A4E28"/>
    <w:rsid w:val="0D349FB6"/>
    <w:rsid w:val="0E12690A"/>
    <w:rsid w:val="0E8399A3"/>
    <w:rsid w:val="0F45F060"/>
    <w:rsid w:val="140C3448"/>
    <w:rsid w:val="15D4CBD3"/>
    <w:rsid w:val="15EB1C3F"/>
    <w:rsid w:val="18B20912"/>
    <w:rsid w:val="1A4CEA1A"/>
    <w:rsid w:val="1B9C4265"/>
    <w:rsid w:val="1D8B82D4"/>
    <w:rsid w:val="1EBAEE73"/>
    <w:rsid w:val="208BC1DF"/>
    <w:rsid w:val="20C91BFB"/>
    <w:rsid w:val="224C40DC"/>
    <w:rsid w:val="244F0823"/>
    <w:rsid w:val="2569C95A"/>
    <w:rsid w:val="272A18A1"/>
    <w:rsid w:val="2D5FF6AB"/>
    <w:rsid w:val="2D9E4971"/>
    <w:rsid w:val="310BCEA1"/>
    <w:rsid w:val="314AD1A5"/>
    <w:rsid w:val="31747728"/>
    <w:rsid w:val="32E46751"/>
    <w:rsid w:val="34453AFA"/>
    <w:rsid w:val="37689612"/>
    <w:rsid w:val="3C0EF005"/>
    <w:rsid w:val="3E92C9FC"/>
    <w:rsid w:val="3F5C3136"/>
    <w:rsid w:val="4339CED0"/>
    <w:rsid w:val="43DBED77"/>
    <w:rsid w:val="44E37272"/>
    <w:rsid w:val="4D958BCA"/>
    <w:rsid w:val="4E191CC5"/>
    <w:rsid w:val="5093BDFA"/>
    <w:rsid w:val="541726CB"/>
    <w:rsid w:val="55249FC1"/>
    <w:rsid w:val="554F4F70"/>
    <w:rsid w:val="59C1CC03"/>
    <w:rsid w:val="5E685EB5"/>
    <w:rsid w:val="5F600E64"/>
    <w:rsid w:val="5F6F52AD"/>
    <w:rsid w:val="634C4087"/>
    <w:rsid w:val="65D374EA"/>
    <w:rsid w:val="69CC7445"/>
    <w:rsid w:val="6B89DF56"/>
    <w:rsid w:val="7BF38CF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733567A"/>
  <w15:chartTrackingRefBased/>
  <w15:docId w15:val="{EF14EF2A-FD04-47EA-8748-355B023E3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4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4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4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4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4D2"/>
    <w:rPr>
      <w:rFonts w:eastAsiaTheme="majorEastAsia" w:cstheme="majorBidi"/>
      <w:color w:val="272727" w:themeColor="text1" w:themeTint="D8"/>
    </w:rPr>
  </w:style>
  <w:style w:type="paragraph" w:styleId="Title">
    <w:name w:val="Title"/>
    <w:basedOn w:val="Normal"/>
    <w:next w:val="Normal"/>
    <w:link w:val="TitleChar"/>
    <w:uiPriority w:val="10"/>
    <w:qFormat/>
    <w:rsid w:val="00B06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4D2"/>
    <w:pPr>
      <w:spacing w:before="160"/>
      <w:jc w:val="center"/>
    </w:pPr>
    <w:rPr>
      <w:i/>
      <w:iCs/>
      <w:color w:val="404040" w:themeColor="text1" w:themeTint="BF"/>
    </w:rPr>
  </w:style>
  <w:style w:type="character" w:customStyle="1" w:styleId="QuoteChar">
    <w:name w:val="Quote Char"/>
    <w:basedOn w:val="DefaultParagraphFont"/>
    <w:link w:val="Quote"/>
    <w:uiPriority w:val="29"/>
    <w:rsid w:val="00B064D2"/>
    <w:rPr>
      <w:i/>
      <w:iCs/>
      <w:color w:val="404040" w:themeColor="text1" w:themeTint="BF"/>
    </w:rPr>
  </w:style>
  <w:style w:type="paragraph" w:styleId="ListParagraph">
    <w:name w:val="List Paragraph"/>
    <w:basedOn w:val="Normal"/>
    <w:uiPriority w:val="34"/>
    <w:qFormat/>
    <w:rsid w:val="00B064D2"/>
    <w:pPr>
      <w:ind w:left="720"/>
      <w:contextualSpacing/>
    </w:pPr>
  </w:style>
  <w:style w:type="character" w:styleId="IntenseEmphasis">
    <w:name w:val="Intense Emphasis"/>
    <w:basedOn w:val="DefaultParagraphFont"/>
    <w:uiPriority w:val="21"/>
    <w:qFormat/>
    <w:rsid w:val="00B064D2"/>
    <w:rPr>
      <w:i/>
      <w:iCs/>
      <w:color w:val="0F4761" w:themeColor="accent1" w:themeShade="BF"/>
    </w:rPr>
  </w:style>
  <w:style w:type="paragraph" w:styleId="IntenseQuote">
    <w:name w:val="Intense Quote"/>
    <w:basedOn w:val="Normal"/>
    <w:next w:val="Normal"/>
    <w:link w:val="IntenseQuoteChar"/>
    <w:uiPriority w:val="30"/>
    <w:qFormat/>
    <w:rsid w:val="00B06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4D2"/>
    <w:rPr>
      <w:i/>
      <w:iCs/>
      <w:color w:val="0F4761" w:themeColor="accent1" w:themeShade="BF"/>
    </w:rPr>
  </w:style>
  <w:style w:type="character" w:styleId="IntenseReference">
    <w:name w:val="Intense Reference"/>
    <w:basedOn w:val="DefaultParagraphFont"/>
    <w:uiPriority w:val="32"/>
    <w:qFormat/>
    <w:rsid w:val="00B064D2"/>
    <w:rPr>
      <w:b/>
      <w:bCs/>
      <w:smallCaps/>
      <w:color w:val="0F4761" w:themeColor="accent1" w:themeShade="BF"/>
      <w:spacing w:val="5"/>
    </w:rPr>
  </w:style>
  <w:style w:type="character" w:customStyle="1" w:styleId="s1">
    <w:name w:val="s1"/>
    <w:basedOn w:val="DefaultParagraphFont"/>
    <w:rsid w:val="00B064D2"/>
  </w:style>
  <w:style w:type="paragraph" w:customStyle="1" w:styleId="p2">
    <w:name w:val="p2"/>
    <w:basedOn w:val="Normal"/>
    <w:rsid w:val="00B064D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064D2"/>
  </w:style>
  <w:style w:type="paragraph" w:customStyle="1" w:styleId="p3">
    <w:name w:val="p3"/>
    <w:basedOn w:val="Normal"/>
    <w:rsid w:val="00B064D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064D2"/>
  </w:style>
  <w:style w:type="paragraph" w:customStyle="1" w:styleId="p1">
    <w:name w:val="p1"/>
    <w:basedOn w:val="Normal"/>
    <w:rsid w:val="00C85CC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Safraz Nadeem (2432012)</dc:creator>
  <cp:keywords/>
  <dc:description/>
  <cp:lastModifiedBy>Tayyaba Safraz Nadeem (2432012)</cp:lastModifiedBy>
  <cp:revision>2</cp:revision>
  <dcterms:created xsi:type="dcterms:W3CDTF">2025-11-16T21:17:00Z</dcterms:created>
  <dcterms:modified xsi:type="dcterms:W3CDTF">2025-11-16T21:24:00Z</dcterms:modified>
</cp:coreProperties>
</file>