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803DCF" w14:textId="77777777" w:rsidR="00B35FB0" w:rsidRDefault="00B35FB0" w:rsidP="00B35FB0">
      <w:pPr>
        <w:jc w:val="center"/>
      </w:pPr>
      <w:r>
        <w:t>Sian Tucker</w:t>
      </w:r>
    </w:p>
    <w:p w14:paraId="5ED01C7E" w14:textId="77777777" w:rsidR="00B35FB0" w:rsidRDefault="00B35FB0" w:rsidP="00B35FB0">
      <w:pPr>
        <w:jc w:val="center"/>
      </w:pPr>
      <w:r>
        <w:t>Number:</w:t>
      </w:r>
      <w:r w:rsidR="007B2F21">
        <w:t xml:space="preserve"> </w:t>
      </w:r>
    </w:p>
    <w:p w14:paraId="70E1F5FF" w14:textId="77777777" w:rsidR="00B35FB0" w:rsidRDefault="00B35FB0" w:rsidP="00B35FB0">
      <w:pPr>
        <w:jc w:val="center"/>
      </w:pPr>
      <w:r>
        <w:t xml:space="preserve">Unit: </w:t>
      </w:r>
      <w:r w:rsidR="007B2F21">
        <w:t>5CO02</w:t>
      </w:r>
    </w:p>
    <w:p w14:paraId="27A72AE1" w14:textId="77777777" w:rsidR="00B35FB0" w:rsidRDefault="00B35FB0" w:rsidP="009A26F3">
      <w:pPr>
        <w:jc w:val="center"/>
      </w:pPr>
      <w:r>
        <w:t>Unit Title: Evidence Based Practise</w:t>
      </w:r>
    </w:p>
    <w:p w14:paraId="5324BB4D" w14:textId="77777777" w:rsidR="00C84C64" w:rsidRDefault="00B35FB0" w:rsidP="00B35FB0">
      <w:r>
        <w:t xml:space="preserve">Word Count Task </w:t>
      </w:r>
      <w:proofErr w:type="gramStart"/>
      <w:r>
        <w:t>1 :</w:t>
      </w:r>
      <w:proofErr w:type="gramEnd"/>
      <w:r w:rsidR="009A26F3">
        <w:t xml:space="preserve"> 2509</w:t>
      </w:r>
      <w:r>
        <w:t xml:space="preserve">                        </w:t>
      </w:r>
      <w:r w:rsidR="009A26F3">
        <w:t xml:space="preserve">                                                </w:t>
      </w:r>
      <w:r>
        <w:t xml:space="preserve">Word Count Task 2 :  </w:t>
      </w:r>
      <w:r w:rsidR="00C67DA2">
        <w:t>208</w:t>
      </w:r>
    </w:p>
    <w:p w14:paraId="43325057" w14:textId="77777777" w:rsidR="00EC1F31" w:rsidRDefault="00EC1F31" w:rsidP="00B35FB0"/>
    <w:p w14:paraId="7C40EB80" w14:textId="77777777" w:rsidR="00EC1F31" w:rsidRPr="00C5316F" w:rsidRDefault="00EC1F31" w:rsidP="00EC1F31">
      <w:pPr>
        <w:spacing w:after="0"/>
        <w:jc w:val="both"/>
        <w:rPr>
          <w:u w:val="single"/>
        </w:rPr>
      </w:pPr>
      <w:r w:rsidRPr="00C5316F">
        <w:rPr>
          <w:u w:val="single"/>
        </w:rPr>
        <w:t xml:space="preserve">(AC1.1) – Providing Evaluation </w:t>
      </w:r>
    </w:p>
    <w:p w14:paraId="61977BCB" w14:textId="77777777" w:rsidR="00EC1F31" w:rsidRDefault="00EC1F31" w:rsidP="00B35FB0"/>
    <w:p w14:paraId="0B7502FA" w14:textId="77777777" w:rsidR="00EC1F31" w:rsidRDefault="00EC1F31" w:rsidP="00EC1F31">
      <w:r>
        <w:t>Since its introduction in medicine in the early 1990s, evidence-based practise has been based on research findings to determine if a claim is supported by the evidence or not. This allows for more informed decision-making. (CIPD, A/P).  The definition of evidence-based practise is "the conscientious, explicit, and judicious use of the best available evidence in decision-making."  In order to make better decisions, its actual purpose is to assess various reliable and authentic sources of data (CIPD, 2019a).</w:t>
      </w:r>
    </w:p>
    <w:p w14:paraId="22FFD756" w14:textId="77777777" w:rsidR="00EC1F31" w:rsidRDefault="00EC1F31" w:rsidP="00EC1F31">
      <w:r>
        <w:t xml:space="preserve">A lot of management decisions are made by an individual or individuals based on what they believe to be a good business decision or what could be considered their "gut instinct."  When it comes to making judgements, HR professionals should use good research instead of, say, a group decision where diverse priorities are decided upon even though the practical problem is the same. But via careful study, it has been suggested that employing an evidence-based strategy will produce a more favourable, distinct, and successful result (Taylor and Woodhams, 2022). (CIPD,2022a). </w:t>
      </w:r>
    </w:p>
    <w:p w14:paraId="4BF4BFA7" w14:textId="77777777" w:rsidR="00EC1F31" w:rsidRDefault="00EC1F31" w:rsidP="00EC1F31">
      <w:r>
        <w:t>Combining this with critical thinking shows how to make the best decisions and use smart judgement; a good rule of thumb would be to adhere to the rule of six. (Asking, Acquiring, Appraising, Aggregating, Applying, and Assessing) would be a good place to start when implementing evidence-based practise, and it's obvious that gathering data and conducting analysis would be essential to your conclusions (CIPD,</w:t>
      </w:r>
      <w:r w:rsidRPr="00EC1F31">
        <w:t xml:space="preserve"> </w:t>
      </w:r>
      <w:r w:rsidRPr="00A75611">
        <w:t>2021a).</w:t>
      </w:r>
    </w:p>
    <w:p w14:paraId="07695977" w14:textId="77777777" w:rsidR="00EC1F31" w:rsidRDefault="00EC1F31" w:rsidP="00EC1F31">
      <w:r w:rsidRPr="00EC1F31">
        <w:t>The coronavirus (Covid-19) pandemic, which began in early 2020, provides a contemporary example of evidence-based practise.  The British government concluded that an overflow of the NHS was the biggest threat to our country. The Rule of Six was used to identify this issue, and daily data was gathered from focus groups, the World Health Organisation, scientists, academics, and patterns in data from other nations.  Throughout this period, the Government was able to safeguard the NHS and the public by using this enormous amount of data to inform everyday choices.</w:t>
      </w:r>
    </w:p>
    <w:p w14:paraId="6F99DE01" w14:textId="77777777" w:rsidR="00EC1F31" w:rsidRPr="00F778C2" w:rsidRDefault="00EC1F31" w:rsidP="00EC1F31">
      <w:pPr>
        <w:spacing w:after="0"/>
        <w:jc w:val="both"/>
        <w:rPr>
          <w:u w:val="single"/>
        </w:rPr>
      </w:pPr>
      <w:r w:rsidRPr="00F778C2">
        <w:rPr>
          <w:u w:val="single"/>
        </w:rPr>
        <w:t>AC1.2 – Evaluation</w:t>
      </w:r>
    </w:p>
    <w:p w14:paraId="7CE6B9E8" w14:textId="77777777" w:rsidR="00EC1F31" w:rsidRDefault="00EC1F31" w:rsidP="00EC1F31"/>
    <w:p w14:paraId="3A76E8B3" w14:textId="77777777" w:rsidR="00EC1F31" w:rsidRDefault="00EC1F31" w:rsidP="00EC1F31">
      <w:r>
        <w:t>The main purpose of integrating analysis tools and techniques into a structure or organisation is to assess the demands, goals, and objecti</w:t>
      </w:r>
      <w:r w:rsidR="000C0639">
        <w:t>ves of the business at the end.</w:t>
      </w:r>
    </w:p>
    <w:p w14:paraId="7EC9F8C2" w14:textId="77777777" w:rsidR="00EC1F31" w:rsidRDefault="00EC1F31" w:rsidP="00EC1F31">
      <w:r>
        <w:t>While there are other ways of analysis available to businesses, SWOT analysis is one of the most widely used approaches (Strength, Weaknesses, Opportunity and Threat). SWOT analysis will assist management in determining both areas that require improvement and those that are operating effectively (CIPD, 2021b). Pestle Analysis, which differs from SWOT in that it is primarily a forward-looking framework (Taylor and Woodhams, 2022), is composed of six elements that can and will have an impact on an organisation: political, economic, sociological, technological, legal, and environmental. It will help managers and human resource professionals make wise judgements in important situations.</w:t>
      </w:r>
      <w:r w:rsidR="000C0639" w:rsidRPr="000C0639">
        <w:t xml:space="preserve"> </w:t>
      </w:r>
      <w:r w:rsidR="000C0639" w:rsidRPr="00A75611">
        <w:t>(CIPD, 2021c).</w:t>
      </w:r>
      <w:r w:rsidR="000C0639">
        <w:t xml:space="preserve"> </w:t>
      </w:r>
      <w:r w:rsidR="000C0639" w:rsidRPr="000C0639">
        <w:t>Porter's Five Forces Model (Goyal, 2020), similar to PESTLE Analysis, introduces a more complex "outward looking framework" that focuses on competition in relation to the business. This framework includes "threat of new entrants/threat of substitute products or services/intensity of competitive rivalry/bargaining power of suppliers/bargaining power of customers (buyers)" (Taylor and Woodhams, 2022).  Even though the analysis's goal is to learn from the models employed, there are drawbacks, such as the need for frequent process repetition (CIPD, 2021c).  Due to a lack of specificity and organisation, key components may also be overlooked (CIPD, 2021b).</w:t>
      </w:r>
      <w:r w:rsidR="000C0639">
        <w:t xml:space="preserve">  </w:t>
      </w:r>
      <w:r w:rsidR="000C0639" w:rsidRPr="000C0639">
        <w:t xml:space="preserve">Understanding the possibilities and problems that companies may encounter in the short and long </w:t>
      </w:r>
      <w:r w:rsidR="000C0639" w:rsidRPr="000C0639">
        <w:lastRenderedPageBreak/>
        <w:t>term is crucial, in addition to employing analysis methods to assess concerns. It might be argued that, depending on the size of an organisation, using people analytics—which uses data in the definition of problem solving—would be a useful approach (CIPD, 2022b). Examples of these challenges include salary, sickness, IT, and people. People data can be interpreted using quantitative data, or numerical data, and qualitative data, or textual data (the what, why, and how) in order to anticipate a forward-thinking model (CIPD, 2022b).  Organisations can evaluate events using the quantitative method, whereas the qualitative approach will reveal the cause (Taylor and Woodhams, 2022).</w:t>
      </w:r>
    </w:p>
    <w:p w14:paraId="25593399" w14:textId="77777777" w:rsidR="000C0639" w:rsidRPr="00E92F69" w:rsidRDefault="000C0639" w:rsidP="000C0639">
      <w:pPr>
        <w:spacing w:after="0"/>
        <w:jc w:val="both"/>
        <w:rPr>
          <w:u w:val="single"/>
        </w:rPr>
      </w:pPr>
      <w:r w:rsidRPr="00E92F69">
        <w:rPr>
          <w:u w:val="single"/>
        </w:rPr>
        <w:t>AC1.3 – Critical Thinking</w:t>
      </w:r>
    </w:p>
    <w:p w14:paraId="6A1D37A4" w14:textId="77777777" w:rsidR="000C0639" w:rsidRDefault="000C0639" w:rsidP="009C1C90">
      <w:pPr>
        <w:pStyle w:val="NoSpacing"/>
      </w:pPr>
    </w:p>
    <w:p w14:paraId="7DEC7E38" w14:textId="77777777" w:rsidR="000C0639" w:rsidRPr="00A75611" w:rsidRDefault="000C0639" w:rsidP="000C0639">
      <w:pPr>
        <w:spacing w:after="0"/>
        <w:jc w:val="both"/>
      </w:pPr>
      <w:r w:rsidRPr="00A75611">
        <w:t xml:space="preserve">It has been stated that there are possibly 3 principle areas to critical thinking with the People Practitioners, </w:t>
      </w:r>
    </w:p>
    <w:p w14:paraId="74B31CE8" w14:textId="77777777" w:rsidR="000C0639" w:rsidRPr="00A75611" w:rsidRDefault="000C0639" w:rsidP="000C0639">
      <w:pPr>
        <w:spacing w:after="0"/>
        <w:jc w:val="both"/>
      </w:pPr>
      <w:r w:rsidRPr="00A75611">
        <w:t>1. Analysis the data</w:t>
      </w:r>
    </w:p>
    <w:p w14:paraId="1668E625" w14:textId="77777777" w:rsidR="000C0639" w:rsidRPr="00A75611" w:rsidRDefault="000C0639" w:rsidP="000C0639">
      <w:pPr>
        <w:spacing w:after="0"/>
        <w:jc w:val="both"/>
      </w:pPr>
      <w:r w:rsidRPr="00A75611">
        <w:t xml:space="preserve">2. Gather all the evidence, positive and negative to instigate a proposal and </w:t>
      </w:r>
    </w:p>
    <w:p w14:paraId="5151E8A4" w14:textId="77777777" w:rsidR="000C0639" w:rsidRDefault="000C0639" w:rsidP="000C0639">
      <w:r w:rsidRPr="00A75611">
        <w:t xml:space="preserve">3. Identify when and what techniques are being used (CIPD, 2019b).   </w:t>
      </w:r>
    </w:p>
    <w:p w14:paraId="4E56B531" w14:textId="77777777" w:rsidR="000C0639" w:rsidRDefault="000C0639" w:rsidP="000C0639">
      <w:r>
        <w:t>In addition to these considerations, Rousseau and Barends (2011) stress the importance of examining a wide range of possibilities and determining each one's efficacy before choosing one.</w:t>
      </w:r>
      <w:r w:rsidR="009C1C90">
        <w:t xml:space="preserve">  </w:t>
      </w:r>
      <w:r>
        <w:t>Even if they have access to evidence-based practise standards, many businesses appear to be in the early stages of critical thinking.  Finding the limitations and potential inclusions to achieve more successful results requires using the appropriate data analysis tools (Latham, 2009: Locke, 2009).</w:t>
      </w:r>
    </w:p>
    <w:p w14:paraId="6F71FBEE" w14:textId="77777777" w:rsidR="009C1C90" w:rsidRDefault="009C1C90" w:rsidP="009C1C90">
      <w:r>
        <w:t>Expanding on the criticism of (Latham, 2009: Locke, 2009), more data indicates the possibility of significant discrepancies, which could result in severe issues inside an organisation. In the end, it comes down to asking the right questions, not trying to find fault but rather evaluating and applying the reliable evidence to make better decisions through critical thought (CIPD, 2014b). (Banks, 2014) describes a cognitive approach to critical thinking that is woven with evidence-based practise by using a common sense approach.</w:t>
      </w:r>
    </w:p>
    <w:p w14:paraId="02DABF38" w14:textId="77777777" w:rsidR="009C1C90" w:rsidRDefault="009C1C90" w:rsidP="009C1C90">
      <w:r>
        <w:t>The statement "although how a piece of evidence is evaluated can differ slightly depending on its source" (Barends, Rousseau, and Briner, 2014) states that "critical appraisal always involves asking the same basic questions." The proof is collected where and how? Is this the best proof that can be found? Is there sufficient data to draw a conclusion? Exist any explanations for why the evidence might be skewed one way or the other?</w:t>
      </w:r>
    </w:p>
    <w:p w14:paraId="1CE66E3C" w14:textId="77777777" w:rsidR="000C0639" w:rsidRDefault="009C1C90" w:rsidP="009C1C90">
      <w:r>
        <w:t xml:space="preserve">The crucial mindset that underpins evidence-based practise is critical thinking, though, and here is where learning really begins. It entails challenging presumptions, especially when someone—including ourselves—states a belief to be true. Ask yourself "What is the evidence for that?" "How trustworthy is it?" and "Is this the best available evidence?" going </w:t>
      </w:r>
      <w:proofErr w:type="spellStart"/>
      <w:r>
        <w:t>forward.In</w:t>
      </w:r>
      <w:proofErr w:type="spellEnd"/>
      <w:r>
        <w:t xml:space="preserve"> 2022c, CIPD.</w:t>
      </w:r>
    </w:p>
    <w:p w14:paraId="4F1FB1B0" w14:textId="77777777" w:rsidR="009C1C90" w:rsidRDefault="009C1C90" w:rsidP="009C1C90">
      <w:pPr>
        <w:spacing w:after="0"/>
        <w:jc w:val="both"/>
        <w:rPr>
          <w:u w:val="single"/>
        </w:rPr>
      </w:pPr>
      <w:r w:rsidRPr="00CF056D">
        <w:rPr>
          <w:u w:val="single"/>
        </w:rPr>
        <w:t xml:space="preserve">AC1.4 – Decision Making </w:t>
      </w:r>
    </w:p>
    <w:p w14:paraId="0DF09F22" w14:textId="77777777" w:rsidR="009C1C90" w:rsidRPr="009C1C90" w:rsidRDefault="009C1C90" w:rsidP="009C1C90">
      <w:pPr>
        <w:spacing w:after="0"/>
        <w:jc w:val="both"/>
        <w:rPr>
          <w:u w:val="single"/>
        </w:rPr>
      </w:pPr>
    </w:p>
    <w:p w14:paraId="631587EF" w14:textId="77777777" w:rsidR="009C1C90" w:rsidRDefault="009C1C90" w:rsidP="009C1C90">
      <w:r>
        <w:t xml:space="preserve">John Adair asserts that for any organisation to be successful, the best choices must incorporate creativity to allow ideas to flow freely (Adair, 2007). This includes issue solving and decision making tactics. </w:t>
      </w:r>
    </w:p>
    <w:p w14:paraId="4C0CB896" w14:textId="77777777" w:rsidR="009C1C90" w:rsidRDefault="009C1C90" w:rsidP="009C1C90">
      <w:r>
        <w:t xml:space="preserve">There is no one-size-fits-all set of tools or models that firms can use to identify issues and opportunities.  Scholars, however, contend that there are approaches and models that could be applied.  According to </w:t>
      </w:r>
      <w:proofErr w:type="spellStart"/>
      <w:r>
        <w:t>mindtools.com's</w:t>
      </w:r>
      <w:proofErr w:type="spellEnd"/>
      <w:r>
        <w:t xml:space="preserve"> guide on making decisions, there is a seven-step process that entails the following:</w:t>
      </w:r>
    </w:p>
    <w:p w14:paraId="1F122763" w14:textId="77777777" w:rsidR="009C1C90" w:rsidRDefault="009C1C90" w:rsidP="009C1C90">
      <w:pPr>
        <w:pStyle w:val="ListParagraph"/>
        <w:numPr>
          <w:ilvl w:val="0"/>
          <w:numId w:val="1"/>
        </w:numPr>
        <w:spacing w:after="0"/>
        <w:jc w:val="both"/>
      </w:pPr>
      <w:r w:rsidRPr="00A75611">
        <w:t>investigate the situ</w:t>
      </w:r>
      <w:r>
        <w:t>ation in detail</w:t>
      </w:r>
    </w:p>
    <w:p w14:paraId="167DD317" w14:textId="77777777" w:rsidR="009C1C90" w:rsidRDefault="009C1C90" w:rsidP="009C1C90">
      <w:pPr>
        <w:pStyle w:val="ListParagraph"/>
        <w:numPr>
          <w:ilvl w:val="0"/>
          <w:numId w:val="1"/>
        </w:numPr>
        <w:spacing w:after="0"/>
        <w:jc w:val="both"/>
      </w:pPr>
      <w:r w:rsidRPr="00A75611">
        <w:t>cre</w:t>
      </w:r>
      <w:r>
        <w:t>ate a constructive environment</w:t>
      </w:r>
    </w:p>
    <w:p w14:paraId="7417CFD3" w14:textId="77777777" w:rsidR="009C1C90" w:rsidRDefault="009C1C90" w:rsidP="009C1C90">
      <w:pPr>
        <w:pStyle w:val="ListParagraph"/>
        <w:numPr>
          <w:ilvl w:val="0"/>
          <w:numId w:val="1"/>
        </w:numPr>
        <w:spacing w:after="0"/>
        <w:jc w:val="both"/>
      </w:pPr>
      <w:r>
        <w:t>generate good alternatives</w:t>
      </w:r>
    </w:p>
    <w:p w14:paraId="508CD3E1" w14:textId="77777777" w:rsidR="009C1C90" w:rsidRDefault="009C1C90" w:rsidP="009C1C90">
      <w:pPr>
        <w:pStyle w:val="ListParagraph"/>
        <w:numPr>
          <w:ilvl w:val="0"/>
          <w:numId w:val="1"/>
        </w:numPr>
        <w:spacing w:after="0"/>
        <w:jc w:val="both"/>
      </w:pPr>
      <w:r>
        <w:t>explore your options</w:t>
      </w:r>
    </w:p>
    <w:p w14:paraId="45A92CE3" w14:textId="77777777" w:rsidR="009C1C90" w:rsidRDefault="009C1C90" w:rsidP="009C1C90">
      <w:pPr>
        <w:pStyle w:val="ListParagraph"/>
        <w:numPr>
          <w:ilvl w:val="0"/>
          <w:numId w:val="1"/>
        </w:numPr>
        <w:spacing w:after="0"/>
        <w:jc w:val="both"/>
      </w:pPr>
      <w:r>
        <w:t>select the best solution</w:t>
      </w:r>
    </w:p>
    <w:p w14:paraId="062BEB9E" w14:textId="77777777" w:rsidR="009C1C90" w:rsidRDefault="009C1C90" w:rsidP="009C1C90">
      <w:pPr>
        <w:pStyle w:val="ListParagraph"/>
        <w:numPr>
          <w:ilvl w:val="0"/>
          <w:numId w:val="1"/>
        </w:numPr>
        <w:spacing w:after="0"/>
        <w:jc w:val="both"/>
      </w:pPr>
      <w:r w:rsidRPr="00A75611">
        <w:t xml:space="preserve">evaluate your plan </w:t>
      </w:r>
      <w:r>
        <w:t>and communicate your decisions</w:t>
      </w:r>
    </w:p>
    <w:p w14:paraId="5DFAB622" w14:textId="77777777" w:rsidR="009C1C90" w:rsidRDefault="009C1C90" w:rsidP="009C1C90">
      <w:pPr>
        <w:pStyle w:val="ListParagraph"/>
        <w:numPr>
          <w:ilvl w:val="0"/>
          <w:numId w:val="1"/>
        </w:numPr>
        <w:spacing w:after="0"/>
        <w:jc w:val="both"/>
      </w:pPr>
      <w:proofErr w:type="gramStart"/>
      <w:r>
        <w:t>take action</w:t>
      </w:r>
      <w:proofErr w:type="gramEnd"/>
      <w:r>
        <w:t>.</w:t>
      </w:r>
    </w:p>
    <w:p w14:paraId="762A16DB" w14:textId="77777777" w:rsidR="000C0639" w:rsidRDefault="009C1C90" w:rsidP="00EC1F31">
      <w:r w:rsidRPr="009C1C90">
        <w:t xml:space="preserve">'The six Thinking Hats' (De Bono, 2009) is based on the principles of parallel thinking, where everyone thinks in the same direction, from the same perspective, and at the same time using a technique of six hats: white for information and data needed, black for negative/risk, green for ideas, blue for managing the thinking process, yellow for seeing benefits and positives, and red for emotion and gut feeling. This technique could improve putting these steps into </w:t>
      </w:r>
      <w:r w:rsidRPr="009C1C90">
        <w:lastRenderedPageBreak/>
        <w:t>action and using different perspectives. Applying a range of views would yield a comprehensive view, among other benefits and outcomes.</w:t>
      </w:r>
    </w:p>
    <w:p w14:paraId="47BBCDF6" w14:textId="77777777" w:rsidR="009C1C90" w:rsidRDefault="009C1C90" w:rsidP="009C1C90">
      <w:r>
        <w:t xml:space="preserve">(Barends, Rousseau, and Briner 2011) concur that making decisions clearer all the time can help you avoid decision neglect, which is the act of not making a decision that is necessary. </w:t>
      </w:r>
    </w:p>
    <w:p w14:paraId="0AD940B2" w14:textId="77777777" w:rsidR="009C1C90" w:rsidRDefault="009C1C90" w:rsidP="009C1C90">
      <w:r>
        <w:t xml:space="preserve">"Use data to tell stories" is how </w:t>
      </w:r>
      <w:proofErr w:type="spellStart"/>
      <w:r>
        <w:t>D'souza</w:t>
      </w:r>
      <w:proofErr w:type="spellEnd"/>
      <w:r>
        <w:t xml:space="preserve"> summarises decision-making; doing so will give you the confidence to change the world (CIPD, The profession Map)</w:t>
      </w:r>
    </w:p>
    <w:p w14:paraId="4B939679" w14:textId="77777777" w:rsidR="009C1C90" w:rsidRDefault="009C1C90" w:rsidP="009C1C90">
      <w:r>
        <w:t>On the other hand, not every business decision calls for a comprehensive, methodical approach; yet, applying evidence-based practise to decision-making can yield significant practical benefits. The CIPD (2018).  In the end, making decisions needs a systematic strategy that takes into account the best available data to organise the steps, feel confident in the choice free from bias, and use the best analytic tools and procedures.</w:t>
      </w:r>
    </w:p>
    <w:p w14:paraId="7800876E" w14:textId="77777777" w:rsidR="00C151A4" w:rsidRDefault="00C151A4" w:rsidP="00C151A4">
      <w:pPr>
        <w:spacing w:after="0"/>
        <w:jc w:val="both"/>
        <w:rPr>
          <w:u w:val="single"/>
        </w:rPr>
      </w:pPr>
      <w:r w:rsidRPr="00563A7C">
        <w:rPr>
          <w:u w:val="single"/>
        </w:rPr>
        <w:t>AC1.5 Ethical Perspective</w:t>
      </w:r>
    </w:p>
    <w:p w14:paraId="4758813E" w14:textId="77777777" w:rsidR="00C151A4" w:rsidRPr="00C151A4" w:rsidRDefault="00C151A4" w:rsidP="00C151A4">
      <w:pPr>
        <w:spacing w:after="0"/>
        <w:jc w:val="both"/>
        <w:rPr>
          <w:u w:val="single"/>
        </w:rPr>
      </w:pPr>
    </w:p>
    <w:p w14:paraId="29631226" w14:textId="77777777" w:rsidR="00C151A4" w:rsidRDefault="00C151A4" w:rsidP="00C151A4">
      <w:r>
        <w:t xml:space="preserve">According to CIPD (2015), ethics is based on moral principles and proposes values that "provide the moral compass by which we live our lives and make decisions." It also acknowledges the existence of "Eight Lenses" that should be taken into consideration while trying to make the best choice.   According to CIPD (2015), this encompasses "lenses" of justice, merit, markets, democracy, wellbeing, rights and obligations, character, and holding down.  This procedure establishes what is right and bad as the moral and fundamental functions. </w:t>
      </w:r>
    </w:p>
    <w:p w14:paraId="58BC017D" w14:textId="77777777" w:rsidR="00C151A4" w:rsidRDefault="00C151A4" w:rsidP="00C151A4">
      <w:r>
        <w:t>There is a wealth of literature on ethics and its principles, and various cultural and societal frameworks are followed.  They include, for instance:</w:t>
      </w:r>
    </w:p>
    <w:p w14:paraId="3F91EF67" w14:textId="77777777" w:rsidR="00C151A4" w:rsidRDefault="00C151A4" w:rsidP="00C151A4">
      <w:pPr>
        <w:pStyle w:val="ListParagraph"/>
        <w:numPr>
          <w:ilvl w:val="0"/>
          <w:numId w:val="2"/>
        </w:numPr>
        <w:spacing w:after="0"/>
        <w:jc w:val="both"/>
      </w:pPr>
      <w:r>
        <w:t>the d</w:t>
      </w:r>
      <w:r w:rsidRPr="00A75611">
        <w:t xml:space="preserve">eontology </w:t>
      </w:r>
      <w:r>
        <w:t>t</w:t>
      </w:r>
      <w:r w:rsidRPr="00A75611">
        <w:t>heory which are within a clea</w:t>
      </w:r>
      <w:r>
        <w:t xml:space="preserve">r set of rules so for example ‘don’t steal’, </w:t>
      </w:r>
    </w:p>
    <w:p w14:paraId="5C9A17D6" w14:textId="77777777" w:rsidR="00C151A4" w:rsidRDefault="00C151A4" w:rsidP="00C151A4">
      <w:pPr>
        <w:pStyle w:val="ListParagraph"/>
        <w:numPr>
          <w:ilvl w:val="0"/>
          <w:numId w:val="2"/>
        </w:numPr>
        <w:spacing w:after="0"/>
        <w:jc w:val="both"/>
      </w:pPr>
      <w:r>
        <w:t>Utilitarianism</w:t>
      </w:r>
      <w:r w:rsidRPr="00A75611">
        <w:t xml:space="preserve"> which defines for the greater good (moralit</w:t>
      </w:r>
      <w:r>
        <w:t xml:space="preserve">y), what should a person do? </w:t>
      </w:r>
    </w:p>
    <w:p w14:paraId="1E914948" w14:textId="77777777" w:rsidR="00C151A4" w:rsidRDefault="00C151A4" w:rsidP="00C151A4">
      <w:pPr>
        <w:pStyle w:val="ListParagraph"/>
        <w:numPr>
          <w:ilvl w:val="0"/>
          <w:numId w:val="2"/>
        </w:numPr>
        <w:spacing w:after="0"/>
        <w:jc w:val="both"/>
      </w:pPr>
      <w:r>
        <w:t>c</w:t>
      </w:r>
      <w:r w:rsidRPr="00A75611">
        <w:t>onsequentialism judges what is r</w:t>
      </w:r>
      <w:r>
        <w:t>ight depending on the outcome</w:t>
      </w:r>
    </w:p>
    <w:p w14:paraId="46B50F25" w14:textId="77777777" w:rsidR="00C151A4" w:rsidRDefault="00C151A4" w:rsidP="00C151A4">
      <w:pPr>
        <w:pStyle w:val="ListParagraph"/>
        <w:numPr>
          <w:ilvl w:val="0"/>
          <w:numId w:val="2"/>
        </w:numPr>
        <w:spacing w:after="0"/>
        <w:jc w:val="both"/>
      </w:pPr>
      <w:r w:rsidRPr="00A75611">
        <w:t>Teleology is a philosophical value that focuses on the goal (end result) (CIPD Ethics at Work).</w:t>
      </w:r>
    </w:p>
    <w:p w14:paraId="2B12DCED" w14:textId="77777777" w:rsidR="00C151A4" w:rsidRDefault="00C151A4" w:rsidP="009C1C90"/>
    <w:p w14:paraId="0DB24BD0" w14:textId="77777777" w:rsidR="00C151A4" w:rsidRDefault="00C151A4" w:rsidP="009C1C90">
      <w:r w:rsidRPr="00C151A4">
        <w:t>Moral decision-making is essentially based on codes of conduct that are adhered to by the majority of people, businesses, and civilizations.  To summarise, the four main areas that the (CIPD) code of conduct focuses on and establishes criteria for are diversity, inclusion, and respect are as follows:</w:t>
      </w:r>
    </w:p>
    <w:p w14:paraId="0C132AA1" w14:textId="77777777" w:rsidR="00C151A4" w:rsidRDefault="00C151A4" w:rsidP="00C151A4">
      <w:pPr>
        <w:pStyle w:val="ListParagraph"/>
        <w:numPr>
          <w:ilvl w:val="0"/>
          <w:numId w:val="3"/>
        </w:numPr>
        <w:spacing w:after="0"/>
        <w:jc w:val="both"/>
      </w:pPr>
      <w:r>
        <w:t>professional competence and b</w:t>
      </w:r>
      <w:r w:rsidRPr="00A75611">
        <w:t xml:space="preserve">ehaviours (applying high standards of accuracy) </w:t>
      </w:r>
    </w:p>
    <w:p w14:paraId="56572194" w14:textId="77777777" w:rsidR="00C151A4" w:rsidRDefault="00C151A4" w:rsidP="00C151A4">
      <w:pPr>
        <w:pStyle w:val="ListParagraph"/>
        <w:numPr>
          <w:ilvl w:val="0"/>
          <w:numId w:val="3"/>
        </w:numPr>
        <w:spacing w:after="0"/>
        <w:jc w:val="both"/>
      </w:pPr>
      <w:r>
        <w:t>ethical standards and i</w:t>
      </w:r>
      <w:r w:rsidRPr="00A75611">
        <w:t>ntegrity (promote sensitivity o</w:t>
      </w:r>
      <w:r>
        <w:t>n cultures and personal beliefs</w:t>
      </w:r>
    </w:p>
    <w:p w14:paraId="67B0025B" w14:textId="77777777" w:rsidR="00C151A4" w:rsidRDefault="00C151A4" w:rsidP="00C151A4">
      <w:pPr>
        <w:pStyle w:val="ListParagraph"/>
        <w:numPr>
          <w:ilvl w:val="0"/>
          <w:numId w:val="3"/>
        </w:numPr>
        <w:spacing w:after="0"/>
        <w:jc w:val="both"/>
      </w:pPr>
      <w:r>
        <w:t>r</w:t>
      </w:r>
      <w:r w:rsidRPr="00A75611">
        <w:t xml:space="preserve">epresentation of the profession (personal leadership maintaining the highest standards of ethical conduct and stewardship (challenge others if they suspect unlawful or unethical conduct). </w:t>
      </w:r>
    </w:p>
    <w:p w14:paraId="665743DC" w14:textId="77777777" w:rsidR="00C151A4" w:rsidRDefault="00C151A4" w:rsidP="00C151A4">
      <w:pPr>
        <w:pStyle w:val="ListParagraph"/>
        <w:numPr>
          <w:ilvl w:val="0"/>
          <w:numId w:val="3"/>
        </w:numPr>
        <w:spacing w:after="0"/>
        <w:jc w:val="both"/>
      </w:pPr>
      <w:r>
        <w:t>e</w:t>
      </w:r>
      <w:r w:rsidRPr="00A75611">
        <w:t xml:space="preserve">thical practice should be woven through the organisation’s people </w:t>
      </w:r>
      <w:proofErr w:type="gramStart"/>
      <w:r w:rsidRPr="00A75611">
        <w:t>strategy, and</w:t>
      </w:r>
      <w:proofErr w:type="gramEnd"/>
      <w:r w:rsidRPr="00A75611">
        <w:t xml:space="preserve"> demonstrated in its HR policies and practices relating to the employee lifecycle: recruitment, people manageme</w:t>
      </w:r>
      <w:r>
        <w:t>nt, development and exit (CIPD e</w:t>
      </w:r>
      <w:r w:rsidRPr="00A75611">
        <w:t>thics at work).</w:t>
      </w:r>
    </w:p>
    <w:p w14:paraId="3CD330DB" w14:textId="77777777" w:rsidR="00C151A4" w:rsidRDefault="00C151A4" w:rsidP="009C1C90">
      <w:r w:rsidRPr="00C151A4">
        <w:t>In order to make better decisions and have the professional ability to implement changes to be a more inclusive workplace, managers in any organisation should possess ethics, a strong sense of culture, and a never-ending thirst for knowledge. This will inspire their staff to work towards the same goals, which could ultimately result in higher profits and objectives.</w:t>
      </w:r>
    </w:p>
    <w:p w14:paraId="0D06048C" w14:textId="77777777" w:rsidR="00C151A4" w:rsidRPr="004D1248" w:rsidRDefault="00C151A4" w:rsidP="00C151A4">
      <w:pPr>
        <w:spacing w:after="0"/>
        <w:jc w:val="both"/>
        <w:rPr>
          <w:u w:val="single"/>
        </w:rPr>
      </w:pPr>
      <w:r w:rsidRPr="004D1248">
        <w:rPr>
          <w:u w:val="single"/>
        </w:rPr>
        <w:t>AC 3.1 Financial and Non-Financial Performance</w:t>
      </w:r>
    </w:p>
    <w:p w14:paraId="3AE9312C" w14:textId="77777777" w:rsidR="00C151A4" w:rsidRDefault="00C151A4" w:rsidP="009C1C90"/>
    <w:p w14:paraId="1F10354F" w14:textId="77777777" w:rsidR="001E64F8" w:rsidRDefault="001E64F8" w:rsidP="001E64F8">
      <w:r>
        <w:t>A more in-depth understanding of performance through data collection, enhancements, and assessment of performance all depend on evidence-based practise (CIPD, 2016b).</w:t>
      </w:r>
    </w:p>
    <w:p w14:paraId="4BD9E6C0" w14:textId="77777777" w:rsidR="001E64F8" w:rsidRDefault="001E64F8" w:rsidP="001E64F8"/>
    <w:p w14:paraId="01761F6F" w14:textId="77777777" w:rsidR="001E64F8" w:rsidRDefault="001E64F8" w:rsidP="001E64F8">
      <w:r>
        <w:t xml:space="preserve">Although most business operations are focused on the financial aspect, not all goals are financial. For example, employee motivation can be translated into various performance management techniques that can be used to </w:t>
      </w:r>
      <w:r>
        <w:lastRenderedPageBreak/>
        <w:t>guarantee that an organisation or business maximises the value of its workforce, such as providing employees with the chance to voice their opinions and be heard (CIPD, 2022c).</w:t>
      </w:r>
    </w:p>
    <w:p w14:paraId="2BA083F9" w14:textId="77777777" w:rsidR="001E64F8" w:rsidRDefault="001E64F8" w:rsidP="001E64F8">
      <w:r w:rsidRPr="001E64F8">
        <w:t xml:space="preserve">It is evident that utilising key performance indicators, which are quantitative measures of the objectives that would be set, it should be easy to measure financial performance. Examples of these indicators include productivity, net profit, and customer satisfaction. However, it is less evident how these indicators would relate to a team or an individual (CIPD, 2022c).  </w:t>
      </w:r>
    </w:p>
    <w:p w14:paraId="47F3A619" w14:textId="77777777" w:rsidR="001E64F8" w:rsidRDefault="001E64F8" w:rsidP="001E64F8">
      <w:r w:rsidRPr="001E64F8">
        <w:t>Setting goals, targets, and other objectives is all part of the ongoing process that is effective performance management. In addition, it has been said that the introduction of an engagement plan that promotes opinions and gives employees the freedom to make decisions will provide them a sense of autonomy and value while also fostering a more productive workforce that may lead to ongoing employee improvement in businesses and organisations (CIPD, 2012).</w:t>
      </w:r>
      <w:r>
        <w:t xml:space="preserve">  Measures in non-profit organisations, for instance, can include better customer service and increased efficiency.  </w:t>
      </w:r>
    </w:p>
    <w:p w14:paraId="6937ECBA" w14:textId="77777777" w:rsidR="001E64F8" w:rsidRDefault="001E64F8" w:rsidP="001E64F8">
      <w:r>
        <w:t xml:space="preserve">According to Swanson (2014), a smart business practise would be to grant autonomy to every employee, even those who generate revenue, as part of their goals. This would effectively offer the workforce a great deal of ownership and incorporate better working practises. The CIPD, 2022d.  </w:t>
      </w:r>
    </w:p>
    <w:p w14:paraId="2181836C" w14:textId="77777777" w:rsidR="00EC1F31" w:rsidRDefault="001E64F8" w:rsidP="001E64F8">
      <w:r>
        <w:t>Neath Port Talbot County Council, a non-profit company, serves as an organisational example of how to integrate the corporate plan into day-to-day operations. For the next five years, the aim, strategy, and focus are concentrated in four main areas, namely:</w:t>
      </w:r>
    </w:p>
    <w:p w14:paraId="009B96A3" w14:textId="77777777" w:rsidR="001E64F8" w:rsidRDefault="001E64F8" w:rsidP="001E64F8">
      <w:pPr>
        <w:pStyle w:val="ListParagraph"/>
        <w:numPr>
          <w:ilvl w:val="0"/>
          <w:numId w:val="4"/>
        </w:numPr>
        <w:spacing w:after="0"/>
        <w:jc w:val="both"/>
      </w:pPr>
      <w:r>
        <w:t>a</w:t>
      </w:r>
      <w:r w:rsidRPr="00A75611">
        <w:t>ll childr</w:t>
      </w:r>
      <w:r>
        <w:t>en get the best start in life</w:t>
      </w:r>
    </w:p>
    <w:p w14:paraId="6BEE9ADE" w14:textId="77777777" w:rsidR="001E64F8" w:rsidRDefault="001E64F8" w:rsidP="001E64F8">
      <w:pPr>
        <w:pStyle w:val="ListParagraph"/>
        <w:numPr>
          <w:ilvl w:val="0"/>
          <w:numId w:val="4"/>
        </w:numPr>
        <w:spacing w:after="0"/>
        <w:jc w:val="both"/>
      </w:pPr>
      <w:r>
        <w:t>a</w:t>
      </w:r>
      <w:r w:rsidRPr="00A75611">
        <w:t>ll communities are thriving and sustainable –</w:t>
      </w:r>
    </w:p>
    <w:p w14:paraId="3BB82492" w14:textId="77777777" w:rsidR="001E64F8" w:rsidRDefault="001E64F8" w:rsidP="001E64F8">
      <w:pPr>
        <w:pStyle w:val="ListParagraph"/>
        <w:numPr>
          <w:ilvl w:val="0"/>
          <w:numId w:val="4"/>
        </w:numPr>
        <w:spacing w:after="0"/>
        <w:jc w:val="both"/>
      </w:pPr>
      <w:r>
        <w:t>o</w:t>
      </w:r>
      <w:r w:rsidRPr="00A75611">
        <w:t xml:space="preserve">ur local environment, culture and heritage can be enjoyed by future generations and local people are skilled and access high quality jobs.  </w:t>
      </w:r>
    </w:p>
    <w:p w14:paraId="225FC60A" w14:textId="77777777" w:rsidR="001E64F8" w:rsidRDefault="001E64F8" w:rsidP="001E64F8">
      <w:pPr>
        <w:pStyle w:val="ListParagraph"/>
        <w:numPr>
          <w:ilvl w:val="0"/>
          <w:numId w:val="4"/>
        </w:numPr>
        <w:spacing w:after="0"/>
        <w:jc w:val="both"/>
      </w:pPr>
      <w:r>
        <w:t>e</w:t>
      </w:r>
      <w:r w:rsidRPr="00A75611">
        <w:t>very person employed by NPCC has a goal to maximise their contribution to achieve the vision and set goals by the Chief Executive, Stakeholders, and local councillors.  Performance management is key to the success and driving force in the objectives being met. Consistent and frequent methods used through setting individual objectives to work towards achieving the goal. Communication and data (this could be from focu</w:t>
      </w:r>
      <w:r>
        <w:t>s groups, stakeholders etc.)  (quantitative and q</w:t>
      </w:r>
      <w:r w:rsidRPr="00A75611">
        <w:t>ualitative) as well as incorporating professional behaviours. (NPTCBC, 2022).</w:t>
      </w:r>
    </w:p>
    <w:p w14:paraId="4F3D2EAC" w14:textId="77777777" w:rsidR="001E64F8" w:rsidRDefault="001E64F8" w:rsidP="001E64F8">
      <w:pPr>
        <w:spacing w:after="0"/>
        <w:ind w:left="360"/>
        <w:jc w:val="both"/>
        <w:rPr>
          <w:u w:val="single"/>
        </w:rPr>
      </w:pPr>
    </w:p>
    <w:p w14:paraId="7934496F" w14:textId="77777777" w:rsidR="001E64F8" w:rsidRDefault="001E64F8" w:rsidP="001E64F8">
      <w:pPr>
        <w:spacing w:after="0"/>
        <w:ind w:left="360"/>
        <w:jc w:val="both"/>
        <w:rPr>
          <w:u w:val="single"/>
        </w:rPr>
      </w:pPr>
      <w:r w:rsidRPr="001E64F8">
        <w:rPr>
          <w:u w:val="single"/>
        </w:rPr>
        <w:t>AC3.2 – Value</w:t>
      </w:r>
    </w:p>
    <w:p w14:paraId="65F21611" w14:textId="77777777" w:rsidR="001E64F8" w:rsidRDefault="001E64F8" w:rsidP="001E64F8">
      <w:pPr>
        <w:spacing w:after="0"/>
        <w:ind w:left="360"/>
        <w:jc w:val="both"/>
        <w:rPr>
          <w:u w:val="single"/>
        </w:rPr>
      </w:pPr>
    </w:p>
    <w:p w14:paraId="13457600" w14:textId="77777777" w:rsidR="001E64F8" w:rsidRDefault="001E64F8" w:rsidP="001E64F8">
      <w:pPr>
        <w:spacing w:after="0"/>
        <w:ind w:left="360"/>
        <w:jc w:val="both"/>
        <w:rPr>
          <w:u w:val="single"/>
        </w:rPr>
      </w:pPr>
      <w:r w:rsidRPr="001E64F8">
        <w:t>A key component of business is calculating return on investment (ROI), which is used to assess how well an investment has performed. Nevertheless, an organization's value is not solely de</w:t>
      </w:r>
      <w:r>
        <w:t xml:space="preserve">rived from its monetary worth.   </w:t>
      </w:r>
      <w:r w:rsidRPr="001E64F8">
        <w:t>It is crucial to focus on a wide variety of distinct data while simultaneously exercising effective judgement.  Using numerous areas of evidence, the practitioner would also apply an objective, clear-cut assessment of the facts from the data. (Rousseau 2011)</w:t>
      </w:r>
      <w:r w:rsidRPr="001E64F8">
        <w:rPr>
          <w:u w:val="single"/>
        </w:rPr>
        <w:t>.</w:t>
      </w:r>
    </w:p>
    <w:p w14:paraId="6ACCA016" w14:textId="77777777" w:rsidR="001E64F8" w:rsidRDefault="001E64F8" w:rsidP="001E64F8">
      <w:pPr>
        <w:spacing w:after="0"/>
        <w:ind w:left="360"/>
        <w:jc w:val="both"/>
      </w:pPr>
    </w:p>
    <w:p w14:paraId="47264DC6" w14:textId="77777777" w:rsidR="001E64F8" w:rsidRDefault="001E64F8" w:rsidP="001E64F8">
      <w:pPr>
        <w:spacing w:after="0"/>
        <w:ind w:left="360"/>
        <w:jc w:val="both"/>
      </w:pPr>
      <w:r w:rsidRPr="001E64F8">
        <w:t>In order to accomplish larger goals, value is necessary (Taylor and Woodhams, 2022). There are other methodological concerns to take into account in addition to the practical limits. These are as follows:</w:t>
      </w:r>
    </w:p>
    <w:p w14:paraId="2382806B" w14:textId="77777777" w:rsidR="00534F2F" w:rsidRDefault="00534F2F" w:rsidP="001E64F8">
      <w:pPr>
        <w:spacing w:after="0"/>
        <w:ind w:left="360"/>
        <w:jc w:val="both"/>
      </w:pPr>
    </w:p>
    <w:p w14:paraId="60855A64" w14:textId="77777777" w:rsidR="00534F2F" w:rsidRDefault="00534F2F" w:rsidP="00534F2F">
      <w:pPr>
        <w:pStyle w:val="ListParagraph"/>
        <w:numPr>
          <w:ilvl w:val="0"/>
          <w:numId w:val="5"/>
        </w:numPr>
        <w:spacing w:after="0"/>
        <w:jc w:val="both"/>
      </w:pPr>
      <w:r w:rsidRPr="00A75611">
        <w:t xml:space="preserve">What needs to be measured </w:t>
      </w:r>
    </w:p>
    <w:p w14:paraId="76E9A024" w14:textId="77777777" w:rsidR="00534F2F" w:rsidRDefault="00534F2F" w:rsidP="00534F2F">
      <w:pPr>
        <w:pStyle w:val="ListParagraph"/>
        <w:numPr>
          <w:ilvl w:val="0"/>
          <w:numId w:val="5"/>
        </w:numPr>
        <w:spacing w:after="0"/>
        <w:jc w:val="both"/>
      </w:pPr>
      <w:r w:rsidRPr="00A75611">
        <w:t xml:space="preserve"> What approach will the business take </w:t>
      </w:r>
    </w:p>
    <w:p w14:paraId="7BB181E8" w14:textId="77777777" w:rsidR="00534F2F" w:rsidRDefault="00534F2F" w:rsidP="00534F2F">
      <w:pPr>
        <w:pStyle w:val="ListParagraph"/>
        <w:numPr>
          <w:ilvl w:val="0"/>
          <w:numId w:val="5"/>
        </w:numPr>
        <w:spacing w:after="0"/>
        <w:jc w:val="both"/>
      </w:pPr>
      <w:r w:rsidRPr="00A75611">
        <w:t>the use of objective or subjective indicators</w:t>
      </w:r>
    </w:p>
    <w:p w14:paraId="63D192CC" w14:textId="77777777" w:rsidR="00534F2F" w:rsidRDefault="00534F2F" w:rsidP="00534F2F">
      <w:pPr>
        <w:pStyle w:val="ListParagraph"/>
        <w:numPr>
          <w:ilvl w:val="0"/>
          <w:numId w:val="5"/>
        </w:numPr>
        <w:spacing w:after="0"/>
        <w:jc w:val="both"/>
      </w:pPr>
      <w:r w:rsidRPr="00A75611">
        <w:t xml:space="preserve">whether to use a set of indicators or a composite index </w:t>
      </w:r>
    </w:p>
    <w:p w14:paraId="79F97D23" w14:textId="77777777" w:rsidR="00534F2F" w:rsidRDefault="00534F2F" w:rsidP="00534F2F">
      <w:pPr>
        <w:pStyle w:val="ListParagraph"/>
        <w:numPr>
          <w:ilvl w:val="0"/>
          <w:numId w:val="5"/>
        </w:numPr>
        <w:spacing w:after="0"/>
        <w:jc w:val="both"/>
      </w:pPr>
      <w:r w:rsidRPr="00A75611">
        <w:t xml:space="preserve">deciding whether to construct a measure of job quality at either a macro or micro level </w:t>
      </w:r>
    </w:p>
    <w:p w14:paraId="7342B088" w14:textId="77777777" w:rsidR="00534F2F" w:rsidRDefault="00534F2F" w:rsidP="00534F2F">
      <w:pPr>
        <w:pStyle w:val="ListParagraph"/>
        <w:numPr>
          <w:ilvl w:val="0"/>
          <w:numId w:val="5"/>
        </w:numPr>
        <w:spacing w:after="0"/>
        <w:jc w:val="both"/>
      </w:pPr>
      <w:r w:rsidRPr="00A75611">
        <w:t xml:space="preserve">deciding whether any set of indicators or index of job quality needs to include a dynamic dimension </w:t>
      </w:r>
    </w:p>
    <w:p w14:paraId="607B4552" w14:textId="77777777" w:rsidR="00534F2F" w:rsidRDefault="00534F2F" w:rsidP="00534F2F">
      <w:pPr>
        <w:pStyle w:val="ListParagraph"/>
        <w:numPr>
          <w:ilvl w:val="0"/>
          <w:numId w:val="5"/>
        </w:numPr>
        <w:spacing w:after="0"/>
        <w:jc w:val="both"/>
      </w:pPr>
      <w:r w:rsidRPr="00A75611">
        <w:t>whether, and if so The CIPD (2022c) suggests that Businesses and organisations evolves over time. From this the business cycle model can adjust and develop to sustain and grow, although it is essential to focus on the financial measures what often can be missed is the value of employees.  The CIPD reports this could be the biggest factor as to whether an organisation reaches their full potential or fails to achieve their full value.</w:t>
      </w:r>
    </w:p>
    <w:p w14:paraId="741F34A0" w14:textId="77777777" w:rsidR="00534F2F" w:rsidRDefault="00534F2F" w:rsidP="00534F2F">
      <w:pPr>
        <w:pStyle w:val="ListParagraph"/>
        <w:spacing w:after="0"/>
        <w:jc w:val="both"/>
      </w:pPr>
    </w:p>
    <w:p w14:paraId="6C32D628" w14:textId="77777777" w:rsidR="00534F2F" w:rsidRDefault="00534F2F" w:rsidP="00534F2F">
      <w:pPr>
        <w:spacing w:after="0"/>
        <w:ind w:left="360"/>
        <w:jc w:val="both"/>
      </w:pPr>
      <w:r>
        <w:t>It is best practise to value your talent framework by taking into account all of the crucial factors that drive and measure human worth in addition to financial outcomes. This will ultimately result in more informed business decisions.</w:t>
      </w:r>
    </w:p>
    <w:p w14:paraId="754EBC6E" w14:textId="77777777" w:rsidR="00534F2F" w:rsidRDefault="00534F2F" w:rsidP="00534F2F">
      <w:pPr>
        <w:spacing w:after="0"/>
        <w:ind w:left="360"/>
        <w:jc w:val="both"/>
      </w:pPr>
    </w:p>
    <w:p w14:paraId="689FCA8F" w14:textId="77777777" w:rsidR="001E64F8" w:rsidRDefault="00534F2F" w:rsidP="00534F2F">
      <w:pPr>
        <w:spacing w:after="0"/>
        <w:ind w:left="360"/>
        <w:jc w:val="both"/>
      </w:pPr>
      <w:r>
        <w:t xml:space="preserve">The framework has five levels. It starts with maintaining business performance, which can determine the areas of attention. It then splits into four sections, which are outcomes. These areas could include productivity, outcomes that might involve wellbeing and performance. Human capital-related activities that include performance management, awards and recognition, and the completion of INPUTS, which would include compensation and benefits (CIPD, 2016d).  </w:t>
      </w:r>
      <w:r w:rsidRPr="00534F2F">
        <w:t>According to the evidence from these studies, organisations and enterprises who change their methods and practises to include people practises may experience notable improvements and advantageous outcomes as a result.</w:t>
      </w:r>
    </w:p>
    <w:p w14:paraId="552AC0DD" w14:textId="77777777" w:rsidR="00534F2F" w:rsidRDefault="00534F2F" w:rsidP="00534F2F">
      <w:pPr>
        <w:spacing w:after="0"/>
        <w:ind w:left="360"/>
        <w:jc w:val="both"/>
      </w:pPr>
    </w:p>
    <w:p w14:paraId="6435D438" w14:textId="77777777" w:rsidR="00534F2F" w:rsidRDefault="00534F2F" w:rsidP="00534F2F">
      <w:pPr>
        <w:spacing w:after="0"/>
        <w:ind w:left="360"/>
        <w:jc w:val="both"/>
      </w:pPr>
      <w:r>
        <w:t>Conclusion</w:t>
      </w:r>
    </w:p>
    <w:p w14:paraId="001B64CE" w14:textId="77777777" w:rsidR="00534F2F" w:rsidRDefault="00534F2F" w:rsidP="00534F2F">
      <w:pPr>
        <w:spacing w:after="0"/>
        <w:ind w:left="360"/>
        <w:jc w:val="both"/>
      </w:pPr>
    </w:p>
    <w:p w14:paraId="35F6DB00" w14:textId="77777777" w:rsidR="00534F2F" w:rsidRDefault="00534F2F" w:rsidP="00534F2F">
      <w:pPr>
        <w:spacing w:after="0"/>
        <w:ind w:left="360"/>
        <w:jc w:val="both"/>
      </w:pPr>
      <w:r w:rsidRPr="00534F2F">
        <w:t>Based on these results, it has been determined that business forward thinking involves combining the best available evidence with as much other information as possible to enable more informed decision-making.  Planning, structuring, and making decisions based on factual facts requires a firm or organisation to conduct thorough study on the data, locating as many reliable sources as feasible.</w:t>
      </w:r>
    </w:p>
    <w:p w14:paraId="5A3C5043" w14:textId="77777777" w:rsidR="00B96DE6" w:rsidRDefault="00B96DE6" w:rsidP="00534F2F">
      <w:pPr>
        <w:spacing w:after="0"/>
        <w:ind w:left="360"/>
        <w:jc w:val="both"/>
      </w:pPr>
    </w:p>
    <w:p w14:paraId="56E00A95" w14:textId="77777777" w:rsidR="00B96DE6" w:rsidRPr="00A47735" w:rsidRDefault="00B96DE6" w:rsidP="00B96DE6">
      <w:pPr>
        <w:jc w:val="both"/>
        <w:rPr>
          <w:u w:val="single"/>
        </w:rPr>
      </w:pPr>
      <w:r w:rsidRPr="00A47735">
        <w:rPr>
          <w:u w:val="single"/>
        </w:rPr>
        <w:t>BIBLIOGRAPHY</w:t>
      </w:r>
    </w:p>
    <w:p w14:paraId="6C02D3B6" w14:textId="77777777" w:rsidR="00B96DE6" w:rsidRPr="00A75611" w:rsidRDefault="00B96DE6" w:rsidP="00B96DE6">
      <w:pPr>
        <w:jc w:val="both"/>
        <w:rPr>
          <w:highlight w:val="yellow"/>
        </w:rPr>
      </w:pPr>
    </w:p>
    <w:p w14:paraId="4380E84D" w14:textId="77777777" w:rsidR="00B96DE6" w:rsidRPr="00A75611" w:rsidRDefault="00B96DE6" w:rsidP="00B96DE6">
      <w:pPr>
        <w:jc w:val="both"/>
      </w:pPr>
      <w:r w:rsidRPr="00A75611">
        <w:t>Adair, J (2007) Decision Making and Problem Solving Strategies, Kogan Page Ltd: London</w:t>
      </w:r>
    </w:p>
    <w:p w14:paraId="435C9D20" w14:textId="77777777" w:rsidR="00B96DE6" w:rsidRPr="00A75611" w:rsidRDefault="00B96DE6" w:rsidP="00B96DE6">
      <w:pPr>
        <w:jc w:val="both"/>
      </w:pPr>
      <w:r w:rsidRPr="00A75611">
        <w:t>Bono, D (2009) perspectives, NHS England online Library of Quality, service improvements and redesign tools Six Thinking Hats.www.england.nhs.uk.</w:t>
      </w:r>
    </w:p>
    <w:p w14:paraId="5304B595" w14:textId="77777777" w:rsidR="00B96DE6" w:rsidRPr="00A75611" w:rsidRDefault="00B96DE6" w:rsidP="00B96DE6">
      <w:pPr>
        <w:jc w:val="both"/>
      </w:pPr>
      <w:r w:rsidRPr="00A75611">
        <w:t xml:space="preserve">Banks, A. (2014). Cognition, decision and expertise Fresh thinking in learning and development Part 2 of 3. </w:t>
      </w:r>
      <w:hyperlink r:id="rId5" w:history="1">
        <w:r w:rsidRPr="00A75611">
          <w:rPr>
            <w:rStyle w:val="Hyperlink"/>
          </w:rPr>
          <w:t>https://www.cipd.co.uk/Images/cognition-decision-and-expertise_2014-part-2-of-3-fresh-thinking_tcm18-15115.pdf. Page 4-8</w:t>
        </w:r>
      </w:hyperlink>
      <w:r w:rsidRPr="00A75611">
        <w:t>.</w:t>
      </w:r>
    </w:p>
    <w:p w14:paraId="76B6F09D" w14:textId="77777777" w:rsidR="00B96DE6" w:rsidRPr="00A75611" w:rsidRDefault="00B96DE6" w:rsidP="00B96DE6">
      <w:pPr>
        <w:jc w:val="both"/>
      </w:pPr>
      <w:r w:rsidRPr="00A75611">
        <w:t xml:space="preserve">Barends, E., Rosseau, D.M., &amp; Briner, R.B. (2014) Evidence Based Management: The Basic Principles. Amsterdam: </w:t>
      </w:r>
      <w:proofErr w:type="spellStart"/>
      <w:r w:rsidRPr="00A75611">
        <w:t>Center</w:t>
      </w:r>
      <w:proofErr w:type="spellEnd"/>
      <w:r w:rsidRPr="00A75611">
        <w:t xml:space="preserve"> for Evidence-Based Management. Page 5-8.</w:t>
      </w:r>
    </w:p>
    <w:p w14:paraId="6339AEEB" w14:textId="77777777" w:rsidR="00B96DE6" w:rsidRPr="00A75611" w:rsidRDefault="00B96DE6" w:rsidP="00B96DE6">
      <w:pPr>
        <w:jc w:val="both"/>
      </w:pPr>
      <w:r w:rsidRPr="00A75611">
        <w:t>Brown J, Davidson L, Hagel J (2010) The Best Way to Measure Company Performance: Harvard Business Review, https://hbr.org</w:t>
      </w:r>
    </w:p>
    <w:p w14:paraId="36F85F30" w14:textId="77777777" w:rsidR="00B96DE6" w:rsidRPr="00A75611" w:rsidRDefault="00B96DE6" w:rsidP="00B96DE6">
      <w:pPr>
        <w:jc w:val="both"/>
      </w:pPr>
      <w:r w:rsidRPr="00A75611">
        <w:t xml:space="preserve">CIPD (2012) Implementing Effective Performance Management </w:t>
      </w:r>
      <w:hyperlink r:id="rId6" w:history="1">
        <w:r w:rsidRPr="00A75611">
          <w:rPr>
            <w:rStyle w:val="Hyperlink"/>
          </w:rPr>
          <w:t>https://www.cipd.co.uk/podcasts/implementing-effective-performance-management</w:t>
        </w:r>
      </w:hyperlink>
      <w:r w:rsidRPr="00A75611">
        <w:t xml:space="preserve"> Podcast 72, London: CIPD</w:t>
      </w:r>
    </w:p>
    <w:p w14:paraId="71688AE7" w14:textId="77777777" w:rsidR="00B96DE6" w:rsidRPr="00A75611" w:rsidRDefault="00B96DE6" w:rsidP="00B96DE6">
      <w:pPr>
        <w:jc w:val="both"/>
      </w:pPr>
      <w:r w:rsidRPr="00A75611">
        <w:t xml:space="preserve">CIPD (2014) Value your talent – Life begins at 80. Research Insight </w:t>
      </w:r>
      <w:hyperlink r:id="rId7" w:history="1">
        <w:r w:rsidRPr="00A75611">
          <w:rPr>
            <w:rStyle w:val="Hyperlink"/>
          </w:rPr>
          <w:t>https://www.cipd.co.uk/knowledge/strategy/analytics/talent-smes-report,London</w:t>
        </w:r>
      </w:hyperlink>
      <w:r w:rsidRPr="00A75611">
        <w:t>: CIPD</w:t>
      </w:r>
    </w:p>
    <w:p w14:paraId="52A5B149" w14:textId="77777777" w:rsidR="00B96DE6" w:rsidRPr="00A75611" w:rsidRDefault="00B96DE6" w:rsidP="00B96DE6">
      <w:pPr>
        <w:jc w:val="both"/>
      </w:pPr>
      <w:r w:rsidRPr="00A75611">
        <w:t xml:space="preserve">CIPD (2015) HR and Business Ethics H </w:t>
      </w:r>
      <w:hyperlink r:id="rId8" w:history="1">
        <w:r w:rsidRPr="00A75611">
          <w:rPr>
            <w:rStyle w:val="Hyperlink"/>
          </w:rPr>
          <w:t>https://www.cipd.co.uk/podcasts/hr-business-ethics,London</w:t>
        </w:r>
      </w:hyperlink>
      <w:r w:rsidRPr="00A75611">
        <w:t>: CIPD</w:t>
      </w:r>
    </w:p>
    <w:p w14:paraId="398F109E" w14:textId="77777777" w:rsidR="00B96DE6" w:rsidRPr="00A75611" w:rsidRDefault="00B96DE6" w:rsidP="00B96DE6">
      <w:pPr>
        <w:jc w:val="both"/>
      </w:pPr>
      <w:r w:rsidRPr="00A75611">
        <w:t xml:space="preserve">CIPD (2016a) – In Search Of the Best Available Evidence, </w:t>
      </w:r>
      <w:hyperlink r:id="rId9" w:history="1">
        <w:r w:rsidRPr="00A75611">
          <w:rPr>
            <w:rStyle w:val="Hyperlink"/>
          </w:rPr>
          <w:t>https://www.cipd.co.uk/knowledge/strategy/analytics/evidence-based-decision-making,London</w:t>
        </w:r>
      </w:hyperlink>
      <w:r w:rsidRPr="00A75611">
        <w:t>: CIPD</w:t>
      </w:r>
    </w:p>
    <w:p w14:paraId="407D41BC" w14:textId="77777777" w:rsidR="00B96DE6" w:rsidRPr="00A75611" w:rsidRDefault="00B96DE6" w:rsidP="00B96DE6">
      <w:pPr>
        <w:jc w:val="both"/>
      </w:pPr>
      <w:r w:rsidRPr="00A75611">
        <w:t xml:space="preserve">CIPD (2016b) Could Do Better </w:t>
      </w:r>
      <w:hyperlink r:id="rId10" w:history="1">
        <w:r w:rsidRPr="00A75611">
          <w:rPr>
            <w:rStyle w:val="Hyperlink"/>
          </w:rPr>
          <w:t>https://www.cipd.co.uk/search?q=could+do+better:London</w:t>
        </w:r>
      </w:hyperlink>
      <w:r w:rsidRPr="00A75611">
        <w:t>: CIPD</w:t>
      </w:r>
    </w:p>
    <w:p w14:paraId="204F95F3" w14:textId="77777777" w:rsidR="00B96DE6" w:rsidRPr="00A75611" w:rsidRDefault="00B96DE6" w:rsidP="00B96DE6">
      <w:pPr>
        <w:jc w:val="both"/>
      </w:pPr>
      <w:r w:rsidRPr="00A75611">
        <w:t xml:space="preserve">CIPD (2016c) Valuing Your Talent </w:t>
      </w:r>
      <w:hyperlink r:id="rId11" w:history="1">
        <w:r w:rsidRPr="00A75611">
          <w:rPr>
            <w:rStyle w:val="Hyperlink"/>
          </w:rPr>
          <w:t>https://www.cipd.co.uk/knowledge/strategy/analytics/valuing-talent:London</w:t>
        </w:r>
      </w:hyperlink>
      <w:r w:rsidRPr="00A75611">
        <w:t>: CIPD</w:t>
      </w:r>
    </w:p>
    <w:p w14:paraId="28385E26" w14:textId="77777777" w:rsidR="00B96DE6" w:rsidRPr="00A75611" w:rsidRDefault="00B96DE6" w:rsidP="00B96DE6">
      <w:pPr>
        <w:jc w:val="both"/>
      </w:pPr>
      <w:r w:rsidRPr="00A75611">
        <w:t xml:space="preserve">CIPD (2017) Human Capital Metrics and Analytics and Reporting: </w:t>
      </w:r>
      <w:hyperlink r:id="rId12" w:history="1">
        <w:r w:rsidRPr="00A75611">
          <w:rPr>
            <w:rStyle w:val="Hyperlink"/>
          </w:rPr>
          <w:t>https://www.cipd.co.uk/knowledge/strategy/analytics/human-capital-analytics-report:London</w:t>
        </w:r>
      </w:hyperlink>
      <w:r w:rsidRPr="00A75611">
        <w:t>: CIPD</w:t>
      </w:r>
    </w:p>
    <w:p w14:paraId="1580AD9A" w14:textId="77777777" w:rsidR="00B96DE6" w:rsidRPr="00A75611" w:rsidRDefault="00B96DE6" w:rsidP="00B96DE6">
      <w:pPr>
        <w:jc w:val="both"/>
      </w:pPr>
      <w:r w:rsidRPr="00A75611">
        <w:t>CIPD (2017) Understanding and Measuring Job Quality https://www.cipd.co.uk/Images/understanding-and-measuring-job-quality-2_tcm18-36524.pdf: London: CIPD</w:t>
      </w:r>
    </w:p>
    <w:p w14:paraId="04909F9A" w14:textId="77777777" w:rsidR="00B96DE6" w:rsidRPr="00A75611" w:rsidRDefault="00B96DE6" w:rsidP="00B96DE6">
      <w:pPr>
        <w:jc w:val="both"/>
      </w:pPr>
      <w:r w:rsidRPr="00A75611">
        <w:lastRenderedPageBreak/>
        <w:t xml:space="preserve">CIPD (2018) Evidence Based Management </w:t>
      </w:r>
      <w:hyperlink r:id="rId13" w:history="1">
        <w:r w:rsidRPr="00A75611">
          <w:rPr>
            <w:rStyle w:val="Hyperlink"/>
          </w:rPr>
          <w:t>https://www.cipd.co.uk/news-views/nutshell/issue-81/evidence-based-management</w:t>
        </w:r>
      </w:hyperlink>
      <w:r w:rsidRPr="00A75611">
        <w:t>: London: CIPD</w:t>
      </w:r>
    </w:p>
    <w:p w14:paraId="3B478254" w14:textId="77777777" w:rsidR="00B96DE6" w:rsidRPr="00A75611" w:rsidRDefault="00B96DE6" w:rsidP="00B96DE6">
      <w:pPr>
        <w:jc w:val="both"/>
      </w:pPr>
      <w:r w:rsidRPr="00A75611">
        <w:t xml:space="preserve">CIPD (2018b) Understanding and Measuring Job Quality </w:t>
      </w:r>
      <w:hyperlink r:id="rId14" w:history="1">
        <w:r w:rsidRPr="00A75611">
          <w:rPr>
            <w:rStyle w:val="Hyperlink"/>
          </w:rPr>
          <w:t>https://www.cipd.co.uk/knowledge/work/job-quality-value-creation/measuring-job-quality-report:London</w:t>
        </w:r>
      </w:hyperlink>
      <w:r w:rsidRPr="00A75611">
        <w:t>: CIPD</w:t>
      </w:r>
    </w:p>
    <w:p w14:paraId="415FB0E0" w14:textId="77777777" w:rsidR="00B96DE6" w:rsidRPr="00A75611" w:rsidRDefault="00B96DE6" w:rsidP="00B96DE6">
      <w:pPr>
        <w:jc w:val="both"/>
      </w:pPr>
      <w:r w:rsidRPr="00A75611">
        <w:t xml:space="preserve">CIPD (2018c) Creating and Capturing value at work – who benefits </w:t>
      </w:r>
      <w:hyperlink r:id="rId15" w:history="1">
        <w:r w:rsidRPr="00A75611">
          <w:rPr>
            <w:rStyle w:val="Hyperlink"/>
          </w:rPr>
          <w:t>https://www.cipd.co.uk/knowledge/work/job-quality-value-creation/value-work-report:London</w:t>
        </w:r>
      </w:hyperlink>
      <w:r w:rsidRPr="00A75611">
        <w:t>: CIPD</w:t>
      </w:r>
    </w:p>
    <w:p w14:paraId="0F114B7B" w14:textId="77777777" w:rsidR="00B96DE6" w:rsidRPr="00A75611" w:rsidRDefault="00B96DE6" w:rsidP="00B96DE6">
      <w:pPr>
        <w:jc w:val="both"/>
      </w:pPr>
      <w:r w:rsidRPr="00A75611">
        <w:t xml:space="preserve">CIPD (2018c) Thematic Literature Review </w:t>
      </w:r>
      <w:hyperlink r:id="rId16" w:history="1">
        <w:r w:rsidRPr="00A75611">
          <w:rPr>
            <w:rStyle w:val="Hyperlink"/>
          </w:rPr>
          <w:t>https://www.cipd.co.uk/Images/creating-and-capturing-value-at-work_2017-who-benefits-2_tcm18-33097.pdf:London</w:t>
        </w:r>
      </w:hyperlink>
      <w:r w:rsidRPr="00A75611">
        <w:t>: CIPD</w:t>
      </w:r>
    </w:p>
    <w:p w14:paraId="258979D0" w14:textId="77777777" w:rsidR="00B96DE6" w:rsidRPr="00A75611" w:rsidRDefault="00B96DE6" w:rsidP="00B96DE6">
      <w:pPr>
        <w:jc w:val="both"/>
      </w:pPr>
      <w:r w:rsidRPr="00A75611">
        <w:t xml:space="preserve">CIPD (2019a) </w:t>
      </w:r>
      <w:r>
        <w:t xml:space="preserve">Evidence-based </w:t>
      </w:r>
      <w:proofErr w:type="gramStart"/>
      <w:r>
        <w:t xml:space="preserve">practice </w:t>
      </w:r>
      <w:r w:rsidRPr="00A75611">
        <w:t xml:space="preserve"> for</w:t>
      </w:r>
      <w:proofErr w:type="gramEnd"/>
      <w:r w:rsidRPr="00A75611">
        <w:t xml:space="preserve"> HR </w:t>
      </w:r>
      <w:hyperlink r:id="rId17" w:history="1">
        <w:r w:rsidRPr="00A75611">
          <w:rPr>
            <w:rStyle w:val="Hyperlink"/>
          </w:rPr>
          <w:t>https://www.cipd.co.uk/podcasts/evidence-based-hr</w:t>
        </w:r>
      </w:hyperlink>
      <w:r w:rsidRPr="00A75611">
        <w:t>: Podcast 148: London: CIPD</w:t>
      </w:r>
    </w:p>
    <w:p w14:paraId="2612E905" w14:textId="77777777" w:rsidR="00B96DE6" w:rsidRPr="00A75611" w:rsidRDefault="00B96DE6" w:rsidP="00B96DE6">
      <w:pPr>
        <w:jc w:val="both"/>
      </w:pPr>
      <w:r w:rsidRPr="00A75611">
        <w:t xml:space="preserve">CIPD (2019b) Critical Thinking: </w:t>
      </w:r>
      <w:hyperlink r:id="rId18" w:history="1">
        <w:r w:rsidRPr="00A75611">
          <w:rPr>
            <w:rStyle w:val="Hyperlink"/>
          </w:rPr>
          <w:t>https://www.cipd.co.uk/podcasts/critical-thinking:London</w:t>
        </w:r>
      </w:hyperlink>
      <w:r w:rsidRPr="00A75611">
        <w:t>: CIPD</w:t>
      </w:r>
    </w:p>
    <w:p w14:paraId="3E823118" w14:textId="77777777" w:rsidR="00B96DE6" w:rsidRPr="00A75611" w:rsidRDefault="00B96DE6" w:rsidP="00B96DE6">
      <w:pPr>
        <w:jc w:val="both"/>
      </w:pPr>
      <w:r w:rsidRPr="00A75611">
        <w:t xml:space="preserve">CIPD (2019c) Critical thinking </w:t>
      </w:r>
      <w:hyperlink r:id="rId19" w:history="1">
        <w:r w:rsidRPr="00A75611">
          <w:rPr>
            <w:rStyle w:val="Hyperlink"/>
          </w:rPr>
          <w:t>https://www.cipd.co.uk/podcasts/critical-thinking</w:t>
        </w:r>
      </w:hyperlink>
      <w:r w:rsidRPr="00A75611">
        <w:t xml:space="preserve"> Podcast 154:</w:t>
      </w:r>
    </w:p>
    <w:p w14:paraId="23A23C1D" w14:textId="77777777" w:rsidR="00B96DE6" w:rsidRPr="00A75611" w:rsidRDefault="00B96DE6" w:rsidP="00B96DE6">
      <w:pPr>
        <w:jc w:val="both"/>
      </w:pPr>
      <w:r w:rsidRPr="00A75611">
        <w:t>CIPD (2019) Why does Evidence matter:</w:t>
      </w:r>
      <w:hyperlink r:id="rId20" w:history="1">
        <w:r w:rsidRPr="00A75611">
          <w:rPr>
            <w:rStyle w:val="Hyperlink"/>
          </w:rPr>
          <w:t>https://www.cipd.co.uk/podcasts/ld-why-does-evidence-matter</w:t>
        </w:r>
      </w:hyperlink>
      <w:r w:rsidRPr="00A75611">
        <w:t>: Podcast 169, London: CIPD</w:t>
      </w:r>
    </w:p>
    <w:p w14:paraId="21E8E892" w14:textId="77777777" w:rsidR="00B96DE6" w:rsidRPr="00A75611" w:rsidRDefault="00B96DE6" w:rsidP="00B96DE6">
      <w:pPr>
        <w:jc w:val="both"/>
      </w:pPr>
    </w:p>
    <w:p w14:paraId="7F2F002D" w14:textId="77777777" w:rsidR="00B96DE6" w:rsidRPr="00A75611" w:rsidRDefault="00B96DE6" w:rsidP="00B96DE6">
      <w:pPr>
        <w:jc w:val="both"/>
      </w:pPr>
      <w:r w:rsidRPr="00A75611">
        <w:t>CIPD (2021a) Evidence Based L+D – Why does evidence matter? London: CIPD</w:t>
      </w:r>
    </w:p>
    <w:p w14:paraId="4926C811" w14:textId="77777777" w:rsidR="00B96DE6" w:rsidRPr="00A75611" w:rsidRDefault="00B96DE6" w:rsidP="00B96DE6">
      <w:pPr>
        <w:jc w:val="both"/>
      </w:pPr>
      <w:r w:rsidRPr="00A75611">
        <w:t xml:space="preserve">CIPD (2021b) Swot Analysis: </w:t>
      </w:r>
      <w:hyperlink r:id="rId21" w:history="1">
        <w:r w:rsidRPr="00A75611">
          <w:rPr>
            <w:rStyle w:val="Hyperlink"/>
          </w:rPr>
          <w:t>https://www.cipd.co.uk/knowledge/strategy/organisational-development/swot-analysis-factsheet:London</w:t>
        </w:r>
      </w:hyperlink>
      <w:r w:rsidRPr="00A75611">
        <w:t>: CIPD</w:t>
      </w:r>
    </w:p>
    <w:p w14:paraId="6FD6089E" w14:textId="77777777" w:rsidR="00B96DE6" w:rsidRPr="00A75611" w:rsidRDefault="00B96DE6" w:rsidP="00B96DE6">
      <w:pPr>
        <w:jc w:val="both"/>
      </w:pPr>
      <w:r w:rsidRPr="00A75611">
        <w:t xml:space="preserve">CIPD (2021C) Pestle Analysis: </w:t>
      </w:r>
      <w:hyperlink r:id="rId22" w:history="1">
        <w:r w:rsidRPr="00A75611">
          <w:rPr>
            <w:rStyle w:val="Hyperlink"/>
          </w:rPr>
          <w:t>https://www.cipd.co.uk/knowledge/strategy/organisational-development/pestle-analysis-factsheet,London</w:t>
        </w:r>
      </w:hyperlink>
      <w:r w:rsidRPr="00A75611">
        <w:t>: CIPD</w:t>
      </w:r>
    </w:p>
    <w:p w14:paraId="01158A71" w14:textId="77777777" w:rsidR="00B96DE6" w:rsidRPr="00A75611" w:rsidRDefault="00B96DE6" w:rsidP="00B96DE6">
      <w:pPr>
        <w:jc w:val="both"/>
      </w:pPr>
      <w:r w:rsidRPr="00A75611">
        <w:t xml:space="preserve">CIPD (2021D) Employee Engagement and Motivation, </w:t>
      </w:r>
      <w:hyperlink r:id="rId23" w:history="1">
        <w:r w:rsidRPr="00A75611">
          <w:rPr>
            <w:rStyle w:val="Hyperlink"/>
          </w:rPr>
          <w:t>https://www.cipd.co.uk/knowledge/fundamentals/relations/engagement/factsheet,London</w:t>
        </w:r>
      </w:hyperlink>
      <w:r w:rsidRPr="00A75611">
        <w:t>: CIPD</w:t>
      </w:r>
    </w:p>
    <w:p w14:paraId="326CBA0A" w14:textId="77777777" w:rsidR="00B96DE6" w:rsidRPr="00A75611" w:rsidRDefault="00B96DE6" w:rsidP="00B96DE6">
      <w:pPr>
        <w:jc w:val="both"/>
      </w:pPr>
      <w:r w:rsidRPr="00A75611">
        <w:t xml:space="preserve">CIPD (2022B) People Analytics: </w:t>
      </w:r>
      <w:hyperlink r:id="rId24" w:history="1">
        <w:r w:rsidRPr="00A75611">
          <w:rPr>
            <w:rStyle w:val="Hyperlink"/>
          </w:rPr>
          <w:t>https://www.cipd.co.uk/knowledge/strategy/analytics/factsheet</w:t>
        </w:r>
      </w:hyperlink>
      <w:r w:rsidRPr="00A75611">
        <w:t>, London: CIPD</w:t>
      </w:r>
    </w:p>
    <w:p w14:paraId="1029D2D3" w14:textId="77777777" w:rsidR="00B96DE6" w:rsidRPr="00A75611" w:rsidRDefault="00B96DE6" w:rsidP="00B96DE6">
      <w:pPr>
        <w:jc w:val="both"/>
      </w:pPr>
      <w:r w:rsidRPr="00A75611">
        <w:t xml:space="preserve">CIPD (2022c) </w:t>
      </w:r>
      <w:hyperlink r:id="rId25" w:history="1">
        <w:r w:rsidRPr="00A75611">
          <w:rPr>
            <w:rStyle w:val="Hyperlink"/>
          </w:rPr>
          <w:t>https://www.cipd.co.uk/knowledge/strategy/analytics/evidence-based-practice-factsheet</w:t>
        </w:r>
      </w:hyperlink>
      <w:r w:rsidRPr="00A75611">
        <w:t>, London: CIPD</w:t>
      </w:r>
    </w:p>
    <w:p w14:paraId="2F89A8AE" w14:textId="77777777" w:rsidR="00B96DE6" w:rsidRPr="00A75611" w:rsidRDefault="00B96DE6" w:rsidP="00B96DE6">
      <w:pPr>
        <w:jc w:val="both"/>
        <w:rPr>
          <w:highlight w:val="yellow"/>
        </w:rPr>
      </w:pPr>
      <w:r w:rsidRPr="00A75611">
        <w:t>CIPD (2022d) Incentives and Recognition: https://www.cipd.co.uk/Images/incentives-recognition-practice-summary_tcm18-105466.pdf</w:t>
      </w:r>
    </w:p>
    <w:p w14:paraId="4F18E9FF" w14:textId="77777777" w:rsidR="00B96DE6" w:rsidRPr="00A75611" w:rsidRDefault="00B96DE6" w:rsidP="00B96DE6">
      <w:pPr>
        <w:jc w:val="both"/>
      </w:pPr>
      <w:r w:rsidRPr="00A75611">
        <w:t xml:space="preserve">CIPD (2022d) Performance Management: An Introduction </w:t>
      </w:r>
      <w:hyperlink r:id="rId26" w:history="1">
        <w:r w:rsidRPr="00A75611">
          <w:rPr>
            <w:rStyle w:val="Hyperlink"/>
          </w:rPr>
          <w:t>https://www.cipd.co.uk/knowledge/fundamentals/people/performance/factsheet,London</w:t>
        </w:r>
      </w:hyperlink>
      <w:r w:rsidRPr="00A75611">
        <w:t>: CIPD</w:t>
      </w:r>
    </w:p>
    <w:p w14:paraId="09D5C879" w14:textId="77777777" w:rsidR="00B96DE6" w:rsidRPr="00A75611" w:rsidRDefault="00B96DE6" w:rsidP="00B96DE6">
      <w:pPr>
        <w:jc w:val="both"/>
      </w:pPr>
      <w:r w:rsidRPr="00A75611">
        <w:t xml:space="preserve">CIPD (2022e) Talent Management </w:t>
      </w:r>
      <w:hyperlink r:id="rId27" w:history="1">
        <w:r w:rsidRPr="00A75611">
          <w:rPr>
            <w:rStyle w:val="Hyperlink"/>
          </w:rPr>
          <w:t>https://www.cipd.co.uk/knowledge/strategy/resourcing/talent-factsheet,London</w:t>
        </w:r>
      </w:hyperlink>
      <w:r w:rsidRPr="00A75611">
        <w:t>: CIPD</w:t>
      </w:r>
    </w:p>
    <w:p w14:paraId="69788A3E" w14:textId="77777777" w:rsidR="00B96DE6" w:rsidRPr="00A75611" w:rsidRDefault="00B96DE6" w:rsidP="00B96DE6">
      <w:pPr>
        <w:jc w:val="both"/>
        <w:rPr>
          <w:highlight w:val="yellow"/>
        </w:rPr>
      </w:pPr>
      <w:r w:rsidRPr="00A75611">
        <w:t>CIPD (2014) https://www.cipd.co.uk/knowledge/culture/behaviour/fresh-thinking-learning-development:London</w:t>
      </w:r>
    </w:p>
    <w:p w14:paraId="505C66E1" w14:textId="77777777" w:rsidR="00B96DE6" w:rsidRPr="00A75611" w:rsidRDefault="00B96DE6" w:rsidP="00B96DE6">
      <w:pPr>
        <w:jc w:val="both"/>
      </w:pPr>
      <w:r w:rsidRPr="00A75611">
        <w:t xml:space="preserve">CIPD (2022a) </w:t>
      </w:r>
      <w:r>
        <w:t xml:space="preserve">Evidence-based practice </w:t>
      </w:r>
      <w:r w:rsidRPr="00A75611">
        <w:t xml:space="preserve"> for Effective Decision making,</w:t>
      </w:r>
      <w:hyperlink r:id="rId28" w:history="1">
        <w:r w:rsidRPr="00A75611">
          <w:rPr>
            <w:rStyle w:val="Hyperlink"/>
          </w:rPr>
          <w:t>https://www.cipd.co.uk/knowledge/strategy/analytics/evidence-based-practice-factsheet</w:t>
        </w:r>
      </w:hyperlink>
      <w:r w:rsidRPr="00A75611">
        <w:t>, London: CIPD</w:t>
      </w:r>
    </w:p>
    <w:p w14:paraId="03E3B755" w14:textId="77777777" w:rsidR="00B96DE6" w:rsidRPr="00A75611" w:rsidRDefault="00B96DE6" w:rsidP="00B96DE6">
      <w:pPr>
        <w:jc w:val="both"/>
      </w:pPr>
      <w:r w:rsidRPr="00A75611">
        <w:t xml:space="preserve">CIPD Code of Conduct </w:t>
      </w:r>
      <w:hyperlink r:id="rId29" w:history="1">
        <w:r w:rsidRPr="00A75611">
          <w:rPr>
            <w:rStyle w:val="Hyperlink"/>
          </w:rPr>
          <w:t>https://www.cipd.co.uk/about/what-we-do/professional-standards/code</w:t>
        </w:r>
      </w:hyperlink>
      <w:r w:rsidRPr="00A75611">
        <w:t>, London: CIPD</w:t>
      </w:r>
    </w:p>
    <w:p w14:paraId="51FCF971" w14:textId="77777777" w:rsidR="00B96DE6" w:rsidRPr="00A75611" w:rsidRDefault="00B96DE6" w:rsidP="00B96DE6">
      <w:pPr>
        <w:jc w:val="both"/>
      </w:pPr>
      <w:r w:rsidRPr="00A75611">
        <w:t xml:space="preserve">CIPD Ethics at Work </w:t>
      </w:r>
      <w:hyperlink r:id="rId30" w:history="1">
        <w:r w:rsidRPr="00A75611">
          <w:rPr>
            <w:rStyle w:val="Hyperlink"/>
          </w:rPr>
          <w:t>https://www.cipd.co.uk/Images/7919-ethics-guide_tcm18-66759.pdf</w:t>
        </w:r>
      </w:hyperlink>
      <w:r w:rsidRPr="00A75611">
        <w:t>, London: CIPD</w:t>
      </w:r>
    </w:p>
    <w:p w14:paraId="70FA3B6A" w14:textId="77777777" w:rsidR="00B96DE6" w:rsidRPr="00A75611" w:rsidRDefault="00B96DE6" w:rsidP="00B96DE6">
      <w:pPr>
        <w:jc w:val="both"/>
      </w:pPr>
      <w:r w:rsidRPr="00A75611">
        <w:t>CIPD Making a Business Case – Commercial Drive Unit 6-11, London: CIPD</w:t>
      </w:r>
    </w:p>
    <w:p w14:paraId="4AC649C4" w14:textId="77777777" w:rsidR="00B96DE6" w:rsidRPr="00A75611" w:rsidRDefault="00B96DE6" w:rsidP="00B96DE6">
      <w:pPr>
        <w:jc w:val="both"/>
      </w:pPr>
      <w:r w:rsidRPr="00A75611">
        <w:t xml:space="preserve">CIPD The profession Map </w:t>
      </w:r>
      <w:hyperlink r:id="rId31" w:history="1">
        <w:r w:rsidRPr="00A75611">
          <w:rPr>
            <w:rStyle w:val="Hyperlink"/>
          </w:rPr>
          <w:t>https://peopleprofession.cipd.org/profession-map/core-behaviours/situational-decision-making</w:t>
        </w:r>
      </w:hyperlink>
      <w:r w:rsidRPr="00A75611">
        <w:t>, London: CIPD</w:t>
      </w:r>
    </w:p>
    <w:p w14:paraId="3408D293" w14:textId="77777777" w:rsidR="00B96DE6" w:rsidRPr="00A75611" w:rsidRDefault="00B96DE6" w:rsidP="00B96DE6">
      <w:pPr>
        <w:jc w:val="both"/>
      </w:pPr>
      <w:r w:rsidRPr="00A75611">
        <w:lastRenderedPageBreak/>
        <w:t>Sackett DL (2002) Evidence Based Medicine: How to practice and teach EBM, 2nd Edition, New York: Churchill Livingstone, 2000.</w:t>
      </w:r>
    </w:p>
    <w:p w14:paraId="51831A3B" w14:textId="77777777" w:rsidR="00B96DE6" w:rsidRPr="00A75611" w:rsidRDefault="00B96DE6" w:rsidP="00B96DE6">
      <w:pPr>
        <w:jc w:val="both"/>
      </w:pPr>
      <w:r>
        <w:t xml:space="preserve">Evidence-based </w:t>
      </w:r>
      <w:proofErr w:type="gramStart"/>
      <w:r>
        <w:t xml:space="preserve">practice </w:t>
      </w:r>
      <w:r w:rsidRPr="00A75611">
        <w:t xml:space="preserve"> –</w:t>
      </w:r>
      <w:proofErr w:type="gramEnd"/>
      <w:r w:rsidRPr="00A75611">
        <w:t xml:space="preserve"> Referencing </w:t>
      </w:r>
    </w:p>
    <w:p w14:paraId="2D92388E" w14:textId="77777777" w:rsidR="00B96DE6" w:rsidRPr="00A75611" w:rsidRDefault="00B96DE6" w:rsidP="00B96DE6">
      <w:pPr>
        <w:jc w:val="both"/>
      </w:pPr>
      <w:r w:rsidRPr="00A75611">
        <w:t>Goyal, A (2020) Critical Analysis of Porter’s 5 forces model of competitive advantage, journal of Emerging Technologies and Innovative Research.</w:t>
      </w:r>
    </w:p>
    <w:p w14:paraId="5D90615F" w14:textId="77777777" w:rsidR="00B96DE6" w:rsidRPr="00A75611" w:rsidRDefault="00B96DE6" w:rsidP="00B96DE6">
      <w:pPr>
        <w:jc w:val="both"/>
      </w:pPr>
      <w:proofErr w:type="spellStart"/>
      <w:proofErr w:type="gramStart"/>
      <w:r w:rsidRPr="00A75611">
        <w:t>Hober,J</w:t>
      </w:r>
      <w:proofErr w:type="spellEnd"/>
      <w:proofErr w:type="gramEnd"/>
      <w:r w:rsidRPr="00A75611">
        <w:t xml:space="preserve"> (2020) Critical Thinking: MIT Press, London</w:t>
      </w:r>
    </w:p>
    <w:p w14:paraId="06F465C9" w14:textId="77777777" w:rsidR="00B96DE6" w:rsidRPr="00A75611" w:rsidRDefault="00B96DE6" w:rsidP="00B96DE6">
      <w:pPr>
        <w:jc w:val="both"/>
      </w:pPr>
      <w:r w:rsidRPr="00A75611">
        <w:t>Lathem, Locke (2009) Human Resource Management Journal ‘Becoming an Evidence Base HR Practitioner) https://cebma.org/wp-content/uploads/Rousseau-Barends-HRMJ-2011.pdf</w:t>
      </w:r>
    </w:p>
    <w:p w14:paraId="68F1958D" w14:textId="77777777" w:rsidR="00B96DE6" w:rsidRPr="00A75611" w:rsidRDefault="00B96DE6" w:rsidP="00B96DE6">
      <w:pPr>
        <w:jc w:val="both"/>
      </w:pPr>
      <w:r w:rsidRPr="00A75611">
        <w:t xml:space="preserve">NPTCBC (2022) </w:t>
      </w:r>
      <w:hyperlink r:id="rId32" w:history="1">
        <w:r w:rsidRPr="00A75611">
          <w:rPr>
            <w:rStyle w:val="Hyperlink"/>
          </w:rPr>
          <w:t>Corporate Plan 2022-2027 – Neath Port Talbot Council (npt.gov.uk)</w:t>
        </w:r>
      </w:hyperlink>
    </w:p>
    <w:p w14:paraId="170331A5" w14:textId="77777777" w:rsidR="00B96DE6" w:rsidRPr="00A75611" w:rsidRDefault="00B96DE6" w:rsidP="00B96DE6">
      <w:pPr>
        <w:jc w:val="both"/>
      </w:pPr>
      <w:r w:rsidRPr="00A75611">
        <w:t xml:space="preserve">Porter’s Five Forces, The Framework Explained: </w:t>
      </w:r>
      <w:hyperlink r:id="rId33" w:history="1">
        <w:r w:rsidRPr="00A75611">
          <w:rPr>
            <w:rStyle w:val="Hyperlink"/>
          </w:rPr>
          <w:t>www.mindtools.com</w:t>
        </w:r>
      </w:hyperlink>
    </w:p>
    <w:p w14:paraId="70943E3C" w14:textId="77777777" w:rsidR="00B96DE6" w:rsidRPr="00A75611" w:rsidRDefault="00B96DE6" w:rsidP="00B96DE6">
      <w:pPr>
        <w:jc w:val="both"/>
      </w:pPr>
      <w:r w:rsidRPr="00A75611">
        <w:t xml:space="preserve">Rousseau, D and </w:t>
      </w:r>
      <w:proofErr w:type="gramStart"/>
      <w:r w:rsidRPr="00A75611">
        <w:t>Barends ,E</w:t>
      </w:r>
      <w:proofErr w:type="gramEnd"/>
      <w:r w:rsidRPr="00A75611">
        <w:t xml:space="preserve"> (2011) Human Resource Management Journal ‘Becoming an Evidence Base HR Practitioner: Vol21, No3, 2011, Page 221-235 https://cebma.org/wp-content/uploads/Rousseau-Barends-HRMJ-2011.pdf</w:t>
      </w:r>
    </w:p>
    <w:p w14:paraId="022485F4" w14:textId="77777777" w:rsidR="00B96DE6" w:rsidRDefault="00B96DE6" w:rsidP="00B96DE6">
      <w:pPr>
        <w:spacing w:after="0"/>
        <w:jc w:val="both"/>
      </w:pPr>
      <w:proofErr w:type="spellStart"/>
      <w:proofErr w:type="gramStart"/>
      <w:r w:rsidRPr="00A75611">
        <w:t>Taylor,S</w:t>
      </w:r>
      <w:proofErr w:type="spellEnd"/>
      <w:proofErr w:type="gramEnd"/>
      <w:r w:rsidRPr="00A75611">
        <w:t xml:space="preserve"> and </w:t>
      </w:r>
      <w:proofErr w:type="spellStart"/>
      <w:r w:rsidRPr="00A75611">
        <w:t>Woodhams,C</w:t>
      </w:r>
      <w:proofErr w:type="spellEnd"/>
      <w:r w:rsidRPr="00A75611">
        <w:t xml:space="preserve"> (2022) Studying Human Resource Management, 3rd ed, </w:t>
      </w:r>
      <w:proofErr w:type="spellStart"/>
      <w:r w:rsidRPr="00A75611">
        <w:t>London:Kogan</w:t>
      </w:r>
      <w:proofErr w:type="spellEnd"/>
      <w:r w:rsidRPr="00A75611">
        <w:t xml:space="preserve"> page 46, 6 – 20 pages 114-140, page 121.</w:t>
      </w:r>
    </w:p>
    <w:p w14:paraId="4E338262" w14:textId="77777777" w:rsidR="00B96DE6" w:rsidRDefault="00B96DE6" w:rsidP="00B96DE6">
      <w:pPr>
        <w:spacing w:after="0"/>
        <w:jc w:val="both"/>
      </w:pPr>
    </w:p>
    <w:p w14:paraId="291DD1E8" w14:textId="77777777" w:rsidR="00B96DE6" w:rsidRDefault="00B96DE6" w:rsidP="00B96DE6">
      <w:pPr>
        <w:spacing w:after="0"/>
        <w:jc w:val="both"/>
      </w:pPr>
    </w:p>
    <w:p w14:paraId="780A75C3" w14:textId="77777777" w:rsidR="00B96DE6" w:rsidRDefault="00B96DE6" w:rsidP="00B96DE6">
      <w:pPr>
        <w:spacing w:after="0"/>
        <w:jc w:val="both"/>
      </w:pPr>
    </w:p>
    <w:p w14:paraId="4454BACB" w14:textId="77777777" w:rsidR="00B96DE6" w:rsidRDefault="00B96DE6" w:rsidP="00B96DE6">
      <w:pPr>
        <w:spacing w:after="0"/>
        <w:jc w:val="both"/>
      </w:pPr>
    </w:p>
    <w:p w14:paraId="018EC874" w14:textId="77777777" w:rsidR="00B96DE6" w:rsidRDefault="00B96DE6" w:rsidP="00B96DE6">
      <w:pPr>
        <w:spacing w:after="0"/>
        <w:jc w:val="both"/>
      </w:pPr>
    </w:p>
    <w:p w14:paraId="5DACC149" w14:textId="77777777" w:rsidR="00B96DE6" w:rsidRDefault="00B96DE6" w:rsidP="00B96DE6">
      <w:pPr>
        <w:spacing w:after="0"/>
        <w:jc w:val="both"/>
      </w:pPr>
    </w:p>
    <w:p w14:paraId="478001BC" w14:textId="77777777" w:rsidR="00B96DE6" w:rsidRDefault="00B96DE6" w:rsidP="00B96DE6">
      <w:pPr>
        <w:spacing w:after="0"/>
        <w:jc w:val="both"/>
      </w:pPr>
    </w:p>
    <w:p w14:paraId="14CF640A" w14:textId="77777777" w:rsidR="00B96DE6" w:rsidRDefault="00B96DE6" w:rsidP="00B96DE6">
      <w:pPr>
        <w:spacing w:after="0"/>
        <w:jc w:val="both"/>
      </w:pPr>
    </w:p>
    <w:p w14:paraId="733D85D5" w14:textId="77777777" w:rsidR="00B96DE6" w:rsidRDefault="00B96DE6" w:rsidP="00B96DE6">
      <w:pPr>
        <w:spacing w:after="0"/>
        <w:jc w:val="both"/>
      </w:pPr>
    </w:p>
    <w:p w14:paraId="1A44310B" w14:textId="77777777" w:rsidR="00B96DE6" w:rsidRDefault="00B96DE6" w:rsidP="00B96DE6">
      <w:pPr>
        <w:spacing w:after="0"/>
        <w:jc w:val="both"/>
      </w:pPr>
    </w:p>
    <w:p w14:paraId="451A45CB" w14:textId="77777777" w:rsidR="00B96DE6" w:rsidRDefault="00B96DE6" w:rsidP="00B96DE6">
      <w:pPr>
        <w:spacing w:after="0"/>
        <w:jc w:val="both"/>
      </w:pPr>
    </w:p>
    <w:p w14:paraId="1BF44B93" w14:textId="77777777" w:rsidR="00B96DE6" w:rsidRDefault="00B96DE6" w:rsidP="00B96DE6">
      <w:pPr>
        <w:spacing w:after="0"/>
        <w:jc w:val="both"/>
      </w:pPr>
    </w:p>
    <w:p w14:paraId="0603FD2E" w14:textId="77777777" w:rsidR="00B96DE6" w:rsidRDefault="00B96DE6" w:rsidP="00B96DE6">
      <w:pPr>
        <w:spacing w:after="0"/>
        <w:jc w:val="both"/>
      </w:pPr>
    </w:p>
    <w:p w14:paraId="621478B8" w14:textId="77777777" w:rsidR="00B96DE6" w:rsidRDefault="00B96DE6" w:rsidP="00B96DE6">
      <w:pPr>
        <w:spacing w:after="0"/>
        <w:jc w:val="both"/>
      </w:pPr>
    </w:p>
    <w:p w14:paraId="46680EB9" w14:textId="77777777" w:rsidR="00B96DE6" w:rsidRDefault="00B96DE6" w:rsidP="00B96DE6">
      <w:pPr>
        <w:spacing w:after="0"/>
        <w:jc w:val="both"/>
      </w:pPr>
    </w:p>
    <w:p w14:paraId="2109ADEB" w14:textId="77777777" w:rsidR="00B96DE6" w:rsidRDefault="00B96DE6" w:rsidP="00B96DE6">
      <w:pPr>
        <w:spacing w:after="0"/>
        <w:jc w:val="both"/>
      </w:pPr>
    </w:p>
    <w:p w14:paraId="0B61DAA1" w14:textId="77777777" w:rsidR="00B96DE6" w:rsidRDefault="00B96DE6" w:rsidP="00B96DE6">
      <w:pPr>
        <w:spacing w:after="0"/>
        <w:jc w:val="both"/>
      </w:pPr>
    </w:p>
    <w:p w14:paraId="440D0630" w14:textId="77777777" w:rsidR="00B96DE6" w:rsidRDefault="00B96DE6" w:rsidP="00B96DE6">
      <w:pPr>
        <w:spacing w:after="0"/>
        <w:jc w:val="both"/>
      </w:pPr>
    </w:p>
    <w:p w14:paraId="42B34604" w14:textId="77777777" w:rsidR="00B96DE6" w:rsidRDefault="00B96DE6" w:rsidP="00B96DE6">
      <w:pPr>
        <w:spacing w:after="0"/>
        <w:jc w:val="both"/>
      </w:pPr>
    </w:p>
    <w:p w14:paraId="7291D47A" w14:textId="77777777" w:rsidR="00B96DE6" w:rsidRDefault="00B96DE6" w:rsidP="00B96DE6">
      <w:pPr>
        <w:spacing w:after="0"/>
        <w:jc w:val="both"/>
      </w:pPr>
    </w:p>
    <w:p w14:paraId="5F914208" w14:textId="77777777" w:rsidR="00B96DE6" w:rsidRDefault="00B96DE6" w:rsidP="00B96DE6">
      <w:pPr>
        <w:spacing w:after="0"/>
        <w:jc w:val="both"/>
      </w:pPr>
    </w:p>
    <w:p w14:paraId="629F1488" w14:textId="77777777" w:rsidR="00B96DE6" w:rsidRDefault="00B96DE6" w:rsidP="00B96DE6">
      <w:pPr>
        <w:spacing w:after="0"/>
        <w:jc w:val="both"/>
      </w:pPr>
    </w:p>
    <w:p w14:paraId="0BE38744" w14:textId="77777777" w:rsidR="00B96DE6" w:rsidRDefault="00B96DE6" w:rsidP="00B96DE6">
      <w:pPr>
        <w:spacing w:after="0"/>
        <w:jc w:val="both"/>
      </w:pPr>
    </w:p>
    <w:p w14:paraId="32C8F7B9" w14:textId="77777777" w:rsidR="00B96DE6" w:rsidRDefault="00B96DE6" w:rsidP="00B96DE6">
      <w:pPr>
        <w:spacing w:after="0"/>
        <w:jc w:val="both"/>
      </w:pPr>
    </w:p>
    <w:p w14:paraId="62D43AA3" w14:textId="77777777" w:rsidR="00B96DE6" w:rsidRDefault="00B96DE6" w:rsidP="00B96DE6">
      <w:pPr>
        <w:spacing w:after="0"/>
        <w:jc w:val="both"/>
      </w:pPr>
    </w:p>
    <w:p w14:paraId="02DA7588" w14:textId="77777777" w:rsidR="00B96DE6" w:rsidRDefault="00B96DE6" w:rsidP="00B96DE6">
      <w:pPr>
        <w:spacing w:after="0"/>
        <w:jc w:val="both"/>
      </w:pPr>
    </w:p>
    <w:p w14:paraId="11DB8E9E" w14:textId="77777777" w:rsidR="00B96DE6" w:rsidRDefault="00B96DE6" w:rsidP="00B96DE6">
      <w:pPr>
        <w:spacing w:after="0"/>
        <w:jc w:val="both"/>
      </w:pPr>
    </w:p>
    <w:p w14:paraId="2EFAFD52" w14:textId="77777777" w:rsidR="00B96DE6" w:rsidRDefault="00B96DE6" w:rsidP="00B96DE6">
      <w:pPr>
        <w:spacing w:after="0"/>
        <w:jc w:val="both"/>
      </w:pPr>
    </w:p>
    <w:p w14:paraId="6DD50CED" w14:textId="77777777" w:rsidR="00B96DE6" w:rsidRDefault="00B96DE6" w:rsidP="00B96DE6">
      <w:pPr>
        <w:spacing w:after="0"/>
        <w:jc w:val="both"/>
      </w:pPr>
    </w:p>
    <w:p w14:paraId="215DCDA5" w14:textId="77777777" w:rsidR="00B96DE6" w:rsidRDefault="00B96DE6" w:rsidP="00B96DE6">
      <w:pPr>
        <w:spacing w:after="0"/>
        <w:jc w:val="both"/>
      </w:pPr>
    </w:p>
    <w:p w14:paraId="26A6FC00" w14:textId="77777777" w:rsidR="008E40C0" w:rsidRDefault="008E40C0" w:rsidP="00B96DE6">
      <w:pPr>
        <w:spacing w:after="0"/>
        <w:jc w:val="both"/>
      </w:pPr>
    </w:p>
    <w:p w14:paraId="6F1E434B" w14:textId="77777777" w:rsidR="008E40C0" w:rsidRDefault="008E40C0" w:rsidP="00B96DE6">
      <w:pPr>
        <w:spacing w:after="0"/>
        <w:jc w:val="both"/>
      </w:pPr>
    </w:p>
    <w:p w14:paraId="77089665" w14:textId="77777777" w:rsidR="00B96DE6" w:rsidRDefault="00B96DE6" w:rsidP="00B96DE6">
      <w:pPr>
        <w:spacing w:after="0"/>
        <w:jc w:val="both"/>
      </w:pPr>
    </w:p>
    <w:p w14:paraId="1F7E8E2A" w14:textId="77777777" w:rsidR="00B96DE6" w:rsidRDefault="00B96DE6" w:rsidP="00B96DE6">
      <w:pPr>
        <w:spacing w:after="0"/>
        <w:jc w:val="both"/>
      </w:pPr>
      <w:r w:rsidRPr="00A75611">
        <w:lastRenderedPageBreak/>
        <w:t>TASK 2 – Quantitative and Qualitative Analysis Review</w:t>
      </w:r>
    </w:p>
    <w:p w14:paraId="5520A345" w14:textId="77777777" w:rsidR="00B96DE6" w:rsidRDefault="00B96DE6" w:rsidP="00B96DE6">
      <w:pPr>
        <w:spacing w:after="0"/>
        <w:jc w:val="both"/>
      </w:pPr>
    </w:p>
    <w:p w14:paraId="602468E1" w14:textId="77777777" w:rsidR="00EB7663" w:rsidRPr="00A75611" w:rsidRDefault="00EB7663" w:rsidP="00EB7663">
      <w:pPr>
        <w:jc w:val="both"/>
      </w:pPr>
      <w:r w:rsidRPr="00A75611">
        <w:t>Executive Summary</w:t>
      </w:r>
    </w:p>
    <w:p w14:paraId="6FD85F45" w14:textId="77777777" w:rsidR="00EB7663" w:rsidRPr="00A75611" w:rsidRDefault="00EB7663" w:rsidP="00EB7663">
      <w:pPr>
        <w:jc w:val="both"/>
      </w:pPr>
      <w:r w:rsidRPr="00A75611">
        <w:t>Adding value to people practise by analysing the data to gain the most effective business decisions whilst also being able to provide recommendations.</w:t>
      </w:r>
    </w:p>
    <w:p w14:paraId="5ACBCA9B" w14:textId="77777777" w:rsidR="00EB7663" w:rsidRDefault="00EB7663" w:rsidP="00EB7663">
      <w:pPr>
        <w:spacing w:after="0"/>
        <w:jc w:val="both"/>
      </w:pPr>
      <w:r w:rsidRPr="00A75611">
        <w:t>Introduction</w:t>
      </w:r>
    </w:p>
    <w:p w14:paraId="572895EB" w14:textId="77777777" w:rsidR="00EB7663" w:rsidRDefault="00EB7663" w:rsidP="00EB7663">
      <w:pPr>
        <w:spacing w:after="0"/>
        <w:jc w:val="both"/>
      </w:pPr>
    </w:p>
    <w:p w14:paraId="4B0C2AA4" w14:textId="77777777" w:rsidR="004078E0" w:rsidRDefault="00EB7663" w:rsidP="00B96DE6">
      <w:pPr>
        <w:spacing w:after="0"/>
        <w:jc w:val="both"/>
      </w:pPr>
      <w:r w:rsidRPr="00EB7663">
        <w:t>One of the main goals of making wise decisions and judgements in people's practise is to analyse the data and apply analysis to resolve problems, take preventative action where appropriate, and spot trends so that you may use the best data available to make wise recommendations. To put it simply, qualitative data is information gathered by words and meanings, whereas quantitative data is information gathered through numerical forms (graphs, etc.) and used to analyse data (Taylor and Woodhams, 2022).</w:t>
      </w:r>
    </w:p>
    <w:p w14:paraId="2CCCC05A" w14:textId="77777777" w:rsidR="00EB7663" w:rsidRDefault="00EB7663" w:rsidP="00B96DE6">
      <w:pPr>
        <w:spacing w:after="0"/>
        <w:jc w:val="both"/>
      </w:pPr>
    </w:p>
    <w:p w14:paraId="45FC1051" w14:textId="77777777" w:rsidR="00EB7663" w:rsidRDefault="00EB7663" w:rsidP="00B96DE6">
      <w:pPr>
        <w:spacing w:after="0"/>
        <w:jc w:val="both"/>
      </w:pPr>
      <w:r w:rsidRPr="00EB7663">
        <w:t>The following graphs will offer quantitative statistics on absence data in five important areas along with a succinct analysis of themes and patterns across departments. - Making the best decisions possible constantly requires asking more questions and finding more evidence-based data, even after analysis has been reviewed (CIPD – Profession Map).</w:t>
      </w:r>
    </w:p>
    <w:p w14:paraId="720AC22C" w14:textId="77777777" w:rsidR="004078E0" w:rsidRDefault="008E40C0" w:rsidP="00B96DE6">
      <w:pPr>
        <w:spacing w:after="0"/>
        <w:jc w:val="both"/>
      </w:pPr>
      <w:r>
        <w:tab/>
      </w:r>
    </w:p>
    <w:p w14:paraId="21C80E84" w14:textId="77777777" w:rsidR="008E40C0" w:rsidRDefault="008E40C0" w:rsidP="008E40C0">
      <w:pPr>
        <w:pStyle w:val="ListParagraph"/>
        <w:numPr>
          <w:ilvl w:val="0"/>
          <w:numId w:val="10"/>
        </w:numPr>
        <w:spacing w:after="0" w:line="240" w:lineRule="auto"/>
      </w:pPr>
      <w:r>
        <w:t>percentage of each gender by type.</w:t>
      </w:r>
    </w:p>
    <w:p w14:paraId="12E1B399" w14:textId="77777777" w:rsidR="008E40C0" w:rsidRDefault="008E40C0" w:rsidP="008E40C0">
      <w:pPr>
        <w:pStyle w:val="ListParagraph"/>
        <w:numPr>
          <w:ilvl w:val="0"/>
          <w:numId w:val="10"/>
        </w:numPr>
        <w:spacing w:after="0" w:line="240" w:lineRule="auto"/>
      </w:pPr>
      <w:r>
        <w:t>ethnicity as a percentage per team.</w:t>
      </w:r>
    </w:p>
    <w:p w14:paraId="77B3BFA8" w14:textId="77777777" w:rsidR="008E40C0" w:rsidRDefault="008E40C0" w:rsidP="008E40C0">
      <w:pPr>
        <w:pStyle w:val="ListParagraph"/>
        <w:numPr>
          <w:ilvl w:val="0"/>
          <w:numId w:val="10"/>
        </w:numPr>
        <w:spacing w:after="0" w:line="240" w:lineRule="auto"/>
      </w:pPr>
      <w:r>
        <w:t xml:space="preserve">disability percentage as an organisational whole and by teams. </w:t>
      </w:r>
    </w:p>
    <w:p w14:paraId="45CC9062" w14:textId="77777777" w:rsidR="008E40C0" w:rsidRDefault="008E40C0" w:rsidP="008E40C0">
      <w:pPr>
        <w:pStyle w:val="ListParagraph"/>
        <w:numPr>
          <w:ilvl w:val="0"/>
          <w:numId w:val="10"/>
        </w:numPr>
        <w:spacing w:after="0" w:line="240" w:lineRule="auto"/>
      </w:pPr>
      <w:r>
        <w:t>salary difference across genders.</w:t>
      </w:r>
    </w:p>
    <w:p w14:paraId="53CBDF49" w14:textId="77777777" w:rsidR="008E40C0" w:rsidRDefault="008E40C0" w:rsidP="008E40C0">
      <w:pPr>
        <w:pStyle w:val="ListParagraph"/>
        <w:numPr>
          <w:ilvl w:val="0"/>
          <w:numId w:val="10"/>
        </w:numPr>
        <w:spacing w:after="0"/>
        <w:jc w:val="both"/>
      </w:pPr>
      <w:r>
        <w:t>overall average salary paid by the organisation</w:t>
      </w:r>
    </w:p>
    <w:p w14:paraId="4F41CBA2" w14:textId="77777777" w:rsidR="008E40C0" w:rsidRDefault="008E40C0" w:rsidP="00B96DE6">
      <w:pPr>
        <w:spacing w:after="0"/>
        <w:jc w:val="both"/>
      </w:pPr>
    </w:p>
    <w:p w14:paraId="2A2DF712" w14:textId="77777777" w:rsidR="008E40C0" w:rsidRPr="00A75611" w:rsidRDefault="008E40C0" w:rsidP="008E40C0">
      <w:pPr>
        <w:jc w:val="both"/>
      </w:pPr>
      <w:r w:rsidRPr="00A75611">
        <w:t>Methodology</w:t>
      </w:r>
    </w:p>
    <w:p w14:paraId="406C32A0" w14:textId="77777777" w:rsidR="008E40C0" w:rsidRPr="00A75611" w:rsidRDefault="008E40C0" w:rsidP="008E40C0">
      <w:pPr>
        <w:jc w:val="both"/>
      </w:pPr>
      <w:r w:rsidRPr="00A75611">
        <w:t>In order to complete this report I have used credible and founded Websites/Books/Podcasts and factsheets.</w:t>
      </w:r>
    </w:p>
    <w:p w14:paraId="11DEE9BD" w14:textId="77777777" w:rsidR="008E40C0" w:rsidRDefault="008E40C0" w:rsidP="00B96DE6">
      <w:pPr>
        <w:spacing w:after="0"/>
        <w:jc w:val="both"/>
      </w:pPr>
    </w:p>
    <w:p w14:paraId="2FB9A152" w14:textId="77777777" w:rsidR="004078E0" w:rsidRDefault="008E40C0" w:rsidP="004078E0">
      <w:pPr>
        <w:pStyle w:val="ListParagraph"/>
        <w:numPr>
          <w:ilvl w:val="0"/>
          <w:numId w:val="7"/>
        </w:numPr>
        <w:spacing w:after="0" w:line="240" w:lineRule="auto"/>
      </w:pPr>
      <w:r>
        <w:t>P</w:t>
      </w:r>
      <w:r w:rsidR="004078E0">
        <w:t>ercentage of each gender by type.</w:t>
      </w:r>
    </w:p>
    <w:p w14:paraId="7F6EA053" w14:textId="77777777" w:rsidR="004078E0" w:rsidRDefault="004078E0" w:rsidP="004078E0">
      <w:pPr>
        <w:pStyle w:val="ListParagraph"/>
        <w:spacing w:after="0" w:line="240" w:lineRule="auto"/>
      </w:pPr>
    </w:p>
    <w:p w14:paraId="520992AD" w14:textId="77777777" w:rsidR="00FF729B" w:rsidRDefault="004078E0" w:rsidP="007D08C8">
      <w:pPr>
        <w:pStyle w:val="ListParagraph"/>
        <w:spacing w:after="0" w:line="240" w:lineRule="auto"/>
      </w:pPr>
      <w:r>
        <w:rPr>
          <w:noProof/>
          <w:lang w:eastAsia="en-GB"/>
        </w:rPr>
        <w:drawing>
          <wp:inline distT="0" distB="0" distL="0" distR="0" wp14:anchorId="792CA498" wp14:editId="40B34AA3">
            <wp:extent cx="4691924" cy="19442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739946" cy="1964184"/>
                    </a:xfrm>
                    <a:prstGeom prst="rect">
                      <a:avLst/>
                    </a:prstGeom>
                  </pic:spPr>
                </pic:pic>
              </a:graphicData>
            </a:graphic>
          </wp:inline>
        </w:drawing>
      </w:r>
    </w:p>
    <w:p w14:paraId="544CE0DF" w14:textId="77777777" w:rsidR="004078E0" w:rsidRDefault="004078E0" w:rsidP="004078E0">
      <w:pPr>
        <w:pStyle w:val="ListParagraph"/>
        <w:spacing w:after="0" w:line="240" w:lineRule="auto"/>
      </w:pPr>
    </w:p>
    <w:p w14:paraId="245BA5AD" w14:textId="77777777" w:rsidR="007D08C8" w:rsidRDefault="008E40C0" w:rsidP="007D08C8">
      <w:pPr>
        <w:pStyle w:val="ListParagraph"/>
        <w:numPr>
          <w:ilvl w:val="0"/>
          <w:numId w:val="7"/>
        </w:numPr>
        <w:spacing w:after="0" w:line="240" w:lineRule="auto"/>
      </w:pPr>
      <w:r>
        <w:t>E</w:t>
      </w:r>
      <w:r w:rsidR="004078E0">
        <w:t>t</w:t>
      </w:r>
      <w:r w:rsidR="007D08C8">
        <w:t>hnicity as a percentage per team</w:t>
      </w:r>
    </w:p>
    <w:p w14:paraId="6AEFAF71" w14:textId="77777777" w:rsidR="00116BC5" w:rsidRDefault="00116BC5" w:rsidP="00116BC5">
      <w:pPr>
        <w:spacing w:after="0" w:line="240" w:lineRule="auto"/>
      </w:pPr>
      <w:r>
        <w:rPr>
          <w:noProof/>
          <w:lang w:eastAsia="en-GB"/>
        </w:rPr>
        <w:lastRenderedPageBreak/>
        <w:drawing>
          <wp:inline distT="0" distB="0" distL="0" distR="0" wp14:anchorId="39432CF3" wp14:editId="61204908">
            <wp:extent cx="6471557" cy="2650671"/>
            <wp:effectExtent l="0" t="0" r="5715" b="1651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082A7AD7" w14:textId="77777777" w:rsidR="004078E0" w:rsidRDefault="004078E0" w:rsidP="004078E0">
      <w:pPr>
        <w:spacing w:after="0" w:line="240" w:lineRule="auto"/>
      </w:pPr>
    </w:p>
    <w:p w14:paraId="60B73616" w14:textId="77777777" w:rsidR="004078E0" w:rsidRDefault="004078E0" w:rsidP="004078E0">
      <w:pPr>
        <w:pStyle w:val="ListParagraph"/>
        <w:numPr>
          <w:ilvl w:val="0"/>
          <w:numId w:val="7"/>
        </w:numPr>
        <w:spacing w:after="0" w:line="240" w:lineRule="auto"/>
      </w:pPr>
      <w:r>
        <w:t>disability percentage as an organisational whole and by teams</w:t>
      </w:r>
    </w:p>
    <w:p w14:paraId="6FA2DBBB" w14:textId="77777777" w:rsidR="004078E0" w:rsidRDefault="00116BC5" w:rsidP="004078E0">
      <w:pPr>
        <w:spacing w:after="0" w:line="240" w:lineRule="auto"/>
      </w:pPr>
      <w:r>
        <w:rPr>
          <w:noProof/>
          <w:lang w:eastAsia="en-GB"/>
        </w:rPr>
        <w:drawing>
          <wp:inline distT="0" distB="0" distL="0" distR="0" wp14:anchorId="2E9EA12F" wp14:editId="169A436C">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55D48ACB" w14:textId="77777777" w:rsidR="00FF729B" w:rsidRDefault="00FF729B" w:rsidP="004078E0">
      <w:pPr>
        <w:spacing w:after="0" w:line="240" w:lineRule="auto"/>
      </w:pPr>
    </w:p>
    <w:p w14:paraId="55DD834F" w14:textId="77777777" w:rsidR="00654B18" w:rsidRDefault="003741C2" w:rsidP="004078E0">
      <w:pPr>
        <w:spacing w:after="0" w:line="240" w:lineRule="auto"/>
      </w:pPr>
      <w:r>
        <w:t xml:space="preserve">     </w:t>
      </w:r>
      <w:r w:rsidR="00FF729B">
        <w:rPr>
          <w:noProof/>
          <w:lang w:eastAsia="en-GB"/>
        </w:rPr>
        <w:drawing>
          <wp:inline distT="0" distB="0" distL="0" distR="0" wp14:anchorId="37193451" wp14:editId="5CF8D619">
            <wp:extent cx="4310562" cy="2667000"/>
            <wp:effectExtent l="0" t="0" r="1397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r>
        <w:t xml:space="preserve">          </w:t>
      </w:r>
    </w:p>
    <w:p w14:paraId="2E034751" w14:textId="77777777" w:rsidR="008E40C0" w:rsidRDefault="00230C5A" w:rsidP="004078E0">
      <w:pPr>
        <w:spacing w:after="0" w:line="240" w:lineRule="auto"/>
      </w:pPr>
      <w:r w:rsidRPr="00A75611">
        <w:t xml:space="preserve">The </w:t>
      </w:r>
      <w:r>
        <w:t>disability data is based is based on 21 Disabled versus 239 Not Disabled</w:t>
      </w:r>
    </w:p>
    <w:p w14:paraId="4ED3AB31" w14:textId="77777777" w:rsidR="008E40C0" w:rsidRDefault="008E40C0" w:rsidP="004078E0">
      <w:pPr>
        <w:spacing w:after="0" w:line="240" w:lineRule="auto"/>
      </w:pPr>
    </w:p>
    <w:p w14:paraId="295B5C8E" w14:textId="77777777" w:rsidR="008C4884" w:rsidRDefault="008C4884" w:rsidP="004078E0">
      <w:pPr>
        <w:spacing w:after="0" w:line="240" w:lineRule="auto"/>
      </w:pPr>
    </w:p>
    <w:p w14:paraId="30FA80B0" w14:textId="77777777" w:rsidR="008C4884" w:rsidRDefault="008C4884" w:rsidP="004078E0">
      <w:pPr>
        <w:spacing w:after="0" w:line="240" w:lineRule="auto"/>
      </w:pPr>
    </w:p>
    <w:p w14:paraId="1527B642" w14:textId="77777777" w:rsidR="008C4884" w:rsidRDefault="008C4884" w:rsidP="004078E0">
      <w:pPr>
        <w:spacing w:after="0" w:line="240" w:lineRule="auto"/>
      </w:pPr>
    </w:p>
    <w:p w14:paraId="2F87BF0B" w14:textId="77777777" w:rsidR="008E40C0" w:rsidRDefault="008E40C0" w:rsidP="004078E0">
      <w:pPr>
        <w:spacing w:after="0" w:line="240" w:lineRule="auto"/>
      </w:pPr>
    </w:p>
    <w:p w14:paraId="05B8E443" w14:textId="77777777" w:rsidR="007D08C8" w:rsidRDefault="007D08C8" w:rsidP="004078E0">
      <w:pPr>
        <w:spacing w:after="0" w:line="240" w:lineRule="auto"/>
      </w:pPr>
    </w:p>
    <w:p w14:paraId="21199AF6" w14:textId="77777777" w:rsidR="002B55C9" w:rsidRDefault="008E40C0" w:rsidP="008E40C0">
      <w:pPr>
        <w:pStyle w:val="ListParagraph"/>
        <w:numPr>
          <w:ilvl w:val="0"/>
          <w:numId w:val="7"/>
        </w:numPr>
        <w:spacing w:after="0" w:line="240" w:lineRule="auto"/>
      </w:pPr>
      <w:r>
        <w:lastRenderedPageBreak/>
        <w:t>S</w:t>
      </w:r>
      <w:r w:rsidR="004078E0">
        <w:t>alary difference across genders.</w:t>
      </w:r>
    </w:p>
    <w:p w14:paraId="6E5A80D1" w14:textId="77777777" w:rsidR="002B55C9" w:rsidRDefault="002B55C9" w:rsidP="002B55C9">
      <w:pPr>
        <w:pStyle w:val="ListParagraph"/>
        <w:spacing w:after="0" w:line="240" w:lineRule="auto"/>
      </w:pPr>
    </w:p>
    <w:p w14:paraId="210CCDA2" w14:textId="77777777" w:rsidR="004078E0" w:rsidRDefault="002B55C9" w:rsidP="008E40C0">
      <w:pPr>
        <w:pStyle w:val="ListParagraph"/>
        <w:spacing w:after="0" w:line="240" w:lineRule="auto"/>
      </w:pPr>
      <w:r>
        <w:rPr>
          <w:noProof/>
          <w:lang w:eastAsia="en-GB"/>
        </w:rPr>
        <w:drawing>
          <wp:inline distT="0" distB="0" distL="0" distR="0" wp14:anchorId="513A72A5" wp14:editId="4A4CFD8E">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03399580" w14:textId="77777777" w:rsidR="008E40C0" w:rsidRDefault="008C4884" w:rsidP="008E40C0">
      <w:pPr>
        <w:spacing w:after="0" w:line="240" w:lineRule="auto"/>
      </w:pPr>
      <w:r>
        <w:t>The salary</w:t>
      </w:r>
      <w:r w:rsidRPr="00A75611">
        <w:t xml:space="preserve"> data is based on Male 372 days lost</w:t>
      </w:r>
      <w:r>
        <w:t xml:space="preserve"> versus 255 days</w:t>
      </w:r>
    </w:p>
    <w:p w14:paraId="5328F437" w14:textId="77777777" w:rsidR="008C4884" w:rsidRDefault="008C4884" w:rsidP="008E40C0">
      <w:pPr>
        <w:spacing w:after="0" w:line="240" w:lineRule="auto"/>
      </w:pPr>
    </w:p>
    <w:p w14:paraId="652DBBF8" w14:textId="77777777" w:rsidR="008C4884" w:rsidRDefault="008C4884" w:rsidP="008E40C0">
      <w:pPr>
        <w:spacing w:after="0" w:line="240" w:lineRule="auto"/>
      </w:pPr>
    </w:p>
    <w:p w14:paraId="26910FB5" w14:textId="77777777" w:rsidR="002B55C9" w:rsidRDefault="004078E0" w:rsidP="008E40C0">
      <w:pPr>
        <w:pStyle w:val="ListParagraph"/>
        <w:numPr>
          <w:ilvl w:val="0"/>
          <w:numId w:val="7"/>
        </w:numPr>
        <w:spacing w:after="0"/>
        <w:jc w:val="both"/>
      </w:pPr>
      <w:r>
        <w:t>overall average salary paid by the organisation</w:t>
      </w:r>
    </w:p>
    <w:p w14:paraId="26145AD6" w14:textId="77777777" w:rsidR="003741C2" w:rsidRDefault="003741C2" w:rsidP="003741C2">
      <w:pPr>
        <w:pStyle w:val="ListParagraph"/>
        <w:spacing w:after="0"/>
        <w:jc w:val="both"/>
      </w:pPr>
    </w:p>
    <w:tbl>
      <w:tblPr>
        <w:tblW w:w="4311" w:type="dxa"/>
        <w:tblInd w:w="699" w:type="dxa"/>
        <w:tblLook w:val="04A0" w:firstRow="1" w:lastRow="0" w:firstColumn="1" w:lastColumn="0" w:noHBand="0" w:noVBand="1"/>
      </w:tblPr>
      <w:tblGrid>
        <w:gridCol w:w="1231"/>
        <w:gridCol w:w="1680"/>
        <w:gridCol w:w="1400"/>
      </w:tblGrid>
      <w:tr w:rsidR="002B55C9" w:rsidRPr="002B55C9" w14:paraId="6ACABC56" w14:textId="77777777" w:rsidTr="003741C2">
        <w:trPr>
          <w:trHeight w:val="288"/>
        </w:trPr>
        <w:tc>
          <w:tcPr>
            <w:tcW w:w="1231" w:type="dxa"/>
            <w:tcBorders>
              <w:top w:val="single" w:sz="8" w:space="0" w:color="auto"/>
              <w:left w:val="single" w:sz="8" w:space="0" w:color="auto"/>
              <w:bottom w:val="nil"/>
              <w:right w:val="nil"/>
            </w:tcBorders>
            <w:shd w:val="clear" w:color="000000" w:fill="B4C6E7"/>
            <w:noWrap/>
            <w:vAlign w:val="bottom"/>
            <w:hideMark/>
          </w:tcPr>
          <w:p w14:paraId="75ED938A" w14:textId="77777777" w:rsidR="002B55C9" w:rsidRPr="002B55C9" w:rsidRDefault="002B55C9" w:rsidP="002B55C9">
            <w:pPr>
              <w:spacing w:after="0" w:line="240" w:lineRule="auto"/>
              <w:rPr>
                <w:rFonts w:ascii="Calibri" w:eastAsia="Times New Roman" w:hAnsi="Calibri" w:cs="Calibri"/>
                <w:b/>
                <w:bCs/>
                <w:color w:val="000000"/>
                <w:lang w:eastAsia="en-GB"/>
              </w:rPr>
            </w:pPr>
            <w:r w:rsidRPr="002B55C9">
              <w:rPr>
                <w:rFonts w:ascii="Calibri" w:eastAsia="Times New Roman" w:hAnsi="Calibri" w:cs="Calibri"/>
                <w:b/>
                <w:bCs/>
                <w:color w:val="000000"/>
                <w:lang w:eastAsia="en-GB"/>
              </w:rPr>
              <w:t> </w:t>
            </w:r>
          </w:p>
        </w:tc>
        <w:tc>
          <w:tcPr>
            <w:tcW w:w="1680" w:type="dxa"/>
            <w:tcBorders>
              <w:top w:val="single" w:sz="8" w:space="0" w:color="auto"/>
              <w:left w:val="single" w:sz="8" w:space="0" w:color="auto"/>
              <w:bottom w:val="nil"/>
              <w:right w:val="single" w:sz="8" w:space="0" w:color="auto"/>
            </w:tcBorders>
            <w:shd w:val="clear" w:color="000000" w:fill="B4C6E7"/>
            <w:noWrap/>
            <w:vAlign w:val="bottom"/>
            <w:hideMark/>
          </w:tcPr>
          <w:p w14:paraId="36420022" w14:textId="77777777" w:rsidR="002B55C9" w:rsidRPr="002B55C9" w:rsidRDefault="002B55C9" w:rsidP="002B55C9">
            <w:pPr>
              <w:spacing w:after="0" w:line="240" w:lineRule="auto"/>
              <w:rPr>
                <w:rFonts w:ascii="Calibri" w:eastAsia="Times New Roman" w:hAnsi="Calibri" w:cs="Calibri"/>
                <w:b/>
                <w:bCs/>
                <w:color w:val="000000"/>
                <w:lang w:eastAsia="en-GB"/>
              </w:rPr>
            </w:pPr>
            <w:r w:rsidRPr="002B55C9">
              <w:rPr>
                <w:rFonts w:ascii="Calibri" w:eastAsia="Times New Roman" w:hAnsi="Calibri" w:cs="Calibri"/>
                <w:b/>
                <w:bCs/>
                <w:color w:val="000000"/>
                <w:lang w:eastAsia="en-GB"/>
              </w:rPr>
              <w:t> </w:t>
            </w:r>
          </w:p>
        </w:tc>
        <w:tc>
          <w:tcPr>
            <w:tcW w:w="1400" w:type="dxa"/>
            <w:tcBorders>
              <w:top w:val="single" w:sz="8" w:space="0" w:color="auto"/>
              <w:left w:val="nil"/>
              <w:bottom w:val="nil"/>
              <w:right w:val="single" w:sz="8" w:space="0" w:color="auto"/>
            </w:tcBorders>
            <w:shd w:val="clear" w:color="000000" w:fill="B4C6E7"/>
            <w:noWrap/>
            <w:vAlign w:val="bottom"/>
            <w:hideMark/>
          </w:tcPr>
          <w:p w14:paraId="1D0BDA84" w14:textId="77777777" w:rsidR="002B55C9" w:rsidRPr="002B55C9" w:rsidRDefault="002B55C9" w:rsidP="002B55C9">
            <w:pPr>
              <w:spacing w:after="0" w:line="240" w:lineRule="auto"/>
              <w:rPr>
                <w:rFonts w:ascii="Calibri" w:eastAsia="Times New Roman" w:hAnsi="Calibri" w:cs="Calibri"/>
                <w:b/>
                <w:bCs/>
                <w:color w:val="000000"/>
                <w:lang w:eastAsia="en-GB"/>
              </w:rPr>
            </w:pPr>
            <w:r w:rsidRPr="002B55C9">
              <w:rPr>
                <w:rFonts w:ascii="Calibri" w:eastAsia="Times New Roman" w:hAnsi="Calibri" w:cs="Calibri"/>
                <w:b/>
                <w:bCs/>
                <w:color w:val="000000"/>
                <w:lang w:eastAsia="en-GB"/>
              </w:rPr>
              <w:t> </w:t>
            </w:r>
          </w:p>
        </w:tc>
      </w:tr>
      <w:tr w:rsidR="002B55C9" w:rsidRPr="002B55C9" w14:paraId="25A3DBB2" w14:textId="77777777" w:rsidTr="003741C2">
        <w:trPr>
          <w:trHeight w:val="300"/>
        </w:trPr>
        <w:tc>
          <w:tcPr>
            <w:tcW w:w="1231" w:type="dxa"/>
            <w:tcBorders>
              <w:top w:val="nil"/>
              <w:left w:val="single" w:sz="8" w:space="0" w:color="auto"/>
              <w:bottom w:val="single" w:sz="8" w:space="0" w:color="auto"/>
              <w:right w:val="nil"/>
            </w:tcBorders>
            <w:shd w:val="clear" w:color="000000" w:fill="B4C6E7"/>
            <w:noWrap/>
            <w:vAlign w:val="bottom"/>
            <w:hideMark/>
          </w:tcPr>
          <w:p w14:paraId="7EA82CE5" w14:textId="77777777" w:rsidR="002B55C9" w:rsidRPr="002B55C9" w:rsidRDefault="002B55C9" w:rsidP="002B55C9">
            <w:pPr>
              <w:spacing w:after="0" w:line="240" w:lineRule="auto"/>
              <w:jc w:val="right"/>
              <w:rPr>
                <w:rFonts w:ascii="Calibri" w:eastAsia="Times New Roman" w:hAnsi="Calibri" w:cs="Calibri"/>
                <w:b/>
                <w:bCs/>
                <w:color w:val="000000"/>
                <w:lang w:eastAsia="en-GB"/>
              </w:rPr>
            </w:pPr>
            <w:r w:rsidRPr="002B55C9">
              <w:rPr>
                <w:rFonts w:ascii="Calibri" w:eastAsia="Times New Roman" w:hAnsi="Calibri" w:cs="Calibri"/>
                <w:b/>
                <w:bCs/>
                <w:color w:val="000000"/>
                <w:lang w:eastAsia="en-GB"/>
              </w:rPr>
              <w:t>No of Employees</w:t>
            </w:r>
          </w:p>
        </w:tc>
        <w:tc>
          <w:tcPr>
            <w:tcW w:w="1680" w:type="dxa"/>
            <w:tcBorders>
              <w:top w:val="nil"/>
              <w:left w:val="single" w:sz="8" w:space="0" w:color="auto"/>
              <w:bottom w:val="single" w:sz="8" w:space="0" w:color="auto"/>
              <w:right w:val="single" w:sz="8" w:space="0" w:color="auto"/>
            </w:tcBorders>
            <w:shd w:val="clear" w:color="000000" w:fill="B4C6E7"/>
            <w:noWrap/>
            <w:vAlign w:val="bottom"/>
            <w:hideMark/>
          </w:tcPr>
          <w:p w14:paraId="14CF3E90" w14:textId="77777777" w:rsidR="002B55C9" w:rsidRPr="002B55C9" w:rsidRDefault="002B55C9" w:rsidP="002B55C9">
            <w:pPr>
              <w:spacing w:after="0" w:line="240" w:lineRule="auto"/>
              <w:jc w:val="center"/>
              <w:rPr>
                <w:rFonts w:ascii="Calibri" w:eastAsia="Times New Roman" w:hAnsi="Calibri" w:cs="Calibri"/>
                <w:b/>
                <w:bCs/>
                <w:color w:val="000000"/>
                <w:lang w:eastAsia="en-GB"/>
              </w:rPr>
            </w:pPr>
            <w:r w:rsidRPr="002B55C9">
              <w:rPr>
                <w:rFonts w:ascii="Calibri" w:eastAsia="Times New Roman" w:hAnsi="Calibri" w:cs="Calibri"/>
                <w:b/>
                <w:bCs/>
                <w:color w:val="000000"/>
                <w:lang w:eastAsia="en-GB"/>
              </w:rPr>
              <w:t>Total Salary</w:t>
            </w:r>
          </w:p>
        </w:tc>
        <w:tc>
          <w:tcPr>
            <w:tcW w:w="1400" w:type="dxa"/>
            <w:tcBorders>
              <w:top w:val="nil"/>
              <w:left w:val="nil"/>
              <w:bottom w:val="single" w:sz="8" w:space="0" w:color="auto"/>
              <w:right w:val="single" w:sz="8" w:space="0" w:color="auto"/>
            </w:tcBorders>
            <w:shd w:val="clear" w:color="000000" w:fill="B4C6E7"/>
            <w:noWrap/>
            <w:vAlign w:val="bottom"/>
            <w:hideMark/>
          </w:tcPr>
          <w:p w14:paraId="6D9FC70B" w14:textId="77777777" w:rsidR="002B55C9" w:rsidRPr="002B55C9" w:rsidRDefault="002B55C9" w:rsidP="002B55C9">
            <w:pPr>
              <w:spacing w:after="0" w:line="240" w:lineRule="auto"/>
              <w:rPr>
                <w:rFonts w:ascii="Calibri" w:eastAsia="Times New Roman" w:hAnsi="Calibri" w:cs="Calibri"/>
                <w:b/>
                <w:bCs/>
                <w:color w:val="000000"/>
                <w:lang w:eastAsia="en-GB"/>
              </w:rPr>
            </w:pPr>
            <w:r w:rsidRPr="002B55C9">
              <w:rPr>
                <w:rFonts w:ascii="Calibri" w:eastAsia="Times New Roman" w:hAnsi="Calibri" w:cs="Calibri"/>
                <w:b/>
                <w:bCs/>
                <w:color w:val="000000"/>
                <w:lang w:eastAsia="en-GB"/>
              </w:rPr>
              <w:t>Average Salary</w:t>
            </w:r>
          </w:p>
        </w:tc>
      </w:tr>
      <w:tr w:rsidR="002B55C9" w:rsidRPr="002B55C9" w14:paraId="6AC64B6E" w14:textId="77777777" w:rsidTr="003741C2">
        <w:trPr>
          <w:trHeight w:val="288"/>
        </w:trPr>
        <w:tc>
          <w:tcPr>
            <w:tcW w:w="1231" w:type="dxa"/>
            <w:tcBorders>
              <w:top w:val="nil"/>
              <w:left w:val="single" w:sz="8" w:space="0" w:color="auto"/>
              <w:bottom w:val="nil"/>
              <w:right w:val="nil"/>
            </w:tcBorders>
            <w:shd w:val="clear" w:color="auto" w:fill="auto"/>
            <w:noWrap/>
            <w:vAlign w:val="bottom"/>
            <w:hideMark/>
          </w:tcPr>
          <w:p w14:paraId="1A300851" w14:textId="77777777" w:rsidR="002B55C9" w:rsidRPr="002B55C9" w:rsidRDefault="002B55C9" w:rsidP="002B55C9">
            <w:pPr>
              <w:spacing w:after="0" w:line="240" w:lineRule="auto"/>
              <w:jc w:val="center"/>
              <w:rPr>
                <w:rFonts w:ascii="Calibri" w:eastAsia="Times New Roman" w:hAnsi="Calibri" w:cs="Calibri"/>
                <w:color w:val="000000"/>
                <w:lang w:eastAsia="en-GB"/>
              </w:rPr>
            </w:pPr>
            <w:r w:rsidRPr="002B55C9">
              <w:rPr>
                <w:rFonts w:ascii="Calibri" w:eastAsia="Times New Roman" w:hAnsi="Calibri" w:cs="Calibri"/>
                <w:color w:val="000000"/>
                <w:lang w:eastAsia="en-GB"/>
              </w:rPr>
              <w:t>260</w:t>
            </w:r>
          </w:p>
        </w:tc>
        <w:tc>
          <w:tcPr>
            <w:tcW w:w="1680" w:type="dxa"/>
            <w:tcBorders>
              <w:top w:val="nil"/>
              <w:left w:val="single" w:sz="8" w:space="0" w:color="auto"/>
              <w:bottom w:val="nil"/>
              <w:right w:val="single" w:sz="8" w:space="0" w:color="auto"/>
            </w:tcBorders>
            <w:shd w:val="clear" w:color="auto" w:fill="auto"/>
            <w:noWrap/>
            <w:vAlign w:val="bottom"/>
            <w:hideMark/>
          </w:tcPr>
          <w:p w14:paraId="3FBBDE4C" w14:textId="77777777" w:rsidR="002B55C9" w:rsidRPr="002B55C9" w:rsidRDefault="002B55C9" w:rsidP="002B55C9">
            <w:pPr>
              <w:spacing w:after="0" w:line="240" w:lineRule="auto"/>
              <w:jc w:val="center"/>
              <w:rPr>
                <w:rFonts w:ascii="Calibri" w:eastAsia="Times New Roman" w:hAnsi="Calibri" w:cs="Calibri"/>
                <w:color w:val="000000"/>
                <w:lang w:eastAsia="en-GB"/>
              </w:rPr>
            </w:pPr>
            <w:r w:rsidRPr="002B55C9">
              <w:rPr>
                <w:rFonts w:ascii="Calibri" w:eastAsia="Times New Roman" w:hAnsi="Calibri" w:cs="Calibri"/>
                <w:color w:val="000000"/>
                <w:lang w:eastAsia="en-GB"/>
              </w:rPr>
              <w:t>£5,465,750</w:t>
            </w:r>
          </w:p>
        </w:tc>
        <w:tc>
          <w:tcPr>
            <w:tcW w:w="1400" w:type="dxa"/>
            <w:tcBorders>
              <w:top w:val="nil"/>
              <w:left w:val="nil"/>
              <w:bottom w:val="nil"/>
              <w:right w:val="single" w:sz="8" w:space="0" w:color="auto"/>
            </w:tcBorders>
            <w:shd w:val="clear" w:color="auto" w:fill="auto"/>
            <w:noWrap/>
            <w:vAlign w:val="bottom"/>
            <w:hideMark/>
          </w:tcPr>
          <w:p w14:paraId="254BDF67" w14:textId="77777777" w:rsidR="002B55C9" w:rsidRPr="002B55C9" w:rsidRDefault="002B55C9" w:rsidP="002B55C9">
            <w:pPr>
              <w:spacing w:after="0" w:line="240" w:lineRule="auto"/>
              <w:jc w:val="center"/>
              <w:rPr>
                <w:rFonts w:ascii="Calibri" w:eastAsia="Times New Roman" w:hAnsi="Calibri" w:cs="Calibri"/>
                <w:color w:val="000000"/>
                <w:lang w:eastAsia="en-GB"/>
              </w:rPr>
            </w:pPr>
            <w:r w:rsidRPr="002B55C9">
              <w:rPr>
                <w:rFonts w:ascii="Calibri" w:eastAsia="Times New Roman" w:hAnsi="Calibri" w:cs="Calibri"/>
                <w:color w:val="000000"/>
                <w:lang w:eastAsia="en-GB"/>
              </w:rPr>
              <w:t>£21,022.12</w:t>
            </w:r>
          </w:p>
        </w:tc>
      </w:tr>
      <w:tr w:rsidR="002B55C9" w:rsidRPr="002B55C9" w14:paraId="1384476A" w14:textId="77777777" w:rsidTr="003741C2">
        <w:trPr>
          <w:trHeight w:val="300"/>
        </w:trPr>
        <w:tc>
          <w:tcPr>
            <w:tcW w:w="1231" w:type="dxa"/>
            <w:tcBorders>
              <w:top w:val="nil"/>
              <w:left w:val="single" w:sz="8" w:space="0" w:color="auto"/>
              <w:bottom w:val="single" w:sz="8" w:space="0" w:color="auto"/>
              <w:right w:val="nil"/>
            </w:tcBorders>
            <w:shd w:val="clear" w:color="auto" w:fill="auto"/>
            <w:noWrap/>
            <w:vAlign w:val="bottom"/>
            <w:hideMark/>
          </w:tcPr>
          <w:p w14:paraId="5448B312" w14:textId="77777777" w:rsidR="002B55C9" w:rsidRPr="002B55C9" w:rsidRDefault="002B55C9" w:rsidP="002B55C9">
            <w:pPr>
              <w:spacing w:after="0" w:line="240" w:lineRule="auto"/>
              <w:rPr>
                <w:rFonts w:ascii="Calibri" w:eastAsia="Times New Roman" w:hAnsi="Calibri" w:cs="Calibri"/>
                <w:color w:val="000000"/>
                <w:lang w:eastAsia="en-GB"/>
              </w:rPr>
            </w:pPr>
            <w:r w:rsidRPr="002B55C9">
              <w:rPr>
                <w:rFonts w:ascii="Calibri" w:eastAsia="Times New Roman" w:hAnsi="Calibri" w:cs="Calibri"/>
                <w:color w:val="000000"/>
                <w:lang w:eastAsia="en-GB"/>
              </w:rPr>
              <w:t> </w:t>
            </w:r>
          </w:p>
        </w:tc>
        <w:tc>
          <w:tcPr>
            <w:tcW w:w="1680" w:type="dxa"/>
            <w:tcBorders>
              <w:top w:val="nil"/>
              <w:left w:val="single" w:sz="8" w:space="0" w:color="auto"/>
              <w:bottom w:val="single" w:sz="8" w:space="0" w:color="auto"/>
              <w:right w:val="single" w:sz="8" w:space="0" w:color="auto"/>
            </w:tcBorders>
            <w:shd w:val="clear" w:color="auto" w:fill="auto"/>
            <w:noWrap/>
            <w:vAlign w:val="bottom"/>
            <w:hideMark/>
          </w:tcPr>
          <w:p w14:paraId="040A99FA" w14:textId="77777777" w:rsidR="002B55C9" w:rsidRPr="002B55C9" w:rsidRDefault="002B55C9" w:rsidP="002B55C9">
            <w:pPr>
              <w:spacing w:after="0" w:line="240" w:lineRule="auto"/>
              <w:rPr>
                <w:rFonts w:ascii="Calibri" w:eastAsia="Times New Roman" w:hAnsi="Calibri" w:cs="Calibri"/>
                <w:color w:val="000000"/>
                <w:lang w:eastAsia="en-GB"/>
              </w:rPr>
            </w:pPr>
            <w:r w:rsidRPr="002B55C9">
              <w:rPr>
                <w:rFonts w:ascii="Calibri" w:eastAsia="Times New Roman" w:hAnsi="Calibri" w:cs="Calibri"/>
                <w:color w:val="000000"/>
                <w:lang w:eastAsia="en-GB"/>
              </w:rPr>
              <w:t> </w:t>
            </w:r>
          </w:p>
        </w:tc>
        <w:tc>
          <w:tcPr>
            <w:tcW w:w="1400" w:type="dxa"/>
            <w:tcBorders>
              <w:top w:val="nil"/>
              <w:left w:val="nil"/>
              <w:bottom w:val="single" w:sz="8" w:space="0" w:color="auto"/>
              <w:right w:val="single" w:sz="8" w:space="0" w:color="auto"/>
            </w:tcBorders>
            <w:shd w:val="clear" w:color="auto" w:fill="auto"/>
            <w:noWrap/>
            <w:vAlign w:val="bottom"/>
            <w:hideMark/>
          </w:tcPr>
          <w:p w14:paraId="25C1B688" w14:textId="77777777" w:rsidR="002B55C9" w:rsidRPr="002B55C9" w:rsidRDefault="002B55C9" w:rsidP="002B55C9">
            <w:pPr>
              <w:spacing w:after="0" w:line="240" w:lineRule="auto"/>
              <w:rPr>
                <w:rFonts w:ascii="Calibri" w:eastAsia="Times New Roman" w:hAnsi="Calibri" w:cs="Calibri"/>
                <w:color w:val="000000"/>
                <w:lang w:eastAsia="en-GB"/>
              </w:rPr>
            </w:pPr>
            <w:r w:rsidRPr="002B55C9">
              <w:rPr>
                <w:rFonts w:ascii="Calibri" w:eastAsia="Times New Roman" w:hAnsi="Calibri" w:cs="Calibri"/>
                <w:color w:val="000000"/>
                <w:lang w:eastAsia="en-GB"/>
              </w:rPr>
              <w:t> </w:t>
            </w:r>
          </w:p>
        </w:tc>
      </w:tr>
    </w:tbl>
    <w:p w14:paraId="54B47656" w14:textId="77777777" w:rsidR="004078E0" w:rsidRDefault="004078E0" w:rsidP="003B38B8">
      <w:pPr>
        <w:pStyle w:val="ListParagraph"/>
        <w:spacing w:after="0"/>
        <w:jc w:val="both"/>
      </w:pPr>
    </w:p>
    <w:p w14:paraId="2A2CB05D" w14:textId="77777777" w:rsidR="003B38B8" w:rsidRDefault="003B38B8" w:rsidP="007D08C8">
      <w:pPr>
        <w:spacing w:after="0"/>
        <w:jc w:val="both"/>
      </w:pPr>
    </w:p>
    <w:p w14:paraId="0F76A193" w14:textId="77777777" w:rsidR="003B38B8" w:rsidRDefault="003B38B8" w:rsidP="003B38B8">
      <w:pPr>
        <w:pStyle w:val="ListParagraph"/>
        <w:spacing w:after="0"/>
        <w:jc w:val="both"/>
      </w:pPr>
    </w:p>
    <w:p w14:paraId="55214A4F" w14:textId="77777777" w:rsidR="002B55C9" w:rsidRDefault="002B55C9" w:rsidP="002B55C9">
      <w:pPr>
        <w:pStyle w:val="ListParagraph"/>
        <w:spacing w:after="0"/>
        <w:jc w:val="both"/>
      </w:pPr>
    </w:p>
    <w:sectPr w:rsidR="002B55C9" w:rsidSect="009C1C9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44B4E"/>
    <w:multiLevelType w:val="hybridMultilevel"/>
    <w:tmpl w:val="C756AF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0C451F"/>
    <w:multiLevelType w:val="hybridMultilevel"/>
    <w:tmpl w:val="DCF8C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FB7141"/>
    <w:multiLevelType w:val="hybridMultilevel"/>
    <w:tmpl w:val="1354C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451A18"/>
    <w:multiLevelType w:val="hybridMultilevel"/>
    <w:tmpl w:val="A6209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B128A5"/>
    <w:multiLevelType w:val="hybridMultilevel"/>
    <w:tmpl w:val="0F126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6D31F7"/>
    <w:multiLevelType w:val="hybridMultilevel"/>
    <w:tmpl w:val="9020C0CC"/>
    <w:lvl w:ilvl="0" w:tplc="5626550E">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16cid:durableId="1405028726">
    <w:abstractNumId w:val="3"/>
  </w:num>
  <w:num w:numId="2" w16cid:durableId="399405969">
    <w:abstractNumId w:val="5"/>
  </w:num>
  <w:num w:numId="3" w16cid:durableId="387729285">
    <w:abstractNumId w:val="1"/>
  </w:num>
  <w:num w:numId="4" w16cid:durableId="814226377">
    <w:abstractNumId w:val="4"/>
  </w:num>
  <w:num w:numId="5" w16cid:durableId="55594360">
    <w:abstractNumId w:val="0"/>
  </w:num>
  <w:num w:numId="6" w16cid:durableId="1534727417">
    <w:abstractNumId w:val="7"/>
  </w:num>
  <w:num w:numId="7" w16cid:durableId="6317171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44290794">
    <w:abstractNumId w:val="7"/>
  </w:num>
  <w:num w:numId="9" w16cid:durableId="225073255">
    <w:abstractNumId w:val="2"/>
  </w:num>
  <w:num w:numId="10" w16cid:durableId="8482993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4BA"/>
    <w:rsid w:val="000C0639"/>
    <w:rsid w:val="00116BC5"/>
    <w:rsid w:val="001C74BA"/>
    <w:rsid w:val="001E64F8"/>
    <w:rsid w:val="00230C5A"/>
    <w:rsid w:val="002B55C9"/>
    <w:rsid w:val="003741C2"/>
    <w:rsid w:val="003B38B8"/>
    <w:rsid w:val="004078E0"/>
    <w:rsid w:val="004426A9"/>
    <w:rsid w:val="00534F2F"/>
    <w:rsid w:val="00654B18"/>
    <w:rsid w:val="007B2F21"/>
    <w:rsid w:val="007D08C8"/>
    <w:rsid w:val="008C4884"/>
    <w:rsid w:val="008E40C0"/>
    <w:rsid w:val="008F13AA"/>
    <w:rsid w:val="009A26F3"/>
    <w:rsid w:val="009C1C90"/>
    <w:rsid w:val="00B35FB0"/>
    <w:rsid w:val="00B96DE6"/>
    <w:rsid w:val="00C151A4"/>
    <w:rsid w:val="00C67DA2"/>
    <w:rsid w:val="00C77F8E"/>
    <w:rsid w:val="00C84C64"/>
    <w:rsid w:val="00CF72EC"/>
    <w:rsid w:val="00EB7663"/>
    <w:rsid w:val="00EC1F31"/>
    <w:rsid w:val="00FF72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04A12"/>
  <w15:chartTrackingRefBased/>
  <w15:docId w15:val="{ECFEB444-42A2-4BEC-AE7C-48D2DB125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5F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C1C90"/>
    <w:pPr>
      <w:spacing w:after="0" w:line="240" w:lineRule="auto"/>
    </w:pPr>
  </w:style>
  <w:style w:type="paragraph" w:styleId="ListParagraph">
    <w:name w:val="List Paragraph"/>
    <w:basedOn w:val="Normal"/>
    <w:link w:val="ListParagraphChar"/>
    <w:uiPriority w:val="1"/>
    <w:qFormat/>
    <w:rsid w:val="009C1C90"/>
    <w:pPr>
      <w:spacing w:after="200" w:line="288" w:lineRule="auto"/>
      <w:ind w:left="720"/>
      <w:contextualSpacing/>
    </w:pPr>
    <w:rPr>
      <w:rFonts w:eastAsiaTheme="minorEastAsia"/>
      <w:sz w:val="21"/>
      <w:szCs w:val="21"/>
    </w:rPr>
  </w:style>
  <w:style w:type="character" w:customStyle="1" w:styleId="ListParagraphChar">
    <w:name w:val="List Paragraph Char"/>
    <w:basedOn w:val="DefaultParagraphFont"/>
    <w:link w:val="ListParagraph"/>
    <w:uiPriority w:val="1"/>
    <w:locked/>
    <w:rsid w:val="009C1C90"/>
    <w:rPr>
      <w:rFonts w:eastAsiaTheme="minorEastAsia"/>
      <w:sz w:val="21"/>
      <w:szCs w:val="21"/>
    </w:rPr>
  </w:style>
  <w:style w:type="character" w:styleId="Hyperlink">
    <w:name w:val="Hyperlink"/>
    <w:basedOn w:val="DefaultParagraphFont"/>
    <w:uiPriority w:val="99"/>
    <w:unhideWhenUsed/>
    <w:rsid w:val="00B96D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9344900">
      <w:bodyDiv w:val="1"/>
      <w:marLeft w:val="0"/>
      <w:marRight w:val="0"/>
      <w:marTop w:val="0"/>
      <w:marBottom w:val="0"/>
      <w:divBdr>
        <w:top w:val="none" w:sz="0" w:space="0" w:color="auto"/>
        <w:left w:val="none" w:sz="0" w:space="0" w:color="auto"/>
        <w:bottom w:val="none" w:sz="0" w:space="0" w:color="auto"/>
        <w:right w:val="none" w:sz="0" w:space="0" w:color="auto"/>
      </w:divBdr>
    </w:div>
    <w:div w:id="1517840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co.uk/news-views/nutshell/issue-81/evidence-based-management" TargetMode="External"/><Relationship Id="rId18" Type="http://schemas.openxmlformats.org/officeDocument/2006/relationships/hyperlink" Target="https://www.cipd.co.uk/podcasts/critical-thinking:London" TargetMode="External"/><Relationship Id="rId26" Type="http://schemas.openxmlformats.org/officeDocument/2006/relationships/hyperlink" Target="https://www.cipd.co.uk/knowledge/fundamentals/people/performance/factsheet,London" TargetMode="External"/><Relationship Id="rId39" Type="http://schemas.openxmlformats.org/officeDocument/2006/relationships/fontTable" Target="fontTable.xml"/><Relationship Id="rId21" Type="http://schemas.openxmlformats.org/officeDocument/2006/relationships/hyperlink" Target="https://www.cipd.co.uk/knowledge/strategy/organisational-development/swot-analysis-factsheet:London" TargetMode="External"/><Relationship Id="rId34" Type="http://schemas.openxmlformats.org/officeDocument/2006/relationships/image" Target="media/image1.png"/><Relationship Id="rId7" Type="http://schemas.openxmlformats.org/officeDocument/2006/relationships/hyperlink" Target="https://www.cipd.co.uk/knowledge/strategy/analytics/talent-smes-report,London" TargetMode="External"/><Relationship Id="rId12" Type="http://schemas.openxmlformats.org/officeDocument/2006/relationships/hyperlink" Target="https://www.cipd.co.uk/knowledge/strategy/analytics/human-capital-analytics-report:London" TargetMode="External"/><Relationship Id="rId17" Type="http://schemas.openxmlformats.org/officeDocument/2006/relationships/hyperlink" Target="https://www.cipd.co.uk/podcasts/evidence-based-hr" TargetMode="External"/><Relationship Id="rId25" Type="http://schemas.openxmlformats.org/officeDocument/2006/relationships/hyperlink" Target="https://www.cipd.co.uk/knowledge/strategy/analytics/evidence-based-practice-factsheet" TargetMode="External"/><Relationship Id="rId33" Type="http://schemas.openxmlformats.org/officeDocument/2006/relationships/hyperlink" Target="http://www.mindtools.com" TargetMode="External"/><Relationship Id="rId38" Type="http://schemas.openxmlformats.org/officeDocument/2006/relationships/chart" Target="charts/chart4.xml"/><Relationship Id="rId2" Type="http://schemas.openxmlformats.org/officeDocument/2006/relationships/styles" Target="styles.xml"/><Relationship Id="rId16" Type="http://schemas.openxmlformats.org/officeDocument/2006/relationships/hyperlink" Target="https://www.cipd.co.uk/Images/creating-and-capturing-value-at-work_2017-who-benefits-2_tcm18-33097.pdf:London" TargetMode="External"/><Relationship Id="rId20" Type="http://schemas.openxmlformats.org/officeDocument/2006/relationships/hyperlink" Target="https://www.cipd.co.uk/podcasts/ld-why-does-evidence-matter" TargetMode="External"/><Relationship Id="rId29" Type="http://schemas.openxmlformats.org/officeDocument/2006/relationships/hyperlink" Target="https://www.cipd.co.uk/about/what-we-do/professional-standards/code" TargetMode="External"/><Relationship Id="rId1" Type="http://schemas.openxmlformats.org/officeDocument/2006/relationships/numbering" Target="numbering.xml"/><Relationship Id="rId6" Type="http://schemas.openxmlformats.org/officeDocument/2006/relationships/hyperlink" Target="https://www.cipd.co.uk/podcasts/implementing-effective-performance-management" TargetMode="External"/><Relationship Id="rId11" Type="http://schemas.openxmlformats.org/officeDocument/2006/relationships/hyperlink" Target="https://www.cipd.co.uk/knowledge/strategy/analytics/valuing-talent:London" TargetMode="External"/><Relationship Id="rId24" Type="http://schemas.openxmlformats.org/officeDocument/2006/relationships/hyperlink" Target="https://www.cipd.co.uk/knowledge/strategy/analytics/factsheet" TargetMode="External"/><Relationship Id="rId32" Type="http://schemas.openxmlformats.org/officeDocument/2006/relationships/hyperlink" Target="https://www.npt.gov.uk/7751" TargetMode="External"/><Relationship Id="rId37" Type="http://schemas.openxmlformats.org/officeDocument/2006/relationships/chart" Target="charts/chart3.xml"/><Relationship Id="rId40" Type="http://schemas.openxmlformats.org/officeDocument/2006/relationships/theme" Target="theme/theme1.xml"/><Relationship Id="rId5" Type="http://schemas.openxmlformats.org/officeDocument/2006/relationships/hyperlink" Target="https://www.cipd.co.uk/Images/cognition-decision-and-expertise_2014-part-2-of-3-fresh-thinking_tcm18-15115.pdf.%20Page%204-8" TargetMode="External"/><Relationship Id="rId15" Type="http://schemas.openxmlformats.org/officeDocument/2006/relationships/hyperlink" Target="https://www.cipd.co.uk/knowledge/work/job-quality-value-creation/value-work-report:London" TargetMode="External"/><Relationship Id="rId23" Type="http://schemas.openxmlformats.org/officeDocument/2006/relationships/hyperlink" Target="https://www.cipd.co.uk/knowledge/fundamentals/relations/engagement/factsheet,London" TargetMode="External"/><Relationship Id="rId28" Type="http://schemas.openxmlformats.org/officeDocument/2006/relationships/hyperlink" Target="https://www.cipd.co.uk/knowledge/strategy/analytics/evidence-based-practice-factsheet" TargetMode="External"/><Relationship Id="rId36" Type="http://schemas.openxmlformats.org/officeDocument/2006/relationships/chart" Target="charts/chart2.xml"/><Relationship Id="rId10" Type="http://schemas.openxmlformats.org/officeDocument/2006/relationships/hyperlink" Target="https://www.cipd.co.uk/search?q=could+do+better:London" TargetMode="External"/><Relationship Id="rId19" Type="http://schemas.openxmlformats.org/officeDocument/2006/relationships/hyperlink" Target="https://www.cipd.co.uk/podcasts/critical-thinking" TargetMode="External"/><Relationship Id="rId31" Type="http://schemas.openxmlformats.org/officeDocument/2006/relationships/hyperlink" Target="https://peopleprofession.cipd.org/profession-map/core-behaviours/situational-decision-making" TargetMode="External"/><Relationship Id="rId4" Type="http://schemas.openxmlformats.org/officeDocument/2006/relationships/webSettings" Target="webSettings.xml"/><Relationship Id="rId9" Type="http://schemas.openxmlformats.org/officeDocument/2006/relationships/hyperlink" Target="https://www.cipd.co.uk/knowledge/strategy/analytics/evidence-based-decision-making,London" TargetMode="External"/><Relationship Id="rId14" Type="http://schemas.openxmlformats.org/officeDocument/2006/relationships/hyperlink" Target="https://www.cipd.co.uk/knowledge/work/job-quality-value-creation/measuring-job-quality-report:London" TargetMode="External"/><Relationship Id="rId22" Type="http://schemas.openxmlformats.org/officeDocument/2006/relationships/hyperlink" Target="https://www.cipd.co.uk/knowledge/strategy/organisational-development/pestle-analysis-factsheet,London" TargetMode="External"/><Relationship Id="rId27" Type="http://schemas.openxmlformats.org/officeDocument/2006/relationships/hyperlink" Target="https://www.cipd.co.uk/knowledge/strategy/resourcing/talent-factsheet,London" TargetMode="External"/><Relationship Id="rId30" Type="http://schemas.openxmlformats.org/officeDocument/2006/relationships/hyperlink" Target="https://www.cipd.co.uk/Images/7919-ethics-guide_tcm18-66759.pdf" TargetMode="External"/><Relationship Id="rId35" Type="http://schemas.openxmlformats.org/officeDocument/2006/relationships/chart" Target="charts/chart1.xml"/><Relationship Id="rId8" Type="http://schemas.openxmlformats.org/officeDocument/2006/relationships/hyperlink" Target="https://www.cipd.co.uk/podcasts/hr-business-ethics,London" TargetMode="External"/><Relationship Id="rId3"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Ethnicity</a:t>
            </a:r>
            <a:r>
              <a:rPr lang="en-GB" baseline="0"/>
              <a:t> % per Team</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percentStacked"/>
        <c:varyColors val="0"/>
        <c:ser>
          <c:idx val="0"/>
          <c:order val="0"/>
          <c:tx>
            <c:strRef>
              <c:f>Sheet1!$B$26</c:f>
              <c:strCache>
                <c:ptCount val="1"/>
                <c:pt idx="0">
                  <c:v>Asian - Bangladesh</c:v>
                </c:pt>
              </c:strCache>
            </c:strRef>
          </c:tx>
          <c:spPr>
            <a:solidFill>
              <a:schemeClr val="accent1"/>
            </a:solidFill>
            <a:ln>
              <a:noFill/>
            </a:ln>
            <a:effectLst/>
          </c:spPr>
          <c:invertIfNegative val="0"/>
          <c:cat>
            <c:strRef>
              <c:f>Sheet1!$A$27:$A$44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Sheet1!$B$27:$B$44</c:f>
              <c:numCache>
                <c:formatCode>General</c:formatCode>
                <c:ptCount val="18"/>
                <c:pt idx="8">
                  <c:v>1</c:v>
                </c:pt>
              </c:numCache>
            </c:numRef>
          </c:val>
          <c:extLst>
            <c:ext xmlns:c16="http://schemas.microsoft.com/office/drawing/2014/chart" uri="{C3380CC4-5D6E-409C-BE32-E72D297353CC}">
              <c16:uniqueId val="{00000000-7F50-43C3-9552-016C2680F99F}"/>
            </c:ext>
          </c:extLst>
        </c:ser>
        <c:ser>
          <c:idx val="1"/>
          <c:order val="1"/>
          <c:tx>
            <c:strRef>
              <c:f>Sheet1!$C$26</c:f>
              <c:strCache>
                <c:ptCount val="1"/>
                <c:pt idx="0">
                  <c:v>Black - Other</c:v>
                </c:pt>
              </c:strCache>
            </c:strRef>
          </c:tx>
          <c:spPr>
            <a:solidFill>
              <a:schemeClr val="accent2"/>
            </a:solidFill>
            <a:ln>
              <a:noFill/>
            </a:ln>
            <a:effectLst/>
          </c:spPr>
          <c:invertIfNegative val="0"/>
          <c:cat>
            <c:strRef>
              <c:f>Sheet1!$A$27:$A$44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Sheet1!$C$27:$C$44</c:f>
              <c:numCache>
                <c:formatCode>General</c:formatCode>
                <c:ptCount val="18"/>
                <c:pt idx="5">
                  <c:v>1</c:v>
                </c:pt>
                <c:pt idx="10">
                  <c:v>1</c:v>
                </c:pt>
              </c:numCache>
            </c:numRef>
          </c:val>
          <c:extLst>
            <c:ext xmlns:c16="http://schemas.microsoft.com/office/drawing/2014/chart" uri="{C3380CC4-5D6E-409C-BE32-E72D297353CC}">
              <c16:uniqueId val="{00000001-7F50-43C3-9552-016C2680F99F}"/>
            </c:ext>
          </c:extLst>
        </c:ser>
        <c:ser>
          <c:idx val="2"/>
          <c:order val="2"/>
          <c:tx>
            <c:strRef>
              <c:f>Sheet1!$D$26</c:f>
              <c:strCache>
                <c:ptCount val="1"/>
                <c:pt idx="0">
                  <c:v>Chinese</c:v>
                </c:pt>
              </c:strCache>
            </c:strRef>
          </c:tx>
          <c:spPr>
            <a:solidFill>
              <a:schemeClr val="accent3"/>
            </a:solidFill>
            <a:ln>
              <a:noFill/>
            </a:ln>
            <a:effectLst/>
          </c:spPr>
          <c:invertIfNegative val="0"/>
          <c:cat>
            <c:strRef>
              <c:f>Sheet1!$A$27:$A$44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Sheet1!$D$27:$D$44</c:f>
              <c:numCache>
                <c:formatCode>General</c:formatCode>
                <c:ptCount val="18"/>
                <c:pt idx="2">
                  <c:v>1</c:v>
                </c:pt>
                <c:pt idx="13">
                  <c:v>1</c:v>
                </c:pt>
              </c:numCache>
            </c:numRef>
          </c:val>
          <c:extLst>
            <c:ext xmlns:c16="http://schemas.microsoft.com/office/drawing/2014/chart" uri="{C3380CC4-5D6E-409C-BE32-E72D297353CC}">
              <c16:uniqueId val="{00000002-7F50-43C3-9552-016C2680F99F}"/>
            </c:ext>
          </c:extLst>
        </c:ser>
        <c:ser>
          <c:idx val="3"/>
          <c:order val="3"/>
          <c:tx>
            <c:strRef>
              <c:f>Sheet1!$E$26</c:f>
              <c:strCache>
                <c:ptCount val="1"/>
                <c:pt idx="0">
                  <c:v>Indian</c:v>
                </c:pt>
              </c:strCache>
            </c:strRef>
          </c:tx>
          <c:spPr>
            <a:solidFill>
              <a:schemeClr val="accent4"/>
            </a:solidFill>
            <a:ln>
              <a:noFill/>
            </a:ln>
            <a:effectLst/>
          </c:spPr>
          <c:invertIfNegative val="0"/>
          <c:cat>
            <c:strRef>
              <c:f>Sheet1!$A$27:$A$44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Sheet1!$E$27:$E$44</c:f>
              <c:numCache>
                <c:formatCode>General</c:formatCode>
                <c:ptCount val="18"/>
                <c:pt idx="1">
                  <c:v>1</c:v>
                </c:pt>
                <c:pt idx="3">
                  <c:v>1</c:v>
                </c:pt>
                <c:pt idx="5">
                  <c:v>1</c:v>
                </c:pt>
                <c:pt idx="6">
                  <c:v>1</c:v>
                </c:pt>
              </c:numCache>
            </c:numRef>
          </c:val>
          <c:extLst>
            <c:ext xmlns:c16="http://schemas.microsoft.com/office/drawing/2014/chart" uri="{C3380CC4-5D6E-409C-BE32-E72D297353CC}">
              <c16:uniqueId val="{00000003-7F50-43C3-9552-016C2680F99F}"/>
            </c:ext>
          </c:extLst>
        </c:ser>
        <c:ser>
          <c:idx val="4"/>
          <c:order val="4"/>
          <c:tx>
            <c:strRef>
              <c:f>Sheet1!$F$26</c:f>
              <c:strCache>
                <c:ptCount val="1"/>
                <c:pt idx="0">
                  <c:v>Mixed - Other</c:v>
                </c:pt>
              </c:strCache>
            </c:strRef>
          </c:tx>
          <c:spPr>
            <a:solidFill>
              <a:schemeClr val="accent5"/>
            </a:solidFill>
            <a:ln>
              <a:noFill/>
            </a:ln>
            <a:effectLst/>
          </c:spPr>
          <c:invertIfNegative val="0"/>
          <c:cat>
            <c:strRef>
              <c:f>Sheet1!$A$27:$A$44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Sheet1!$F$27:$F$44</c:f>
              <c:numCache>
                <c:formatCode>General</c:formatCode>
                <c:ptCount val="18"/>
                <c:pt idx="1">
                  <c:v>1</c:v>
                </c:pt>
              </c:numCache>
            </c:numRef>
          </c:val>
          <c:extLst>
            <c:ext xmlns:c16="http://schemas.microsoft.com/office/drawing/2014/chart" uri="{C3380CC4-5D6E-409C-BE32-E72D297353CC}">
              <c16:uniqueId val="{00000004-7F50-43C3-9552-016C2680F99F}"/>
            </c:ext>
          </c:extLst>
        </c:ser>
        <c:ser>
          <c:idx val="5"/>
          <c:order val="5"/>
          <c:tx>
            <c:strRef>
              <c:f>Sheet1!$G$26</c:f>
              <c:strCache>
                <c:ptCount val="1"/>
                <c:pt idx="0">
                  <c:v>Pakistani</c:v>
                </c:pt>
              </c:strCache>
            </c:strRef>
          </c:tx>
          <c:spPr>
            <a:solidFill>
              <a:schemeClr val="accent6"/>
            </a:solidFill>
            <a:ln>
              <a:noFill/>
            </a:ln>
            <a:effectLst/>
          </c:spPr>
          <c:invertIfNegative val="0"/>
          <c:cat>
            <c:strRef>
              <c:f>Sheet1!$A$27:$A$44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Sheet1!$G$27:$G$44</c:f>
              <c:numCache>
                <c:formatCode>General</c:formatCode>
                <c:ptCount val="18"/>
                <c:pt idx="2">
                  <c:v>2</c:v>
                </c:pt>
                <c:pt idx="14">
                  <c:v>1</c:v>
                </c:pt>
              </c:numCache>
            </c:numRef>
          </c:val>
          <c:extLst>
            <c:ext xmlns:c16="http://schemas.microsoft.com/office/drawing/2014/chart" uri="{C3380CC4-5D6E-409C-BE32-E72D297353CC}">
              <c16:uniqueId val="{00000005-7F50-43C3-9552-016C2680F99F}"/>
            </c:ext>
          </c:extLst>
        </c:ser>
        <c:ser>
          <c:idx val="6"/>
          <c:order val="6"/>
          <c:tx>
            <c:strRef>
              <c:f>Sheet1!$H$26</c:f>
              <c:strCache>
                <c:ptCount val="1"/>
                <c:pt idx="0">
                  <c:v>White and Black Caribbean</c:v>
                </c:pt>
              </c:strCache>
            </c:strRef>
          </c:tx>
          <c:spPr>
            <a:solidFill>
              <a:schemeClr val="accent1">
                <a:lumMod val="60000"/>
              </a:schemeClr>
            </a:solidFill>
            <a:ln>
              <a:noFill/>
            </a:ln>
            <a:effectLst/>
          </c:spPr>
          <c:invertIfNegative val="0"/>
          <c:cat>
            <c:strRef>
              <c:f>Sheet1!$A$27:$A$44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Sheet1!$H$27:$H$44</c:f>
              <c:numCache>
                <c:formatCode>General</c:formatCode>
                <c:ptCount val="18"/>
                <c:pt idx="1">
                  <c:v>1</c:v>
                </c:pt>
                <c:pt idx="8">
                  <c:v>1</c:v>
                </c:pt>
                <c:pt idx="16">
                  <c:v>1</c:v>
                </c:pt>
              </c:numCache>
            </c:numRef>
          </c:val>
          <c:extLst>
            <c:ext xmlns:c16="http://schemas.microsoft.com/office/drawing/2014/chart" uri="{C3380CC4-5D6E-409C-BE32-E72D297353CC}">
              <c16:uniqueId val="{00000006-7F50-43C3-9552-016C2680F99F}"/>
            </c:ext>
          </c:extLst>
        </c:ser>
        <c:ser>
          <c:idx val="7"/>
          <c:order val="7"/>
          <c:tx>
            <c:strRef>
              <c:f>Sheet1!$I$26</c:f>
              <c:strCache>
                <c:ptCount val="1"/>
                <c:pt idx="0">
                  <c:v>White British</c:v>
                </c:pt>
              </c:strCache>
            </c:strRef>
          </c:tx>
          <c:spPr>
            <a:solidFill>
              <a:schemeClr val="accent2">
                <a:lumMod val="60000"/>
              </a:schemeClr>
            </a:solidFill>
            <a:ln>
              <a:noFill/>
            </a:ln>
            <a:effectLst/>
          </c:spPr>
          <c:invertIfNegative val="0"/>
          <c:cat>
            <c:strRef>
              <c:f>Sheet1!$A$27:$A$44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Sheet1!$I$27:$I$44</c:f>
              <c:numCache>
                <c:formatCode>General</c:formatCode>
                <c:ptCount val="18"/>
                <c:pt idx="0">
                  <c:v>7</c:v>
                </c:pt>
                <c:pt idx="1">
                  <c:v>4</c:v>
                </c:pt>
                <c:pt idx="2">
                  <c:v>12</c:v>
                </c:pt>
                <c:pt idx="3">
                  <c:v>4</c:v>
                </c:pt>
                <c:pt idx="4">
                  <c:v>2</c:v>
                </c:pt>
                <c:pt idx="5">
                  <c:v>8</c:v>
                </c:pt>
                <c:pt idx="6">
                  <c:v>2</c:v>
                </c:pt>
                <c:pt idx="7">
                  <c:v>11</c:v>
                </c:pt>
                <c:pt idx="8">
                  <c:v>16</c:v>
                </c:pt>
                <c:pt idx="9">
                  <c:v>17</c:v>
                </c:pt>
                <c:pt idx="10">
                  <c:v>8</c:v>
                </c:pt>
                <c:pt idx="11">
                  <c:v>10</c:v>
                </c:pt>
                <c:pt idx="12">
                  <c:v>4</c:v>
                </c:pt>
                <c:pt idx="13">
                  <c:v>10</c:v>
                </c:pt>
                <c:pt idx="14">
                  <c:v>98</c:v>
                </c:pt>
                <c:pt idx="15">
                  <c:v>5</c:v>
                </c:pt>
                <c:pt idx="16">
                  <c:v>10</c:v>
                </c:pt>
                <c:pt idx="17">
                  <c:v>9</c:v>
                </c:pt>
              </c:numCache>
            </c:numRef>
          </c:val>
          <c:extLst>
            <c:ext xmlns:c16="http://schemas.microsoft.com/office/drawing/2014/chart" uri="{C3380CC4-5D6E-409C-BE32-E72D297353CC}">
              <c16:uniqueId val="{00000007-7F50-43C3-9552-016C2680F99F}"/>
            </c:ext>
          </c:extLst>
        </c:ser>
        <c:ser>
          <c:idx val="8"/>
          <c:order val="8"/>
          <c:tx>
            <c:strRef>
              <c:f>Sheet1!$J$26</c:f>
              <c:strCache>
                <c:ptCount val="1"/>
                <c:pt idx="0">
                  <c:v>White Irish</c:v>
                </c:pt>
              </c:strCache>
            </c:strRef>
          </c:tx>
          <c:spPr>
            <a:solidFill>
              <a:schemeClr val="accent3">
                <a:lumMod val="60000"/>
              </a:schemeClr>
            </a:solidFill>
            <a:ln>
              <a:noFill/>
            </a:ln>
            <a:effectLst/>
          </c:spPr>
          <c:invertIfNegative val="0"/>
          <c:cat>
            <c:strRef>
              <c:f>Sheet1!$A$27:$A$44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Sheet1!$J$27:$J$44</c:f>
              <c:numCache>
                <c:formatCode>General</c:formatCode>
                <c:ptCount val="18"/>
                <c:pt idx="0">
                  <c:v>1</c:v>
                </c:pt>
                <c:pt idx="9">
                  <c:v>1</c:v>
                </c:pt>
              </c:numCache>
            </c:numRef>
          </c:val>
          <c:extLst>
            <c:ext xmlns:c16="http://schemas.microsoft.com/office/drawing/2014/chart" uri="{C3380CC4-5D6E-409C-BE32-E72D297353CC}">
              <c16:uniqueId val="{00000008-7F50-43C3-9552-016C2680F99F}"/>
            </c:ext>
          </c:extLst>
        </c:ser>
        <c:ser>
          <c:idx val="9"/>
          <c:order val="9"/>
          <c:tx>
            <c:strRef>
              <c:f>Sheet1!$K$26</c:f>
              <c:strCache>
                <c:ptCount val="1"/>
                <c:pt idx="0">
                  <c:v>White Other</c:v>
                </c:pt>
              </c:strCache>
            </c:strRef>
          </c:tx>
          <c:spPr>
            <a:solidFill>
              <a:schemeClr val="accent4">
                <a:lumMod val="60000"/>
              </a:schemeClr>
            </a:solidFill>
            <a:ln>
              <a:noFill/>
            </a:ln>
            <a:effectLst/>
          </c:spPr>
          <c:invertIfNegative val="0"/>
          <c:cat>
            <c:strRef>
              <c:f>Sheet1!$A$27:$A$44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Sheet1!$K$27:$K$44</c:f>
              <c:numCache>
                <c:formatCode>General</c:formatCode>
                <c:ptCount val="18"/>
                <c:pt idx="0">
                  <c:v>1</c:v>
                </c:pt>
                <c:pt idx="7">
                  <c:v>1</c:v>
                </c:pt>
                <c:pt idx="9">
                  <c:v>1</c:v>
                </c:pt>
                <c:pt idx="17">
                  <c:v>2</c:v>
                </c:pt>
              </c:numCache>
            </c:numRef>
          </c:val>
          <c:extLst>
            <c:ext xmlns:c16="http://schemas.microsoft.com/office/drawing/2014/chart" uri="{C3380CC4-5D6E-409C-BE32-E72D297353CC}">
              <c16:uniqueId val="{00000009-7F50-43C3-9552-016C2680F99F}"/>
            </c:ext>
          </c:extLst>
        </c:ser>
        <c:dLbls>
          <c:showLegendKey val="0"/>
          <c:showVal val="0"/>
          <c:showCatName val="0"/>
          <c:showSerName val="0"/>
          <c:showPercent val="0"/>
          <c:showBubbleSize val="0"/>
        </c:dLbls>
        <c:gapWidth val="150"/>
        <c:overlap val="100"/>
        <c:axId val="439535544"/>
        <c:axId val="439535872"/>
      </c:barChart>
      <c:catAx>
        <c:axId val="439535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9535872"/>
        <c:crosses val="autoZero"/>
        <c:auto val="1"/>
        <c:lblAlgn val="ctr"/>
        <c:lblOffset val="100"/>
        <c:noMultiLvlLbl val="0"/>
      </c:catAx>
      <c:valAx>
        <c:axId val="43953587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95355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Disability</a:t>
            </a:r>
            <a:r>
              <a:rPr lang="en-GB" baseline="0"/>
              <a:t> % per Team</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percentStacked"/>
        <c:varyColors val="0"/>
        <c:ser>
          <c:idx val="0"/>
          <c:order val="0"/>
          <c:tx>
            <c:strRef>
              <c:f>Sheet4!$G$4</c:f>
              <c:strCache>
                <c:ptCount val="1"/>
                <c:pt idx="0">
                  <c:v>Disabled</c:v>
                </c:pt>
              </c:strCache>
            </c:strRef>
          </c:tx>
          <c:spPr>
            <a:solidFill>
              <a:schemeClr val="accent1"/>
            </a:solidFill>
            <a:ln>
              <a:noFill/>
            </a:ln>
            <a:effectLst/>
          </c:spPr>
          <c:invertIfNegative val="0"/>
          <c:cat>
            <c:strRef>
              <c:f>Sheet4!$F$5:$F$22</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Sheet4!$G$5:$G$22</c:f>
              <c:numCache>
                <c:formatCode>General</c:formatCode>
                <c:ptCount val="18"/>
                <c:pt idx="1">
                  <c:v>1</c:v>
                </c:pt>
                <c:pt idx="2">
                  <c:v>3</c:v>
                </c:pt>
                <c:pt idx="5">
                  <c:v>2</c:v>
                </c:pt>
                <c:pt idx="7">
                  <c:v>1</c:v>
                </c:pt>
                <c:pt idx="8">
                  <c:v>2</c:v>
                </c:pt>
                <c:pt idx="9">
                  <c:v>1</c:v>
                </c:pt>
                <c:pt idx="10">
                  <c:v>2</c:v>
                </c:pt>
                <c:pt idx="11">
                  <c:v>1</c:v>
                </c:pt>
                <c:pt idx="13">
                  <c:v>2</c:v>
                </c:pt>
                <c:pt idx="14">
                  <c:v>5</c:v>
                </c:pt>
                <c:pt idx="17">
                  <c:v>1</c:v>
                </c:pt>
              </c:numCache>
            </c:numRef>
          </c:val>
          <c:extLst>
            <c:ext xmlns:c16="http://schemas.microsoft.com/office/drawing/2014/chart" uri="{C3380CC4-5D6E-409C-BE32-E72D297353CC}">
              <c16:uniqueId val="{00000000-C862-406C-B806-800D4EA29974}"/>
            </c:ext>
          </c:extLst>
        </c:ser>
        <c:ser>
          <c:idx val="1"/>
          <c:order val="1"/>
          <c:tx>
            <c:strRef>
              <c:f>Sheet4!$H$4</c:f>
              <c:strCache>
                <c:ptCount val="1"/>
                <c:pt idx="0">
                  <c:v>Not disabled</c:v>
                </c:pt>
              </c:strCache>
            </c:strRef>
          </c:tx>
          <c:spPr>
            <a:solidFill>
              <a:schemeClr val="accent2"/>
            </a:solidFill>
            <a:ln>
              <a:noFill/>
            </a:ln>
            <a:effectLst/>
          </c:spPr>
          <c:invertIfNegative val="0"/>
          <c:cat>
            <c:strRef>
              <c:f>Sheet4!$F$5:$F$22</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Sheet4!$H$5:$H$22</c:f>
              <c:numCache>
                <c:formatCode>General</c:formatCode>
                <c:ptCount val="18"/>
                <c:pt idx="0">
                  <c:v>9</c:v>
                </c:pt>
                <c:pt idx="1">
                  <c:v>6</c:v>
                </c:pt>
                <c:pt idx="2">
                  <c:v>12</c:v>
                </c:pt>
                <c:pt idx="3">
                  <c:v>5</c:v>
                </c:pt>
                <c:pt idx="4">
                  <c:v>2</c:v>
                </c:pt>
                <c:pt idx="5">
                  <c:v>8</c:v>
                </c:pt>
                <c:pt idx="6">
                  <c:v>3</c:v>
                </c:pt>
                <c:pt idx="7">
                  <c:v>11</c:v>
                </c:pt>
                <c:pt idx="8">
                  <c:v>16</c:v>
                </c:pt>
                <c:pt idx="9">
                  <c:v>18</c:v>
                </c:pt>
                <c:pt idx="10">
                  <c:v>7</c:v>
                </c:pt>
                <c:pt idx="11">
                  <c:v>9</c:v>
                </c:pt>
                <c:pt idx="12">
                  <c:v>4</c:v>
                </c:pt>
                <c:pt idx="13">
                  <c:v>9</c:v>
                </c:pt>
                <c:pt idx="14">
                  <c:v>94</c:v>
                </c:pt>
                <c:pt idx="15">
                  <c:v>5</c:v>
                </c:pt>
                <c:pt idx="16">
                  <c:v>11</c:v>
                </c:pt>
                <c:pt idx="17">
                  <c:v>10</c:v>
                </c:pt>
              </c:numCache>
            </c:numRef>
          </c:val>
          <c:extLst>
            <c:ext xmlns:c16="http://schemas.microsoft.com/office/drawing/2014/chart" uri="{C3380CC4-5D6E-409C-BE32-E72D297353CC}">
              <c16:uniqueId val="{00000001-C862-406C-B806-800D4EA29974}"/>
            </c:ext>
          </c:extLst>
        </c:ser>
        <c:dLbls>
          <c:showLegendKey val="0"/>
          <c:showVal val="0"/>
          <c:showCatName val="0"/>
          <c:showSerName val="0"/>
          <c:showPercent val="0"/>
          <c:showBubbleSize val="0"/>
        </c:dLbls>
        <c:gapWidth val="150"/>
        <c:overlap val="100"/>
        <c:axId val="504060328"/>
        <c:axId val="504059016"/>
      </c:barChart>
      <c:catAx>
        <c:axId val="504060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4059016"/>
        <c:crosses val="autoZero"/>
        <c:auto val="1"/>
        <c:lblAlgn val="ctr"/>
        <c:lblOffset val="100"/>
        <c:noMultiLvlLbl val="0"/>
      </c:catAx>
      <c:valAx>
        <c:axId val="50405901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40603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Disability</a:t>
            </a:r>
            <a:r>
              <a:rPr lang="en-GB" baseline="0"/>
              <a:t> by Organisation</a:t>
            </a:r>
            <a:endParaRPr lang="en-GB"/>
          </a:p>
        </c:rich>
      </c:tx>
      <c:layout>
        <c:manualLayout>
          <c:xMode val="edge"/>
          <c:yMode val="edge"/>
          <c:x val="0.29132633420822401"/>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870-4186-949A-A9683C40DEB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870-4186-949A-A9683C40DEB7}"/>
              </c:ext>
            </c:extLst>
          </c:dPt>
          <c:dLbls>
            <c:dLbl>
              <c:idx val="1"/>
              <c:spPr>
                <a:noFill/>
                <a:ln>
                  <a:noFill/>
                </a:ln>
                <a:effectLst/>
              </c:spPr>
              <c:txPr>
                <a:bodyPr rot="0" spcFirstLastPara="1" vertOverflow="ellipsis" horzOverflow="clip"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15:spPr xmlns:c15="http://schemas.microsoft.com/office/drawing/2012/chart">
                    <a:prstGeom prst="rect">
                      <a:avLst/>
                    </a:prstGeom>
                    <a:noFill/>
                    <a:ln>
                      <a:noFill/>
                    </a:ln>
                  </c15:spPr>
                </c:ext>
                <c:ext xmlns:c16="http://schemas.microsoft.com/office/drawing/2014/chart" uri="{C3380CC4-5D6E-409C-BE32-E72D297353CC}">
                  <c16:uniqueId val="{00000003-6870-4186-949A-A9683C40DEB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0"/>
            <c:extLst>
              <c:ext xmlns:c15="http://schemas.microsoft.com/office/drawing/2012/chart" uri="{CE6537A1-D6FC-4f65-9D91-7224C49458BB}"/>
            </c:extLst>
          </c:dLbls>
          <c:cat>
            <c:strRef>
              <c:f>Sheet4!$G$4:$H$4</c:f>
              <c:strCache>
                <c:ptCount val="2"/>
                <c:pt idx="0">
                  <c:v>Disabled</c:v>
                </c:pt>
                <c:pt idx="1">
                  <c:v>Not disabled</c:v>
                </c:pt>
              </c:strCache>
            </c:strRef>
          </c:cat>
          <c:val>
            <c:numRef>
              <c:f>Sheet4!$G$5:$H$5</c:f>
              <c:numCache>
                <c:formatCode>General</c:formatCode>
                <c:ptCount val="2"/>
                <c:pt idx="0">
                  <c:v>21</c:v>
                </c:pt>
                <c:pt idx="1">
                  <c:v>239</c:v>
                </c:pt>
              </c:numCache>
            </c:numRef>
          </c:val>
          <c:extLst>
            <c:ext xmlns:c16="http://schemas.microsoft.com/office/drawing/2014/chart" uri="{C3380CC4-5D6E-409C-BE32-E72D297353CC}">
              <c16:uniqueId val="{00000004-6870-4186-949A-A9683C40DEB7}"/>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 Salary</a:t>
            </a:r>
            <a:r>
              <a:rPr lang="en-GB" baseline="0"/>
              <a:t> by Gender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Sheet4!$B$42</c:f>
              <c:strCache>
                <c:ptCount val="1"/>
                <c:pt idx="0">
                  <c:v>Average Salary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Sheet4!$A$43:$A$45</c:f>
              <c:strCache>
                <c:ptCount val="3"/>
                <c:pt idx="0">
                  <c:v>Male</c:v>
                </c:pt>
                <c:pt idx="1">
                  <c:v>Female</c:v>
                </c:pt>
                <c:pt idx="2">
                  <c:v>Non Binary</c:v>
                </c:pt>
              </c:strCache>
            </c:strRef>
          </c:cat>
          <c:val>
            <c:numRef>
              <c:f>Sheet4!$B$43:$B$45</c:f>
              <c:numCache>
                <c:formatCode>"£"#,##0.00</c:formatCode>
                <c:ptCount val="3"/>
                <c:pt idx="0">
                  <c:v>31812.18</c:v>
                </c:pt>
                <c:pt idx="1">
                  <c:v>31900.3</c:v>
                </c:pt>
                <c:pt idx="2">
                  <c:v>19500</c:v>
                </c:pt>
              </c:numCache>
            </c:numRef>
          </c:val>
          <c:extLst>
            <c:ext xmlns:c16="http://schemas.microsoft.com/office/drawing/2014/chart" uri="{C3380CC4-5D6E-409C-BE32-E72D297353CC}">
              <c16:uniqueId val="{00000000-FA6E-44D6-9353-4B2F00945A55}"/>
            </c:ext>
          </c:extLst>
        </c:ser>
        <c:dLbls>
          <c:showLegendKey val="0"/>
          <c:showVal val="0"/>
          <c:showCatName val="0"/>
          <c:showSerName val="0"/>
          <c:showPercent val="0"/>
          <c:showBubbleSize val="0"/>
        </c:dLbls>
        <c:gapWidth val="219"/>
        <c:overlap val="-27"/>
        <c:axId val="518690208"/>
        <c:axId val="518691520"/>
      </c:barChart>
      <c:catAx>
        <c:axId val="5186902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8691520"/>
        <c:crosses val="autoZero"/>
        <c:auto val="1"/>
        <c:lblAlgn val="ctr"/>
        <c:lblOffset val="100"/>
        <c:noMultiLvlLbl val="0"/>
      </c:catAx>
      <c:valAx>
        <c:axId val="518691520"/>
        <c:scaling>
          <c:orientation val="minMax"/>
        </c:scaling>
        <c:delete val="0"/>
        <c:axPos val="l"/>
        <c:majorGridlines>
          <c:spPr>
            <a:ln w="9525" cap="flat" cmpd="sng" algn="ctr">
              <a:solidFill>
                <a:schemeClr val="tx1">
                  <a:lumMod val="15000"/>
                  <a:lumOff val="85000"/>
                </a:schemeClr>
              </a:solidFill>
              <a:round/>
            </a:ln>
            <a:effectLst/>
          </c:spPr>
        </c:majorGridlines>
        <c:numFmt formatCode="&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86902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4059</Words>
  <Characters>23138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South Wales Trunk Road Agent</Company>
  <LinksUpToDate>false</LinksUpToDate>
  <CharactersWithSpaces>27143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Tucker</dc:creator>
  <cp:keywords/>
  <dc:description/>
  <cp:lastModifiedBy>Julie Thomas</cp:lastModifiedBy>
  <cp:revision>2</cp:revision>
  <dcterms:created xsi:type="dcterms:W3CDTF">2023-12-14T15:12:00Z</dcterms:created>
  <dcterms:modified xsi:type="dcterms:W3CDTF">2023-12-14T15:12:00Z</dcterms:modified>
</cp:coreProperties>
</file>