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cs="Times New Roman"/>
          <w:sz w:val="24"/>
          <w:szCs w:val="24"/>
        </w:rPr>
      </w:pPr>
      <w:r>
        <w:rPr>
          <w:rFonts w:ascii="Times New Roman" w:hAnsi="Times New Roman" w:cs="Times New Roman"/>
          <w:sz w:val="24"/>
          <w:szCs w:val="24"/>
        </w:rPr>
        <w:t>With projections of an inevitable escalating global population, and an acceleration of production and consumption of humans to meet their needs, it is obvious that business must not be usual.</w:t>
      </w:r>
      <w:r>
        <w:rPr>
          <w:rFonts w:ascii="Times New Roman" w:hAnsi="Times New Roman" w:eastAsia="SimSun" w:cs="Times New Roman"/>
          <w:sz w:val="24"/>
          <w:szCs w:val="24"/>
          <w:shd w:val="clear" w:color="auto" w:fill="FFFFFF"/>
        </w:rPr>
        <w:t xml:space="preserve"> At its nucleus, sustainable development is about social, economic and environmental issues being addressed concurrently and holistically in all endeavors. </w:t>
      </w:r>
      <w:r>
        <w:rPr>
          <w:rFonts w:ascii="Times New Roman" w:hAnsi="Times New Roman" w:cs="Times New Roman"/>
          <w:sz w:val="24"/>
          <w:szCs w:val="24"/>
        </w:rPr>
        <w:t>Sachs, Knoll, Lafortune, Fuller and Woelm (2021) posited that businesses need to realise that the task of starting sustainable living and achieving such can be a challenge but they are not impossible tasks. Ban (2016) postulated that when organisations champion the cause of sustainability, even in the minute of ways, there are many benefits to be realized. The prolific words of renowned businessman Ray Anderson “We</w:t>
      </w:r>
      <w:r>
        <w:rPr>
          <w:rFonts w:ascii="Times New Roman" w:hAnsi="Times New Roman" w:cs="Times New Roman"/>
          <w:sz w:val="24"/>
          <w:szCs w:val="24"/>
          <w:shd w:val="clear" w:color="auto" w:fill="FFFFFF"/>
        </w:rPr>
        <w:t xml:space="preserve"> have a choice to make during our brief visit to this beautiful blue and green living planet: to hurt it or to help it”,</w:t>
      </w:r>
      <w:r>
        <w:rPr>
          <w:rFonts w:ascii="Times New Roman" w:hAnsi="Times New Roman" w:cs="Times New Roman"/>
          <w:sz w:val="24"/>
          <w:szCs w:val="24"/>
        </w:rPr>
        <w:t xml:space="preserve"> are very profound and if understood by managers of organisations, can motivate them in all their doings to solve the world’s sustainability problems. The discourse of this essay will highlight some of the social, economic and environmental sustainability problems the world faces, and what managers of organisations can do to solve these problems. Though some of these methods are relatively new with shortcomings managers must be willing to consider their places, and as Kofi Annan said </w:t>
      </w:r>
      <w:r>
        <w:rPr>
          <w:rFonts w:ascii="Times New Roman" w:hAnsi="Times New Roman" w:cs="Times New Roman"/>
          <w:sz w:val="24"/>
          <w:szCs w:val="24"/>
          <w:shd w:val="clear" w:color="auto" w:fill="FFFFFF"/>
        </w:rPr>
        <w:t xml:space="preserve">“Our biggest challenge in this new century is to take an idea that seems abstract and turn it into a reality for the entire world’s people”. </w:t>
      </w:r>
      <w:r>
        <w:rPr>
          <w:rFonts w:ascii="Times New Roman" w:hAnsi="Times New Roman" w:cs="Times New Roman"/>
          <w:sz w:val="24"/>
          <w:szCs w:val="24"/>
        </w:rPr>
        <w:t xml:space="preserve">After all, the principle behind Einstein’s words, “we cannot solve our problems with the same thinking we used to create them’ are profound if the world is to achieve the Sustainable Development goals targeted for 2030.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Sustainable Development Goals of 2015 suggested that there is an urgent need for </w:t>
      </w:r>
      <w:r>
        <w:rPr>
          <w:rFonts w:ascii="Times New Roman" w:hAnsi="Times New Roman" w:cs="Times New Roman"/>
          <w:sz w:val="24"/>
          <w:szCs w:val="24"/>
          <w:shd w:val="clear" w:color="auto" w:fill="FFFFFF"/>
        </w:rPr>
        <w:t>action to encourage prosperity and at the same time protect the planet.</w:t>
      </w:r>
      <w:r>
        <w:rPr>
          <w:rFonts w:ascii="Times New Roman" w:hAnsi="Times New Roman" w:eastAsia="SimSun" w:cs="Times New Roman"/>
          <w:kern w:val="2"/>
          <w:sz w:val="24"/>
          <w:szCs w:val="24"/>
        </w:rPr>
        <w:t xml:space="preserve"> Baumgartner, (2014</w:t>
      </w:r>
      <w:r>
        <w:rPr>
          <w:rFonts w:ascii="Times New Roman" w:hAnsi="Times New Roman" w:cs="Times New Roman"/>
          <w:sz w:val="24"/>
          <w:szCs w:val="24"/>
          <w:shd w:val="clear" w:color="auto" w:fill="FFFFFF"/>
        </w:rPr>
        <w:t xml:space="preserve">) advocated that </w:t>
      </w:r>
      <w:r>
        <w:rPr>
          <w:rFonts w:ascii="Times New Roman" w:hAnsi="Times New Roman" w:eastAsia="SimSun" w:cs="Times New Roman"/>
          <w:kern w:val="2"/>
          <w:sz w:val="24"/>
          <w:szCs w:val="24"/>
        </w:rPr>
        <w:t xml:space="preserve">organisations, because of their colossal opportunity to influence, play a dominant role in exceeding international sustainable development agenda and can immensely profit from the openings produced along the way.  Therefore, mangers </w:t>
      </w:r>
      <w:r>
        <w:rPr>
          <w:rFonts w:ascii="Times New Roman" w:hAnsi="Times New Roman" w:cs="Times New Roman"/>
          <w:sz w:val="24"/>
          <w:szCs w:val="24"/>
        </w:rPr>
        <w:t xml:space="preserve">must first ensure that their activities do no harm – a principle that underpins the human rights responsibilities of businesses as embodied by the UN Guiding Principles on Business and Human Rights (UNGPs) this according to Global Business Initiative on Human Rights (2015). They further argued that when this is done it is ‘a key contribution and vehicle through which business can help achieve the broader vision of peaceful and inclusive societies embraced by the SDGs’.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If businesses operate in a way that foster potential harm to their employees in the name of making a profit then they are trying to solve the world’s sustainability problem of economic growth and at the same time hurting the human capital. This then can be detrimental to the business and damage its character.  . For example, a study done by the Anti-Slavery Organization Datta, David, Bales and Grono (2013) found  that the world’s largest garment companies have all been linked to cotton-spinning mills in India, which routinely used the forced labour of girls.  While these organisations were aiming for economic growth, they were in the process, compromising the rights of these young girls. The principles underpinning Deontology would mean that this is unacceptable. </w:t>
      </w:r>
    </w:p>
    <w:p>
      <w:pPr>
        <w:spacing w:line="480" w:lineRule="auto"/>
        <w:rPr>
          <w:rFonts w:ascii="Times New Roman" w:hAnsi="Times New Roman" w:cs="Times New Roman"/>
          <w:sz w:val="24"/>
          <w:szCs w:val="24"/>
        </w:rPr>
      </w:pPr>
      <w:r>
        <w:rPr>
          <w:rFonts w:ascii="Times New Roman" w:hAnsi="Times New Roman" w:cs="Times New Roman"/>
          <w:sz w:val="24"/>
          <w:szCs w:val="24"/>
        </w:rPr>
        <w:t>Furthermore, in YouTube video on the Principles of Sustainability (2014) the narrator argued that one principle to win sustainability is that people are not subjected to conditions that systematically undermine their capacity to meet their own needs.</w:t>
      </w:r>
      <w:r>
        <w:rPr>
          <w:rFonts w:ascii="Times New Roman" w:hAnsi="Times New Roman" w:eastAsia="SimSun" w:cs="Times New Roman"/>
          <w:kern w:val="2"/>
          <w:sz w:val="24"/>
          <w:szCs w:val="24"/>
        </w:rPr>
        <w:t xml:space="preserve"> .</w:t>
      </w:r>
      <w:r>
        <w:rPr>
          <w:rFonts w:ascii="Times New Roman" w:hAnsi="Times New Roman" w:cs="Times New Roman"/>
          <w:sz w:val="24"/>
          <w:szCs w:val="24"/>
        </w:rPr>
        <w:t xml:space="preserve">  Organisations can address their own impacts on employees and workers in their value chains.  This means that managers must not use industrial procedures, providers and business models that create ongoing barriers for people and making it impossible for them to meet their needs.  When all of these are considered, then organisations are helping to solve the world’s sustainability problems.</w:t>
      </w:r>
    </w:p>
    <w:p>
      <w:pPr>
        <w:spacing w:line="480" w:lineRule="auto"/>
        <w:rPr>
          <w:rFonts w:ascii="Times New Roman" w:hAnsi="Times New Roman" w:cs="Times New Roman"/>
          <w:sz w:val="24"/>
          <w:szCs w:val="24"/>
        </w:rPr>
      </w:pPr>
      <w:r>
        <w:rPr>
          <w:rFonts w:ascii="Times New Roman" w:hAnsi="Times New Roman" w:cs="Times New Roman"/>
          <w:sz w:val="24"/>
          <w:szCs w:val="24"/>
        </w:rPr>
        <w:t>Wu and Cheng (2016) contended that managers can definitely help to solve the world’s sustainability problem of gender equality. Kim (2020) posited that in addition to being a human right and critical for societal justice, growing gender equality offers a range of probable business benefits, including a more capable and contented pool of workers, more unwavering stock chains and greater appeal to consumers . Even though Harvey et al (2014) argued that inequality at place of work is natural to businesspersons, Wright (2010) stipulated that a change in this mindset is important and can be done through education. Sobering (2019) highlighted a compelling case where all workers  at BAUEN Cooperative in Argentina talked  about the connotations of power, expertise, and worth through the application of workplace practices intended to largely dispensing control, opening, and payments in the workplace. This consequently resulted in a workplace where workers felt free of discrimination. The effect being that when organisations have honest conversations with their workers, gender equality can be tolerated and when workers are happy and treated fairly then their input and output can be affected.</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Furthermore, Arnold and Bowie (2019) gave the impression that when an open book management is done, all employees feel part of the business and when they are not affected with gender bias and feel left out of the business this can reap financial benefits for the organisation. Rubio, Mazon and Martinez (2019) showed that businesses that have gender equality and make sure that management boards are represented fairly with both sexes then businesses reap financial advantage. Therefore if managers operate their businesses with conceptions and prejudices against genders then they are creating problems that can affect their bottom-line. Chang and Milkman (2020) contended that one way managers can diminish gender preference is to educate workers about the harmful ways in which bias can disturb women and organizations. By educating people about the noticeable, optimistic profits of gender equality, can help to astound the bias that leads people to treat diversity as an issue. </w:t>
      </w:r>
    </w:p>
    <w:p>
      <w:pPr>
        <w:spacing w:line="480" w:lineRule="auto"/>
        <w:rPr>
          <w:rFonts w:ascii="Times New Roman" w:hAnsi="Times New Roman" w:cs="Times New Roman"/>
          <w:sz w:val="24"/>
          <w:szCs w:val="24"/>
        </w:rPr>
      </w:pPr>
      <w:r>
        <w:rPr>
          <w:rFonts w:ascii="Times New Roman" w:hAnsi="Times New Roman" w:cs="Times New Roman"/>
          <w:sz w:val="24"/>
          <w:szCs w:val="24"/>
        </w:rPr>
        <w:t>One cannot talk about sustainability and not mention the connection between the undertakings of business and the environment (Moktadir, Kumar, Ali, Paul, Sultana and Razaei, 2020).  Egfjord and Sund (2020) gave the impression that managers of organisations can solve the world’s sustainability problems through pollution prevention that is the minimization of waste and emissions. According to Woodhard (2021), it is estimated that 30.8 billion tons of waste in England alone has been the doings of businesses. Even more noteworthy is that according to Gillot, Troussier, Le Duigou, Favergou and Camelin (2020) the sector that showed that  "industrial processes and product use" is responsible for around 8 % of the total greenhouse gas emissions are from businesses. Ferronato and Torretta (2019) argued that pollution due to solid waste mismanagement is a global issue. With all these statistics it is obvious that businesses have a responsibility to ensure that they minimize the damages that they are causing the environment by paying close attention to their practices and in so doing solve the world’s sustainability problems.</w:t>
      </w:r>
    </w:p>
    <w:p>
      <w:pPr>
        <w:spacing w:line="480" w:lineRule="auto"/>
        <w:rPr>
          <w:rFonts w:ascii="Times New Roman" w:hAnsi="Times New Roman" w:cs="Times New Roman"/>
          <w:sz w:val="24"/>
          <w:szCs w:val="24"/>
        </w:rPr>
      </w:pPr>
      <w:r>
        <w:rPr>
          <w:rFonts w:ascii="Times New Roman" w:hAnsi="Times New Roman" w:cs="Times New Roman"/>
          <w:sz w:val="24"/>
          <w:szCs w:val="24"/>
        </w:rPr>
        <w:t>For the world’s sustainability problems as it relates to the environment to be addressed, it is imperative that businesses  replace  the  linear economy and adopt to a circular economy. The Ellen MacArthur Foundation (2013) defined the Circular Economy as “an industrial economy that is restorative or regenerative by intention and design”.  Stahel (2016) showed that with a Circular Economy, there is no waste of a manufactured product. In a Youtube  video (2018) Unwasted The future of businesses on Earth  Hoby Douglas convincingly argues that there was absolutely no waste in nature as 100 years ago everything was reused.  Zero waste is reframing the idea that businesses value everything they use.  Lahti,  Wincent ,and Parida (2018) hypothesized that:</w:t>
      </w:r>
    </w:p>
    <w:p>
      <w:pPr>
        <w:spacing w:line="480" w:lineRule="auto"/>
        <w:rPr>
          <w:rFonts w:ascii="Times New Roman" w:hAnsi="Times New Roman" w:cs="Times New Roman"/>
          <w:i/>
          <w:sz w:val="24"/>
          <w:szCs w:val="24"/>
        </w:rPr>
      </w:pPr>
      <w:r>
        <w:rPr>
          <w:rFonts w:ascii="Times New Roman" w:hAnsi="Times New Roman" w:cs="Times New Roman"/>
          <w:i/>
          <w:sz w:val="24"/>
          <w:szCs w:val="24"/>
        </w:rPr>
        <w:t>The idea behind the circular economy is that companies have a responsibility to uphold the environmental and sustainable values of society and must respond to a broad set of stakeholders rather than just their closest shareholders. This idea has resulted in research into ways management can expand and rethink the traditional make-use-dispose business model.</w:t>
      </w:r>
    </w:p>
    <w:p>
      <w:pPr>
        <w:spacing w:line="480" w:lineRule="auto"/>
        <w:rPr>
          <w:rFonts w:ascii="Times New Roman" w:hAnsi="Times New Roman" w:cs="Times New Roman"/>
          <w:sz w:val="24"/>
          <w:szCs w:val="24"/>
        </w:rPr>
      </w:pPr>
      <w:r>
        <w:rPr>
          <w:rFonts w:ascii="Times New Roman" w:hAnsi="Times New Roman" w:cs="Times New Roman"/>
          <w:sz w:val="24"/>
          <w:szCs w:val="24"/>
        </w:rPr>
        <w:t>With a Circular economy businesses are better able to manage their waste consequently affecting their pollution levels. One successful case of such use of this system can be seen in S4 Energy Solutions.  This organisation makes energy management smarter and more flexible by turning energy challenges into profitable organisations. They create a sin gas which is a basic building block for many recyclable and renewable energy products and can be used to make fuel chemicals.</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 Production is replaced with sufficiency whereby businesses reuse what they can, recycle what cannot be reused, repair what is broken and remanufacture what cannot be repaired.  This system of operations means that managers must guarantee that their core values align with environmental protection. Between 2004 and 2010 the University of Washington increased its recycling rate from 35% to 58%. Without, recycling and composting they would have spent an additional $892,007 on waste disposal in 2010 alone according to a representative from the University as cited in the Meserve video (2018).  Arguable, with a linear economy businesses see materials to be continually consumed rather than being preserved.  Hence, businesses that use the linear economy is definitely solving the problems with the same thinking they used to create them. On the flip side, a circular economy would mean that wastage and emissions are controlled. It is therefore important for managers to understand that it is economical for their businesses when waste is limited. It is therefore t is good economically too as it has a large amount of avoidable cost. Further, Shifting towards a circular economy also boosts innovation, creates jobs, and benefits the environment (Kok, Wurpel, and Wolde, 2013)</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Businesses, regardless of their sector can do little things in house which can affect sustainability. Sakaguchi, Pak and Potts (2018) opined that businesses in the food industry such as restaurants can solve the problem of food wastage subsequently protect the environment. They further showed that many restaurants are involved in composting and also 72% of good waste is given to the environment. Added to composting, managers can be involved in waste management in the office by doing the following: replace desk side trash with recycling containers and put the trash container in one centralized space. When this is done employees will generate less waste since they have to walk to the trash can. In the restrooms there can be recycled paper towels. In basic printing there can be the use of double sided printing and recycled paper. </w:t>
      </w:r>
    </w:p>
    <w:p>
      <w:pPr>
        <w:spacing w:line="480" w:lineRule="auto"/>
        <w:rPr>
          <w:rFonts w:ascii="Times New Roman" w:hAnsi="Times New Roman" w:cs="Times New Roman"/>
          <w:sz w:val="24"/>
          <w:szCs w:val="24"/>
        </w:rPr>
      </w:pPr>
      <w:r>
        <w:rPr>
          <w:rFonts w:ascii="Times New Roman" w:hAnsi="Times New Roman" w:cs="Times New Roman"/>
          <w:sz w:val="24"/>
          <w:szCs w:val="24"/>
        </w:rPr>
        <w:t>Fransworth (2020) argued that businesses can do well by being good. This hinges on the idea that by learning and utilizing the principles of bio-mimicry, -entrepreneurs can be kinder to the environment and more innovative and profitable. Benyus (2020) made the passionate case that nature is the best source of inspiration in solving the challenges we face in our overly exploitative society.  Bluk (2016) argued that bio-mimicry allows businesses to be innovative and sustainable in the designs of their products.  Managers whose business is primarily based on the production of goods can use the underpinnings of Bio-mimicry in the creation of their products.  Ivanic, Tadic and (2015) implied that with bio-mimicry there is a creative implementation of biological concepts into products. By mimicking nature’s actual and operative strategies experimented for 3.8 billion years, the knowledge can help firms preserve the ecosystems, be profitable, and increase their general resilience this according to Stabile (2021). Fransworth (2021) suggested that when managers employ bio-mimicry they can witness, emulate, and install natural strategies to solve their challenges more efficiently and at less cost while simultaneously preserving nature simple because bio-mimicry procedures are vastly sustainable and reverent of nature’s operating conditions.</w:t>
      </w:r>
    </w:p>
    <w:p>
      <w:pPr>
        <w:spacing w:line="480" w:lineRule="auto"/>
        <w:rPr>
          <w:rFonts w:ascii="Times New Roman" w:hAnsi="Times New Roman" w:cs="Times New Roman"/>
          <w:sz w:val="24"/>
          <w:szCs w:val="24"/>
        </w:rPr>
      </w:pPr>
      <w:r>
        <w:rPr>
          <w:rFonts w:ascii="Times New Roman" w:hAnsi="Times New Roman" w:cs="Times New Roman"/>
          <w:sz w:val="24"/>
          <w:szCs w:val="24"/>
        </w:rPr>
        <w:t>The Bio-mimicry Institute (2021) argued that the main principle of Bio-mimicry application is “the scientific, research-based practice of learning from and then replicating nature’s forms, processes, and ecosystems to create more regenerative designs”. From scholarly reports there seems to be indications that there are not substantial evidence supporting Bio-mimicry. However, the Bio-mimicry Business Intelligence (2016) maintained that German Company Arnold Glass run under the underpinnings of Bio-mimicry after years of producing glass materials and in the process hurting birds’ species. Schon (2018) hypothesized that the owners felt responsible for the damages that his glass product made on the birds and so he vigorously looked for solutions.</w:t>
      </w:r>
      <w:r>
        <w:rPr>
          <w:rFonts w:ascii="Times New Roman" w:hAnsi="Times New Roman" w:cs="Times New Roman"/>
          <w:sz w:val="24"/>
          <w:szCs w:val="24"/>
          <w:shd w:val="clear" w:color="auto" w:fill="FFFFFF"/>
        </w:rPr>
        <w:t xml:space="preserve"> Ohlander, Willems, Leistra, and Damstra (2018)</w:t>
      </w:r>
      <w:r>
        <w:rPr>
          <w:rFonts w:ascii="Times New Roman" w:hAnsi="Times New Roman" w:cs="Times New Roman"/>
          <w:sz w:val="24"/>
          <w:szCs w:val="24"/>
        </w:rPr>
        <w:t xml:space="preserve"> showed that Arnold therefore collaborated with another company to produce UV-reflecting qualities of orb wavers’ webs and make a sustainable glass product using the principles outlined by bio-mimicry. </w:t>
      </w:r>
    </w:p>
    <w:p>
      <w:pPr>
        <w:spacing w:line="480" w:lineRule="auto"/>
        <w:rPr>
          <w:rFonts w:ascii="Times New Roman" w:hAnsi="Times New Roman" w:cs="Times New Roman"/>
          <w:sz w:val="24"/>
          <w:szCs w:val="24"/>
        </w:rPr>
      </w:pPr>
      <w:r>
        <w:rPr>
          <w:rFonts w:ascii="Times New Roman" w:hAnsi="Times New Roman" w:cs="Times New Roman"/>
          <w:sz w:val="24"/>
          <w:szCs w:val="24"/>
        </w:rPr>
        <w:t>Another success story of the concept of bio-mimicry which businesses can emulate is Interface a company founded by Ray Anderson in 1973. Interface FLOR (2012) showed that Anderson vowed to lead the company on a path of sustainability by dealing with the company’s footprint of energy and waste. The company therefore reconciled manufacturing practices with nature’s cycle. After years of working with a scientist Interface was able to produce Tactile, a glue-free design that effectively glues together carpet tiles without the use of toxic chemicals (Interface 2021).  With all these information it can be argued that bio-mimicry affords businesses the opportunity to manufacture products, imitating nature and as a result solving manufacturing problems faced by the world today.  When companies apply this concept of innovation to production then without a doubt they are solving problems without contributing the creation of the problem.</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About fifteen years ago, the Millennium Ecosystem Assessment (MEA) made people realize the importance of natural capital for the existence of human (MA 2005).  </w:t>
      </w:r>
      <w:r>
        <w:rPr>
          <w:rFonts w:ascii="Times New Roman" w:hAnsi="Times New Roman" w:cs="Times New Roman"/>
          <w:sz w:val="24"/>
          <w:szCs w:val="24"/>
          <w:shd w:val="clear" w:color="auto" w:fill="FFFFFF"/>
        </w:rPr>
        <w:t>Kenniskaarten (2016) opined that all businesses should make it their responsibility to integrate natural capital in their decision making. By doing this, the company creates value, manages risks and develops its character. Further, Olewiller and Molnar (2012) posited:</w:t>
      </w:r>
    </w:p>
    <w:p>
      <w:pPr>
        <w:spacing w:line="480" w:lineRule="auto"/>
        <w:rPr>
          <w:rFonts w:ascii="Times New Roman" w:hAnsi="Times New Roman" w:cs="Times New Roman"/>
          <w:sz w:val="24"/>
          <w:szCs w:val="24"/>
          <w:shd w:val="clear" w:color="auto" w:fill="FFFFFF"/>
        </w:rPr>
      </w:pPr>
      <w:r>
        <w:rPr>
          <w:rFonts w:ascii="Times New Roman" w:hAnsi="Times New Roman" w:cs="Times New Roman"/>
          <w:i/>
          <w:sz w:val="24"/>
          <w:szCs w:val="24"/>
          <w:shd w:val="clear" w:color="auto" w:fill="FFFFFF"/>
        </w:rPr>
        <w:t>Virtually every business activity benefits from natural systems in some way. For example, fresh water is critical to many industrial processes, from agriculture to mining; wild genetic resources underpin the pharmaceutical sector; natural environments drive the tourism industry; and intact wetlands and forests protect buildings from flooding, storms, and other natural disasters. Even labour productivity is affected by natural capital: healthy environments improve workers’ mental and physical health and reduce absenteeism</w:t>
      </w:r>
      <w:r>
        <w:rPr>
          <w:rFonts w:ascii="Times New Roman" w:hAnsi="Times New Roman" w:cs="Times New Roman"/>
          <w:sz w:val="24"/>
          <w:szCs w:val="24"/>
          <w:shd w:val="clear" w:color="auto" w:fill="FFFFFF"/>
        </w:rPr>
        <w:t>.</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World Research Institute showed that like any other model there are risk and opportunities with natural capital however the opportunities outweigh the risk. As such, managers should always take the steps to minimize the risk and maximize the opportunities. When managers take steps to do such it will make a business part of the new paradigm in which firms work to protect natural capital and its related ecosystem services—benefiting the bottom line and the broader planet.</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a final analysis, it is explicit that managers of businesses have a fundamental role in championing sustainability. Businesses must ensure that the models that govern their businesses are helping to solve the world’s sustainability problems. Businesses can do such by guaranteeing that the core values of the businesses align with the sustainable development goals. They must ensure that at work there is gender equality and the overall work of production do not infringe on basic human rights. Furthermore, managers can also implement policies which foster effective waste management. In all they must make sure that they imitate nature when they are designing their products and also use natural capital in their businesses. A system of Circular economy would mean that the life span of products is infinite. When managers understand and use these prescribe models in the day to day running of their organisations it means that they are well on the way to solving the world’s sustainability problems. Failure to do such would mean that businesses are solving “…our problems with the same thinking used to create them”.</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  </w:t>
      </w:r>
    </w:p>
    <w:p>
      <w:pPr>
        <w:rPr>
          <w:rFonts w:ascii="Times New Roman" w:hAnsi="Times New Roman" w:cs="Times New Roman"/>
          <w:sz w:val="24"/>
          <w:szCs w:val="24"/>
        </w:rPr>
      </w:pPr>
    </w:p>
    <w:p>
      <w:pPr>
        <w:rPr>
          <w:rFonts w:ascii="Times New Roman" w:hAnsi="Times New Roman" w:cs="Times New Roman"/>
          <w:i/>
          <w:sz w:val="24"/>
          <w:szCs w:val="24"/>
          <w:shd w:val="clear" w:color="auto" w:fill="FFFFFF"/>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shd w:val="clear" w:color="auto" w:fill="FFFFFF"/>
        </w:rPr>
      </w:pPr>
      <w:r>
        <w:rPr>
          <w:rFonts w:ascii="Times New Roman" w:hAnsi="Times New Roman" w:cs="Times New Roman"/>
          <w:sz w:val="24"/>
          <w:szCs w:val="24"/>
        </w:rPr>
        <w:tab/>
      </w:r>
    </w:p>
    <w:p>
      <w:pP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t>References</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Anderson, Ray. 2009. </w:t>
      </w:r>
      <w:r>
        <w:rPr>
          <w:rFonts w:ascii="Times New Roman" w:hAnsi="Times New Roman" w:cs="Times New Roman"/>
          <w:i/>
          <w:sz w:val="24"/>
          <w:szCs w:val="24"/>
        </w:rPr>
        <w:t>TED Talk: The Business Logic of Sustainability</w:t>
      </w:r>
      <w:r>
        <w:rPr>
          <w:rFonts w:ascii="Times New Roman" w:hAnsi="Times New Roman" w:cs="Times New Roman"/>
          <w:sz w:val="24"/>
          <w:szCs w:val="24"/>
        </w:rPr>
        <w:t xml:space="preserve">. Accessed 20th May 2022. </w:t>
      </w:r>
      <w:r>
        <w:fldChar w:fldCharType="begin"/>
      </w:r>
      <w:r>
        <w:instrText xml:space="preserve"> HYPERLINK "https://www.ted.com/talks/ray_anderson_the_business_logic_of_sustainability" </w:instrText>
      </w:r>
      <w:r>
        <w:fldChar w:fldCharType="separate"/>
      </w:r>
      <w:r>
        <w:rPr>
          <w:rStyle w:val="4"/>
          <w:rFonts w:ascii="Times New Roman" w:hAnsi="Times New Roman" w:cs="Times New Roman"/>
          <w:color w:val="auto"/>
          <w:sz w:val="24"/>
          <w:szCs w:val="24"/>
          <w:u w:val="none"/>
        </w:rPr>
        <w:t>https://www.ted.com/talks/ray_anderson_the_business_logic_of_sustainability</w:t>
      </w:r>
      <w:r>
        <w:rPr>
          <w:rStyle w:val="4"/>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Arnold, D.G. and Bowie, N.E., 2019. </w:t>
      </w:r>
      <w:r>
        <w:rPr>
          <w:rFonts w:ascii="Times New Roman" w:hAnsi="Times New Roman" w:cs="Times New Roman"/>
          <w:i/>
          <w:iCs/>
          <w:sz w:val="24"/>
          <w:szCs w:val="24"/>
          <w:shd w:val="clear" w:color="auto" w:fill="FFFFFF"/>
        </w:rPr>
        <w:t>Ethical theory and business</w:t>
      </w:r>
      <w:r>
        <w:rPr>
          <w:rFonts w:ascii="Times New Roman" w:hAnsi="Times New Roman" w:cs="Times New Roman"/>
          <w:sz w:val="24"/>
          <w:szCs w:val="24"/>
          <w:shd w:val="clear" w:color="auto" w:fill="FFFFFF"/>
        </w:rPr>
        <w:t>. Cambridge University Press.</w:t>
      </w:r>
    </w:p>
    <w:p>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Ban, K.M., 2016. Sustainable developmen</w:t>
      </w:r>
      <w:r>
        <w:rPr>
          <w:rFonts w:ascii="Times New Roman" w:hAnsi="Times New Roman" w:cs="Times New Roman"/>
          <w:color w:val="222222"/>
          <w:sz w:val="24"/>
          <w:szCs w:val="24"/>
          <w:shd w:val="clear" w:color="auto" w:fill="FFFFFF"/>
        </w:rPr>
        <w:t>t goals.</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Baumgartner, R.J., 2014. Managing corporate sustainability and CSR: A conceptual framework combining values, strategies and instruments contributing to sustainable development. </w:t>
      </w:r>
      <w:r>
        <w:rPr>
          <w:rFonts w:ascii="Times New Roman" w:hAnsi="Times New Roman" w:cs="Times New Roman"/>
          <w:i/>
          <w:iCs/>
          <w:sz w:val="24"/>
          <w:szCs w:val="24"/>
          <w:shd w:val="clear" w:color="auto" w:fill="FFFFFF"/>
        </w:rPr>
        <w:t>Corporate Social Responsibility and Environmental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21</w:t>
      </w:r>
      <w:r>
        <w:rPr>
          <w:rFonts w:ascii="Times New Roman" w:hAnsi="Times New Roman" w:cs="Times New Roman"/>
          <w:sz w:val="24"/>
          <w:szCs w:val="24"/>
          <w:shd w:val="clear" w:color="auto" w:fill="FFFFFF"/>
        </w:rPr>
        <w:t>(5), pp.258-271.</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Benyus, J.M., 2020. Biomimicry: innovation inspired by nature.</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Blok, V., 2016. Biomimicry and the materiality of ecological technology and innovation: Toward a natural model of nature. </w:t>
      </w:r>
      <w:r>
        <w:rPr>
          <w:rFonts w:ascii="Times New Roman" w:hAnsi="Times New Roman" w:cs="Times New Roman"/>
          <w:i/>
          <w:iCs/>
          <w:sz w:val="24"/>
          <w:szCs w:val="24"/>
          <w:shd w:val="clear" w:color="auto" w:fill="FFFFFF"/>
        </w:rPr>
        <w:t>Environmental Philosophy</w:t>
      </w:r>
      <w:r>
        <w:rPr>
          <w:rFonts w:ascii="Times New Roman" w:hAnsi="Times New Roman" w:cs="Times New Roman"/>
          <w:sz w:val="24"/>
          <w:szCs w:val="24"/>
          <w:shd w:val="clear" w:color="auto" w:fill="FFFFFF"/>
        </w:rPr>
        <w:t>.</w:t>
      </w:r>
    </w:p>
    <w:p>
      <w:pPr>
        <w:spacing w:line="480" w:lineRule="auto"/>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 xml:space="preserve">Cavero-Rubio, J.A., Collazo-Mazón, A. and Amorós-Martínez, A., 2019, September. Public recognition of gender equality in the workplace and its influence on firms' performance. </w:t>
      </w:r>
      <w:r>
        <w:rPr>
          <w:rFonts w:ascii="Times New Roman" w:hAnsi="Times New Roman" w:cs="Times New Roman"/>
          <w:sz w:val="24"/>
          <w:szCs w:val="24"/>
          <w:shd w:val="clear" w:color="auto" w:fill="FFFFFF"/>
        </w:rPr>
        <w:t>In </w:t>
      </w:r>
      <w:r>
        <w:rPr>
          <w:rFonts w:ascii="Times New Roman" w:hAnsi="Times New Roman" w:cs="Times New Roman"/>
          <w:i/>
          <w:iCs/>
          <w:sz w:val="24"/>
          <w:szCs w:val="24"/>
          <w:shd w:val="clear" w:color="auto" w:fill="FFFFFF"/>
        </w:rPr>
        <w:t>Women's Studies International Forum</w:t>
      </w:r>
      <w:r>
        <w:rPr>
          <w:rFonts w:ascii="Times New Roman" w:hAnsi="Times New Roman" w:cs="Times New Roman"/>
          <w:sz w:val="24"/>
          <w:szCs w:val="24"/>
          <w:shd w:val="clear" w:color="auto" w:fill="FFFFFF"/>
        </w:rPr>
        <w:t> (Vol. 76, p. 102273). Pergamon.</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Chang, E.H. and Milkman, K.L., 2020. Improving decisions that affect gender equality in the workplace. </w:t>
      </w:r>
      <w:r>
        <w:rPr>
          <w:rFonts w:ascii="Times New Roman" w:hAnsi="Times New Roman" w:cs="Times New Roman"/>
          <w:i/>
          <w:iCs/>
          <w:sz w:val="24"/>
          <w:szCs w:val="24"/>
          <w:shd w:val="clear" w:color="auto" w:fill="FFFFFF"/>
        </w:rPr>
        <w:t>Organizational Dynamics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49</w:t>
      </w:r>
      <w:r>
        <w:rPr>
          <w:rFonts w:ascii="Times New Roman" w:hAnsi="Times New Roman" w:cs="Times New Roman"/>
          <w:sz w:val="24"/>
          <w:szCs w:val="24"/>
          <w:shd w:val="clear" w:color="auto" w:fill="FFFFFF"/>
        </w:rPr>
        <w:t>(1), p.100709.</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Datta, M.N., David, F., Bales, K. and Grono, N., 2013. The Global Slavery Index.</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Egfjord, K.F.H. and Sund, K.J., 2020. Do you see what I see? How differing perceptions of the environment can hinder radical business model innovation. </w:t>
      </w:r>
      <w:r>
        <w:rPr>
          <w:rFonts w:ascii="Times New Roman" w:hAnsi="Times New Roman" w:cs="Times New Roman"/>
          <w:i/>
          <w:iCs/>
          <w:sz w:val="24"/>
          <w:szCs w:val="24"/>
          <w:shd w:val="clear" w:color="auto" w:fill="FFFFFF"/>
        </w:rPr>
        <w:t>Technological Forecasting and Social Change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150</w:t>
      </w:r>
      <w:r>
        <w:rPr>
          <w:rFonts w:ascii="Times New Roman" w:hAnsi="Times New Roman" w:cs="Times New Roman"/>
          <w:sz w:val="24"/>
          <w:szCs w:val="24"/>
          <w:shd w:val="clear" w:color="auto" w:fill="FFFFFF"/>
        </w:rPr>
        <w:t>, p.119787.</w:t>
      </w:r>
    </w:p>
    <w:p>
      <w:pPr>
        <w:spacing w:line="480" w:lineRule="auto"/>
        <w:rPr>
          <w:rFonts w:ascii="Arial" w:hAnsi="Arial" w:cs="Arial"/>
          <w:color w:val="222222"/>
          <w:sz w:val="20"/>
          <w:szCs w:val="20"/>
          <w:shd w:val="clear" w:color="auto" w:fill="FFFFFF"/>
        </w:rPr>
      </w:pP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Farnsworth, M., 2020. </w:t>
      </w:r>
      <w:r>
        <w:rPr>
          <w:rFonts w:ascii="Times New Roman" w:hAnsi="Times New Roman" w:cs="Times New Roman"/>
          <w:i/>
          <w:iCs/>
          <w:sz w:val="24"/>
          <w:szCs w:val="24"/>
          <w:shd w:val="clear" w:color="auto" w:fill="FFFFFF"/>
        </w:rPr>
        <w:t>Biomimicry and business: How companies are using nature’s strategies to succeed</w:t>
      </w:r>
      <w:r>
        <w:rPr>
          <w:rFonts w:ascii="Times New Roman" w:hAnsi="Times New Roman" w:cs="Times New Roman"/>
          <w:sz w:val="24"/>
          <w:szCs w:val="24"/>
          <w:shd w:val="clear" w:color="auto" w:fill="FFFFFF"/>
        </w:rPr>
        <w:t>. Routledge.</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Gillot, C., Troussier, N., Le Duigou, J., Favergeon, J. and Camelin, C., 2020. Proposal and experimentation of an analysis grid to map knowledge of the factory of the future. </w:t>
      </w:r>
      <w:r>
        <w:rPr>
          <w:rFonts w:ascii="Times New Roman" w:hAnsi="Times New Roman" w:cs="Times New Roman"/>
          <w:i/>
          <w:iCs/>
          <w:sz w:val="24"/>
          <w:szCs w:val="24"/>
          <w:shd w:val="clear" w:color="auto" w:fill="FFFFFF"/>
        </w:rPr>
        <w:t>Procedia CIRP</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90</w:t>
      </w:r>
      <w:r>
        <w:rPr>
          <w:rFonts w:ascii="Times New Roman" w:hAnsi="Times New Roman" w:cs="Times New Roman"/>
          <w:sz w:val="24"/>
          <w:szCs w:val="24"/>
          <w:shd w:val="clear" w:color="auto" w:fill="FFFFFF"/>
        </w:rPr>
        <w:t>, pp.623-629.</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Interface. 2021. The Interface Story :  Available at: </w:t>
      </w:r>
      <w:r>
        <w:fldChar w:fldCharType="begin"/>
      </w:r>
      <w:r>
        <w:instrText xml:space="preserve"> HYPERLINK "https://www.interface.com/EU/en-GB/sustainability/our-history-en_GB" </w:instrText>
      </w:r>
      <w:r>
        <w:fldChar w:fldCharType="separate"/>
      </w:r>
      <w:r>
        <w:rPr>
          <w:rStyle w:val="4"/>
          <w:rFonts w:ascii="Times New Roman" w:hAnsi="Times New Roman" w:cs="Times New Roman"/>
          <w:sz w:val="24"/>
          <w:szCs w:val="24"/>
        </w:rPr>
        <w:t>https://www.interface.com/EU/en-GB/sustainability/our-history-en_GB</w:t>
      </w:r>
      <w:r>
        <w:rPr>
          <w:rStyle w:val="4"/>
          <w:rFonts w:ascii="Times New Roman" w:hAnsi="Times New Roman" w:cs="Times New Roman"/>
          <w:sz w:val="24"/>
          <w:szCs w:val="24"/>
        </w:rPr>
        <w:fldChar w:fldCharType="end"/>
      </w:r>
      <w:r>
        <w:rPr>
          <w:rFonts w:ascii="Times New Roman" w:hAnsi="Times New Roman" w:cs="Times New Roman"/>
          <w:sz w:val="24"/>
          <w:szCs w:val="24"/>
        </w:rPr>
        <w:t xml:space="preserve"> Accessed: 2oth May 2022.</w:t>
      </w:r>
    </w:p>
    <w:p>
      <w:pPr>
        <w:spacing w:line="480" w:lineRule="auto"/>
        <w:rPr>
          <w:rFonts w:ascii="Times New Roman" w:hAnsi="Times New Roman" w:cs="Times New Roman"/>
          <w:sz w:val="24"/>
          <w:szCs w:val="24"/>
        </w:rPr>
      </w:pPr>
      <w:r>
        <w:rPr>
          <w:rFonts w:ascii="Times New Roman" w:hAnsi="Times New Roman" w:cs="Times New Roman"/>
          <w:sz w:val="24"/>
          <w:szCs w:val="24"/>
        </w:rPr>
        <w:t>Interface FLOR. 2012.  Focusing on Quality While Moving to Sustainability. Available at: hhttp://static.biomimicry.org/wp-content/uploads/2012/02/Case-Study- %E2%80%93-Interface-Biomimicry-Education-Network: Accessed 31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May 2022</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Kim, H., 2020. Comparison of Strategic Leadership: Steve Jobs and Tim Cook. </w:t>
      </w:r>
      <w:r>
        <w:rPr>
          <w:rFonts w:ascii="Times New Roman" w:hAnsi="Times New Roman" w:cs="Times New Roman"/>
          <w:i/>
          <w:iCs/>
          <w:sz w:val="24"/>
          <w:szCs w:val="24"/>
          <w:shd w:val="clear" w:color="auto" w:fill="FFFFFF"/>
        </w:rPr>
        <w:t>Business and Management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w:t>
      </w:r>
      <w:r>
        <w:rPr>
          <w:rFonts w:ascii="Times New Roman" w:hAnsi="Times New Roman" w:cs="Times New Roman"/>
          <w:sz w:val="24"/>
          <w:szCs w:val="24"/>
          <w:shd w:val="clear" w:color="auto" w:fill="FFFFFF"/>
        </w:rPr>
        <w:t>(3), pp.17-25.</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Kok, L., Wurpel, G. and Wolde, A., 2013. Unleashing the power of the circular economy.</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Lahti, T., Wincent, J. and Parida, V., 2018. A definition and theoretical review of the circular economy, value creation, and sustainable business models: where are we now and where should research move in the future?. </w:t>
      </w:r>
      <w:r>
        <w:rPr>
          <w:rFonts w:ascii="Times New Roman" w:hAnsi="Times New Roman" w:cs="Times New Roman"/>
          <w:i/>
          <w:iCs/>
          <w:sz w:val="24"/>
          <w:szCs w:val="24"/>
          <w:shd w:val="clear" w:color="auto" w:fill="FFFFFF"/>
        </w:rPr>
        <w:t>Sustainability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10</w:t>
      </w:r>
      <w:r>
        <w:rPr>
          <w:rFonts w:ascii="Times New Roman" w:hAnsi="Times New Roman" w:cs="Times New Roman"/>
          <w:sz w:val="24"/>
          <w:szCs w:val="24"/>
          <w:shd w:val="clear" w:color="auto" w:fill="FFFFFF"/>
        </w:rPr>
        <w:t>(8), p.2799.</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MacArthur, E., 2013. Towards the circular economy, economic and business rationale for an accelerated transition. </w:t>
      </w:r>
      <w:r>
        <w:rPr>
          <w:rFonts w:ascii="Times New Roman" w:hAnsi="Times New Roman" w:cs="Times New Roman"/>
          <w:i/>
          <w:iCs/>
          <w:sz w:val="24"/>
          <w:szCs w:val="24"/>
          <w:shd w:val="clear" w:color="auto" w:fill="FFFFFF"/>
        </w:rPr>
        <w:t>Ellen MacArthur Foundation: Cowes, UK</w:t>
      </w:r>
      <w:r>
        <w:rPr>
          <w:rFonts w:ascii="Times New Roman" w:hAnsi="Times New Roman" w:cs="Times New Roman"/>
          <w:sz w:val="24"/>
          <w:szCs w:val="24"/>
          <w:shd w:val="clear" w:color="auto" w:fill="FFFFFF"/>
        </w:rPr>
        <w:t>, pp.21-34.</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Meserve, Muriel (2018) Unwasted: The Future odf Business on Earth World Documentaries Chanel . Available at: </w:t>
      </w:r>
      <w:r>
        <w:fldChar w:fldCharType="begin"/>
      </w:r>
      <w:r>
        <w:instrText xml:space="preserve"> HYPERLINK "https://youtu.be/qeqAm9MNw60" </w:instrText>
      </w:r>
      <w:r>
        <w:fldChar w:fldCharType="separate"/>
      </w:r>
      <w:r>
        <w:rPr>
          <w:rStyle w:val="4"/>
          <w:rFonts w:ascii="Times New Roman" w:hAnsi="Times New Roman" w:cs="Times New Roman"/>
          <w:sz w:val="24"/>
          <w:szCs w:val="24"/>
        </w:rPr>
        <w:t>https://youtu.be/qeqAm9MNw60</w:t>
      </w:r>
      <w:r>
        <w:rPr>
          <w:rStyle w:val="4"/>
          <w:rFonts w:ascii="Times New Roman" w:hAnsi="Times New Roman" w:cs="Times New Roman"/>
          <w:sz w:val="24"/>
          <w:szCs w:val="24"/>
        </w:rPr>
        <w:fldChar w:fldCharType="end"/>
      </w:r>
      <w:r>
        <w:rPr>
          <w:rFonts w:ascii="Times New Roman" w:hAnsi="Times New Roman" w:cs="Times New Roman"/>
          <w:sz w:val="24"/>
          <w:szCs w:val="24"/>
        </w:rPr>
        <w:t xml:space="preserve">  (assessed: May1st 2022)</w:t>
      </w:r>
    </w:p>
    <w:p>
      <w:pPr>
        <w:spacing w:line="480" w:lineRule="auto"/>
        <w:rPr>
          <w:rFonts w:ascii="Times New Roman" w:hAnsi="Times New Roman" w:cs="Times New Roman"/>
          <w:sz w:val="24"/>
          <w:szCs w:val="24"/>
        </w:rPr>
      </w:pPr>
      <w:r>
        <w:rPr>
          <w:rFonts w:ascii="Times New Roman" w:hAnsi="Times New Roman" w:cs="Times New Roman"/>
          <w:sz w:val="24"/>
          <w:szCs w:val="24"/>
        </w:rPr>
        <w:t>Millenium Ecosystem Assessment Panel (2005) Ecosystems and Human Well-Being: Synthesis. Millenium Ecosystem Assessment Series (Island Press, Washington, DC).</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Moktadir, M.A., Kumar, A., Ali, S.M., Paul, S.K., Sultana, R. and Rezaei, J., 2020. Critical success factors for a circular economy: Implications for business strategy and the environment. </w:t>
      </w:r>
      <w:r>
        <w:rPr>
          <w:rFonts w:ascii="Times New Roman" w:hAnsi="Times New Roman" w:cs="Times New Roman"/>
          <w:i/>
          <w:iCs/>
          <w:sz w:val="24"/>
          <w:szCs w:val="24"/>
          <w:shd w:val="clear" w:color="auto" w:fill="FFFFFF"/>
        </w:rPr>
        <w:t>Business strategy and the environment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29</w:t>
      </w:r>
      <w:r>
        <w:rPr>
          <w:rFonts w:ascii="Times New Roman" w:hAnsi="Times New Roman" w:cs="Times New Roman"/>
          <w:sz w:val="24"/>
          <w:szCs w:val="24"/>
          <w:shd w:val="clear" w:color="auto" w:fill="FFFFFF"/>
        </w:rPr>
        <w:t>(8), pp.3611-3635.</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Ohlander, L., Willems, M., Leistra, P. and Damstra, S., 2018. Biomimicry toolbox, a strategic tool for generating sustainable solutions?</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Sakaguchi, L., Pak, N. and Potts, M.D., 2018. Tackling the issue of food waste in restaurants: Options for measurement method, reduction and behavioral change. </w:t>
      </w:r>
      <w:r>
        <w:rPr>
          <w:rFonts w:ascii="Times New Roman" w:hAnsi="Times New Roman" w:cs="Times New Roman"/>
          <w:i/>
          <w:iCs/>
          <w:sz w:val="24"/>
          <w:szCs w:val="24"/>
          <w:shd w:val="clear" w:color="auto" w:fill="FFFFFF"/>
        </w:rPr>
        <w:t>Journal of Cleaner Production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180</w:t>
      </w:r>
      <w:r>
        <w:rPr>
          <w:rFonts w:ascii="Times New Roman" w:hAnsi="Times New Roman" w:cs="Times New Roman"/>
          <w:sz w:val="24"/>
          <w:szCs w:val="24"/>
          <w:shd w:val="clear" w:color="auto" w:fill="FFFFFF"/>
        </w:rPr>
        <w:t>, pp.430-436.</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Sachs, J., Kroll, C., Lafortune, G., Fuller, G. and Woelm, F., 2021. </w:t>
      </w:r>
      <w:r>
        <w:rPr>
          <w:rFonts w:ascii="Times New Roman" w:hAnsi="Times New Roman" w:cs="Times New Roman"/>
          <w:i/>
          <w:iCs/>
          <w:sz w:val="24"/>
          <w:szCs w:val="24"/>
          <w:shd w:val="clear" w:color="auto" w:fill="FFFFFF"/>
        </w:rPr>
        <w:t>Sustainable development report 2021</w:t>
      </w:r>
      <w:r>
        <w:rPr>
          <w:rFonts w:ascii="Times New Roman" w:hAnsi="Times New Roman" w:cs="Times New Roman"/>
          <w:sz w:val="24"/>
          <w:szCs w:val="24"/>
          <w:shd w:val="clear" w:color="auto" w:fill="FFFFFF"/>
        </w:rPr>
        <w:t>. Cambridge University Press.</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Sobering, K., 2019. The relational production of workplace equality: The case of worker-recuperated businesses in Argentina. </w:t>
      </w:r>
      <w:r>
        <w:rPr>
          <w:rFonts w:ascii="Times New Roman" w:hAnsi="Times New Roman" w:cs="Times New Roman"/>
          <w:i/>
          <w:iCs/>
          <w:sz w:val="24"/>
          <w:szCs w:val="24"/>
          <w:shd w:val="clear" w:color="auto" w:fill="FFFFFF"/>
        </w:rPr>
        <w:t>Qualitative Sociology</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42</w:t>
      </w:r>
      <w:r>
        <w:rPr>
          <w:rFonts w:ascii="Times New Roman" w:hAnsi="Times New Roman" w:cs="Times New Roman"/>
          <w:sz w:val="24"/>
          <w:szCs w:val="24"/>
          <w:shd w:val="clear" w:color="auto" w:fill="FFFFFF"/>
        </w:rPr>
        <w:t>(4), pp.543-565.</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Stahel, W.R., 2016. The circular economy. </w:t>
      </w:r>
      <w:r>
        <w:rPr>
          <w:rFonts w:ascii="Times New Roman" w:hAnsi="Times New Roman" w:cs="Times New Roman"/>
          <w:i/>
          <w:iCs/>
          <w:sz w:val="24"/>
          <w:szCs w:val="24"/>
          <w:shd w:val="clear" w:color="auto" w:fill="FFFFFF"/>
        </w:rPr>
        <w:t>Nature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531</w:t>
      </w:r>
      <w:r>
        <w:rPr>
          <w:rFonts w:ascii="Times New Roman" w:hAnsi="Times New Roman" w:cs="Times New Roman"/>
          <w:sz w:val="24"/>
          <w:szCs w:val="24"/>
          <w:shd w:val="clear" w:color="auto" w:fill="FFFFFF"/>
        </w:rPr>
        <w:t>(7595), pp.435-438.</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Steyn, W., Harvey, J. and Gopalakrishnan, K., 2014. </w:t>
      </w:r>
      <w:r>
        <w:rPr>
          <w:rFonts w:ascii="Times New Roman" w:hAnsi="Times New Roman" w:cs="Times New Roman"/>
          <w:i/>
          <w:iCs/>
          <w:sz w:val="24"/>
          <w:szCs w:val="24"/>
          <w:shd w:val="clear" w:color="auto" w:fill="FFFFFF"/>
        </w:rPr>
        <w:t>Climate change, energy, sustainability and pavements</w:t>
      </w:r>
      <w:r>
        <w:rPr>
          <w:rFonts w:ascii="Times New Roman" w:hAnsi="Times New Roman" w:cs="Times New Roman"/>
          <w:sz w:val="24"/>
          <w:szCs w:val="24"/>
          <w:shd w:val="clear" w:color="auto" w:fill="FFFFFF"/>
        </w:rPr>
        <w:t>. New York: Springer.</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Sustainability Explained (2014) $ Principles to win Sustainability Game (Conditions of success).Available at : </w:t>
      </w:r>
      <w:r>
        <w:fldChar w:fldCharType="begin"/>
      </w:r>
      <w:r>
        <w:instrText xml:space="preserve"> HYPERLINK "https://youtu.be/BO9_hQO9nTo" </w:instrText>
      </w:r>
      <w:r>
        <w:fldChar w:fldCharType="separate"/>
      </w:r>
      <w:r>
        <w:rPr>
          <w:rStyle w:val="4"/>
          <w:rFonts w:ascii="Times New Roman" w:hAnsi="Times New Roman" w:cs="Times New Roman"/>
          <w:sz w:val="24"/>
          <w:szCs w:val="24"/>
        </w:rPr>
        <w:t>https://youtu.be/BO9_hQO9nTo</w:t>
      </w:r>
      <w:r>
        <w:rPr>
          <w:rStyle w:val="4"/>
          <w:rFonts w:ascii="Times New Roman" w:hAnsi="Times New Roman" w:cs="Times New Roman"/>
          <w:sz w:val="24"/>
          <w:szCs w:val="24"/>
        </w:rPr>
        <w:fldChar w:fldCharType="end"/>
      </w:r>
      <w:r>
        <w:rPr>
          <w:rFonts w:ascii="Times New Roman" w:hAnsi="Times New Roman" w:cs="Times New Roman"/>
          <w:sz w:val="24"/>
          <w:szCs w:val="24"/>
        </w:rPr>
        <w:t xml:space="preserve"> (accessed: May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2022)</w:t>
      </w:r>
    </w:p>
    <w:p>
      <w:pPr>
        <w:pStyle w:val="5"/>
        <w:spacing w:after="0" w:line="480" w:lineRule="auto"/>
      </w:pPr>
      <w:r>
        <w:t>TedExTalks. (2010</w:t>
      </w:r>
      <w:r>
        <w:rPr>
          <w:i/>
        </w:rPr>
        <w:t xml:space="preserve">) The business logic of sustainability; Ray Anderson at TED. </w:t>
      </w:r>
      <w:r>
        <w:t xml:space="preserve">April. Available at: </w:t>
      </w:r>
      <w:r>
        <w:fldChar w:fldCharType="begin"/>
      </w:r>
      <w:r>
        <w:instrText xml:space="preserve"> HYPERLINK "https://youtu.be/iP9QF_lBOyA" </w:instrText>
      </w:r>
      <w:r>
        <w:fldChar w:fldCharType="separate"/>
      </w:r>
      <w:r>
        <w:rPr>
          <w:rStyle w:val="7"/>
          <w:rFonts w:ascii="Times New Roman" w:hAnsi="Times New Roman"/>
        </w:rPr>
        <w:t>https://youtu.be/iP9QF_lBOyA</w:t>
      </w:r>
      <w:r>
        <w:rPr>
          <w:rStyle w:val="7"/>
          <w:rFonts w:ascii="Times New Roman" w:hAnsi="Times New Roman"/>
        </w:rPr>
        <w:fldChar w:fldCharType="end"/>
      </w:r>
      <w:r>
        <w:t xml:space="preserve"> (Accessed March 8</w:t>
      </w:r>
      <w:r>
        <w:rPr>
          <w:vertAlign w:val="superscript"/>
        </w:rPr>
        <w:t>th</w:t>
      </w:r>
      <w:r>
        <w:t>, 2022)</w:t>
      </w:r>
    </w:p>
    <w:p>
      <w:pPr>
        <w:shd w:val="clear" w:color="auto" w:fill="FFFFFF"/>
        <w:spacing w:before="100" w:beforeAutospacing="1" w:after="100" w:afterAutospacing="1" w:line="480" w:lineRule="auto"/>
        <w:rPr>
          <w:rFonts w:ascii="Times New Roman" w:hAnsi="Times New Roman" w:eastAsia="Times New Roman" w:cs="Times New Roman"/>
          <w:sz w:val="24"/>
          <w:szCs w:val="24"/>
        </w:rPr>
      </w:pPr>
      <w:r>
        <w:fldChar w:fldCharType="begin"/>
      </w:r>
      <w:r>
        <w:instrText xml:space="preserve"> HYPERLINK "http://www.wri.org/publication/corporate-ecosystem-services-review" </w:instrText>
      </w:r>
      <w:r>
        <w:fldChar w:fldCharType="separate"/>
      </w:r>
      <w:r>
        <w:rPr>
          <w:rFonts w:ascii="Times New Roman" w:hAnsi="Times New Roman" w:eastAsia="Times New Roman" w:cs="Times New Roman"/>
          <w:i/>
          <w:iCs/>
          <w:sz w:val="24"/>
          <w:szCs w:val="24"/>
        </w:rPr>
        <w:t>The Corporate Ecosystem Services Review: Guidelines for Identifying Business Risks and Opportunities Arising from Ecosystem Change</w:t>
      </w:r>
      <w:r>
        <w:rPr>
          <w:rFonts w:ascii="Times New Roman" w:hAnsi="Times New Roman" w:eastAsia="Times New Roman" w:cs="Times New Roman"/>
          <w:i/>
          <w:iCs/>
          <w:sz w:val="24"/>
          <w:szCs w:val="24"/>
        </w:rPr>
        <w:fldChar w:fldCharType="end"/>
      </w:r>
      <w:r>
        <w:rPr>
          <w:rFonts w:ascii="Times New Roman" w:hAnsi="Times New Roman" w:eastAsia="Times New Roman" w:cs="Times New Roman"/>
          <w:i/>
          <w:iCs/>
          <w:sz w:val="24"/>
          <w:szCs w:val="24"/>
        </w:rPr>
        <w:t xml:space="preserve"> </w:t>
      </w:r>
      <w:r>
        <w:rPr>
          <w:rFonts w:ascii="Times New Roman" w:hAnsi="Times New Roman" w:eastAsia="Times New Roman" w:cs="Times New Roman"/>
          <w:sz w:val="24"/>
          <w:szCs w:val="24"/>
        </w:rPr>
        <w:t>(World Resources Institute, Meridian Institute and World Business Council for Sustainable Development)</w:t>
      </w:r>
      <w:r>
        <w:rPr>
          <w:rFonts w:ascii="Times New Roman" w:hAnsi="Times New Roman" w:eastAsia="Times New Roman" w:cs="Times New Roman"/>
          <w:i/>
          <w:iCs/>
          <w:sz w:val="24"/>
          <w:szCs w:val="24"/>
        </w:rPr>
        <w:t xml:space="preserve">. </w:t>
      </w:r>
      <w:r>
        <w:rPr>
          <w:rFonts w:ascii="Times New Roman" w:hAnsi="Times New Roman" w:eastAsia="Times New Roman" w:cs="Times New Roman"/>
          <w:sz w:val="24"/>
          <w:szCs w:val="24"/>
        </w:rPr>
        <w:t>Report provides detailed guidance on the five-step approach described above.</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Woodard, R., 2021. Waste Management in Small and Medium Enterprises (SMEs): compliance with duty of care and implications for the circular economy. </w:t>
      </w:r>
      <w:r>
        <w:rPr>
          <w:rFonts w:ascii="Times New Roman" w:hAnsi="Times New Roman" w:cs="Times New Roman"/>
          <w:i/>
          <w:iCs/>
          <w:sz w:val="24"/>
          <w:szCs w:val="24"/>
          <w:shd w:val="clear" w:color="auto" w:fill="FFFFFF"/>
        </w:rPr>
        <w:t>Journal of Cleaner Production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278</w:t>
      </w:r>
      <w:r>
        <w:rPr>
          <w:rFonts w:ascii="Times New Roman" w:hAnsi="Times New Roman" w:cs="Times New Roman"/>
          <w:sz w:val="24"/>
          <w:szCs w:val="24"/>
          <w:shd w:val="clear" w:color="auto" w:fill="FFFFFF"/>
        </w:rPr>
        <w:t>, p.123770.</w:t>
      </w:r>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Wright, T., 2010. University presidents' conceptualizations of sustainability in higher education. </w:t>
      </w:r>
      <w:r>
        <w:rPr>
          <w:rFonts w:ascii="Times New Roman" w:hAnsi="Times New Roman" w:cs="Times New Roman"/>
          <w:i/>
          <w:iCs/>
          <w:sz w:val="24"/>
          <w:szCs w:val="24"/>
          <w:shd w:val="clear" w:color="auto" w:fill="FFFFFF"/>
        </w:rPr>
        <w:t>International Journal of Sustainability in higher education</w:t>
      </w:r>
      <w:r>
        <w:rPr>
          <w:rFonts w:ascii="Times New Roman" w:hAnsi="Times New Roman" w:cs="Times New Roman"/>
          <w:sz w:val="24"/>
          <w:szCs w:val="24"/>
          <w:shd w:val="clear" w:color="auto" w:fill="FFFFFF"/>
        </w:rPr>
        <w:t>.</w:t>
      </w:r>
    </w:p>
    <w:p>
      <w:pPr>
        <w:spacing w:line="480" w:lineRule="auto"/>
        <w:rPr>
          <w:rFonts w:hint="default" w:ascii="Times New Roman" w:hAnsi="Times New Roman" w:cs="Times New Roman"/>
          <w:sz w:val="24"/>
          <w:szCs w:val="24"/>
          <w:shd w:val="clear" w:color="auto" w:fill="FFFFFF"/>
          <w:lang w:val="en-US"/>
        </w:rPr>
      </w:pPr>
      <w:r>
        <w:rPr>
          <w:rFonts w:hint="default" w:ascii="Times New Roman" w:hAnsi="Times New Roman" w:cs="Times New Roman"/>
          <w:color w:val="222222"/>
          <w:sz w:val="24"/>
          <w:szCs w:val="24"/>
          <w:shd w:val="clear" w:color="auto" w:fill="FFFFFF"/>
        </w:rPr>
        <w:t>Wu, R. and Cheng, X., 2016. Gender equality in the workplace: the effect of gender equality on productivity growth among the Chilean manufacturers. </w:t>
      </w:r>
      <w:r>
        <w:rPr>
          <w:rFonts w:hint="default" w:ascii="Times New Roman" w:hAnsi="Times New Roman" w:cs="Times New Roman"/>
          <w:i/>
          <w:iCs/>
          <w:color w:val="222222"/>
          <w:sz w:val="24"/>
          <w:szCs w:val="24"/>
          <w:shd w:val="clear" w:color="auto" w:fill="FFFFFF"/>
        </w:rPr>
        <w:t>The Journal of Developing Areas</w:t>
      </w:r>
      <w:r>
        <w:rPr>
          <w:rFonts w:hint="default" w:ascii="Times New Roman" w:hAnsi="Times New Roman" w:cs="Times New Roman"/>
          <w:color w:val="222222"/>
          <w:sz w:val="24"/>
          <w:szCs w:val="24"/>
          <w:shd w:val="clear" w:color="auto" w:fill="FFFFFF"/>
        </w:rPr>
        <w:t>, pp.257-274.</w:t>
      </w:r>
      <w:bookmarkStart w:id="0" w:name="_GoBack"/>
      <w:bookmarkEnd w:id="0"/>
    </w:p>
    <w:p>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Xie, H., Wang, W., Yang, Z. and Choi, Y., 2016. Measuring the sustainable performance of industrial land utilization in major industrial zones of China. </w:t>
      </w:r>
      <w:r>
        <w:rPr>
          <w:rFonts w:ascii="Times New Roman" w:hAnsi="Times New Roman" w:cs="Times New Roman"/>
          <w:i/>
          <w:iCs/>
          <w:sz w:val="24"/>
          <w:szCs w:val="24"/>
          <w:shd w:val="clear" w:color="auto" w:fill="FFFFFF"/>
        </w:rPr>
        <w:t>Technological Forecasting and Social Change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112</w:t>
      </w:r>
      <w:r>
        <w:rPr>
          <w:rFonts w:ascii="Times New Roman" w:hAnsi="Times New Roman" w:cs="Times New Roman"/>
          <w:sz w:val="24"/>
          <w:szCs w:val="24"/>
          <w:shd w:val="clear" w:color="auto" w:fill="FFFFFF"/>
        </w:rPr>
        <w:t>, pp.207-219.</w:t>
      </w:r>
    </w:p>
    <w:p>
      <w:pPr>
        <w:spacing w:line="480" w:lineRule="auto"/>
        <w:rPr>
          <w:rFonts w:ascii="Times New Roman" w:hAnsi="Times New Roman" w:cs="Times New Roman"/>
          <w:sz w:val="24"/>
          <w:szCs w:val="24"/>
          <w:shd w:val="clear" w:color="auto" w:fill="FFFFFF"/>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shd w:val="clear" w:color="auto" w:fill="FFFFFF"/>
        </w:rPr>
      </w:pPr>
    </w:p>
    <w:p>
      <w:pPr>
        <w:rPr>
          <w:rFonts w:ascii="Times New Roman" w:hAnsi="Times New Roman" w:cs="Times New Roman"/>
          <w:sz w:val="24"/>
          <w:szCs w:val="24"/>
          <w:shd w:val="clear" w:color="auto" w:fill="FFFFFF"/>
        </w:rPr>
      </w:pPr>
    </w:p>
    <w:p>
      <w:pPr>
        <w:rPr>
          <w:rFonts w:ascii="Times New Roman" w:hAnsi="Times New Roman" w:cs="Times New Roman"/>
          <w:sz w:val="24"/>
          <w:szCs w:val="24"/>
          <w:shd w:val="clear" w:color="auto" w:fill="FFFFFF"/>
        </w:rPr>
      </w:pPr>
    </w:p>
    <w:p>
      <w:pPr>
        <w:rPr>
          <w:rFonts w:ascii="Times New Roman" w:hAnsi="Times New Roman" w:cs="Times New Roman"/>
          <w:sz w:val="24"/>
          <w:szCs w:val="24"/>
          <w:shd w:val="clear" w:color="auto" w:fill="FFFFFF"/>
        </w:rPr>
      </w:pPr>
    </w:p>
    <w:p>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t>
      </w:r>
    </w:p>
    <w:p>
      <w:pPr>
        <w:rPr>
          <w:rFonts w:ascii="Times New Roman" w:hAnsi="Times New Roman" w:cs="Times New Roman"/>
          <w:sz w:val="24"/>
          <w:szCs w:val="24"/>
          <w:shd w:val="clear" w:color="auto" w:fill="FFFFFF"/>
        </w:rPr>
      </w:pPr>
    </w:p>
    <w:p>
      <w:pPr>
        <w:rPr>
          <w:rFonts w:ascii="Times New Roman" w:hAnsi="Times New Roman" w:cs="Times New Roman"/>
          <w:sz w:val="24"/>
          <w:szCs w:val="24"/>
          <w:shd w:val="clear" w:color="auto" w:fill="FFFFFF"/>
        </w:rPr>
      </w:pPr>
    </w:p>
    <w:p>
      <w:pPr>
        <w:shd w:val="clear" w:color="auto" w:fill="FFFFFF"/>
        <w:spacing w:before="100" w:beforeAutospacing="1" w:after="100" w:afterAutospacing="1" w:line="240" w:lineRule="auto"/>
        <w:rPr>
          <w:rFonts w:ascii="Times New Roman" w:hAnsi="Times New Roman" w:eastAsia="Times New Roman" w:cs="Times New Roman"/>
          <w:sz w:val="24"/>
          <w:szCs w:val="24"/>
        </w:rPr>
      </w:pPr>
    </w:p>
    <w:p>
      <w:pPr>
        <w:rPr>
          <w:rFonts w:ascii="Times New Roman" w:hAnsi="Times New Roman" w:cs="Times New Roman"/>
          <w:sz w:val="24"/>
          <w:szCs w:val="24"/>
          <w:shd w:val="clear" w:color="auto" w:fill="FFFFFF"/>
        </w:rPr>
      </w:pPr>
    </w:p>
    <w:p>
      <w:pPr>
        <w:rPr>
          <w:rFonts w:ascii="Times New Roman" w:hAnsi="Times New Roman" w:cs="Times New Roman"/>
          <w:color w:val="222222"/>
          <w:sz w:val="24"/>
          <w:szCs w:val="24"/>
          <w:shd w:val="clear" w:color="auto" w:fill="FFFFFF"/>
        </w:rPr>
      </w:pPr>
    </w:p>
    <w:p>
      <w:pPr>
        <w:rPr>
          <w:rFonts w:ascii="Times New Roman" w:hAnsi="Times New Roman" w:cs="Times New Roman"/>
          <w:color w:val="222222"/>
          <w:sz w:val="24"/>
          <w:szCs w:val="24"/>
          <w:shd w:val="clear" w:color="auto" w:fill="FFFFFF"/>
        </w:rPr>
      </w:pPr>
    </w:p>
    <w:p>
      <w:pPr>
        <w:rPr>
          <w:rFonts w:ascii="Times New Roman" w:hAnsi="Times New Roman" w:cs="Times New Roman"/>
          <w:color w:val="222222"/>
          <w:sz w:val="24"/>
          <w:szCs w:val="24"/>
          <w:shd w:val="clear" w:color="auto" w:fill="FFFFFF"/>
        </w:rPr>
      </w:pPr>
    </w:p>
    <w:p>
      <w:pPr>
        <w:rPr>
          <w:rFonts w:ascii="Times New Roman" w:hAnsi="Times New Roman" w:cs="Times New Roman"/>
          <w:color w:val="222222"/>
          <w:sz w:val="24"/>
          <w:szCs w:val="24"/>
          <w:shd w:val="clear" w:color="auto" w:fill="FFFFFF"/>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Black">
    <w:panose1 w:val="020B0A04020102020204"/>
    <w:charset w:val="00"/>
    <w:family w:val="auto"/>
    <w:pitch w:val="default"/>
    <w:sig w:usb0="00000287" w:usb1="00000000" w:usb2="00000000" w:usb3="00000000" w:csb0="2000009F" w:csb1="DFD70000"/>
  </w:font>
  <w:font w:name="Arial Narrow">
    <w:panose1 w:val="020B0606020202030204"/>
    <w:charset w:val="00"/>
    <w:family w:val="auto"/>
    <w:pitch w:val="default"/>
    <w:sig w:usb0="00000287" w:usb1="00000800" w:usb2="00000000" w:usb3="00000000" w:csb0="2000009F" w:csb1="DFD70000"/>
  </w:font>
  <w:font w:name="Arial Rounded MT Bold">
    <w:panose1 w:val="020F0704030504030204"/>
    <w:charset w:val="00"/>
    <w:family w:val="auto"/>
    <w:pitch w:val="default"/>
    <w:sig w:usb0="00000003" w:usb1="00000000" w:usb2="00000000" w:usb3="00000000" w:csb0="20000001" w:csb1="00000000"/>
  </w:font>
  <w:font w:name="Arial Unicode MS">
    <w:panose1 w:val="020B0604020202020204"/>
    <w:charset w:val="86"/>
    <w:family w:val="auto"/>
    <w:pitch w:val="default"/>
    <w:sig w:usb0="FFFFFFFF" w:usb1="E9FFFFFF" w:usb2="0000003F" w:usb3="00000000" w:csb0="603F01FF" w:csb1="FFFF0000"/>
  </w:font>
  <w:font w:name="Baskerville Old Face">
    <w:panose1 w:val="02020602080505020303"/>
    <w:charset w:val="00"/>
    <w:family w:val="auto"/>
    <w:pitch w:val="default"/>
    <w:sig w:usb0="00000003" w:usb1="00000000" w:usb2="00000000" w:usb3="00000000" w:csb0="20000001" w:csb1="00000000"/>
  </w:font>
  <w:font w:name="BatangChe">
    <w:panose1 w:val="02030609000101010101"/>
    <w:charset w:val="81"/>
    <w:family w:val="auto"/>
    <w:pitch w:val="default"/>
    <w:sig w:usb0="B00002AF" w:usb1="69D77CFB" w:usb2="00000030" w:usb3="00000000" w:csb0="4008009F" w:csb1="DFD70000"/>
  </w:font>
  <w:font w:name="Batang">
    <w:panose1 w:val="02030600000101010101"/>
    <w:charset w:val="81"/>
    <w:family w:val="auto"/>
    <w:pitch w:val="default"/>
    <w:sig w:usb0="B00002AF" w:usb1="69D77CFB" w:usb2="00000030" w:usb3="00000000" w:csb0="4008009F" w:csb1="DFD70000"/>
  </w:font>
  <w:font w:name="Narkisim">
    <w:panose1 w:val="020E0502050101010101"/>
    <w:charset w:val="00"/>
    <w:family w:val="auto"/>
    <w:pitch w:val="default"/>
    <w:sig w:usb0="00000801" w:usb1="00000000" w:usb2="00000000" w:usb3="00000000" w:csb0="00000020" w:csb1="00200000"/>
  </w:font>
  <w:font w:name="Parchment">
    <w:panose1 w:val="03040602040708040804"/>
    <w:charset w:val="00"/>
    <w:family w:val="auto"/>
    <w:pitch w:val="default"/>
    <w:sig w:usb0="00000003" w:usb1="00000000" w:usb2="00000000" w:usb3="00000000" w:csb0="20000001" w:csb1="00000000"/>
  </w:font>
  <w:font w:name="Nirmala UI">
    <w:panose1 w:val="020B0502040204020203"/>
    <w:charset w:val="00"/>
    <w:family w:val="auto"/>
    <w:pitch w:val="default"/>
    <w:sig w:usb0="80FF8023" w:usb1="0000004A" w:usb2="00000200" w:usb3="00040000" w:csb0="00000001" w:csb1="00000000"/>
  </w:font>
  <w:font w:name="Brush Script MT">
    <w:panose1 w:val="03060802040406070304"/>
    <w:charset w:val="00"/>
    <w:family w:val="auto"/>
    <w:pitch w:val="default"/>
    <w:sig w:usb0="00000003" w:usb1="00000000" w:usb2="00000000" w:usb3="00000000" w:csb0="20000001" w:csb1="00000000"/>
  </w:font>
  <w:font w:name="Chiller">
    <w:panose1 w:val="04020404031007020602"/>
    <w:charset w:val="00"/>
    <w:family w:val="auto"/>
    <w:pitch w:val="default"/>
    <w:sig w:usb0="00000003" w:usb1="00000000" w:usb2="00000000" w:usb3="00000000" w:csb0="20000001" w:csb1="00000000"/>
  </w:font>
  <w:font w:name="Colonna MT">
    <w:panose1 w:val="04020805060202030203"/>
    <w:charset w:val="00"/>
    <w:family w:val="auto"/>
    <w:pitch w:val="default"/>
    <w:sig w:usb0="00000003" w:usb1="00000000" w:usb2="00000000" w:usb3="00000000" w:csb0="20000001" w:csb1="00000000"/>
  </w:font>
  <w:font w:name="Gill Sans Ultra Bold">
    <w:panose1 w:val="020B0A02020104020203"/>
    <w:charset w:val="00"/>
    <w:family w:val="auto"/>
    <w:pitch w:val="default"/>
    <w:sig w:usb0="00000003" w:usb1="00000000" w:usb2="00000000" w:usb3="00000000" w:csb0="20000003" w:csb1="00000000"/>
  </w:font>
  <w:font w:name="Gill Sans Ultra Bold Condensed">
    <w:panose1 w:val="020B0A06020104020203"/>
    <w:charset w:val="00"/>
    <w:family w:val="auto"/>
    <w:pitch w:val="default"/>
    <w:sig w:usb0="00000003" w:usb1="00000000" w:usb2="00000000" w:usb3="00000000" w:csb0="00000003" w:csb1="00000000"/>
  </w:font>
  <w:font w:name="GungsuhChe">
    <w:panose1 w:val="02030609000101010101"/>
    <w:charset w:val="81"/>
    <w:family w:val="auto"/>
    <w:pitch w:val="default"/>
    <w:sig w:usb0="B00002AF" w:usb1="69D77CFB" w:usb2="00000030" w:usb3="00000000" w:csb0="4008009F" w:csb1="DFD70000"/>
  </w:font>
  <w:font w:name="Haettenschweiler">
    <w:panose1 w:val="020B0706040902060204"/>
    <w:charset w:val="00"/>
    <w:family w:val="auto"/>
    <w:pitch w:val="default"/>
    <w:sig w:usb0="00000287" w:usb1="00000000" w:usb2="00000000" w:usb3="00000000" w:csb0="2000009F" w:csb1="DFD70000"/>
  </w:font>
  <w:font w:name="Jokerman">
    <w:panose1 w:val="04090605060D06020702"/>
    <w:charset w:val="00"/>
    <w:family w:val="auto"/>
    <w:pitch w:val="default"/>
    <w:sig w:usb0="00000003" w:usb1="00000000" w:usb2="00000000" w:usb3="00000000" w:csb0="20000001" w:csb1="00000000"/>
  </w:font>
  <w:font w:name="Juice ITC">
    <w:panose1 w:val="04040403040A02020202"/>
    <w:charset w:val="00"/>
    <w:family w:val="auto"/>
    <w:pitch w:val="default"/>
    <w:sig w:usb0="00000003" w:usb1="00000000" w:usb2="00000000" w:usb3="00000000" w:csb0="20000001" w:csb1="00000000"/>
  </w:font>
  <w:font w:name="KaiTi">
    <w:panose1 w:val="02010609060101010101"/>
    <w:charset w:val="86"/>
    <w:family w:val="auto"/>
    <w:pitch w:val="default"/>
    <w:sig w:usb0="800002BF" w:usb1="38CF7CFA" w:usb2="00000016" w:usb3="00000000" w:csb0="00040001" w:csb1="00000000"/>
  </w:font>
  <w:font w:name="KodchiangUPC">
    <w:panose1 w:val="02020603050405020304"/>
    <w:charset w:val="00"/>
    <w:family w:val="auto"/>
    <w:pitch w:val="default"/>
    <w:sig w:usb0="01000007" w:usb1="00000002" w:usb2="00000000" w:usb3="00000000" w:csb0="00010001" w:csb1="00000000"/>
  </w:font>
  <w:font w:name="Kokila">
    <w:panose1 w:val="020B0604020202020204"/>
    <w:charset w:val="00"/>
    <w:family w:val="auto"/>
    <w:pitch w:val="default"/>
    <w:sig w:usb0="00008003" w:usb1="00000000" w:usb2="00000000" w:usb3="00000000" w:csb0="00000001" w:csb1="00000000"/>
  </w:font>
  <w:font w:name="Kristen ITC">
    <w:panose1 w:val="03050502040202030202"/>
    <w:charset w:val="00"/>
    <w:family w:val="auto"/>
    <w:pitch w:val="default"/>
    <w:sig w:usb0="00000003" w:usb1="00000000" w:usb2="00000000" w:usb3="00000000" w:csb0="20000001" w:csb1="00000000"/>
  </w:font>
  <w:font w:name="Kunstler Script">
    <w:panose1 w:val="030304020206070D0D06"/>
    <w:charset w:val="00"/>
    <w:family w:val="auto"/>
    <w:pitch w:val="default"/>
    <w:sig w:usb0="00000003" w:usb1="00000000" w:usb2="00000000" w:usb3="00000000" w:csb0="20000001" w:csb1="00000000"/>
  </w:font>
  <w:font w:name="Lao UI">
    <w:panose1 w:val="020B0502040204020203"/>
    <w:charset w:val="00"/>
    <w:family w:val="auto"/>
    <w:pitch w:val="default"/>
    <w:sig w:usb0="02000003" w:usb1="00000000" w:usb2="00000000" w:usb3="00000000" w:csb0="00000001" w:csb1="00000000"/>
  </w:font>
  <w:font w:name="Leelawadee">
    <w:panose1 w:val="020B0502040204020203"/>
    <w:charset w:val="00"/>
    <w:family w:val="auto"/>
    <w:pitch w:val="default"/>
    <w:sig w:usb0="01000001" w:usb1="00000000" w:usb2="00000000" w:usb3="00000000" w:csb0="20010001" w:csb1="00000000"/>
  </w:font>
  <w:font w:name="Levenim MT">
    <w:panose1 w:val="02010502060101010101"/>
    <w:charset w:val="00"/>
    <w:family w:val="auto"/>
    <w:pitch w:val="default"/>
    <w:sig w:usb0="00000801" w:usb1="00000000" w:usb2="00000000" w:usb3="00000000" w:csb0="00000020" w:csb1="00200000"/>
  </w:font>
  <w:font w:name="Lucida Console">
    <w:panose1 w:val="020B0609040504020204"/>
    <w:charset w:val="00"/>
    <w:family w:val="auto"/>
    <w:pitch w:val="default"/>
    <w:sig w:usb0="8000028F" w:usb1="00001800" w:usb2="00000000" w:usb3="00000000" w:csb0="0000001F" w:csb1="D7D70000"/>
  </w:font>
  <w:font w:name="Lucida Fax">
    <w:panose1 w:val="02060602050505020204"/>
    <w:charset w:val="00"/>
    <w:family w:val="auto"/>
    <w:pitch w:val="default"/>
    <w:sig w:usb0="00000003" w:usb1="00000000" w:usb2="00000000" w:usb3="00000000" w:csb0="20000001" w:csb1="00000000"/>
  </w:font>
  <w:font w:name="Magneto">
    <w:panose1 w:val="04030805050802020D02"/>
    <w:charset w:val="00"/>
    <w:family w:val="auto"/>
    <w:pitch w:val="default"/>
    <w:sig w:usb0="00000003" w:usb1="00000000" w:usb2="00000000" w:usb3="00000000" w:csb0="20000001" w:csb1="00000000"/>
  </w:font>
  <w:font w:name="Microsoft Sans Serif">
    <w:panose1 w:val="020B0604020202020204"/>
    <w:charset w:val="00"/>
    <w:family w:val="auto"/>
    <w:pitch w:val="default"/>
    <w:sig w:usb0="E1002AFF" w:usb1="C0000002" w:usb2="00000008" w:usb3="00000000" w:csb0="200101FF" w:csb1="20280000"/>
  </w:font>
  <w:font w:name="Microsoft Tai Le">
    <w:panose1 w:val="020B0502040204020203"/>
    <w:charset w:val="00"/>
    <w:family w:val="auto"/>
    <w:pitch w:val="default"/>
    <w:sig w:usb0="00000003" w:usb1="00000000" w:usb2="40000000" w:usb3="00000000" w:csb0="00000001" w:csb1="00000000"/>
  </w:font>
  <w:font w:name="MingLiU-ExtB">
    <w:panose1 w:val="02020500000000000000"/>
    <w:charset w:val="88"/>
    <w:family w:val="auto"/>
    <w:pitch w:val="default"/>
    <w:sig w:usb0="8000002F" w:usb1="02000008" w:usb2="00000000" w:usb3="00000000" w:csb0="00100001" w:csb1="00000000"/>
  </w:font>
  <w:font w:name="MingLiU_HKSCS">
    <w:panose1 w:val="02020500000000000000"/>
    <w:charset w:val="88"/>
    <w:family w:val="auto"/>
    <w:pitch w:val="default"/>
    <w:sig w:usb0="A00002FF" w:usb1="38CFFCFA" w:usb2="00000016" w:usb3="00000000" w:csb0="00100001" w:csb1="00000000"/>
  </w:font>
  <w:font w:name="MS Mincho">
    <w:panose1 w:val="02020609040205080304"/>
    <w:charset w:val="80"/>
    <w:family w:val="auto"/>
    <w:pitch w:val="default"/>
    <w:sig w:usb0="E00002FF" w:usb1="6AC7FDFB" w:usb2="00000012" w:usb3="00000000" w:csb0="4002009F" w:csb1="DFD70000"/>
  </w:font>
  <w:font w:name="MS PGothic">
    <w:panose1 w:val="020B0600070205080204"/>
    <w:charset w:val="80"/>
    <w:family w:val="auto"/>
    <w:pitch w:val="default"/>
    <w:sig w:usb0="E00002FF" w:usb1="6AC7FDFB" w:usb2="00000012" w:usb3="00000000" w:csb0="4002009F" w:csb1="DFD70000"/>
  </w:font>
  <w:font w:name="Onyx">
    <w:panose1 w:val="04050602080702020203"/>
    <w:charset w:val="00"/>
    <w:family w:val="auto"/>
    <w:pitch w:val="default"/>
    <w:sig w:usb0="00000003" w:usb1="00000000" w:usb2="00000000" w:usb3="00000000" w:csb0="20000001" w:csb1="00000000"/>
  </w:font>
  <w:font w:name="Palace Script MT">
    <w:panose1 w:val="030303020206070C0B05"/>
    <w:charset w:val="00"/>
    <w:family w:val="auto"/>
    <w:pitch w:val="default"/>
    <w:sig w:usb0="00000003" w:usb1="00000000" w:usb2="00000000" w:usb3="00000000" w:csb0="20000001" w:csb1="00000000"/>
  </w:font>
  <w:font w:name="Rage Italic">
    <w:panose1 w:val="03070502040507070304"/>
    <w:charset w:val="00"/>
    <w:family w:val="auto"/>
    <w:pitch w:val="default"/>
    <w:sig w:usb0="00000003" w:usb1="00000000" w:usb2="00000000" w:usb3="00000000" w:csb0="20000001" w:csb1="00000000"/>
  </w:font>
  <w:font w:name="Ravie">
    <w:panose1 w:val="04040805050809020602"/>
    <w:charset w:val="00"/>
    <w:family w:val="auto"/>
    <w:pitch w:val="default"/>
    <w:sig w:usb0="00000003" w:usb1="00000000" w:usb2="00000000" w:usb3="00000000" w:csb0="20000001" w:csb1="00000000"/>
  </w:font>
  <w:font w:name="Segoe Print">
    <w:panose1 w:val="02000600000000000000"/>
    <w:charset w:val="00"/>
    <w:family w:val="auto"/>
    <w:pitch w:val="default"/>
    <w:sig w:usb0="0000028F" w:usb1="00000000" w:usb2="00000000" w:usb3="00000000" w:csb0="2000009F" w:csb1="47010000"/>
  </w:font>
  <w:font w:name="Segoe Script">
    <w:panose1 w:val="020B0504020000000003"/>
    <w:charset w:val="00"/>
    <w:family w:val="auto"/>
    <w:pitch w:val="default"/>
    <w:sig w:usb0="0000028F" w:usb1="00000000" w:usb2="00000000" w:usb3="00000000" w:csb0="0000009F" w:csb1="00000000"/>
  </w:font>
  <w:font w:name="Script MT Bold">
    <w:panose1 w:val="030406020406070809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7EC7"/>
    <w:rsid w:val="0000239C"/>
    <w:rsid w:val="00006191"/>
    <w:rsid w:val="00025A8D"/>
    <w:rsid w:val="0005214E"/>
    <w:rsid w:val="0006348F"/>
    <w:rsid w:val="000A09FF"/>
    <w:rsid w:val="000A7313"/>
    <w:rsid w:val="000C3EEE"/>
    <w:rsid w:val="000D6705"/>
    <w:rsid w:val="000F1FE1"/>
    <w:rsid w:val="00130AE1"/>
    <w:rsid w:val="001745A3"/>
    <w:rsid w:val="00180284"/>
    <w:rsid w:val="00183A47"/>
    <w:rsid w:val="001904C7"/>
    <w:rsid w:val="001C75D7"/>
    <w:rsid w:val="001D194E"/>
    <w:rsid w:val="001E0F86"/>
    <w:rsid w:val="00232371"/>
    <w:rsid w:val="00263E6E"/>
    <w:rsid w:val="00266263"/>
    <w:rsid w:val="002922DF"/>
    <w:rsid w:val="00296AFD"/>
    <w:rsid w:val="002A4D18"/>
    <w:rsid w:val="002D7A97"/>
    <w:rsid w:val="002E086F"/>
    <w:rsid w:val="002F36BB"/>
    <w:rsid w:val="002F7B04"/>
    <w:rsid w:val="00391739"/>
    <w:rsid w:val="003A29D4"/>
    <w:rsid w:val="004043B5"/>
    <w:rsid w:val="00450637"/>
    <w:rsid w:val="005168DD"/>
    <w:rsid w:val="005236F8"/>
    <w:rsid w:val="00565BAE"/>
    <w:rsid w:val="005761D3"/>
    <w:rsid w:val="005926E8"/>
    <w:rsid w:val="0059448C"/>
    <w:rsid w:val="005C6537"/>
    <w:rsid w:val="005F2B3F"/>
    <w:rsid w:val="00626F57"/>
    <w:rsid w:val="006372F0"/>
    <w:rsid w:val="00641D35"/>
    <w:rsid w:val="00654F6D"/>
    <w:rsid w:val="00673177"/>
    <w:rsid w:val="006A4301"/>
    <w:rsid w:val="006B03CE"/>
    <w:rsid w:val="006E3CBA"/>
    <w:rsid w:val="006F5FA9"/>
    <w:rsid w:val="00740D1E"/>
    <w:rsid w:val="00790F29"/>
    <w:rsid w:val="00792C00"/>
    <w:rsid w:val="007C2044"/>
    <w:rsid w:val="0080183D"/>
    <w:rsid w:val="0081200D"/>
    <w:rsid w:val="008401B9"/>
    <w:rsid w:val="00844F96"/>
    <w:rsid w:val="00855386"/>
    <w:rsid w:val="008A19F8"/>
    <w:rsid w:val="00930BCF"/>
    <w:rsid w:val="0093755C"/>
    <w:rsid w:val="009B28CB"/>
    <w:rsid w:val="009E219B"/>
    <w:rsid w:val="00A5028A"/>
    <w:rsid w:val="00A55B69"/>
    <w:rsid w:val="00A64B71"/>
    <w:rsid w:val="00A719BD"/>
    <w:rsid w:val="00A741B6"/>
    <w:rsid w:val="00AC011A"/>
    <w:rsid w:val="00AE17D7"/>
    <w:rsid w:val="00AE4F4B"/>
    <w:rsid w:val="00AF1FEB"/>
    <w:rsid w:val="00AF4000"/>
    <w:rsid w:val="00B015A2"/>
    <w:rsid w:val="00B20AF1"/>
    <w:rsid w:val="00B32CD3"/>
    <w:rsid w:val="00B35C9A"/>
    <w:rsid w:val="00B51171"/>
    <w:rsid w:val="00B51D27"/>
    <w:rsid w:val="00B66352"/>
    <w:rsid w:val="00B7123C"/>
    <w:rsid w:val="00B7776F"/>
    <w:rsid w:val="00B80EE7"/>
    <w:rsid w:val="00B8214C"/>
    <w:rsid w:val="00BC5E07"/>
    <w:rsid w:val="00C30E53"/>
    <w:rsid w:val="00C35335"/>
    <w:rsid w:val="00C42B4A"/>
    <w:rsid w:val="00C578F4"/>
    <w:rsid w:val="00C603F6"/>
    <w:rsid w:val="00C80662"/>
    <w:rsid w:val="00C85DD9"/>
    <w:rsid w:val="00CA1568"/>
    <w:rsid w:val="00CC4A2C"/>
    <w:rsid w:val="00CD7EC7"/>
    <w:rsid w:val="00CF3308"/>
    <w:rsid w:val="00CF6D45"/>
    <w:rsid w:val="00D2522B"/>
    <w:rsid w:val="00D4508D"/>
    <w:rsid w:val="00D5488A"/>
    <w:rsid w:val="00D62E9A"/>
    <w:rsid w:val="00D9088E"/>
    <w:rsid w:val="00DA093D"/>
    <w:rsid w:val="00DB1CF6"/>
    <w:rsid w:val="00DB7295"/>
    <w:rsid w:val="00E14152"/>
    <w:rsid w:val="00E60A81"/>
    <w:rsid w:val="00E75AE1"/>
    <w:rsid w:val="00EA0281"/>
    <w:rsid w:val="00EC18B3"/>
    <w:rsid w:val="00F51B99"/>
    <w:rsid w:val="00F94807"/>
    <w:rsid w:val="00FC13A5"/>
    <w:rsid w:val="00FC72E5"/>
    <w:rsid w:val="00FF0F03"/>
    <w:rsid w:val="059201F7"/>
    <w:rsid w:val="2D2526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Hyperlink"/>
    <w:basedOn w:val="2"/>
    <w:unhideWhenUsed/>
    <w:qFormat/>
    <w:uiPriority w:val="99"/>
    <w:rPr>
      <w:color w:val="0000FF" w:themeColor="hyperlink"/>
      <w:u w:val="single"/>
      <w14:textFill>
        <w14:solidFill>
          <w14:schemeClr w14:val="hlink"/>
        </w14:solidFill>
      </w14:textFill>
    </w:rPr>
  </w:style>
  <w:style w:type="paragraph" w:styleId="5">
    <w:name w:val="Normal (Web)"/>
    <w:basedOn w:val="1"/>
    <w:unhideWhenUsed/>
    <w:uiPriority w:val="99"/>
    <w:pPr>
      <w:spacing w:before="100" w:beforeAutospacing="1" w:line="273" w:lineRule="auto"/>
    </w:pPr>
    <w:rPr>
      <w:rFonts w:ascii="Times New Roman" w:hAnsi="Times New Roman" w:eastAsia="Calibri" w:cs="Times New Roman"/>
      <w:sz w:val="24"/>
      <w:szCs w:val="24"/>
    </w:rPr>
  </w:style>
  <w:style w:type="character" w:styleId="6">
    <w:name w:val="Strong"/>
    <w:basedOn w:val="2"/>
    <w:qFormat/>
    <w:uiPriority w:val="22"/>
    <w:rPr>
      <w:b/>
      <w:bCs/>
    </w:rPr>
  </w:style>
  <w:style w:type="character" w:customStyle="1" w:styleId="7">
    <w:name w:val="15"/>
    <w:basedOn w:val="2"/>
    <w:uiPriority w:val="0"/>
    <w:rPr>
      <w:rFonts w:hint="default" w:ascii="Calibri" w:hAnsi="Calibri"/>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14</Pages>
  <Words>3430</Words>
  <Characters>19552</Characters>
  <Lines>162</Lines>
  <Paragraphs>45</Paragraphs>
  <TotalTime>4</TotalTime>
  <ScaleCrop>false</ScaleCrop>
  <LinksUpToDate>false</LinksUpToDate>
  <CharactersWithSpaces>22937</CharactersWithSpaces>
  <Application>WPS Office_11.2.0.11130_F1E327BC-269C-435d-A152-05C5408002CA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2022-05-26T15:03:00Z</dcterms:created>
  <dc:creator>Pam</dc:creator>
  <cp:lastModifiedBy>Pam</cp:lastModifiedBy>
  <dcterms:modified xsi:type="dcterms:W3CDTF">2022-06-06T22:30:00Z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1033-11.2.0.11130</vt:lpwstr>
  </property>
  <property fmtid="{D5CDD505-2E9C-101B-9397-08002B2CF9AE}" pid="3" name="ICV">
    <vt:lpwstr>7DDB2D3623124D02B06E65255F6B758B</vt:lpwstr>
  </property>
</Properties>
</file>