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CB386" w14:textId="77777777" w:rsidR="00681EF7" w:rsidRPr="00681EF7" w:rsidRDefault="00681EF7" w:rsidP="00AB071A">
      <w:pPr>
        <w:pStyle w:val="Subtitle"/>
      </w:pPr>
      <w:r w:rsidRPr="00681EF7">
        <w:t>Introduction</w:t>
      </w:r>
    </w:p>
    <w:p w14:paraId="285FEC3B" w14:textId="26CD4348"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The holistic development of a child incorporates numerous classes of development. Ella is at a critical age of development where children experience acceleration in the key aspects of their development. The foundation phase and classroom </w:t>
      </w:r>
      <w:r w:rsidRPr="00681EF7">
        <w:rPr>
          <w:rFonts w:ascii="Arial" w:hAnsi="Arial" w:cs="Arial"/>
          <w:sz w:val="22"/>
          <w:szCs w:val="22"/>
        </w:rPr>
        <w:t>provide</w:t>
      </w:r>
      <w:r w:rsidRPr="00681EF7">
        <w:rPr>
          <w:rFonts w:ascii="Arial" w:hAnsi="Arial" w:cs="Arial"/>
          <w:sz w:val="22"/>
          <w:szCs w:val="22"/>
        </w:rPr>
        <w:t xml:space="preserve"> their entry into development among peers (Welsh Government, 2018). Therefore, the importance of teachers is priceless. </w:t>
      </w:r>
      <w:proofErr w:type="spellStart"/>
      <w:r w:rsidRPr="00681EF7">
        <w:rPr>
          <w:rFonts w:ascii="Arial" w:hAnsi="Arial" w:cs="Arial"/>
          <w:sz w:val="22"/>
          <w:szCs w:val="22"/>
        </w:rPr>
        <w:t>Brofenbrenner’s</w:t>
      </w:r>
      <w:proofErr w:type="spellEnd"/>
      <w:r w:rsidRPr="00681EF7">
        <w:rPr>
          <w:rFonts w:ascii="Arial" w:hAnsi="Arial" w:cs="Arial"/>
          <w:sz w:val="22"/>
          <w:szCs w:val="22"/>
        </w:rPr>
        <w:t xml:space="preserve"> (1976) ecological system encompasses education alongside family in the most directly influential level - the microsystem. </w:t>
      </w:r>
      <w:proofErr w:type="spellStart"/>
      <w:r w:rsidRPr="00681EF7">
        <w:rPr>
          <w:rFonts w:ascii="Arial" w:hAnsi="Arial" w:cs="Arial"/>
          <w:sz w:val="22"/>
          <w:szCs w:val="22"/>
        </w:rPr>
        <w:t>Brofenbrenner</w:t>
      </w:r>
      <w:proofErr w:type="spellEnd"/>
      <w:r w:rsidRPr="00681EF7">
        <w:rPr>
          <w:rFonts w:ascii="Arial" w:hAnsi="Arial" w:cs="Arial"/>
          <w:sz w:val="22"/>
          <w:szCs w:val="22"/>
        </w:rPr>
        <w:t xml:space="preserve"> suggests that subsequently in the mesosystem are the interactions between the staff and parents. </w:t>
      </w:r>
      <w:proofErr w:type="spellStart"/>
      <w:r w:rsidRPr="00681EF7">
        <w:rPr>
          <w:rFonts w:ascii="Arial" w:hAnsi="Arial" w:cs="Arial"/>
          <w:sz w:val="22"/>
          <w:szCs w:val="22"/>
        </w:rPr>
        <w:t>Brofenbrenner</w:t>
      </w:r>
      <w:proofErr w:type="spellEnd"/>
      <w:r w:rsidRPr="00681EF7">
        <w:rPr>
          <w:rFonts w:ascii="Arial" w:hAnsi="Arial" w:cs="Arial"/>
          <w:sz w:val="22"/>
          <w:szCs w:val="22"/>
        </w:rPr>
        <w:t xml:space="preserve"> (1979, cited Bates, 2023, p.194) highlights the importance of a teacher's need to gain awareness of the environmental factors that hold importance in the child’s development </w:t>
      </w:r>
      <w:r w:rsidRPr="00681EF7">
        <w:rPr>
          <w:rFonts w:ascii="Arial" w:hAnsi="Arial" w:cs="Arial"/>
          <w:sz w:val="22"/>
          <w:szCs w:val="22"/>
        </w:rPr>
        <w:t>to</w:t>
      </w:r>
      <w:r w:rsidRPr="00681EF7">
        <w:rPr>
          <w:rFonts w:ascii="Arial" w:hAnsi="Arial" w:cs="Arial"/>
          <w:sz w:val="22"/>
          <w:szCs w:val="22"/>
        </w:rPr>
        <w:t xml:space="preserve"> create and organise valuable learning experiences which embrace the child's individual developmental needs (Foundation Education, 2023).  “The holistic teacher is a child who has somehow traversed the system and has managed to grow up still a </w:t>
      </w:r>
      <w:r w:rsidRPr="00681EF7">
        <w:rPr>
          <w:rFonts w:ascii="Arial" w:hAnsi="Arial" w:cs="Arial"/>
          <w:sz w:val="22"/>
          <w:szCs w:val="22"/>
        </w:rPr>
        <w:t>learner” (</w:t>
      </w:r>
      <w:r w:rsidRPr="00681EF7">
        <w:rPr>
          <w:rFonts w:ascii="Arial" w:hAnsi="Arial" w:cs="Arial"/>
          <w:sz w:val="22"/>
          <w:szCs w:val="22"/>
        </w:rPr>
        <w:t>Neal, 1984, p. 313). Teachers can aid this through encouraging experimental learning, building strong and trusting relationships and creating engaging, harmonious environments through understanding their interests and personal life (Foundation Education, 2023). </w:t>
      </w:r>
    </w:p>
    <w:p w14:paraId="02F65107" w14:textId="77777777" w:rsidR="00681EF7" w:rsidRPr="00681EF7" w:rsidRDefault="00681EF7" w:rsidP="004C4FB9">
      <w:pPr>
        <w:spacing w:line="360" w:lineRule="auto"/>
        <w:rPr>
          <w:rFonts w:ascii="Arial" w:hAnsi="Arial" w:cs="Arial"/>
          <w:b/>
          <w:bCs/>
          <w:sz w:val="28"/>
          <w:szCs w:val="28"/>
        </w:rPr>
      </w:pPr>
      <w:r w:rsidRPr="00681EF7">
        <w:rPr>
          <w:rFonts w:ascii="Arial" w:hAnsi="Arial" w:cs="Arial"/>
          <w:b/>
          <w:bCs/>
          <w:sz w:val="28"/>
          <w:szCs w:val="28"/>
        </w:rPr>
        <w:t>Social Development </w:t>
      </w:r>
    </w:p>
    <w:p w14:paraId="3E8F38DC" w14:textId="51F51D3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One of the key aspects of Ella’s profile is her intentions and preferences with play and social interaction. It appears she takes a predominantly independent </w:t>
      </w:r>
      <w:r w:rsidRPr="00681EF7">
        <w:rPr>
          <w:rFonts w:ascii="Arial" w:hAnsi="Arial" w:cs="Arial"/>
          <w:sz w:val="22"/>
          <w:szCs w:val="22"/>
        </w:rPr>
        <w:t>approach and</w:t>
      </w:r>
      <w:r w:rsidRPr="00681EF7">
        <w:rPr>
          <w:rFonts w:ascii="Arial" w:hAnsi="Arial" w:cs="Arial"/>
          <w:sz w:val="22"/>
          <w:szCs w:val="22"/>
        </w:rPr>
        <w:t xml:space="preserve"> doesn’t notice her peers. Parten (1932), describes solitary play as the second of six levels of play whereby children, </w:t>
      </w:r>
      <w:r w:rsidRPr="00681EF7">
        <w:rPr>
          <w:rFonts w:ascii="Arial" w:hAnsi="Arial" w:cs="Arial"/>
          <w:sz w:val="22"/>
          <w:szCs w:val="22"/>
        </w:rPr>
        <w:t>like</w:t>
      </w:r>
      <w:r w:rsidRPr="00681EF7">
        <w:rPr>
          <w:rFonts w:ascii="Arial" w:hAnsi="Arial" w:cs="Arial"/>
          <w:sz w:val="22"/>
          <w:szCs w:val="22"/>
        </w:rPr>
        <w:t xml:space="preserve"> Ella, take no reference from peers whilst using unrelated toys to pursue their own personal interest. Ella is reluctant to share resources and often plays alone, engrossed in her activity. </w:t>
      </w:r>
      <w:r w:rsidRPr="00681EF7">
        <w:rPr>
          <w:rFonts w:ascii="Arial" w:hAnsi="Arial" w:cs="Arial"/>
          <w:sz w:val="22"/>
          <w:szCs w:val="22"/>
        </w:rPr>
        <w:t>However,</w:t>
      </w:r>
      <w:r w:rsidRPr="00681EF7">
        <w:rPr>
          <w:rFonts w:ascii="Arial" w:hAnsi="Arial" w:cs="Arial"/>
          <w:sz w:val="22"/>
          <w:szCs w:val="22"/>
        </w:rPr>
        <w:t xml:space="preserve"> her profile has evidence of her introduction to parallel play through playing silently alongside peers and briefly imitating them. Parten (1932) believes parallel play will authentically place Ella amongst her peers, allowing her to develop socially.  As Ella continues to develop, I would encourage practitioners to implement strategies to encourage parallel play. During bridging I experienced techniques such as a personalised copy box to gradually introduce children to the concept of collaborative play. Oxfordshire County Council (YEARS) supports this principle suggesting it may help Ella build familiarity and comfort in sharing spaces and toys with peers. </w:t>
      </w:r>
    </w:p>
    <w:p w14:paraId="1785160F" w14:textId="77777777" w:rsidR="00681EF7" w:rsidRPr="00681EF7" w:rsidRDefault="00681EF7" w:rsidP="004C4FB9">
      <w:pPr>
        <w:spacing w:line="360" w:lineRule="auto"/>
        <w:rPr>
          <w:rFonts w:ascii="Arial" w:hAnsi="Arial" w:cs="Arial"/>
          <w:sz w:val="22"/>
          <w:szCs w:val="22"/>
        </w:rPr>
      </w:pPr>
    </w:p>
    <w:p w14:paraId="67AC0886" w14:textId="1EC39723"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A complementing theory is put forward by </w:t>
      </w:r>
      <w:proofErr w:type="spellStart"/>
      <w:r w:rsidRPr="00681EF7">
        <w:rPr>
          <w:rFonts w:ascii="Arial" w:hAnsi="Arial" w:cs="Arial"/>
          <w:sz w:val="22"/>
          <w:szCs w:val="22"/>
        </w:rPr>
        <w:t>Slimansky’s</w:t>
      </w:r>
      <w:proofErr w:type="spellEnd"/>
      <w:r w:rsidRPr="00681EF7">
        <w:rPr>
          <w:rFonts w:ascii="Arial" w:hAnsi="Arial" w:cs="Arial"/>
          <w:sz w:val="22"/>
          <w:szCs w:val="22"/>
        </w:rPr>
        <w:t xml:space="preserve"> (1968) stages of play </w:t>
      </w:r>
      <w:proofErr w:type="spellStart"/>
      <w:proofErr w:type="gramStart"/>
      <w:r w:rsidRPr="00681EF7">
        <w:rPr>
          <w:rFonts w:ascii="Arial" w:hAnsi="Arial" w:cs="Arial"/>
          <w:sz w:val="22"/>
          <w:szCs w:val="22"/>
        </w:rPr>
        <w:t>development.This</w:t>
      </w:r>
      <w:proofErr w:type="spellEnd"/>
      <w:proofErr w:type="gramEnd"/>
      <w:r w:rsidRPr="00681EF7">
        <w:rPr>
          <w:rFonts w:ascii="Arial" w:hAnsi="Arial" w:cs="Arial"/>
          <w:sz w:val="22"/>
          <w:szCs w:val="22"/>
        </w:rPr>
        <w:t xml:space="preserve"> theory suggests that Ella, though reluctant, has developed to participate in </w:t>
      </w:r>
      <w:r w:rsidRPr="00681EF7">
        <w:rPr>
          <w:rFonts w:ascii="Arial" w:hAnsi="Arial" w:cs="Arial"/>
          <w:sz w:val="22"/>
          <w:szCs w:val="22"/>
        </w:rPr>
        <w:lastRenderedPageBreak/>
        <w:t xml:space="preserve">forms of constructive play through building a tower of bricks. However, in line with </w:t>
      </w:r>
      <w:proofErr w:type="spellStart"/>
      <w:r w:rsidRPr="00681EF7">
        <w:rPr>
          <w:rFonts w:ascii="Arial" w:hAnsi="Arial" w:cs="Arial"/>
          <w:sz w:val="22"/>
          <w:szCs w:val="22"/>
        </w:rPr>
        <w:t>Slimansky’s</w:t>
      </w:r>
      <w:proofErr w:type="spellEnd"/>
      <w:r w:rsidRPr="00681EF7">
        <w:rPr>
          <w:rFonts w:ascii="Arial" w:hAnsi="Arial" w:cs="Arial"/>
          <w:sz w:val="22"/>
          <w:szCs w:val="22"/>
        </w:rPr>
        <w:t xml:space="preserve"> theory (1968), Ella’s reluctance suggests a lack of enjoyment and therefore is not considered a method Ella uses to express her creativity. Instead, Ella’s profile suggests a clear passion for role-play and playing ‘pretend’, fuelled by her active imagination. Therefore, </w:t>
      </w:r>
      <w:proofErr w:type="spellStart"/>
      <w:r w:rsidRPr="00681EF7">
        <w:rPr>
          <w:rFonts w:ascii="Arial" w:hAnsi="Arial" w:cs="Arial"/>
          <w:sz w:val="22"/>
          <w:szCs w:val="22"/>
        </w:rPr>
        <w:t>Slimansky</w:t>
      </w:r>
      <w:proofErr w:type="spellEnd"/>
      <w:r w:rsidRPr="00681EF7">
        <w:rPr>
          <w:rFonts w:ascii="Arial" w:hAnsi="Arial" w:cs="Arial"/>
          <w:sz w:val="22"/>
          <w:szCs w:val="22"/>
        </w:rPr>
        <w:t xml:space="preserve"> (1968), would associate Ella with the stage of dramatic play, allowing her to advance important social tendencies by engaging in various roles. Parten (1933) supports this, identifying that playing with “family, house, dolls” toys </w:t>
      </w:r>
      <w:r w:rsidRPr="00681EF7">
        <w:rPr>
          <w:rFonts w:ascii="Arial" w:hAnsi="Arial" w:cs="Arial"/>
          <w:sz w:val="22"/>
          <w:szCs w:val="22"/>
        </w:rPr>
        <w:t>have</w:t>
      </w:r>
      <w:r w:rsidRPr="00681EF7">
        <w:rPr>
          <w:rFonts w:ascii="Arial" w:hAnsi="Arial" w:cs="Arial"/>
          <w:sz w:val="22"/>
          <w:szCs w:val="22"/>
        </w:rPr>
        <w:t xml:space="preserve"> the greatest preference among Ella’s age group, suggesting that Ella is progressing appropriately. However, both researchers assume this type of play isn't completed as solitary play. Parten’s (1933) research shows that, typically, children of Ella’s age are more likely participating in role-play </w:t>
      </w:r>
      <w:proofErr w:type="gramStart"/>
      <w:r w:rsidRPr="00681EF7">
        <w:rPr>
          <w:rFonts w:ascii="Arial" w:hAnsi="Arial" w:cs="Arial"/>
          <w:sz w:val="22"/>
          <w:szCs w:val="22"/>
        </w:rPr>
        <w:t>as a consequence of</w:t>
      </w:r>
      <w:proofErr w:type="gramEnd"/>
      <w:r w:rsidRPr="00681EF7">
        <w:rPr>
          <w:rFonts w:ascii="Arial" w:hAnsi="Arial" w:cs="Arial"/>
          <w:sz w:val="22"/>
          <w:szCs w:val="22"/>
        </w:rPr>
        <w:t xml:space="preserve"> a preference of larger </w:t>
      </w:r>
      <w:r w:rsidRPr="00681EF7">
        <w:rPr>
          <w:rFonts w:ascii="Arial" w:hAnsi="Arial" w:cs="Arial"/>
          <w:sz w:val="22"/>
          <w:szCs w:val="22"/>
        </w:rPr>
        <w:t>playgroups</w:t>
      </w:r>
      <w:r w:rsidRPr="00681EF7">
        <w:rPr>
          <w:rFonts w:ascii="Arial" w:hAnsi="Arial" w:cs="Arial"/>
          <w:sz w:val="22"/>
          <w:szCs w:val="22"/>
        </w:rPr>
        <w:t xml:space="preserve"> of 3-5 people. This could point to a slower progress in Ella’s </w:t>
      </w:r>
      <w:r w:rsidRPr="00681EF7">
        <w:rPr>
          <w:rFonts w:ascii="Arial" w:hAnsi="Arial" w:cs="Arial"/>
          <w:sz w:val="22"/>
          <w:szCs w:val="22"/>
        </w:rPr>
        <w:t>development;</w:t>
      </w:r>
      <w:r w:rsidRPr="00681EF7">
        <w:rPr>
          <w:rFonts w:ascii="Arial" w:hAnsi="Arial" w:cs="Arial"/>
          <w:sz w:val="22"/>
          <w:szCs w:val="22"/>
        </w:rPr>
        <w:t xml:space="preserve"> hence I would urge Ella’s educators to provide more opportunities in role-play. During the bridging </w:t>
      </w:r>
      <w:r w:rsidRPr="00681EF7">
        <w:rPr>
          <w:rFonts w:ascii="Arial" w:hAnsi="Arial" w:cs="Arial"/>
          <w:sz w:val="22"/>
          <w:szCs w:val="22"/>
        </w:rPr>
        <w:t>TEST Day</w:t>
      </w:r>
      <w:r w:rsidRPr="00681EF7">
        <w:rPr>
          <w:rFonts w:ascii="Arial" w:hAnsi="Arial" w:cs="Arial"/>
          <w:sz w:val="22"/>
          <w:szCs w:val="22"/>
        </w:rPr>
        <w:t>, I experienced how different dedicated play areas were used to enhance a child's holistic development.  The role-play areas were designed to incorporate and encourage group work, such as a shop or kitchen, whereby the typical storylines require multiple participants, consequently developing cooperative skills with their peers (Welsh Assembly Government, 2008). Similarly, engaging social games such as ‘Simon Says’ may build Ella’s listening skills, to increase confidence in preparation for communication and social development (Action for children, 2024). Although solitary play is evident in children of all ages (Parten 1923), a lack of further progression would require further investigation</w:t>
      </w:r>
    </w:p>
    <w:p w14:paraId="4DCFFD08" w14:textId="77777777" w:rsidR="00681EF7" w:rsidRPr="00681EF7" w:rsidRDefault="00681EF7" w:rsidP="004C4FB9">
      <w:pPr>
        <w:spacing w:line="360" w:lineRule="auto"/>
        <w:rPr>
          <w:rFonts w:ascii="Arial" w:hAnsi="Arial" w:cs="Arial"/>
          <w:b/>
          <w:bCs/>
          <w:sz w:val="28"/>
          <w:szCs w:val="28"/>
        </w:rPr>
      </w:pPr>
      <w:r w:rsidRPr="00681EF7">
        <w:rPr>
          <w:rFonts w:ascii="Arial" w:hAnsi="Arial" w:cs="Arial"/>
          <w:b/>
          <w:bCs/>
          <w:sz w:val="28"/>
          <w:szCs w:val="28"/>
        </w:rPr>
        <w:t>Emotional development</w:t>
      </w:r>
    </w:p>
    <w:p w14:paraId="3F2AFB84" w14:textId="2A55ECE9"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Lorenz (1935, cited Krebs and </w:t>
      </w:r>
      <w:proofErr w:type="spellStart"/>
      <w:r w:rsidRPr="00681EF7">
        <w:rPr>
          <w:rFonts w:ascii="Arial" w:hAnsi="Arial" w:cs="Arial"/>
          <w:sz w:val="22"/>
          <w:szCs w:val="22"/>
        </w:rPr>
        <w:t>Sjölander</w:t>
      </w:r>
      <w:proofErr w:type="spellEnd"/>
      <w:r w:rsidRPr="00681EF7">
        <w:rPr>
          <w:rFonts w:ascii="Arial" w:hAnsi="Arial" w:cs="Arial"/>
          <w:sz w:val="22"/>
          <w:szCs w:val="22"/>
        </w:rPr>
        <w:t xml:space="preserve">, 1992) was the first to identify the formation of attachment and irreversible imprinting during the critical phase, using a non-traditional model. </w:t>
      </w:r>
      <w:r w:rsidRPr="00681EF7">
        <w:rPr>
          <w:rFonts w:ascii="Arial" w:hAnsi="Arial" w:cs="Arial"/>
          <w:sz w:val="22"/>
          <w:szCs w:val="22"/>
        </w:rPr>
        <w:t>However,</w:t>
      </w:r>
      <w:r w:rsidRPr="00681EF7">
        <w:rPr>
          <w:rFonts w:ascii="Arial" w:hAnsi="Arial" w:cs="Arial"/>
          <w:sz w:val="22"/>
          <w:szCs w:val="22"/>
        </w:rPr>
        <w:t xml:space="preserve"> it was Bowlby (1988, p.27) who was influenced to form an applicable humanised theory from Lorenz’s arguably ‘“polemic device” (Krebs and </w:t>
      </w:r>
      <w:proofErr w:type="spellStart"/>
      <w:r w:rsidRPr="00681EF7">
        <w:rPr>
          <w:rFonts w:ascii="Arial" w:hAnsi="Arial" w:cs="Arial"/>
          <w:sz w:val="22"/>
          <w:szCs w:val="22"/>
        </w:rPr>
        <w:t>Sjölander</w:t>
      </w:r>
      <w:proofErr w:type="spellEnd"/>
      <w:r w:rsidRPr="00681EF7">
        <w:rPr>
          <w:rFonts w:ascii="Arial" w:hAnsi="Arial" w:cs="Arial"/>
          <w:sz w:val="22"/>
          <w:szCs w:val="22"/>
        </w:rPr>
        <w:t xml:space="preserve">, 1992) against the behaviourist approach. Expanding on Bowlby’s research, Ainsworth proposed the four styles of attachment, Ella’s profile directs us to the anxious attachment style (Ainsworth DATE cited </w:t>
      </w:r>
      <w:proofErr w:type="spellStart"/>
      <w:r w:rsidRPr="00681EF7">
        <w:rPr>
          <w:rFonts w:ascii="Arial" w:hAnsi="Arial" w:cs="Arial"/>
          <w:sz w:val="22"/>
          <w:szCs w:val="22"/>
        </w:rPr>
        <w:t>Claney</w:t>
      </w:r>
      <w:proofErr w:type="spellEnd"/>
      <w:r w:rsidRPr="00681EF7">
        <w:rPr>
          <w:rFonts w:ascii="Arial" w:hAnsi="Arial" w:cs="Arial"/>
          <w:sz w:val="22"/>
          <w:szCs w:val="22"/>
        </w:rPr>
        <w:t xml:space="preserve">, 2024). This is demonstrated throughout her profile, in particular her clinginess to her mother; Ainsworth’s (DATE, cited by </w:t>
      </w:r>
      <w:proofErr w:type="spellStart"/>
      <w:r w:rsidRPr="00681EF7">
        <w:rPr>
          <w:rFonts w:ascii="Arial" w:hAnsi="Arial" w:cs="Arial"/>
          <w:sz w:val="22"/>
          <w:szCs w:val="22"/>
        </w:rPr>
        <w:t>Claney</w:t>
      </w:r>
      <w:proofErr w:type="spellEnd"/>
      <w:r w:rsidRPr="00681EF7">
        <w:rPr>
          <w:rFonts w:ascii="Arial" w:hAnsi="Arial" w:cs="Arial"/>
          <w:sz w:val="22"/>
          <w:szCs w:val="22"/>
        </w:rPr>
        <w:t xml:space="preserve">, 2024) research suggests this could be due to discordant nurturing, further leading to Ella’s trouble establishing connections and feelings of doubt in her relationships. In a classroom environment, security could be created by establishing clear classroom boundaries, incorporating a classroom routine to diminish any uncertainty and build trusting attachments with practitioners (Department for education, </w:t>
      </w:r>
      <w:proofErr w:type="spellStart"/>
      <w:r w:rsidRPr="00681EF7">
        <w:rPr>
          <w:rFonts w:ascii="Arial" w:hAnsi="Arial" w:cs="Arial"/>
          <w:sz w:val="22"/>
          <w:szCs w:val="22"/>
        </w:rPr>
        <w:t>n.d</w:t>
      </w:r>
      <w:proofErr w:type="spellEnd"/>
      <w:r w:rsidRPr="00681EF7">
        <w:rPr>
          <w:rFonts w:ascii="Arial" w:hAnsi="Arial" w:cs="Arial"/>
          <w:sz w:val="22"/>
          <w:szCs w:val="22"/>
        </w:rPr>
        <w:t xml:space="preserve">). TEST day demonstrated the importance of routine, especially for children showing the early signs of additional needs in a classroom. </w:t>
      </w:r>
      <w:r w:rsidRPr="00681EF7">
        <w:rPr>
          <w:rFonts w:ascii="Arial" w:hAnsi="Arial" w:cs="Arial"/>
          <w:sz w:val="22"/>
          <w:szCs w:val="22"/>
        </w:rPr>
        <w:lastRenderedPageBreak/>
        <w:t xml:space="preserve">Ella finds difficulty following </w:t>
      </w:r>
      <w:r w:rsidRPr="00681EF7">
        <w:rPr>
          <w:rFonts w:ascii="Arial" w:hAnsi="Arial" w:cs="Arial"/>
          <w:sz w:val="22"/>
          <w:szCs w:val="22"/>
        </w:rPr>
        <w:t>instructions;</w:t>
      </w:r>
      <w:r w:rsidRPr="00681EF7">
        <w:rPr>
          <w:rFonts w:ascii="Arial" w:hAnsi="Arial" w:cs="Arial"/>
          <w:sz w:val="22"/>
          <w:szCs w:val="22"/>
        </w:rPr>
        <w:t xml:space="preserve"> </w:t>
      </w:r>
      <w:proofErr w:type="gramStart"/>
      <w:r w:rsidRPr="00681EF7">
        <w:rPr>
          <w:rFonts w:ascii="Arial" w:hAnsi="Arial" w:cs="Arial"/>
          <w:sz w:val="22"/>
          <w:szCs w:val="22"/>
        </w:rPr>
        <w:t>therefore</w:t>
      </w:r>
      <w:proofErr w:type="gramEnd"/>
      <w:r w:rsidRPr="00681EF7">
        <w:rPr>
          <w:rFonts w:ascii="Arial" w:hAnsi="Arial" w:cs="Arial"/>
          <w:sz w:val="22"/>
          <w:szCs w:val="22"/>
        </w:rPr>
        <w:t xml:space="preserve"> it is important the routine is accessible; classrooms in bridging utilised visual timetables, the positive effects of this were evident in the children's behaviour and emotional self-regulation (Department for education, </w:t>
      </w:r>
      <w:proofErr w:type="spellStart"/>
      <w:r w:rsidRPr="00681EF7">
        <w:rPr>
          <w:rFonts w:ascii="Arial" w:hAnsi="Arial" w:cs="Arial"/>
          <w:sz w:val="22"/>
          <w:szCs w:val="22"/>
        </w:rPr>
        <w:t>n.d</w:t>
      </w:r>
      <w:proofErr w:type="spellEnd"/>
      <w:r w:rsidRPr="00681EF7">
        <w:rPr>
          <w:rFonts w:ascii="Arial" w:hAnsi="Arial" w:cs="Arial"/>
          <w:sz w:val="22"/>
          <w:szCs w:val="22"/>
        </w:rPr>
        <w:t>), however staff at the TEST school stressed the importance of carrying an ‘oopsie’ card for visible explanation of when things go awry. </w:t>
      </w:r>
    </w:p>
    <w:p w14:paraId="6EFFC819" w14:textId="77777777" w:rsidR="00681EF7" w:rsidRPr="00681EF7" w:rsidRDefault="00681EF7" w:rsidP="004C4FB9">
      <w:pPr>
        <w:spacing w:line="360" w:lineRule="auto"/>
        <w:rPr>
          <w:rFonts w:ascii="Arial" w:hAnsi="Arial" w:cs="Arial"/>
          <w:sz w:val="22"/>
          <w:szCs w:val="22"/>
        </w:rPr>
      </w:pPr>
    </w:p>
    <w:p w14:paraId="65AC5C6B" w14:textId="7260A8A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It is clear from Ella’s profile that she flourishes in her imaginative abilities. Her love for playing pretend and role-play emphasises her strengths in this area. It is important that Ella's practitioners not only acknowledge this but use it to aid her development as article 31 of the UNCRC (2019) states Ella has the right to relax and play.  Gesell’s (1925, cited Oliveira, 2018) recognition of a differentiation between chronological and developmental age created a foundation for the future of developmental assessments. Gesell (1925, cited Gesell Institute of Human Development, n.d.) visualised holistic growth as a spiral, consisting of 6 stages in </w:t>
      </w:r>
      <w:r>
        <w:rPr>
          <w:rFonts w:ascii="Arial" w:hAnsi="Arial" w:cs="Arial"/>
          <w:sz w:val="22"/>
          <w:szCs w:val="22"/>
        </w:rPr>
        <w:t>six</w:t>
      </w:r>
      <w:r w:rsidRPr="00681EF7">
        <w:rPr>
          <w:rFonts w:ascii="Arial" w:hAnsi="Arial" w:cs="Arial"/>
          <w:sz w:val="22"/>
          <w:szCs w:val="22"/>
        </w:rPr>
        <w:t>-month</w:t>
      </w:r>
      <w:r w:rsidRPr="00681EF7">
        <w:rPr>
          <w:rFonts w:ascii="Arial" w:hAnsi="Arial" w:cs="Arial"/>
          <w:sz w:val="22"/>
          <w:szCs w:val="22"/>
        </w:rPr>
        <w:t xml:space="preserve"> increments. As a </w:t>
      </w:r>
      <w:r>
        <w:rPr>
          <w:rFonts w:ascii="Arial" w:hAnsi="Arial" w:cs="Arial"/>
          <w:sz w:val="22"/>
          <w:szCs w:val="22"/>
        </w:rPr>
        <w:t>four</w:t>
      </w:r>
      <w:r w:rsidRPr="00681EF7">
        <w:rPr>
          <w:rFonts w:ascii="Arial" w:hAnsi="Arial" w:cs="Arial"/>
          <w:sz w:val="22"/>
          <w:szCs w:val="22"/>
        </w:rPr>
        <w:t>-year-old</w:t>
      </w:r>
      <w:r w:rsidRPr="00681EF7">
        <w:rPr>
          <w:rFonts w:ascii="Arial" w:hAnsi="Arial" w:cs="Arial"/>
          <w:sz w:val="22"/>
          <w:szCs w:val="22"/>
        </w:rPr>
        <w:t xml:space="preserve">, Ella is therefore predicted to be in the expansion phase, at which a child is described to be at their peak of imagination (Gesell, 1925, cited Bates, 2023, p. 198), which is clearly appropriate for Ella. However, other characteristics of Gesell’s (1925, cited Bates, 2023, p. 198) expansion stage, comical behaviours and a tendency of emotional outbursts, are not as evident in Ella's profile. Ella’s emotional insecurity, observed through her arguably demanding nature (reliant on adults, and enjoyment of being looked after), according to Gesell (1925, cited Bates, 2023, p. 198) are characteristics of the preceding stage - inwardising, age 3.5 years. This may suggest Ella isn't progressing emotionally at an ideal level. The TEST day outlined how schemes such as ELSA can positively impact a child. If Ella was referred to have an ELSA, she would be provided with a specialist program supporting her emotionally, to build self-esteem and confidence (Elsa-support, 2021). Ella is also beginning to understand the concept of feelings, an ELSA would support in understanding, recognising and managing emotions (Elsa-support, 2021). The PATHS scheme was another TEST day experience I found very effective, and child involvement impressive. I experienced how the scheme's principles were rooted effectively in sessions from Flying Start, the special needs unit, and within the mainstream classrooms (PATHS Education UK, </w:t>
      </w:r>
      <w:r w:rsidRPr="00681EF7">
        <w:rPr>
          <w:rFonts w:ascii="Arial" w:hAnsi="Arial" w:cs="Arial"/>
          <w:sz w:val="22"/>
          <w:szCs w:val="22"/>
        </w:rPr>
        <w:t>2021)</w:t>
      </w:r>
      <w:r w:rsidRPr="00681EF7">
        <w:rPr>
          <w:rFonts w:ascii="Arial" w:hAnsi="Arial" w:cs="Arial"/>
          <w:sz w:val="22"/>
          <w:szCs w:val="22"/>
        </w:rPr>
        <w:t>. Therefore, I would encourage Ella’s teachers to implement this scheme in the classroom to fulfil Ella's needs for emotional development.</w:t>
      </w:r>
    </w:p>
    <w:p w14:paraId="20625FF2" w14:textId="77777777" w:rsidR="00681EF7" w:rsidRPr="00681EF7" w:rsidRDefault="00681EF7" w:rsidP="004C4FB9">
      <w:pPr>
        <w:spacing w:line="360" w:lineRule="auto"/>
        <w:rPr>
          <w:rFonts w:ascii="Arial" w:hAnsi="Arial" w:cs="Arial"/>
          <w:sz w:val="22"/>
          <w:szCs w:val="22"/>
        </w:rPr>
      </w:pPr>
    </w:p>
    <w:p w14:paraId="7907900A" w14:textId="2825187D"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Throughout her profile Ella can often appear ‘shy’ </w:t>
      </w:r>
      <w:r w:rsidRPr="00681EF7">
        <w:rPr>
          <w:rFonts w:ascii="Arial" w:hAnsi="Arial" w:cs="Arial"/>
          <w:sz w:val="22"/>
          <w:szCs w:val="22"/>
        </w:rPr>
        <w:t>or ‘</w:t>
      </w:r>
      <w:r w:rsidRPr="00681EF7">
        <w:rPr>
          <w:rFonts w:ascii="Arial" w:hAnsi="Arial" w:cs="Arial"/>
          <w:sz w:val="22"/>
          <w:szCs w:val="22"/>
        </w:rPr>
        <w:t xml:space="preserve">insecure’ in socialisation and in her own capabilities. Ella rarely initiates talk, is reliant on adult guidance and enjoys other </w:t>
      </w:r>
      <w:r w:rsidRPr="00681EF7">
        <w:rPr>
          <w:rFonts w:ascii="Arial" w:hAnsi="Arial" w:cs="Arial"/>
          <w:sz w:val="22"/>
          <w:szCs w:val="22"/>
        </w:rPr>
        <w:lastRenderedPageBreak/>
        <w:t xml:space="preserve">children taking care of her. Erikson’s (1950, cited Paul, 2023) eight stages of man, particularly the conflict of autonomy versus shame, may provide an insight into </w:t>
      </w:r>
      <w:r w:rsidR="00BD5362" w:rsidRPr="00681EF7">
        <w:rPr>
          <w:rFonts w:ascii="Arial" w:hAnsi="Arial" w:cs="Arial"/>
          <w:sz w:val="22"/>
          <w:szCs w:val="22"/>
        </w:rPr>
        <w:t>Ella’s</w:t>
      </w:r>
      <w:r w:rsidRPr="00681EF7">
        <w:rPr>
          <w:rFonts w:ascii="Arial" w:hAnsi="Arial" w:cs="Arial"/>
          <w:sz w:val="22"/>
          <w:szCs w:val="22"/>
        </w:rPr>
        <w:t xml:space="preserve"> doubt in her capabilities (Erikson, 1950 cited Bates 2023). However, it could be argued that Ella’s insecurities could also be due to a lack of confidence, which could be built by planning activities ensuring success, building desire for bigger challenges. An encouraging environment promoting exploration could provide Ella with the opportunity to complete child-led tasks </w:t>
      </w:r>
      <w:r w:rsidRPr="00681EF7">
        <w:rPr>
          <w:rFonts w:ascii="Arial" w:hAnsi="Arial" w:cs="Arial"/>
          <w:sz w:val="22"/>
          <w:szCs w:val="22"/>
        </w:rPr>
        <w:t>to</w:t>
      </w:r>
      <w:r w:rsidRPr="00681EF7">
        <w:rPr>
          <w:rFonts w:ascii="Arial" w:hAnsi="Arial" w:cs="Arial"/>
          <w:sz w:val="22"/>
          <w:szCs w:val="22"/>
        </w:rPr>
        <w:t xml:space="preserve"> develop a sense of initiative, which is vital for overcoming feelings of guilt (Erikson, 1950, cited Fleming 2004). Positive teacher involvement is critical, they must avoid repressing initiation through negative criticism and control (Paris, Ricardo and Rymond, YEAR). Our TEST day showed examples of rich outdoor environments, with resourceful activities equipped with W</w:t>
      </w:r>
      <w:r>
        <w:rPr>
          <w:rFonts w:ascii="Arial" w:hAnsi="Arial" w:cs="Arial"/>
          <w:sz w:val="22"/>
          <w:szCs w:val="22"/>
        </w:rPr>
        <w:t>AGOLL’s</w:t>
      </w:r>
      <w:r w:rsidRPr="00681EF7">
        <w:rPr>
          <w:rFonts w:ascii="Arial" w:hAnsi="Arial" w:cs="Arial"/>
          <w:sz w:val="22"/>
          <w:szCs w:val="22"/>
        </w:rPr>
        <w:t xml:space="preserve"> to encourage children like Ella with less initiative to complete these strategically organised activities. </w:t>
      </w:r>
    </w:p>
    <w:p w14:paraId="322DDAA0" w14:textId="77777777" w:rsidR="00681EF7" w:rsidRPr="00681EF7" w:rsidRDefault="00681EF7" w:rsidP="004C4FB9">
      <w:pPr>
        <w:spacing w:line="360" w:lineRule="auto"/>
        <w:rPr>
          <w:rFonts w:ascii="Arial" w:hAnsi="Arial" w:cs="Arial"/>
          <w:b/>
          <w:bCs/>
          <w:sz w:val="28"/>
          <w:szCs w:val="28"/>
        </w:rPr>
      </w:pPr>
      <w:r w:rsidRPr="00681EF7">
        <w:rPr>
          <w:rFonts w:ascii="Arial" w:hAnsi="Arial" w:cs="Arial"/>
          <w:b/>
          <w:bCs/>
          <w:sz w:val="28"/>
          <w:szCs w:val="28"/>
        </w:rPr>
        <w:t>Cognitive development</w:t>
      </w:r>
    </w:p>
    <w:p w14:paraId="242903DE"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Piaget believed that cognitive development graduates through stages based on the child's age. Ella’s enthusiasm for playing pretend highlights a positive progression cognitively. These are characteristics of the preoperational stage (2-7 years), referred to as dramatic play (Piaget, 1936, cited </w:t>
      </w:r>
      <w:proofErr w:type="spellStart"/>
      <w:r w:rsidRPr="00681EF7">
        <w:rPr>
          <w:rFonts w:ascii="Arial" w:hAnsi="Arial" w:cs="Arial"/>
          <w:sz w:val="22"/>
          <w:szCs w:val="22"/>
        </w:rPr>
        <w:t>Glazzard</w:t>
      </w:r>
      <w:proofErr w:type="spellEnd"/>
      <w:r w:rsidRPr="00681EF7">
        <w:rPr>
          <w:rFonts w:ascii="Arial" w:hAnsi="Arial" w:cs="Arial"/>
          <w:sz w:val="22"/>
          <w:szCs w:val="22"/>
        </w:rPr>
        <w:t xml:space="preserve"> et al., 2011). This dual progression of imaginative activities, differentiation between fantasy and reality, is an inaugural instance of metacognition (Piaget, 1936, cited Thompson, 2018). Ella’s educators should ensure they’re pushing Ella’s progression through developing her role-play. During bridging, classrooms were equipped with visual prompts or costumes in the designated role-play areas, which could help further evolve Ella’s imaginative play, aiding her progression. </w:t>
      </w:r>
    </w:p>
    <w:p w14:paraId="54862A06" w14:textId="77777777" w:rsidR="00681EF7" w:rsidRPr="00681EF7" w:rsidRDefault="00681EF7" w:rsidP="004C4FB9">
      <w:pPr>
        <w:spacing w:line="360" w:lineRule="auto"/>
        <w:rPr>
          <w:rFonts w:ascii="Arial" w:hAnsi="Arial" w:cs="Arial"/>
          <w:sz w:val="22"/>
          <w:szCs w:val="22"/>
        </w:rPr>
      </w:pPr>
    </w:p>
    <w:p w14:paraId="3A0701DF" w14:textId="6BE74793"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Ella’s egocentrism is another indicator of a firm position in the preoperational stage (Piaget, 1936, cited </w:t>
      </w:r>
      <w:proofErr w:type="spellStart"/>
      <w:r w:rsidRPr="00681EF7">
        <w:rPr>
          <w:rFonts w:ascii="Arial" w:hAnsi="Arial" w:cs="Arial"/>
          <w:sz w:val="22"/>
          <w:szCs w:val="22"/>
        </w:rPr>
        <w:t>Glazzard</w:t>
      </w:r>
      <w:proofErr w:type="spellEnd"/>
      <w:r w:rsidRPr="00681EF7">
        <w:rPr>
          <w:rFonts w:ascii="Arial" w:hAnsi="Arial" w:cs="Arial"/>
          <w:sz w:val="22"/>
          <w:szCs w:val="22"/>
        </w:rPr>
        <w:t xml:space="preserve"> et al., 2011). Ella is unable to consistently show care and respect for others and unable to negotiate solutions to conflicts without adult intervention, suggesting an assumption that all other people interpret situations identically (Education Gateshead, 2021). Growth has already been observed as Ella is gaining awareness of her own feelings and that others may have different feelings. Teachers could support Ella through modelling non-verbal emotional responses to encourage awareness and reasoning from another's perspective </w:t>
      </w:r>
      <w:r w:rsidRPr="00681EF7">
        <w:rPr>
          <w:rFonts w:ascii="Arial" w:hAnsi="Arial" w:cs="Arial"/>
          <w:sz w:val="22"/>
          <w:szCs w:val="22"/>
        </w:rPr>
        <w:t>to</w:t>
      </w:r>
      <w:r w:rsidRPr="00681EF7">
        <w:rPr>
          <w:rFonts w:ascii="Arial" w:hAnsi="Arial" w:cs="Arial"/>
          <w:sz w:val="22"/>
          <w:szCs w:val="22"/>
        </w:rPr>
        <w:t xml:space="preserve"> progress cognitively using cooperation activities (Education Gateshead, 2021). </w:t>
      </w:r>
    </w:p>
    <w:p w14:paraId="39DF8BBF" w14:textId="77777777" w:rsidR="00681EF7" w:rsidRPr="00681EF7" w:rsidRDefault="00681EF7" w:rsidP="004C4FB9">
      <w:pPr>
        <w:spacing w:line="360" w:lineRule="auto"/>
        <w:rPr>
          <w:rFonts w:ascii="Arial" w:hAnsi="Arial" w:cs="Arial"/>
          <w:sz w:val="22"/>
          <w:szCs w:val="22"/>
        </w:rPr>
      </w:pPr>
    </w:p>
    <w:p w14:paraId="50010005" w14:textId="0B0B9505"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lastRenderedPageBreak/>
        <w:t xml:space="preserve">An opposing view is held by Lev Vygotsky’s social-constructivist approach, which, despite agreeing with elements of Piaget's research, such as the internal processes actively making meaning of the surrounding environment, believes, with support of Bruner (1960), that a child's learning can lead to their development, Piaget believed the opposite. </w:t>
      </w:r>
      <w:r w:rsidRPr="00681EF7">
        <w:rPr>
          <w:rFonts w:ascii="Arial" w:hAnsi="Arial" w:cs="Arial"/>
          <w:sz w:val="22"/>
          <w:szCs w:val="22"/>
        </w:rPr>
        <w:t>However,</w:t>
      </w:r>
      <w:r w:rsidRPr="00681EF7">
        <w:rPr>
          <w:rFonts w:ascii="Arial" w:hAnsi="Arial" w:cs="Arial"/>
          <w:sz w:val="22"/>
          <w:szCs w:val="22"/>
        </w:rPr>
        <w:t xml:space="preserve"> it could be argued that Piaget's intentions were epistemological, prioritising the cognitive development itself rather than involving the influences of the holistic development of the child (DeVries, 2000). The zone of proximal development (ZPD) is used to </w:t>
      </w:r>
      <w:r w:rsidRPr="00681EF7">
        <w:rPr>
          <w:rFonts w:ascii="Arial" w:hAnsi="Arial" w:cs="Arial"/>
          <w:sz w:val="22"/>
          <w:szCs w:val="22"/>
        </w:rPr>
        <w:t>describe the</w:t>
      </w:r>
      <w:r w:rsidRPr="00681EF7">
        <w:rPr>
          <w:rFonts w:ascii="Arial" w:hAnsi="Arial" w:cs="Arial"/>
          <w:sz w:val="22"/>
          <w:szCs w:val="22"/>
        </w:rPr>
        <w:t xml:space="preserve"> child's ongoing development as well as the next progressional step of development, achievable </w:t>
      </w:r>
      <w:r w:rsidR="005A7DAB" w:rsidRPr="00681EF7">
        <w:rPr>
          <w:rFonts w:ascii="Arial" w:hAnsi="Arial" w:cs="Arial"/>
          <w:sz w:val="22"/>
          <w:szCs w:val="22"/>
        </w:rPr>
        <w:t>with</w:t>
      </w:r>
      <w:r w:rsidRPr="00681EF7">
        <w:rPr>
          <w:rFonts w:ascii="Arial" w:hAnsi="Arial" w:cs="Arial"/>
          <w:sz w:val="22"/>
          <w:szCs w:val="22"/>
        </w:rPr>
        <w:t xml:space="preserve"> environmental tools and peer or adult guidance (More Knowledgeable Other (MKO)) (Vygotsky, 1978, p. 86). Ella’s practitioners are utilising the MKO whilst Ella tolerates an adult counting the tower of blocks she is building beside her. Ella’s understanding of common household objects may suggest a successful application of the theory, which may have evolved from her observing and helping her mother at home. Ella’s lack of participation in mathematical challenges may be because they are above her ZPD therefore is overwhelmed by fear of failure, highlighting the importance of maintaining the child's progression in this </w:t>
      </w:r>
      <w:r w:rsidRPr="00681EF7">
        <w:rPr>
          <w:rFonts w:ascii="Arial" w:hAnsi="Arial" w:cs="Arial"/>
          <w:sz w:val="22"/>
          <w:szCs w:val="22"/>
        </w:rPr>
        <w:t>zone</w:t>
      </w:r>
      <w:r w:rsidRPr="00681EF7">
        <w:rPr>
          <w:rFonts w:ascii="Arial" w:hAnsi="Arial" w:cs="Arial"/>
          <w:sz w:val="22"/>
          <w:szCs w:val="22"/>
        </w:rPr>
        <w:t>. A classroom practitioner may include cooperative learning strategies in Ella’s classroom, to support cognitive skills. Teachers may provide scaffolding to help encourage Ella to navigate through challenges in the ZPD (Wood, Bruner and Ross, 1976). </w:t>
      </w:r>
    </w:p>
    <w:p w14:paraId="516A8D4B" w14:textId="77777777" w:rsidR="00681EF7" w:rsidRPr="00681EF7" w:rsidRDefault="00681EF7" w:rsidP="004C4FB9">
      <w:pPr>
        <w:spacing w:line="360" w:lineRule="auto"/>
        <w:rPr>
          <w:rFonts w:ascii="Arial" w:hAnsi="Arial" w:cs="Arial"/>
          <w:sz w:val="22"/>
          <w:szCs w:val="22"/>
        </w:rPr>
      </w:pPr>
    </w:p>
    <w:p w14:paraId="7FBB490A" w14:textId="1B25049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One concern in Ella’s development is how her brilliant imagination is beginning to impact negatively by producing fears. The development of fears could impact Ella’s cognitive development </w:t>
      </w:r>
      <w:r w:rsidRPr="00681EF7">
        <w:rPr>
          <w:rFonts w:ascii="Arial" w:hAnsi="Arial" w:cs="Arial"/>
          <w:sz w:val="22"/>
          <w:szCs w:val="22"/>
        </w:rPr>
        <w:t>by</w:t>
      </w:r>
      <w:r w:rsidRPr="00681EF7">
        <w:rPr>
          <w:rFonts w:ascii="Arial" w:hAnsi="Arial" w:cs="Arial"/>
          <w:sz w:val="22"/>
          <w:szCs w:val="22"/>
        </w:rPr>
        <w:t xml:space="preserve"> limiting progression through the ZPD, causing emotional distress in problem-solving or changing Ella’s character over time (Watson and Raynor, 1920, p. 12). As an MKO, staff could assist Ella in confronting </w:t>
      </w:r>
      <w:r w:rsidRPr="00681EF7">
        <w:rPr>
          <w:rFonts w:ascii="Arial" w:hAnsi="Arial" w:cs="Arial"/>
          <w:sz w:val="22"/>
          <w:szCs w:val="22"/>
        </w:rPr>
        <w:t>fears in</w:t>
      </w:r>
      <w:r w:rsidRPr="00681EF7">
        <w:rPr>
          <w:rFonts w:ascii="Arial" w:hAnsi="Arial" w:cs="Arial"/>
          <w:sz w:val="22"/>
          <w:szCs w:val="22"/>
        </w:rPr>
        <w:t xml:space="preserve"> a safe and comfortable environment to decrease levels of anxiety over time (Vygotsky, 1978, p. 86). Complementing support is put forward by research into the effects of exposure and habituation (</w:t>
      </w:r>
      <w:proofErr w:type="spellStart"/>
      <w:r w:rsidRPr="00681EF7">
        <w:rPr>
          <w:rFonts w:ascii="Arial" w:hAnsi="Arial" w:cs="Arial"/>
          <w:sz w:val="22"/>
          <w:szCs w:val="22"/>
        </w:rPr>
        <w:t>Chellingsworth</w:t>
      </w:r>
      <w:proofErr w:type="spellEnd"/>
      <w:r w:rsidRPr="00681EF7">
        <w:rPr>
          <w:rFonts w:ascii="Arial" w:hAnsi="Arial" w:cs="Arial"/>
          <w:sz w:val="22"/>
          <w:szCs w:val="22"/>
        </w:rPr>
        <w:t xml:space="preserve"> and Farrand, 2010-2014). </w:t>
      </w:r>
    </w:p>
    <w:p w14:paraId="4EEDF9D2" w14:textId="77777777" w:rsidR="00681EF7" w:rsidRPr="00681EF7" w:rsidRDefault="00681EF7" w:rsidP="004C4FB9">
      <w:pPr>
        <w:spacing w:line="360" w:lineRule="auto"/>
        <w:rPr>
          <w:rFonts w:ascii="Arial" w:hAnsi="Arial" w:cs="Arial"/>
          <w:sz w:val="22"/>
          <w:szCs w:val="22"/>
        </w:rPr>
      </w:pPr>
    </w:p>
    <w:p w14:paraId="1A95CA6D" w14:textId="11EE115D"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Conditioning could be argued to be the rooted cause of Ella’s fears (Watson and Raynor, 1920, p. 14). In that sense, Watson and Raynor (1920, p. 12) believe there are numerous ways to reverse the fear. For instance, through reconditioning, using food as a positive stimulus or reward. Classical (Pavlov, 1927) and operant (Skinner, 1938) conditioning are powerful cognitive tools, inside and outside of education. Ella could be encouraged to participate in activities such as singing or messy-play through positive reinforcement, since </w:t>
      </w:r>
      <w:r w:rsidRPr="00681EF7">
        <w:rPr>
          <w:rFonts w:ascii="Arial" w:hAnsi="Arial" w:cs="Arial"/>
          <w:sz w:val="22"/>
          <w:szCs w:val="22"/>
        </w:rPr>
        <w:lastRenderedPageBreak/>
        <w:t xml:space="preserve">they would aid her holistic development. Nonetheless, research by Vroom (1964) suggests that -a fear, a behaviour, or learning something new, when using reinforcement, changes on the expectancy of the favourable reward succeeding. Therefore, as a teacher, using positive reinforcement, or rewards (Skinner, 1938) in the classroom to benefit Ella’s cognitive </w:t>
      </w:r>
      <w:r w:rsidRPr="00681EF7">
        <w:rPr>
          <w:rFonts w:ascii="Arial" w:hAnsi="Arial" w:cs="Arial"/>
          <w:sz w:val="22"/>
          <w:szCs w:val="22"/>
        </w:rPr>
        <w:t>development, would</w:t>
      </w:r>
      <w:r w:rsidRPr="00681EF7">
        <w:rPr>
          <w:rFonts w:ascii="Arial" w:hAnsi="Arial" w:cs="Arial"/>
          <w:sz w:val="22"/>
          <w:szCs w:val="22"/>
        </w:rPr>
        <w:t xml:space="preserve"> ensure </w:t>
      </w:r>
      <w:r w:rsidRPr="00681EF7">
        <w:rPr>
          <w:rFonts w:ascii="Arial" w:hAnsi="Arial" w:cs="Arial"/>
          <w:sz w:val="22"/>
          <w:szCs w:val="22"/>
        </w:rPr>
        <w:t>that trust</w:t>
      </w:r>
      <w:r w:rsidRPr="00681EF7">
        <w:rPr>
          <w:rFonts w:ascii="Arial" w:hAnsi="Arial" w:cs="Arial"/>
          <w:sz w:val="22"/>
          <w:szCs w:val="22"/>
        </w:rPr>
        <w:t xml:space="preserve"> is maintained through following through with the child's expectations of a desirable reward.</w:t>
      </w:r>
    </w:p>
    <w:p w14:paraId="7F8388F7" w14:textId="77777777" w:rsidR="00681EF7" w:rsidRPr="00681EF7" w:rsidRDefault="00681EF7" w:rsidP="004C4FB9">
      <w:pPr>
        <w:spacing w:line="360" w:lineRule="auto"/>
        <w:rPr>
          <w:rFonts w:ascii="Arial" w:hAnsi="Arial" w:cs="Arial"/>
          <w:b/>
          <w:bCs/>
          <w:sz w:val="22"/>
          <w:szCs w:val="22"/>
        </w:rPr>
      </w:pPr>
      <w:r w:rsidRPr="00681EF7">
        <w:rPr>
          <w:rFonts w:ascii="Arial" w:hAnsi="Arial" w:cs="Arial"/>
          <w:b/>
          <w:bCs/>
          <w:sz w:val="22"/>
          <w:szCs w:val="22"/>
        </w:rPr>
        <w:t>Conclusion</w:t>
      </w:r>
    </w:p>
    <w:p w14:paraId="742A75F8" w14:textId="0A10F502"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Each element of Ella’s development is intertwined with one another, a conflict in one, could impact all. Ella has many strengths, which I believe are important to not only recognise, but use to promote further development and </w:t>
      </w:r>
      <w:r w:rsidRPr="00681EF7">
        <w:rPr>
          <w:rFonts w:ascii="Arial" w:hAnsi="Arial" w:cs="Arial"/>
          <w:sz w:val="22"/>
          <w:szCs w:val="22"/>
        </w:rPr>
        <w:t>self-esteem</w:t>
      </w:r>
      <w:r w:rsidRPr="00681EF7">
        <w:rPr>
          <w:rFonts w:ascii="Arial" w:hAnsi="Arial" w:cs="Arial"/>
          <w:sz w:val="22"/>
          <w:szCs w:val="22"/>
        </w:rPr>
        <w:t>. Elements of discussion suggested a delay in general development, however, concerns in speech, language and communication development may require further assessment for intervention if not rectified progressively throughout the school year. I believe that, with teacher support, positive family involvement, implementation of appropriate schemes and a stimulating environment, Ella will continue to grow and develop. </w:t>
      </w:r>
    </w:p>
    <w:p w14:paraId="1BFCB03E" w14:textId="77777777" w:rsidR="00681EF7" w:rsidRPr="00681EF7" w:rsidRDefault="00681EF7" w:rsidP="004C4FB9">
      <w:pPr>
        <w:spacing w:line="360" w:lineRule="auto"/>
        <w:rPr>
          <w:rFonts w:ascii="Arial" w:hAnsi="Arial" w:cs="Arial"/>
          <w:sz w:val="22"/>
          <w:szCs w:val="22"/>
        </w:rPr>
      </w:pPr>
    </w:p>
    <w:p w14:paraId="48020BD2" w14:textId="77777777" w:rsidR="00681EF7" w:rsidRPr="00681EF7" w:rsidRDefault="00681EF7" w:rsidP="004C4FB9">
      <w:pPr>
        <w:spacing w:line="360" w:lineRule="auto"/>
        <w:rPr>
          <w:rFonts w:ascii="Arial" w:hAnsi="Arial" w:cs="Arial"/>
          <w:b/>
          <w:bCs/>
          <w:sz w:val="22"/>
          <w:szCs w:val="22"/>
        </w:rPr>
      </w:pPr>
      <w:r w:rsidRPr="00681EF7">
        <w:rPr>
          <w:rFonts w:ascii="Arial" w:hAnsi="Arial" w:cs="Arial"/>
          <w:b/>
          <w:bCs/>
          <w:sz w:val="22"/>
          <w:szCs w:val="22"/>
        </w:rPr>
        <w:t>References</w:t>
      </w:r>
    </w:p>
    <w:p w14:paraId="118C5434" w14:textId="77777777" w:rsidR="00681EF7" w:rsidRPr="00681EF7" w:rsidRDefault="00681EF7" w:rsidP="004C4FB9">
      <w:pPr>
        <w:spacing w:line="360" w:lineRule="auto"/>
        <w:rPr>
          <w:rFonts w:ascii="Arial" w:hAnsi="Arial" w:cs="Arial"/>
          <w:sz w:val="22"/>
          <w:szCs w:val="22"/>
        </w:rPr>
      </w:pPr>
    </w:p>
    <w:p w14:paraId="4F870B5B"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Action for children, (2024), </w:t>
      </w:r>
      <w:r w:rsidRPr="00681EF7">
        <w:rPr>
          <w:rFonts w:ascii="Arial" w:hAnsi="Arial" w:cs="Arial"/>
          <w:i/>
          <w:iCs/>
          <w:sz w:val="22"/>
          <w:szCs w:val="22"/>
        </w:rPr>
        <w:t xml:space="preserve">How to teach your child social skills. </w:t>
      </w:r>
      <w:r w:rsidRPr="00681EF7">
        <w:rPr>
          <w:rFonts w:ascii="Arial" w:hAnsi="Arial" w:cs="Arial"/>
          <w:sz w:val="22"/>
          <w:szCs w:val="22"/>
        </w:rPr>
        <w:t xml:space="preserve">Available at: </w:t>
      </w:r>
      <w:hyperlink r:id="rId5" w:history="1">
        <w:r w:rsidRPr="00681EF7">
          <w:rPr>
            <w:rStyle w:val="Hyperlink"/>
            <w:rFonts w:ascii="Arial" w:hAnsi="Arial" w:cs="Arial"/>
            <w:sz w:val="22"/>
            <w:szCs w:val="22"/>
          </w:rPr>
          <w:t>https://parents.actionforchildren.org.uk/development-additional-needs/social-emotional-development/</w:t>
        </w:r>
      </w:hyperlink>
      <w:r w:rsidRPr="00681EF7">
        <w:rPr>
          <w:rFonts w:ascii="Arial" w:hAnsi="Arial" w:cs="Arial"/>
          <w:sz w:val="22"/>
          <w:szCs w:val="22"/>
        </w:rPr>
        <w:t xml:space="preserve"> (Accessed: 14 November 2024).</w:t>
      </w:r>
    </w:p>
    <w:p w14:paraId="0ACB924E" w14:textId="77777777" w:rsidR="00681EF7" w:rsidRPr="00681EF7" w:rsidRDefault="00681EF7" w:rsidP="004C4FB9">
      <w:pPr>
        <w:spacing w:line="360" w:lineRule="auto"/>
        <w:rPr>
          <w:rFonts w:ascii="Arial" w:hAnsi="Arial" w:cs="Arial"/>
          <w:sz w:val="22"/>
          <w:szCs w:val="22"/>
        </w:rPr>
      </w:pPr>
    </w:p>
    <w:p w14:paraId="3EB8718F" w14:textId="798A6A41"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Bates, </w:t>
      </w:r>
      <w:r w:rsidRPr="00681EF7">
        <w:rPr>
          <w:rFonts w:ascii="Arial" w:hAnsi="Arial" w:cs="Arial"/>
          <w:sz w:val="22"/>
          <w:szCs w:val="22"/>
        </w:rPr>
        <w:t>B. (</w:t>
      </w:r>
      <w:r w:rsidRPr="00681EF7">
        <w:rPr>
          <w:rFonts w:ascii="Arial" w:hAnsi="Arial" w:cs="Arial"/>
          <w:sz w:val="22"/>
          <w:szCs w:val="22"/>
        </w:rPr>
        <w:t xml:space="preserve">2023) </w:t>
      </w:r>
      <w:r w:rsidRPr="00681EF7">
        <w:rPr>
          <w:rFonts w:ascii="Arial" w:hAnsi="Arial" w:cs="Arial"/>
          <w:i/>
          <w:iCs/>
          <w:sz w:val="22"/>
          <w:szCs w:val="22"/>
        </w:rPr>
        <w:t>Learning theories simplified: …and how to apply them to teaching.</w:t>
      </w:r>
      <w:r w:rsidRPr="00681EF7">
        <w:rPr>
          <w:rFonts w:ascii="Arial" w:hAnsi="Arial" w:cs="Arial"/>
          <w:sz w:val="22"/>
          <w:szCs w:val="22"/>
        </w:rPr>
        <w:t xml:space="preserve"> 3rd </w:t>
      </w:r>
      <w:proofErr w:type="spellStart"/>
      <w:r w:rsidRPr="00681EF7">
        <w:rPr>
          <w:rFonts w:ascii="Arial" w:hAnsi="Arial" w:cs="Arial"/>
          <w:sz w:val="22"/>
          <w:szCs w:val="22"/>
        </w:rPr>
        <w:t>edn</w:t>
      </w:r>
      <w:proofErr w:type="spellEnd"/>
      <w:r w:rsidRPr="00681EF7">
        <w:rPr>
          <w:rFonts w:ascii="Arial" w:hAnsi="Arial" w:cs="Arial"/>
          <w:sz w:val="22"/>
          <w:szCs w:val="22"/>
        </w:rPr>
        <w:t xml:space="preserve"> London: SAGE Publications Ltd.</w:t>
      </w:r>
    </w:p>
    <w:p w14:paraId="44E94FC5" w14:textId="77777777" w:rsidR="00681EF7" w:rsidRPr="00681EF7" w:rsidRDefault="00681EF7" w:rsidP="004C4FB9">
      <w:pPr>
        <w:spacing w:line="360" w:lineRule="auto"/>
        <w:rPr>
          <w:rFonts w:ascii="Arial" w:hAnsi="Arial" w:cs="Arial"/>
          <w:sz w:val="22"/>
          <w:szCs w:val="22"/>
        </w:rPr>
      </w:pPr>
    </w:p>
    <w:p w14:paraId="45A603B8"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Bowlby, J. (1988) </w:t>
      </w:r>
      <w:r w:rsidRPr="00681EF7">
        <w:rPr>
          <w:rFonts w:ascii="Arial" w:hAnsi="Arial" w:cs="Arial"/>
          <w:i/>
          <w:iCs/>
          <w:sz w:val="22"/>
          <w:szCs w:val="22"/>
        </w:rPr>
        <w:t xml:space="preserve">A secure base: clinical application of attachment. </w:t>
      </w:r>
      <w:r w:rsidRPr="00681EF7">
        <w:rPr>
          <w:rFonts w:ascii="Arial" w:hAnsi="Arial" w:cs="Arial"/>
          <w:sz w:val="22"/>
          <w:szCs w:val="22"/>
        </w:rPr>
        <w:t xml:space="preserve">Abington: </w:t>
      </w:r>
      <w:proofErr w:type="spellStart"/>
      <w:r w:rsidRPr="00681EF7">
        <w:rPr>
          <w:rFonts w:ascii="Arial" w:hAnsi="Arial" w:cs="Arial"/>
          <w:sz w:val="22"/>
          <w:szCs w:val="22"/>
        </w:rPr>
        <w:t>Routelge</w:t>
      </w:r>
      <w:proofErr w:type="spellEnd"/>
    </w:p>
    <w:p w14:paraId="0CE98ACE" w14:textId="77777777" w:rsidR="00681EF7" w:rsidRPr="00681EF7" w:rsidRDefault="00681EF7" w:rsidP="004C4FB9">
      <w:pPr>
        <w:spacing w:line="360" w:lineRule="auto"/>
        <w:rPr>
          <w:rFonts w:ascii="Arial" w:hAnsi="Arial" w:cs="Arial"/>
          <w:sz w:val="22"/>
          <w:szCs w:val="22"/>
        </w:rPr>
      </w:pPr>
    </w:p>
    <w:p w14:paraId="767EB5F5" w14:textId="77777777" w:rsidR="00681EF7" w:rsidRPr="00681EF7" w:rsidRDefault="00681EF7" w:rsidP="004C4FB9">
      <w:pPr>
        <w:spacing w:line="360" w:lineRule="auto"/>
        <w:rPr>
          <w:rFonts w:ascii="Arial" w:hAnsi="Arial" w:cs="Arial"/>
          <w:sz w:val="22"/>
          <w:szCs w:val="22"/>
        </w:rPr>
      </w:pPr>
      <w:proofErr w:type="spellStart"/>
      <w:r w:rsidRPr="00681EF7">
        <w:rPr>
          <w:rFonts w:ascii="Arial" w:hAnsi="Arial" w:cs="Arial"/>
          <w:sz w:val="22"/>
          <w:szCs w:val="22"/>
        </w:rPr>
        <w:t>Brofenbrenner</w:t>
      </w:r>
      <w:proofErr w:type="spellEnd"/>
      <w:r w:rsidRPr="00681EF7">
        <w:rPr>
          <w:rFonts w:ascii="Arial" w:hAnsi="Arial" w:cs="Arial"/>
          <w:sz w:val="22"/>
          <w:szCs w:val="22"/>
        </w:rPr>
        <w:t>, U. (1976) ‘</w:t>
      </w:r>
      <w:r w:rsidRPr="00681EF7">
        <w:rPr>
          <w:rFonts w:ascii="Arial" w:hAnsi="Arial" w:cs="Arial"/>
          <w:i/>
          <w:iCs/>
          <w:sz w:val="22"/>
          <w:szCs w:val="22"/>
        </w:rPr>
        <w:t>The experimental ecology of education</w:t>
      </w:r>
      <w:r w:rsidRPr="00681EF7">
        <w:rPr>
          <w:rFonts w:ascii="Arial" w:hAnsi="Arial" w:cs="Arial"/>
          <w:sz w:val="22"/>
          <w:szCs w:val="22"/>
        </w:rPr>
        <w:t xml:space="preserve">’ </w:t>
      </w:r>
      <w:r w:rsidRPr="00681EF7">
        <w:rPr>
          <w:rFonts w:ascii="Arial" w:hAnsi="Arial" w:cs="Arial"/>
          <w:i/>
          <w:iCs/>
          <w:sz w:val="22"/>
          <w:szCs w:val="22"/>
        </w:rPr>
        <w:t>Educational researcher</w:t>
      </w:r>
      <w:r w:rsidRPr="00681EF7">
        <w:rPr>
          <w:rFonts w:ascii="Arial" w:hAnsi="Arial" w:cs="Arial"/>
          <w:sz w:val="22"/>
          <w:szCs w:val="22"/>
        </w:rPr>
        <w:t xml:space="preserve"> 5(9) (October) pp. 5-15 Available at: </w:t>
      </w:r>
      <w:hyperlink r:id="rId6" w:history="1">
        <w:r w:rsidRPr="00681EF7">
          <w:rPr>
            <w:rStyle w:val="Hyperlink"/>
            <w:rFonts w:ascii="Arial" w:hAnsi="Arial" w:cs="Arial"/>
            <w:sz w:val="22"/>
            <w:szCs w:val="22"/>
          </w:rPr>
          <w:t>https://ezproxy.uwtsd.ac.uk/login?url=https://www.jstor.org/stable/1174755</w:t>
        </w:r>
      </w:hyperlink>
      <w:r w:rsidRPr="00681EF7">
        <w:rPr>
          <w:rFonts w:ascii="Arial" w:hAnsi="Arial" w:cs="Arial"/>
          <w:sz w:val="22"/>
          <w:szCs w:val="22"/>
        </w:rPr>
        <w:t xml:space="preserve"> (Accessed: 1 November 2024).</w:t>
      </w:r>
    </w:p>
    <w:p w14:paraId="76176FE3" w14:textId="77777777" w:rsidR="00681EF7" w:rsidRPr="00681EF7" w:rsidRDefault="00681EF7" w:rsidP="004C4FB9">
      <w:pPr>
        <w:spacing w:line="360" w:lineRule="auto"/>
        <w:rPr>
          <w:rFonts w:ascii="Arial" w:hAnsi="Arial" w:cs="Arial"/>
          <w:sz w:val="22"/>
          <w:szCs w:val="22"/>
        </w:rPr>
      </w:pPr>
    </w:p>
    <w:p w14:paraId="7C2C4947"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Bruner, J. (1960) </w:t>
      </w:r>
      <w:r w:rsidRPr="00681EF7">
        <w:rPr>
          <w:rFonts w:ascii="Arial" w:hAnsi="Arial" w:cs="Arial"/>
          <w:i/>
          <w:iCs/>
          <w:sz w:val="22"/>
          <w:szCs w:val="22"/>
        </w:rPr>
        <w:t xml:space="preserve">The process of education, </w:t>
      </w:r>
      <w:r w:rsidRPr="00681EF7">
        <w:rPr>
          <w:rFonts w:ascii="Arial" w:hAnsi="Arial" w:cs="Arial"/>
          <w:sz w:val="22"/>
          <w:szCs w:val="22"/>
        </w:rPr>
        <w:t>Cambridge, MA: Harvard University Press.</w:t>
      </w:r>
    </w:p>
    <w:p w14:paraId="4A0425B3" w14:textId="77777777" w:rsidR="00681EF7" w:rsidRPr="00681EF7" w:rsidRDefault="00681EF7" w:rsidP="004C4FB9">
      <w:pPr>
        <w:spacing w:line="360" w:lineRule="auto"/>
        <w:rPr>
          <w:rFonts w:ascii="Arial" w:hAnsi="Arial" w:cs="Arial"/>
          <w:sz w:val="22"/>
          <w:szCs w:val="22"/>
        </w:rPr>
      </w:pPr>
    </w:p>
    <w:p w14:paraId="1C271614" w14:textId="77777777" w:rsidR="00681EF7" w:rsidRPr="00681EF7" w:rsidRDefault="00681EF7" w:rsidP="004C4FB9">
      <w:pPr>
        <w:spacing w:line="360" w:lineRule="auto"/>
        <w:rPr>
          <w:rFonts w:ascii="Arial" w:hAnsi="Arial" w:cs="Arial"/>
          <w:sz w:val="22"/>
          <w:szCs w:val="22"/>
        </w:rPr>
      </w:pPr>
      <w:proofErr w:type="spellStart"/>
      <w:r w:rsidRPr="00681EF7">
        <w:rPr>
          <w:rFonts w:ascii="Arial" w:hAnsi="Arial" w:cs="Arial"/>
          <w:sz w:val="22"/>
          <w:szCs w:val="22"/>
        </w:rPr>
        <w:t>Chellingsworth</w:t>
      </w:r>
      <w:proofErr w:type="spellEnd"/>
      <w:r w:rsidRPr="00681EF7">
        <w:rPr>
          <w:rFonts w:ascii="Arial" w:hAnsi="Arial" w:cs="Arial"/>
          <w:sz w:val="22"/>
          <w:szCs w:val="22"/>
        </w:rPr>
        <w:t xml:space="preserve">, M., and Farrand, P. (2012-2014), </w:t>
      </w:r>
      <w:r w:rsidRPr="00681EF7">
        <w:rPr>
          <w:rFonts w:ascii="Arial" w:hAnsi="Arial" w:cs="Arial"/>
          <w:i/>
          <w:iCs/>
          <w:sz w:val="22"/>
          <w:szCs w:val="22"/>
        </w:rPr>
        <w:t xml:space="preserve">Exposure and habituation in low intensity CBT. </w:t>
      </w:r>
      <w:r w:rsidRPr="00681EF7">
        <w:rPr>
          <w:rFonts w:ascii="Arial" w:hAnsi="Arial" w:cs="Arial"/>
          <w:sz w:val="22"/>
          <w:szCs w:val="22"/>
        </w:rPr>
        <w:t>Exeter: Cedar. </w:t>
      </w:r>
    </w:p>
    <w:p w14:paraId="2286ACC6" w14:textId="77777777" w:rsidR="00681EF7" w:rsidRPr="00681EF7" w:rsidRDefault="00681EF7" w:rsidP="004C4FB9">
      <w:pPr>
        <w:spacing w:line="360" w:lineRule="auto"/>
        <w:rPr>
          <w:rFonts w:ascii="Arial" w:hAnsi="Arial" w:cs="Arial"/>
          <w:sz w:val="22"/>
          <w:szCs w:val="22"/>
        </w:rPr>
      </w:pPr>
    </w:p>
    <w:p w14:paraId="239EE18D"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Children’s Commissioner for Wales, (2019), </w:t>
      </w:r>
      <w:r w:rsidRPr="00681EF7">
        <w:rPr>
          <w:rFonts w:ascii="Arial" w:hAnsi="Arial" w:cs="Arial"/>
          <w:i/>
          <w:iCs/>
          <w:sz w:val="22"/>
          <w:szCs w:val="22"/>
        </w:rPr>
        <w:t xml:space="preserve">United Nations Convention on the Rights of the Child: Full text. </w:t>
      </w:r>
      <w:r w:rsidRPr="00681EF7">
        <w:rPr>
          <w:rFonts w:ascii="Arial" w:hAnsi="Arial" w:cs="Arial"/>
          <w:sz w:val="22"/>
          <w:szCs w:val="22"/>
        </w:rPr>
        <w:t xml:space="preserve">Available at: </w:t>
      </w:r>
      <w:hyperlink r:id="rId7" w:history="1">
        <w:r w:rsidRPr="00681EF7">
          <w:rPr>
            <w:rStyle w:val="Hyperlink"/>
            <w:rFonts w:ascii="Arial" w:hAnsi="Arial" w:cs="Arial"/>
            <w:sz w:val="22"/>
            <w:szCs w:val="22"/>
          </w:rPr>
          <w:t>https://www.childcomwales.org.uk/united-nations-convention-on-the-rights-of-the-child-full-text/</w:t>
        </w:r>
      </w:hyperlink>
      <w:r w:rsidRPr="00681EF7">
        <w:rPr>
          <w:rFonts w:ascii="Arial" w:hAnsi="Arial" w:cs="Arial"/>
          <w:sz w:val="22"/>
          <w:szCs w:val="22"/>
        </w:rPr>
        <w:t xml:space="preserve"> (Accessed on: 22 November 2024).</w:t>
      </w:r>
    </w:p>
    <w:p w14:paraId="213FABDA" w14:textId="77777777" w:rsidR="00681EF7" w:rsidRPr="00681EF7" w:rsidRDefault="00681EF7" w:rsidP="004C4FB9">
      <w:pPr>
        <w:spacing w:line="360" w:lineRule="auto"/>
        <w:rPr>
          <w:rFonts w:ascii="Arial" w:hAnsi="Arial" w:cs="Arial"/>
          <w:sz w:val="22"/>
          <w:szCs w:val="22"/>
        </w:rPr>
      </w:pPr>
    </w:p>
    <w:p w14:paraId="22B08491" w14:textId="77777777" w:rsidR="00681EF7" w:rsidRPr="00681EF7" w:rsidRDefault="00681EF7" w:rsidP="004C4FB9">
      <w:pPr>
        <w:spacing w:line="360" w:lineRule="auto"/>
        <w:rPr>
          <w:rFonts w:ascii="Arial" w:hAnsi="Arial" w:cs="Arial"/>
          <w:sz w:val="22"/>
          <w:szCs w:val="22"/>
        </w:rPr>
      </w:pPr>
      <w:proofErr w:type="spellStart"/>
      <w:r w:rsidRPr="00681EF7">
        <w:rPr>
          <w:rFonts w:ascii="Arial" w:hAnsi="Arial" w:cs="Arial"/>
          <w:sz w:val="22"/>
          <w:szCs w:val="22"/>
        </w:rPr>
        <w:t>Claney</w:t>
      </w:r>
      <w:proofErr w:type="spellEnd"/>
      <w:r w:rsidRPr="00681EF7">
        <w:rPr>
          <w:rFonts w:ascii="Arial" w:hAnsi="Arial" w:cs="Arial"/>
          <w:sz w:val="22"/>
          <w:szCs w:val="22"/>
        </w:rPr>
        <w:t xml:space="preserve">, C. (2024) </w:t>
      </w:r>
      <w:r w:rsidRPr="00681EF7">
        <w:rPr>
          <w:rFonts w:ascii="Arial" w:hAnsi="Arial" w:cs="Arial"/>
          <w:i/>
          <w:iCs/>
          <w:sz w:val="22"/>
          <w:szCs w:val="22"/>
        </w:rPr>
        <w:t xml:space="preserve">Understanding the 4 attachment styles. Available at: </w:t>
      </w:r>
      <w:hyperlink r:id="rId8" w:anchor=":~:text=Attachment%20theory%2C%20developed%20by%20John,anxious%2C%20avoidant%2C%20and%20disorganized." w:history="1">
        <w:r w:rsidRPr="00681EF7">
          <w:rPr>
            <w:rStyle w:val="Hyperlink"/>
            <w:rFonts w:ascii="Arial" w:hAnsi="Arial" w:cs="Arial"/>
            <w:i/>
            <w:iCs/>
            <w:sz w:val="22"/>
            <w:szCs w:val="22"/>
          </w:rPr>
          <w:t>https://www.relationalpsych.group/articles/understanding-the-4-attachment-styles#:~:text=Attachment%20theory%2C%20developed%20by%20John,anxious%2C%20avoidant%2C%20and%20disorganized.</w:t>
        </w:r>
      </w:hyperlink>
      <w:r w:rsidRPr="00681EF7">
        <w:rPr>
          <w:rFonts w:ascii="Arial" w:hAnsi="Arial" w:cs="Arial"/>
          <w:sz w:val="22"/>
          <w:szCs w:val="22"/>
        </w:rPr>
        <w:t xml:space="preserve"> (Accessed: 18 November 2024).</w:t>
      </w:r>
    </w:p>
    <w:p w14:paraId="68DA7542" w14:textId="77777777" w:rsidR="00681EF7" w:rsidRPr="00681EF7" w:rsidRDefault="00681EF7" w:rsidP="004C4FB9">
      <w:pPr>
        <w:spacing w:line="360" w:lineRule="auto"/>
        <w:rPr>
          <w:rFonts w:ascii="Arial" w:hAnsi="Arial" w:cs="Arial"/>
          <w:sz w:val="22"/>
          <w:szCs w:val="22"/>
        </w:rPr>
      </w:pPr>
    </w:p>
    <w:p w14:paraId="1FD142DD"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Department for Education. (n.d.). </w:t>
      </w:r>
      <w:r w:rsidRPr="00681EF7">
        <w:rPr>
          <w:rFonts w:ascii="Arial" w:hAnsi="Arial" w:cs="Arial"/>
          <w:i/>
          <w:iCs/>
          <w:sz w:val="22"/>
          <w:szCs w:val="22"/>
        </w:rPr>
        <w:t>Autumn Week 2: ECT theory - How can you create an effective learning environment?</w:t>
      </w:r>
      <w:r w:rsidRPr="00681EF7">
        <w:rPr>
          <w:rFonts w:ascii="Arial" w:hAnsi="Arial" w:cs="Arial"/>
          <w:sz w:val="22"/>
          <w:szCs w:val="22"/>
        </w:rPr>
        <w:t xml:space="preserve">  Available at: </w:t>
      </w:r>
      <w:hyperlink r:id="rId9" w:history="1">
        <w:r w:rsidRPr="00681EF7">
          <w:rPr>
            <w:rStyle w:val="Hyperlink"/>
            <w:rFonts w:ascii="Arial" w:hAnsi="Arial" w:cs="Arial"/>
            <w:sz w:val="22"/>
            <w:szCs w:val="22"/>
          </w:rPr>
          <w:t>https://support-for-early-career-teachers.education.gov.uk/teach-first/year-1-how-can-you-create-an-effective-learning-environment/autumn-week-2-ect-theory/</w:t>
        </w:r>
      </w:hyperlink>
      <w:r w:rsidRPr="00681EF7">
        <w:rPr>
          <w:rFonts w:ascii="Arial" w:hAnsi="Arial" w:cs="Arial"/>
          <w:sz w:val="22"/>
          <w:szCs w:val="22"/>
        </w:rPr>
        <w:t>  (Accessed 18 November 2024). </w:t>
      </w:r>
    </w:p>
    <w:p w14:paraId="39FEE29D" w14:textId="77777777" w:rsidR="00681EF7" w:rsidRPr="00681EF7" w:rsidRDefault="00681EF7" w:rsidP="004C4FB9">
      <w:pPr>
        <w:spacing w:line="360" w:lineRule="auto"/>
        <w:rPr>
          <w:rFonts w:ascii="Arial" w:hAnsi="Arial" w:cs="Arial"/>
          <w:sz w:val="22"/>
          <w:szCs w:val="22"/>
        </w:rPr>
      </w:pPr>
    </w:p>
    <w:p w14:paraId="02488212"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DeVries, R. (2000) ‘Vygotsky, Piaget, and education: a reciprocal assimilation of theories and educational practices.’ </w:t>
      </w:r>
      <w:r w:rsidRPr="00681EF7">
        <w:rPr>
          <w:rFonts w:ascii="Arial" w:hAnsi="Arial" w:cs="Arial"/>
          <w:i/>
          <w:iCs/>
          <w:sz w:val="22"/>
          <w:szCs w:val="22"/>
        </w:rPr>
        <w:t xml:space="preserve">New ideas in Psychology. </w:t>
      </w:r>
      <w:r w:rsidRPr="00681EF7">
        <w:rPr>
          <w:rFonts w:ascii="Arial" w:hAnsi="Arial" w:cs="Arial"/>
          <w:sz w:val="22"/>
          <w:szCs w:val="22"/>
        </w:rPr>
        <w:t xml:space="preserve">18(2-3), p. 190. Available at: </w:t>
      </w:r>
      <w:hyperlink r:id="rId10" w:history="1">
        <w:r w:rsidRPr="00681EF7">
          <w:rPr>
            <w:rStyle w:val="Hyperlink"/>
            <w:rFonts w:ascii="Arial" w:hAnsi="Arial" w:cs="Arial"/>
            <w:sz w:val="22"/>
            <w:szCs w:val="22"/>
          </w:rPr>
          <w:t>https://www.sciencedirect.com/science/article/pii/S0732118X00000088</w:t>
        </w:r>
      </w:hyperlink>
      <w:r w:rsidRPr="00681EF7">
        <w:rPr>
          <w:rFonts w:ascii="Arial" w:hAnsi="Arial" w:cs="Arial"/>
          <w:sz w:val="22"/>
          <w:szCs w:val="22"/>
        </w:rPr>
        <w:t xml:space="preserve"> (Accessed: 9 November 2024).</w:t>
      </w:r>
    </w:p>
    <w:p w14:paraId="32B2A8A2" w14:textId="77777777" w:rsidR="00681EF7" w:rsidRPr="00681EF7" w:rsidRDefault="00681EF7" w:rsidP="004C4FB9">
      <w:pPr>
        <w:spacing w:line="360" w:lineRule="auto"/>
        <w:rPr>
          <w:rFonts w:ascii="Arial" w:hAnsi="Arial" w:cs="Arial"/>
          <w:sz w:val="22"/>
          <w:szCs w:val="22"/>
        </w:rPr>
      </w:pPr>
    </w:p>
    <w:p w14:paraId="0AFC1C42"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Education Gateshead (2021) </w:t>
      </w:r>
      <w:r w:rsidRPr="00681EF7">
        <w:rPr>
          <w:rFonts w:ascii="Arial" w:hAnsi="Arial" w:cs="Arial"/>
          <w:i/>
          <w:iCs/>
          <w:sz w:val="22"/>
          <w:szCs w:val="22"/>
        </w:rPr>
        <w:t xml:space="preserve">Children and egocentrism. </w:t>
      </w:r>
      <w:r w:rsidRPr="00681EF7">
        <w:rPr>
          <w:rFonts w:ascii="Arial" w:hAnsi="Arial" w:cs="Arial"/>
          <w:sz w:val="22"/>
          <w:szCs w:val="22"/>
        </w:rPr>
        <w:t>Available at:</w:t>
      </w:r>
      <w:hyperlink r:id="rId11" w:history="1">
        <w:r w:rsidRPr="00681EF7">
          <w:rPr>
            <w:rStyle w:val="Hyperlink"/>
            <w:rFonts w:ascii="Arial" w:hAnsi="Arial" w:cs="Arial"/>
            <w:sz w:val="22"/>
            <w:szCs w:val="22"/>
          </w:rPr>
          <w:t>https://educationgateshead.org/wp-content/uploads/2021/09/3535b-JH-Children-And-Egocentrism.pdf</w:t>
        </w:r>
      </w:hyperlink>
      <w:r w:rsidRPr="00681EF7">
        <w:rPr>
          <w:rFonts w:ascii="Arial" w:hAnsi="Arial" w:cs="Arial"/>
          <w:sz w:val="22"/>
          <w:szCs w:val="22"/>
        </w:rPr>
        <w:t xml:space="preserve"> (Accessed: 9 November 2024).</w:t>
      </w:r>
    </w:p>
    <w:p w14:paraId="04D4CC73" w14:textId="77777777" w:rsidR="00681EF7" w:rsidRPr="00681EF7" w:rsidRDefault="00681EF7" w:rsidP="004C4FB9">
      <w:pPr>
        <w:spacing w:line="360" w:lineRule="auto"/>
        <w:rPr>
          <w:rFonts w:ascii="Arial" w:hAnsi="Arial" w:cs="Arial"/>
          <w:sz w:val="22"/>
          <w:szCs w:val="22"/>
        </w:rPr>
      </w:pPr>
    </w:p>
    <w:p w14:paraId="72B3FB4A"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lastRenderedPageBreak/>
        <w:t xml:space="preserve">Elsa-support, (2021) </w:t>
      </w:r>
      <w:r w:rsidRPr="00681EF7">
        <w:rPr>
          <w:rFonts w:ascii="Arial" w:hAnsi="Arial" w:cs="Arial"/>
          <w:i/>
          <w:iCs/>
          <w:sz w:val="22"/>
          <w:szCs w:val="22"/>
        </w:rPr>
        <w:t>ELSA Leaflet</w:t>
      </w:r>
      <w:r w:rsidRPr="00681EF7">
        <w:rPr>
          <w:rFonts w:ascii="Arial" w:hAnsi="Arial" w:cs="Arial"/>
          <w:sz w:val="22"/>
          <w:szCs w:val="22"/>
        </w:rPr>
        <w:t xml:space="preserve">. Available at: </w:t>
      </w:r>
      <w:hyperlink r:id="rId12" w:history="1">
        <w:r w:rsidRPr="00681EF7">
          <w:rPr>
            <w:rStyle w:val="Hyperlink"/>
            <w:rFonts w:ascii="Arial" w:hAnsi="Arial" w:cs="Arial"/>
            <w:sz w:val="22"/>
            <w:szCs w:val="22"/>
          </w:rPr>
          <w:t>https://www.elsa-support.co.uk/wp-content/uploads/2014/05/ELSA-Leaflet-PDF-.pdf</w:t>
        </w:r>
      </w:hyperlink>
    </w:p>
    <w:p w14:paraId="7DBC49D4"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(Accessed: 18 November 2024).</w:t>
      </w:r>
    </w:p>
    <w:p w14:paraId="3B694546" w14:textId="77777777" w:rsidR="00681EF7" w:rsidRPr="00681EF7" w:rsidRDefault="00681EF7" w:rsidP="004C4FB9">
      <w:pPr>
        <w:spacing w:line="360" w:lineRule="auto"/>
        <w:rPr>
          <w:rFonts w:ascii="Arial" w:hAnsi="Arial" w:cs="Arial"/>
          <w:sz w:val="22"/>
          <w:szCs w:val="22"/>
        </w:rPr>
      </w:pPr>
    </w:p>
    <w:p w14:paraId="509360A0"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Fleming, J.S. (2004) ‘Stages of development’, </w:t>
      </w:r>
      <w:r w:rsidRPr="00681EF7">
        <w:rPr>
          <w:rFonts w:ascii="Arial" w:hAnsi="Arial" w:cs="Arial"/>
          <w:i/>
          <w:iCs/>
          <w:sz w:val="22"/>
          <w:szCs w:val="22"/>
        </w:rPr>
        <w:t>Erikson’s Psychosocial developmental stages</w:t>
      </w:r>
      <w:r w:rsidRPr="00681EF7">
        <w:rPr>
          <w:rFonts w:ascii="Arial" w:hAnsi="Arial" w:cs="Arial"/>
          <w:sz w:val="22"/>
          <w:szCs w:val="22"/>
        </w:rPr>
        <w:t>. Pennsylvania: Pennsylvania state University.</w:t>
      </w:r>
    </w:p>
    <w:p w14:paraId="40EEBDEE" w14:textId="77777777" w:rsidR="00681EF7" w:rsidRPr="00681EF7" w:rsidRDefault="00681EF7" w:rsidP="004C4FB9">
      <w:pPr>
        <w:spacing w:line="360" w:lineRule="auto"/>
        <w:rPr>
          <w:rFonts w:ascii="Arial" w:hAnsi="Arial" w:cs="Arial"/>
          <w:sz w:val="22"/>
          <w:szCs w:val="22"/>
        </w:rPr>
      </w:pPr>
    </w:p>
    <w:p w14:paraId="21F92B34"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Foundation Education (2023) </w:t>
      </w:r>
      <w:r w:rsidRPr="00681EF7">
        <w:rPr>
          <w:rFonts w:ascii="Arial" w:hAnsi="Arial" w:cs="Arial"/>
          <w:i/>
          <w:iCs/>
          <w:sz w:val="22"/>
          <w:szCs w:val="22"/>
        </w:rPr>
        <w:t xml:space="preserve">Supporting the holistic development of children. </w:t>
      </w:r>
      <w:r w:rsidRPr="00681EF7">
        <w:rPr>
          <w:rFonts w:ascii="Arial" w:hAnsi="Arial" w:cs="Arial"/>
          <w:sz w:val="22"/>
          <w:szCs w:val="22"/>
        </w:rPr>
        <w:t xml:space="preserve"> Available at: </w:t>
      </w:r>
      <w:hyperlink r:id="rId13" w:history="1">
        <w:r w:rsidRPr="00681EF7">
          <w:rPr>
            <w:rStyle w:val="Hyperlink"/>
            <w:rFonts w:ascii="Arial" w:hAnsi="Arial" w:cs="Arial"/>
            <w:sz w:val="22"/>
            <w:szCs w:val="22"/>
          </w:rPr>
          <w:t>https://www.foundationeducation.edu.au/articles/supporting-the-holistic-development-of-children</w:t>
        </w:r>
      </w:hyperlink>
      <w:r w:rsidRPr="00681EF7">
        <w:rPr>
          <w:rFonts w:ascii="Arial" w:hAnsi="Arial" w:cs="Arial"/>
          <w:sz w:val="22"/>
          <w:szCs w:val="22"/>
        </w:rPr>
        <w:t xml:space="preserve"> (Accessed: 1 November 2024).</w:t>
      </w:r>
    </w:p>
    <w:p w14:paraId="6EFB3843" w14:textId="77777777" w:rsidR="00681EF7" w:rsidRPr="00681EF7" w:rsidRDefault="00681EF7" w:rsidP="004C4FB9">
      <w:pPr>
        <w:spacing w:line="360" w:lineRule="auto"/>
        <w:rPr>
          <w:rFonts w:ascii="Arial" w:hAnsi="Arial" w:cs="Arial"/>
          <w:sz w:val="22"/>
          <w:szCs w:val="22"/>
        </w:rPr>
      </w:pPr>
    </w:p>
    <w:p w14:paraId="36AA6265"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Gesell Institute of Human Development, (n.d.) </w:t>
      </w:r>
      <w:r w:rsidRPr="00681EF7">
        <w:rPr>
          <w:rFonts w:ascii="Arial" w:hAnsi="Arial" w:cs="Arial"/>
          <w:i/>
          <w:iCs/>
          <w:sz w:val="22"/>
          <w:szCs w:val="22"/>
        </w:rPr>
        <w:t>Gesell’s Theory</w:t>
      </w:r>
      <w:r w:rsidRPr="00681EF7">
        <w:rPr>
          <w:rFonts w:ascii="Arial" w:hAnsi="Arial" w:cs="Arial"/>
          <w:sz w:val="22"/>
          <w:szCs w:val="22"/>
        </w:rPr>
        <w:t xml:space="preserve">. Available at: </w:t>
      </w:r>
      <w:hyperlink r:id="rId14" w:history="1">
        <w:r w:rsidRPr="00681EF7">
          <w:rPr>
            <w:rStyle w:val="Hyperlink"/>
            <w:rFonts w:ascii="Arial" w:hAnsi="Arial" w:cs="Arial"/>
            <w:sz w:val="22"/>
            <w:szCs w:val="22"/>
          </w:rPr>
          <w:t>https://www.gesell-yale.org/pages/gesell-theory</w:t>
        </w:r>
      </w:hyperlink>
      <w:r w:rsidRPr="00681EF7">
        <w:rPr>
          <w:rFonts w:ascii="Arial" w:hAnsi="Arial" w:cs="Arial"/>
          <w:sz w:val="22"/>
          <w:szCs w:val="22"/>
        </w:rPr>
        <w:t xml:space="preserve"> (Accessed: 18 November 2024).</w:t>
      </w:r>
    </w:p>
    <w:p w14:paraId="418D8080" w14:textId="77777777" w:rsidR="00681EF7" w:rsidRPr="00681EF7" w:rsidRDefault="00681EF7" w:rsidP="004C4FB9">
      <w:pPr>
        <w:spacing w:line="360" w:lineRule="auto"/>
        <w:rPr>
          <w:rFonts w:ascii="Arial" w:hAnsi="Arial" w:cs="Arial"/>
          <w:sz w:val="22"/>
          <w:szCs w:val="22"/>
        </w:rPr>
      </w:pPr>
    </w:p>
    <w:p w14:paraId="6C879719" w14:textId="77777777" w:rsidR="00681EF7" w:rsidRPr="00681EF7" w:rsidRDefault="00681EF7" w:rsidP="004C4FB9">
      <w:pPr>
        <w:spacing w:line="360" w:lineRule="auto"/>
        <w:rPr>
          <w:rFonts w:ascii="Arial" w:hAnsi="Arial" w:cs="Arial"/>
          <w:sz w:val="22"/>
          <w:szCs w:val="22"/>
        </w:rPr>
      </w:pPr>
      <w:proofErr w:type="spellStart"/>
      <w:r w:rsidRPr="00681EF7">
        <w:rPr>
          <w:rFonts w:ascii="Arial" w:hAnsi="Arial" w:cs="Arial"/>
          <w:sz w:val="22"/>
          <w:szCs w:val="22"/>
        </w:rPr>
        <w:t>Glazzard</w:t>
      </w:r>
      <w:proofErr w:type="spellEnd"/>
      <w:r w:rsidRPr="00681EF7">
        <w:rPr>
          <w:rFonts w:ascii="Arial" w:hAnsi="Arial" w:cs="Arial"/>
          <w:sz w:val="22"/>
          <w:szCs w:val="22"/>
        </w:rPr>
        <w:t xml:space="preserve">, J., Hughes, A., Netherwood, A., Neve, L. and </w:t>
      </w:r>
      <w:proofErr w:type="spellStart"/>
      <w:r w:rsidRPr="00681EF7">
        <w:rPr>
          <w:rFonts w:ascii="Arial" w:hAnsi="Arial" w:cs="Arial"/>
          <w:sz w:val="22"/>
          <w:szCs w:val="22"/>
        </w:rPr>
        <w:t>Stokoe</w:t>
      </w:r>
      <w:proofErr w:type="spellEnd"/>
      <w:r w:rsidRPr="00681EF7">
        <w:rPr>
          <w:rFonts w:ascii="Arial" w:hAnsi="Arial" w:cs="Arial"/>
          <w:sz w:val="22"/>
          <w:szCs w:val="22"/>
        </w:rPr>
        <w:t xml:space="preserve">, J. (2011) </w:t>
      </w:r>
      <w:r w:rsidRPr="00681EF7">
        <w:rPr>
          <w:rFonts w:ascii="Arial" w:hAnsi="Arial" w:cs="Arial"/>
          <w:i/>
          <w:iCs/>
          <w:sz w:val="22"/>
          <w:szCs w:val="22"/>
        </w:rPr>
        <w:t xml:space="preserve">Teaching primary special education needs. </w:t>
      </w:r>
      <w:r w:rsidRPr="00681EF7">
        <w:rPr>
          <w:rFonts w:ascii="Arial" w:hAnsi="Arial" w:cs="Arial"/>
          <w:sz w:val="22"/>
          <w:szCs w:val="22"/>
        </w:rPr>
        <w:t>Exeter: Leaning Matter Ltd.</w:t>
      </w:r>
    </w:p>
    <w:p w14:paraId="28BC89CD"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Krebs, J.R., and </w:t>
      </w:r>
      <w:proofErr w:type="spellStart"/>
      <w:r w:rsidRPr="00681EF7">
        <w:rPr>
          <w:rFonts w:ascii="Arial" w:hAnsi="Arial" w:cs="Arial"/>
          <w:sz w:val="22"/>
          <w:szCs w:val="22"/>
        </w:rPr>
        <w:t>Sjölander</w:t>
      </w:r>
      <w:proofErr w:type="spellEnd"/>
      <w:r w:rsidRPr="00681EF7">
        <w:rPr>
          <w:rFonts w:ascii="Arial" w:hAnsi="Arial" w:cs="Arial"/>
          <w:sz w:val="22"/>
          <w:szCs w:val="22"/>
        </w:rPr>
        <w:t xml:space="preserve">, S. (1992) ‘Konrad Zacharias Lorenz, 7 November 1903 - 27 February 1989’, </w:t>
      </w:r>
      <w:r w:rsidRPr="00681EF7">
        <w:rPr>
          <w:rFonts w:ascii="Arial" w:hAnsi="Arial" w:cs="Arial"/>
          <w:i/>
          <w:iCs/>
          <w:sz w:val="22"/>
          <w:szCs w:val="22"/>
        </w:rPr>
        <w:t xml:space="preserve">Biographical memoirs of fellows of the royal society, </w:t>
      </w:r>
      <w:r w:rsidRPr="00681EF7">
        <w:rPr>
          <w:rFonts w:ascii="Arial" w:hAnsi="Arial" w:cs="Arial"/>
          <w:sz w:val="22"/>
          <w:szCs w:val="22"/>
        </w:rPr>
        <w:t xml:space="preserve">38(38) pp. 215-216. Available at: </w:t>
      </w:r>
      <w:hyperlink r:id="rId15" w:history="1">
        <w:r w:rsidRPr="00681EF7">
          <w:rPr>
            <w:rStyle w:val="Hyperlink"/>
            <w:rFonts w:ascii="Arial" w:hAnsi="Arial" w:cs="Arial"/>
            <w:sz w:val="22"/>
            <w:szCs w:val="22"/>
          </w:rPr>
          <w:t>https://royalsocietypublishing.org/doi/epdf/10.1098/rsbm.1992.0011</w:t>
        </w:r>
      </w:hyperlink>
      <w:r w:rsidRPr="00681EF7">
        <w:rPr>
          <w:rFonts w:ascii="Arial" w:hAnsi="Arial" w:cs="Arial"/>
          <w:sz w:val="22"/>
          <w:szCs w:val="22"/>
        </w:rPr>
        <w:t xml:space="preserve"> (Accessed: 18 November 2024).</w:t>
      </w:r>
    </w:p>
    <w:p w14:paraId="63FF50B7" w14:textId="77777777" w:rsidR="00681EF7" w:rsidRPr="00681EF7" w:rsidRDefault="00681EF7" w:rsidP="004C4FB9">
      <w:pPr>
        <w:spacing w:line="360" w:lineRule="auto"/>
        <w:rPr>
          <w:rFonts w:ascii="Arial" w:hAnsi="Arial" w:cs="Arial"/>
          <w:sz w:val="22"/>
          <w:szCs w:val="22"/>
        </w:rPr>
      </w:pPr>
    </w:p>
    <w:p w14:paraId="54C8751D" w14:textId="035E29DA"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Neal, C. (1984) ‘</w:t>
      </w:r>
      <w:r w:rsidRPr="00681EF7">
        <w:rPr>
          <w:rFonts w:ascii="Arial" w:hAnsi="Arial" w:cs="Arial"/>
          <w:i/>
          <w:iCs/>
          <w:sz w:val="22"/>
          <w:szCs w:val="22"/>
        </w:rPr>
        <w:t xml:space="preserve">The holistic teacher’, Learning disability quarterly, </w:t>
      </w:r>
      <w:r w:rsidRPr="00681EF7">
        <w:rPr>
          <w:rFonts w:ascii="Arial" w:hAnsi="Arial" w:cs="Arial"/>
          <w:sz w:val="22"/>
          <w:szCs w:val="22"/>
        </w:rPr>
        <w:t>7(4</w:t>
      </w:r>
      <w:r w:rsidRPr="00681EF7">
        <w:rPr>
          <w:rFonts w:ascii="Arial" w:hAnsi="Arial" w:cs="Arial"/>
          <w:sz w:val="22"/>
          <w:szCs w:val="22"/>
        </w:rPr>
        <w:t>) p.</w:t>
      </w:r>
      <w:r w:rsidRPr="00681EF7">
        <w:rPr>
          <w:rFonts w:ascii="Arial" w:hAnsi="Arial" w:cs="Arial"/>
          <w:sz w:val="22"/>
          <w:szCs w:val="22"/>
        </w:rPr>
        <w:t xml:space="preserve"> 313. Available at: </w:t>
      </w:r>
      <w:hyperlink r:id="rId16" w:history="1">
        <w:r w:rsidRPr="00681EF7">
          <w:rPr>
            <w:rStyle w:val="Hyperlink"/>
            <w:rFonts w:ascii="Arial" w:hAnsi="Arial" w:cs="Arial"/>
            <w:sz w:val="22"/>
            <w:szCs w:val="22"/>
          </w:rPr>
          <w:t>https://www.jstor.org/stable/1510229</w:t>
        </w:r>
      </w:hyperlink>
      <w:r w:rsidRPr="00681EF7">
        <w:rPr>
          <w:rFonts w:ascii="Arial" w:hAnsi="Arial" w:cs="Arial"/>
          <w:sz w:val="22"/>
          <w:szCs w:val="22"/>
        </w:rPr>
        <w:t xml:space="preserve"> (Accessed: 1 November 2024).</w:t>
      </w:r>
    </w:p>
    <w:p w14:paraId="2941C44F" w14:textId="77777777" w:rsidR="00681EF7" w:rsidRPr="00681EF7" w:rsidRDefault="00681EF7" w:rsidP="004C4FB9">
      <w:pPr>
        <w:spacing w:line="360" w:lineRule="auto"/>
        <w:rPr>
          <w:rFonts w:ascii="Arial" w:hAnsi="Arial" w:cs="Arial"/>
          <w:sz w:val="22"/>
          <w:szCs w:val="22"/>
        </w:rPr>
      </w:pPr>
    </w:p>
    <w:p w14:paraId="5B14DE51"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Oliveira, P. (2018) ‘Our proud heritage. True then, truer now: the enduring contributions of Arnold Gesell’, </w:t>
      </w:r>
      <w:r w:rsidRPr="00681EF7">
        <w:rPr>
          <w:rFonts w:ascii="Arial" w:hAnsi="Arial" w:cs="Arial"/>
          <w:i/>
          <w:iCs/>
          <w:sz w:val="22"/>
          <w:szCs w:val="22"/>
        </w:rPr>
        <w:t xml:space="preserve">Young children, 73(3), </w:t>
      </w:r>
      <w:r w:rsidRPr="00681EF7">
        <w:rPr>
          <w:rFonts w:ascii="Arial" w:hAnsi="Arial" w:cs="Arial"/>
          <w:sz w:val="22"/>
          <w:szCs w:val="22"/>
        </w:rPr>
        <w:t xml:space="preserve">Available at: </w:t>
      </w:r>
      <w:hyperlink r:id="rId17" w:history="1">
        <w:r w:rsidRPr="00681EF7">
          <w:rPr>
            <w:rStyle w:val="Hyperlink"/>
            <w:rFonts w:ascii="Arial" w:hAnsi="Arial" w:cs="Arial"/>
            <w:sz w:val="22"/>
            <w:szCs w:val="22"/>
          </w:rPr>
          <w:t>https://www.naeyc.org/resources/pubs/yc/jul2018/enduring-contributions-arnold-gesell</w:t>
        </w:r>
      </w:hyperlink>
      <w:r w:rsidRPr="00681EF7">
        <w:rPr>
          <w:rFonts w:ascii="Arial" w:hAnsi="Arial" w:cs="Arial"/>
          <w:sz w:val="22"/>
          <w:szCs w:val="22"/>
        </w:rPr>
        <w:t xml:space="preserve"> (Accessed: 19 November 2024).</w:t>
      </w:r>
    </w:p>
    <w:p w14:paraId="4AA1BE8A" w14:textId="77777777" w:rsidR="00681EF7" w:rsidRPr="00681EF7" w:rsidRDefault="00681EF7" w:rsidP="004C4FB9">
      <w:pPr>
        <w:spacing w:line="360" w:lineRule="auto"/>
        <w:rPr>
          <w:rFonts w:ascii="Arial" w:hAnsi="Arial" w:cs="Arial"/>
          <w:sz w:val="22"/>
          <w:szCs w:val="22"/>
        </w:rPr>
      </w:pPr>
    </w:p>
    <w:p w14:paraId="3A178A4D"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lastRenderedPageBreak/>
        <w:t xml:space="preserve">Oxfordshire County Council: </w:t>
      </w:r>
      <w:r w:rsidRPr="00681EF7">
        <w:rPr>
          <w:rFonts w:ascii="Arial" w:hAnsi="Arial" w:cs="Arial"/>
          <w:i/>
          <w:iCs/>
          <w:sz w:val="22"/>
          <w:szCs w:val="22"/>
        </w:rPr>
        <w:t xml:space="preserve">Copy Box. </w:t>
      </w:r>
      <w:r w:rsidRPr="00681EF7">
        <w:rPr>
          <w:rFonts w:ascii="Arial" w:hAnsi="Arial" w:cs="Arial"/>
          <w:sz w:val="22"/>
          <w:szCs w:val="22"/>
        </w:rPr>
        <w:t xml:space="preserve">Available at: </w:t>
      </w:r>
      <w:hyperlink r:id="rId18" w:history="1">
        <w:r w:rsidRPr="00681EF7">
          <w:rPr>
            <w:rStyle w:val="Hyperlink"/>
            <w:rFonts w:ascii="Arial" w:hAnsi="Arial" w:cs="Arial"/>
            <w:sz w:val="22"/>
            <w:szCs w:val="22"/>
          </w:rPr>
          <w:t>https://www.oxfordshire.gov.uk/sites/default/files/file/information-childcare-providers/Copybox.pdf</w:t>
        </w:r>
      </w:hyperlink>
      <w:r w:rsidRPr="00681EF7">
        <w:rPr>
          <w:rFonts w:ascii="Arial" w:hAnsi="Arial" w:cs="Arial"/>
          <w:sz w:val="22"/>
          <w:szCs w:val="22"/>
        </w:rPr>
        <w:t xml:space="preserve"> (Accessed: 14 November 2024).  </w:t>
      </w:r>
    </w:p>
    <w:p w14:paraId="34218178" w14:textId="77777777" w:rsidR="00681EF7" w:rsidRPr="00681EF7" w:rsidRDefault="00681EF7" w:rsidP="004C4FB9">
      <w:pPr>
        <w:spacing w:line="360" w:lineRule="auto"/>
        <w:rPr>
          <w:rFonts w:ascii="Arial" w:hAnsi="Arial" w:cs="Arial"/>
          <w:sz w:val="22"/>
          <w:szCs w:val="22"/>
        </w:rPr>
      </w:pPr>
    </w:p>
    <w:p w14:paraId="047095BD"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Paris, Ricardo and Rymond, (n.d.) </w:t>
      </w:r>
      <w:r w:rsidRPr="00681EF7">
        <w:rPr>
          <w:rFonts w:ascii="Arial" w:hAnsi="Arial" w:cs="Arial"/>
          <w:i/>
          <w:iCs/>
          <w:sz w:val="22"/>
          <w:szCs w:val="22"/>
        </w:rPr>
        <w:t xml:space="preserve">Understanding the whole child: Prenatal development through adolescence. </w:t>
      </w:r>
      <w:r w:rsidRPr="00681EF7">
        <w:rPr>
          <w:rFonts w:ascii="Arial" w:hAnsi="Arial" w:cs="Arial"/>
          <w:sz w:val="22"/>
          <w:szCs w:val="22"/>
        </w:rPr>
        <w:t xml:space="preserve">Available at: </w:t>
      </w:r>
      <w:hyperlink r:id="rId19" w:history="1">
        <w:r w:rsidRPr="00681EF7">
          <w:rPr>
            <w:rStyle w:val="Hyperlink"/>
            <w:rFonts w:ascii="Arial" w:hAnsi="Arial" w:cs="Arial"/>
            <w:sz w:val="22"/>
            <w:szCs w:val="22"/>
          </w:rPr>
          <w:t>https://bookdown.org/nathalieyuen/understanding-the-whole-child/erikson-initiative-vs-guilt.html</w:t>
        </w:r>
      </w:hyperlink>
    </w:p>
    <w:p w14:paraId="6E2D2F86"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(Accessed: 14 November 2024).</w:t>
      </w:r>
    </w:p>
    <w:p w14:paraId="56852CE7" w14:textId="77777777" w:rsidR="00681EF7" w:rsidRPr="00681EF7" w:rsidRDefault="00681EF7" w:rsidP="004C4FB9">
      <w:pPr>
        <w:spacing w:line="360" w:lineRule="auto"/>
        <w:rPr>
          <w:rFonts w:ascii="Arial" w:hAnsi="Arial" w:cs="Arial"/>
          <w:sz w:val="22"/>
          <w:szCs w:val="22"/>
        </w:rPr>
      </w:pPr>
    </w:p>
    <w:p w14:paraId="4E18721C"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Parten, M. (1932) ‘Social Participation among pre-school children’, </w:t>
      </w:r>
      <w:r w:rsidRPr="00681EF7">
        <w:rPr>
          <w:rFonts w:ascii="Arial" w:hAnsi="Arial" w:cs="Arial"/>
          <w:i/>
          <w:iCs/>
          <w:sz w:val="22"/>
          <w:szCs w:val="22"/>
        </w:rPr>
        <w:t>Journal of abnormal and social psychology</w:t>
      </w:r>
      <w:r w:rsidRPr="00681EF7">
        <w:rPr>
          <w:rFonts w:ascii="Arial" w:hAnsi="Arial" w:cs="Arial"/>
          <w:sz w:val="22"/>
          <w:szCs w:val="22"/>
        </w:rPr>
        <w:t xml:space="preserve">, 27(3), pp. 243–269. Available at: </w:t>
      </w:r>
      <w:hyperlink r:id="rId20" w:history="1">
        <w:r w:rsidRPr="00681EF7">
          <w:rPr>
            <w:rStyle w:val="Hyperlink"/>
            <w:rFonts w:ascii="Arial" w:hAnsi="Arial" w:cs="Arial"/>
            <w:sz w:val="22"/>
            <w:szCs w:val="22"/>
          </w:rPr>
          <w:t>https://doi.org/10.1037/h0074524</w:t>
        </w:r>
      </w:hyperlink>
      <w:r w:rsidRPr="00681EF7">
        <w:rPr>
          <w:rFonts w:ascii="Arial" w:hAnsi="Arial" w:cs="Arial"/>
          <w:sz w:val="22"/>
          <w:szCs w:val="22"/>
        </w:rPr>
        <w:t xml:space="preserve">  (Accessed: 14 November 2024). </w:t>
      </w:r>
    </w:p>
    <w:p w14:paraId="1ADE6DFF" w14:textId="77777777" w:rsidR="00681EF7" w:rsidRPr="00681EF7" w:rsidRDefault="00681EF7" w:rsidP="004C4FB9">
      <w:pPr>
        <w:spacing w:line="360" w:lineRule="auto"/>
        <w:rPr>
          <w:rFonts w:ascii="Arial" w:hAnsi="Arial" w:cs="Arial"/>
          <w:sz w:val="22"/>
          <w:szCs w:val="22"/>
        </w:rPr>
      </w:pPr>
    </w:p>
    <w:p w14:paraId="622E9099"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Parten, M. (1933) ‘Social play among preschool children’, </w:t>
      </w:r>
      <w:r w:rsidRPr="00681EF7">
        <w:rPr>
          <w:rFonts w:ascii="Arial" w:hAnsi="Arial" w:cs="Arial"/>
          <w:i/>
          <w:iCs/>
          <w:sz w:val="22"/>
          <w:szCs w:val="22"/>
        </w:rPr>
        <w:t>The Journal of Abnormal and Social Psychology, 28</w:t>
      </w:r>
      <w:r w:rsidRPr="00681EF7">
        <w:rPr>
          <w:rFonts w:ascii="Arial" w:hAnsi="Arial" w:cs="Arial"/>
          <w:sz w:val="22"/>
          <w:szCs w:val="22"/>
        </w:rPr>
        <w:t xml:space="preserve">(2), pp. 138-142  Available at: </w:t>
      </w:r>
      <w:hyperlink r:id="rId21" w:history="1">
        <w:r w:rsidRPr="00681EF7">
          <w:rPr>
            <w:rStyle w:val="Hyperlink"/>
            <w:rFonts w:ascii="Arial" w:hAnsi="Arial" w:cs="Arial"/>
            <w:sz w:val="22"/>
            <w:szCs w:val="22"/>
          </w:rPr>
          <w:t>http://hcitang.org/uploads/Teaching/1933-parten-social-play.pdf</w:t>
        </w:r>
      </w:hyperlink>
      <w:r w:rsidRPr="00681EF7">
        <w:rPr>
          <w:rFonts w:ascii="Arial" w:hAnsi="Arial" w:cs="Arial"/>
          <w:sz w:val="22"/>
          <w:szCs w:val="22"/>
        </w:rPr>
        <w:t xml:space="preserve"> (Accessed: 14 </w:t>
      </w:r>
      <w:proofErr w:type="spellStart"/>
      <w:r w:rsidRPr="00681EF7">
        <w:rPr>
          <w:rFonts w:ascii="Arial" w:hAnsi="Arial" w:cs="Arial"/>
          <w:sz w:val="22"/>
          <w:szCs w:val="22"/>
        </w:rPr>
        <w:t>NOvember</w:t>
      </w:r>
      <w:proofErr w:type="spellEnd"/>
      <w:r w:rsidRPr="00681EF7">
        <w:rPr>
          <w:rFonts w:ascii="Arial" w:hAnsi="Arial" w:cs="Arial"/>
          <w:sz w:val="22"/>
          <w:szCs w:val="22"/>
        </w:rPr>
        <w:t xml:space="preserve"> 2024).</w:t>
      </w:r>
    </w:p>
    <w:p w14:paraId="2F6E29EE" w14:textId="77777777" w:rsidR="00681EF7" w:rsidRPr="00681EF7" w:rsidRDefault="00681EF7" w:rsidP="004C4FB9">
      <w:pPr>
        <w:spacing w:line="360" w:lineRule="auto"/>
        <w:rPr>
          <w:rFonts w:ascii="Arial" w:hAnsi="Arial" w:cs="Arial"/>
          <w:sz w:val="22"/>
          <w:szCs w:val="22"/>
        </w:rPr>
      </w:pPr>
    </w:p>
    <w:p w14:paraId="304B5BF7"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PATHS Education UK. (2023) </w:t>
      </w:r>
      <w:r w:rsidRPr="00681EF7">
        <w:rPr>
          <w:rFonts w:ascii="Arial" w:hAnsi="Arial" w:cs="Arial"/>
          <w:i/>
          <w:iCs/>
          <w:sz w:val="22"/>
          <w:szCs w:val="22"/>
        </w:rPr>
        <w:t>Spotlight on Currie Primary School</w:t>
      </w:r>
      <w:r w:rsidRPr="00681EF7">
        <w:rPr>
          <w:rFonts w:ascii="Arial" w:hAnsi="Arial" w:cs="Arial"/>
          <w:sz w:val="22"/>
          <w:szCs w:val="22"/>
        </w:rPr>
        <w:t xml:space="preserve">. Available at: </w:t>
      </w:r>
      <w:hyperlink r:id="rId22" w:history="1">
        <w:r w:rsidRPr="00681EF7">
          <w:rPr>
            <w:rStyle w:val="Hyperlink"/>
            <w:rFonts w:ascii="Arial" w:hAnsi="Arial" w:cs="Arial"/>
            <w:sz w:val="22"/>
            <w:szCs w:val="22"/>
          </w:rPr>
          <w:t>https://www.pathseducation.co.uk/paths-blog/article/spotlight-on-currie-primary-school</w:t>
        </w:r>
      </w:hyperlink>
      <w:r w:rsidRPr="00681EF7">
        <w:rPr>
          <w:rFonts w:ascii="Arial" w:hAnsi="Arial" w:cs="Arial"/>
          <w:sz w:val="22"/>
          <w:szCs w:val="22"/>
        </w:rPr>
        <w:t xml:space="preserve"> (Accessed: 18 November 2024).</w:t>
      </w:r>
    </w:p>
    <w:p w14:paraId="5613D7AA" w14:textId="77777777" w:rsidR="00681EF7" w:rsidRPr="00681EF7" w:rsidRDefault="00681EF7" w:rsidP="004C4FB9">
      <w:pPr>
        <w:spacing w:line="360" w:lineRule="auto"/>
        <w:rPr>
          <w:rFonts w:ascii="Arial" w:hAnsi="Arial" w:cs="Arial"/>
          <w:sz w:val="22"/>
          <w:szCs w:val="22"/>
        </w:rPr>
      </w:pPr>
    </w:p>
    <w:p w14:paraId="524572CB"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Paul, (2023) ‘Identity and community: Erik Erikson’, </w:t>
      </w:r>
      <w:r w:rsidRPr="00681EF7">
        <w:rPr>
          <w:rFonts w:ascii="Arial" w:hAnsi="Arial" w:cs="Arial"/>
          <w:i/>
          <w:iCs/>
          <w:sz w:val="22"/>
          <w:szCs w:val="22"/>
        </w:rPr>
        <w:t xml:space="preserve">The psychoanalytic quarterly, </w:t>
      </w:r>
      <w:r w:rsidRPr="00681EF7">
        <w:rPr>
          <w:rFonts w:ascii="Arial" w:hAnsi="Arial" w:cs="Arial"/>
          <w:sz w:val="22"/>
          <w:szCs w:val="22"/>
        </w:rPr>
        <w:t xml:space="preserve">92(3), pp. 378-380. Available at: </w:t>
      </w:r>
      <w:hyperlink r:id="rId23" w:history="1">
        <w:r w:rsidRPr="00681EF7">
          <w:rPr>
            <w:rStyle w:val="Hyperlink"/>
            <w:rFonts w:ascii="Arial" w:hAnsi="Arial" w:cs="Arial"/>
            <w:sz w:val="22"/>
            <w:szCs w:val="22"/>
          </w:rPr>
          <w:t>https://www-tandfonline-com.ezproxy.uwtsd.ac.uk/doi/epdf/10.1080/00332828.2023.2267527?needAccess=true</w:t>
        </w:r>
      </w:hyperlink>
      <w:r w:rsidRPr="00681EF7">
        <w:rPr>
          <w:rFonts w:ascii="Arial" w:hAnsi="Arial" w:cs="Arial"/>
          <w:sz w:val="22"/>
          <w:szCs w:val="22"/>
        </w:rPr>
        <w:t>  (Accessed: 16 November 2024).</w:t>
      </w:r>
    </w:p>
    <w:p w14:paraId="4D51AE03" w14:textId="77777777" w:rsidR="00681EF7" w:rsidRPr="00681EF7" w:rsidRDefault="00681EF7" w:rsidP="004C4FB9">
      <w:pPr>
        <w:spacing w:line="360" w:lineRule="auto"/>
        <w:rPr>
          <w:rFonts w:ascii="Arial" w:hAnsi="Arial" w:cs="Arial"/>
          <w:sz w:val="22"/>
          <w:szCs w:val="22"/>
        </w:rPr>
      </w:pPr>
    </w:p>
    <w:p w14:paraId="518D81E1"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Pavlov, I.P. (1927) </w:t>
      </w:r>
      <w:r w:rsidRPr="00681EF7">
        <w:rPr>
          <w:rFonts w:ascii="Arial" w:hAnsi="Arial" w:cs="Arial"/>
          <w:i/>
          <w:iCs/>
          <w:sz w:val="22"/>
          <w:szCs w:val="22"/>
        </w:rPr>
        <w:t>Conditioned Reflexes: An Investigation of the Physiological Activity of the Cerebral Cortex.</w:t>
      </w:r>
      <w:r w:rsidRPr="00681EF7">
        <w:rPr>
          <w:rFonts w:ascii="Arial" w:hAnsi="Arial" w:cs="Arial"/>
          <w:sz w:val="22"/>
          <w:szCs w:val="22"/>
        </w:rPr>
        <w:t xml:space="preserve"> Oxford: Oxford University Press.</w:t>
      </w:r>
    </w:p>
    <w:p w14:paraId="3CBC77F2" w14:textId="77777777" w:rsidR="00681EF7" w:rsidRPr="00681EF7" w:rsidRDefault="00681EF7" w:rsidP="004C4FB9">
      <w:pPr>
        <w:spacing w:line="360" w:lineRule="auto"/>
        <w:rPr>
          <w:rFonts w:ascii="Arial" w:hAnsi="Arial" w:cs="Arial"/>
          <w:sz w:val="22"/>
          <w:szCs w:val="22"/>
        </w:rPr>
      </w:pPr>
    </w:p>
    <w:p w14:paraId="25524546" w14:textId="7904F56B" w:rsidR="00681EF7" w:rsidRPr="00681EF7" w:rsidRDefault="00681EF7" w:rsidP="004C4FB9">
      <w:pPr>
        <w:spacing w:line="360" w:lineRule="auto"/>
        <w:rPr>
          <w:rFonts w:ascii="Arial" w:hAnsi="Arial" w:cs="Arial"/>
          <w:sz w:val="22"/>
          <w:szCs w:val="22"/>
        </w:rPr>
      </w:pPr>
      <w:proofErr w:type="spellStart"/>
      <w:r w:rsidRPr="00681EF7">
        <w:rPr>
          <w:rFonts w:ascii="Arial" w:hAnsi="Arial" w:cs="Arial"/>
          <w:sz w:val="22"/>
          <w:szCs w:val="22"/>
        </w:rPr>
        <w:lastRenderedPageBreak/>
        <w:t>Slimansky</w:t>
      </w:r>
      <w:proofErr w:type="spellEnd"/>
      <w:r w:rsidRPr="00681EF7">
        <w:rPr>
          <w:rFonts w:ascii="Arial" w:hAnsi="Arial" w:cs="Arial"/>
          <w:sz w:val="22"/>
          <w:szCs w:val="22"/>
        </w:rPr>
        <w:t xml:space="preserve">, S. (1968) </w:t>
      </w:r>
      <w:r w:rsidRPr="00681EF7">
        <w:rPr>
          <w:rFonts w:ascii="Arial" w:hAnsi="Arial" w:cs="Arial"/>
          <w:i/>
          <w:iCs/>
          <w:sz w:val="22"/>
          <w:szCs w:val="22"/>
        </w:rPr>
        <w:t xml:space="preserve">The effects of sociodramatic play on disadvantaged preschool children. </w:t>
      </w:r>
      <w:r w:rsidRPr="00681EF7">
        <w:rPr>
          <w:rFonts w:ascii="Arial" w:hAnsi="Arial" w:cs="Arial"/>
          <w:sz w:val="22"/>
          <w:szCs w:val="22"/>
        </w:rPr>
        <w:t xml:space="preserve">New </w:t>
      </w:r>
      <w:r w:rsidRPr="00681EF7">
        <w:rPr>
          <w:rFonts w:ascii="Arial" w:hAnsi="Arial" w:cs="Arial"/>
          <w:sz w:val="22"/>
          <w:szCs w:val="22"/>
        </w:rPr>
        <w:t>York:</w:t>
      </w:r>
      <w:r w:rsidRPr="00681EF7">
        <w:rPr>
          <w:rFonts w:ascii="Arial" w:hAnsi="Arial" w:cs="Arial"/>
          <w:sz w:val="22"/>
          <w:szCs w:val="22"/>
        </w:rPr>
        <w:t xml:space="preserve"> Wiley.</w:t>
      </w:r>
    </w:p>
    <w:p w14:paraId="60385769" w14:textId="77777777" w:rsidR="00681EF7" w:rsidRPr="00681EF7" w:rsidRDefault="00681EF7" w:rsidP="004C4FB9">
      <w:pPr>
        <w:spacing w:line="360" w:lineRule="auto"/>
        <w:rPr>
          <w:rFonts w:ascii="Arial" w:hAnsi="Arial" w:cs="Arial"/>
          <w:sz w:val="22"/>
          <w:szCs w:val="22"/>
        </w:rPr>
      </w:pPr>
    </w:p>
    <w:p w14:paraId="6C7E2DD6"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Skinner, B.F. (1938) </w:t>
      </w:r>
      <w:r w:rsidRPr="00681EF7">
        <w:rPr>
          <w:rFonts w:ascii="Arial" w:hAnsi="Arial" w:cs="Arial"/>
          <w:i/>
          <w:iCs/>
          <w:sz w:val="22"/>
          <w:szCs w:val="22"/>
        </w:rPr>
        <w:t xml:space="preserve">The behaviour of organisms an experimental. </w:t>
      </w:r>
      <w:r w:rsidRPr="00681EF7">
        <w:rPr>
          <w:rFonts w:ascii="Arial" w:hAnsi="Arial" w:cs="Arial"/>
          <w:sz w:val="22"/>
          <w:szCs w:val="22"/>
        </w:rPr>
        <w:t>New York: The Appleton-Century Company, Inc</w:t>
      </w:r>
    </w:p>
    <w:p w14:paraId="3FB14AA7" w14:textId="77777777" w:rsidR="00681EF7" w:rsidRPr="00681EF7" w:rsidRDefault="00681EF7" w:rsidP="004C4FB9">
      <w:pPr>
        <w:spacing w:line="360" w:lineRule="auto"/>
        <w:rPr>
          <w:rFonts w:ascii="Arial" w:hAnsi="Arial" w:cs="Arial"/>
          <w:sz w:val="22"/>
          <w:szCs w:val="22"/>
        </w:rPr>
      </w:pPr>
    </w:p>
    <w:p w14:paraId="0F89AF54"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Thompson, P. (2018) </w:t>
      </w:r>
      <w:r w:rsidRPr="00681EF7">
        <w:rPr>
          <w:rFonts w:ascii="Arial" w:hAnsi="Arial" w:cs="Arial"/>
          <w:i/>
          <w:iCs/>
          <w:sz w:val="22"/>
          <w:szCs w:val="22"/>
        </w:rPr>
        <w:t xml:space="preserve">Foundations of educational technology. </w:t>
      </w:r>
      <w:r w:rsidRPr="00681EF7">
        <w:rPr>
          <w:rFonts w:ascii="Arial" w:hAnsi="Arial" w:cs="Arial"/>
          <w:sz w:val="22"/>
          <w:szCs w:val="22"/>
        </w:rPr>
        <w:t>Oklahoma: Oklahoma State University.</w:t>
      </w:r>
    </w:p>
    <w:p w14:paraId="3017E802" w14:textId="77777777" w:rsidR="00681EF7" w:rsidRPr="00681EF7" w:rsidRDefault="00681EF7" w:rsidP="004C4FB9">
      <w:pPr>
        <w:spacing w:line="360" w:lineRule="auto"/>
        <w:rPr>
          <w:rFonts w:ascii="Arial" w:hAnsi="Arial" w:cs="Arial"/>
          <w:sz w:val="22"/>
          <w:szCs w:val="22"/>
        </w:rPr>
      </w:pPr>
    </w:p>
    <w:p w14:paraId="202C5AF0"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Vroom, V.H. (1964) </w:t>
      </w:r>
      <w:r w:rsidRPr="00681EF7">
        <w:rPr>
          <w:rFonts w:ascii="Arial" w:hAnsi="Arial" w:cs="Arial"/>
          <w:i/>
          <w:iCs/>
          <w:sz w:val="22"/>
          <w:szCs w:val="22"/>
        </w:rPr>
        <w:t xml:space="preserve">Work and motivation. </w:t>
      </w:r>
      <w:r w:rsidRPr="00681EF7">
        <w:rPr>
          <w:rFonts w:ascii="Arial" w:hAnsi="Arial" w:cs="Arial"/>
          <w:sz w:val="22"/>
          <w:szCs w:val="22"/>
        </w:rPr>
        <w:t>New York: Wiley</w:t>
      </w:r>
    </w:p>
    <w:p w14:paraId="60A9643B" w14:textId="77777777" w:rsidR="00681EF7" w:rsidRPr="00681EF7" w:rsidRDefault="00681EF7" w:rsidP="004C4FB9">
      <w:pPr>
        <w:spacing w:line="360" w:lineRule="auto"/>
        <w:rPr>
          <w:rFonts w:ascii="Arial" w:hAnsi="Arial" w:cs="Arial"/>
          <w:sz w:val="22"/>
          <w:szCs w:val="22"/>
        </w:rPr>
      </w:pPr>
    </w:p>
    <w:p w14:paraId="5D770A5E"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Vygotsky, L.S. (1978), </w:t>
      </w:r>
      <w:r w:rsidRPr="00681EF7">
        <w:rPr>
          <w:rFonts w:ascii="Arial" w:hAnsi="Arial" w:cs="Arial"/>
          <w:i/>
          <w:iCs/>
          <w:sz w:val="22"/>
          <w:szCs w:val="22"/>
        </w:rPr>
        <w:t xml:space="preserve">Mind in society: development of higher psychological processes, </w:t>
      </w:r>
      <w:r w:rsidRPr="00681EF7">
        <w:rPr>
          <w:rFonts w:ascii="Arial" w:hAnsi="Arial" w:cs="Arial"/>
          <w:sz w:val="22"/>
          <w:szCs w:val="22"/>
        </w:rPr>
        <w:t>Cambridge, MA: Harvard University Press.</w:t>
      </w:r>
    </w:p>
    <w:p w14:paraId="3AD5974F" w14:textId="77777777" w:rsidR="00681EF7" w:rsidRPr="00681EF7" w:rsidRDefault="00681EF7" w:rsidP="004C4FB9">
      <w:pPr>
        <w:spacing w:line="360" w:lineRule="auto"/>
        <w:rPr>
          <w:rFonts w:ascii="Arial" w:hAnsi="Arial" w:cs="Arial"/>
          <w:sz w:val="22"/>
          <w:szCs w:val="22"/>
        </w:rPr>
      </w:pPr>
    </w:p>
    <w:p w14:paraId="2F1A7F67"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Watson, J.B., and Raynor, R. (1920) ‘Conditioned emotional reactions’, </w:t>
      </w:r>
      <w:r w:rsidRPr="00681EF7">
        <w:rPr>
          <w:rFonts w:ascii="Arial" w:hAnsi="Arial" w:cs="Arial"/>
          <w:i/>
          <w:iCs/>
          <w:sz w:val="22"/>
          <w:szCs w:val="22"/>
        </w:rPr>
        <w:t xml:space="preserve">Journal of experimental psychology, </w:t>
      </w:r>
      <w:r w:rsidRPr="00681EF7">
        <w:rPr>
          <w:rFonts w:ascii="Arial" w:hAnsi="Arial" w:cs="Arial"/>
          <w:sz w:val="22"/>
          <w:szCs w:val="22"/>
        </w:rPr>
        <w:t xml:space="preserve">3(1), pp. 12-14, Available at: </w:t>
      </w:r>
      <w:hyperlink r:id="rId24" w:history="1">
        <w:r w:rsidRPr="00681EF7">
          <w:rPr>
            <w:rStyle w:val="Hyperlink"/>
            <w:rFonts w:ascii="Arial" w:hAnsi="Arial" w:cs="Arial"/>
            <w:sz w:val="22"/>
            <w:szCs w:val="22"/>
          </w:rPr>
          <w:t>https://www.appstate.edu/~steelekm/classes/psy3214/Documents/Watson&amp;Rayner1920.pdf</w:t>
        </w:r>
      </w:hyperlink>
      <w:r w:rsidRPr="00681EF7">
        <w:rPr>
          <w:rFonts w:ascii="Arial" w:hAnsi="Arial" w:cs="Arial"/>
          <w:sz w:val="22"/>
          <w:szCs w:val="22"/>
        </w:rPr>
        <w:t xml:space="preserve"> (Accessed: 10 November 2024).</w:t>
      </w:r>
    </w:p>
    <w:p w14:paraId="269653C2" w14:textId="77777777" w:rsidR="00681EF7" w:rsidRPr="00681EF7" w:rsidRDefault="00681EF7" w:rsidP="004C4FB9">
      <w:pPr>
        <w:spacing w:line="360" w:lineRule="auto"/>
        <w:rPr>
          <w:rFonts w:ascii="Arial" w:hAnsi="Arial" w:cs="Arial"/>
          <w:sz w:val="22"/>
          <w:szCs w:val="22"/>
        </w:rPr>
      </w:pPr>
    </w:p>
    <w:p w14:paraId="7017FBEF"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Welsh Assembly Government. (2008) </w:t>
      </w:r>
      <w:r w:rsidRPr="00681EF7">
        <w:rPr>
          <w:rFonts w:ascii="Arial" w:hAnsi="Arial" w:cs="Arial"/>
          <w:i/>
          <w:iCs/>
          <w:sz w:val="22"/>
          <w:szCs w:val="22"/>
        </w:rPr>
        <w:t xml:space="preserve">Personal and social development, well-being and cultural diversity. </w:t>
      </w:r>
      <w:r w:rsidRPr="00681EF7">
        <w:rPr>
          <w:rFonts w:ascii="Arial" w:hAnsi="Arial" w:cs="Arial"/>
          <w:sz w:val="22"/>
          <w:szCs w:val="22"/>
        </w:rPr>
        <w:t xml:space="preserve">Available at: </w:t>
      </w:r>
      <w:hyperlink r:id="rId25" w:history="1">
        <w:r w:rsidRPr="00681EF7">
          <w:rPr>
            <w:rStyle w:val="Hyperlink"/>
            <w:rFonts w:ascii="Arial" w:hAnsi="Arial" w:cs="Arial"/>
            <w:sz w:val="22"/>
            <w:szCs w:val="22"/>
          </w:rPr>
          <w:t>https://hwb.gov.wales/api/storage/6b693169-0407-4a33-bbd9-8c5e452dae9d/personal-and-social-development-well-being-and-cultural-diversity.pdf</w:t>
        </w:r>
      </w:hyperlink>
      <w:r w:rsidRPr="00681EF7">
        <w:rPr>
          <w:rFonts w:ascii="Arial" w:hAnsi="Arial" w:cs="Arial"/>
          <w:sz w:val="22"/>
          <w:szCs w:val="22"/>
        </w:rPr>
        <w:t xml:space="preserve"> (Accessed: 14 November 2024).</w:t>
      </w:r>
    </w:p>
    <w:p w14:paraId="63290472" w14:textId="77777777" w:rsidR="00681EF7" w:rsidRPr="00681EF7" w:rsidRDefault="00681EF7" w:rsidP="004C4FB9">
      <w:pPr>
        <w:spacing w:line="360" w:lineRule="auto"/>
        <w:rPr>
          <w:rFonts w:ascii="Arial" w:hAnsi="Arial" w:cs="Arial"/>
          <w:sz w:val="22"/>
          <w:szCs w:val="22"/>
        </w:rPr>
      </w:pPr>
    </w:p>
    <w:p w14:paraId="379C7696" w14:textId="77777777" w:rsidR="00681EF7" w:rsidRPr="00681EF7" w:rsidRDefault="00681EF7" w:rsidP="004C4FB9">
      <w:pPr>
        <w:spacing w:line="360" w:lineRule="auto"/>
        <w:rPr>
          <w:rFonts w:ascii="Arial" w:hAnsi="Arial" w:cs="Arial"/>
          <w:sz w:val="22"/>
          <w:szCs w:val="22"/>
        </w:rPr>
      </w:pPr>
      <w:r w:rsidRPr="00681EF7">
        <w:rPr>
          <w:rFonts w:ascii="Arial" w:hAnsi="Arial" w:cs="Arial"/>
          <w:sz w:val="22"/>
          <w:szCs w:val="22"/>
        </w:rPr>
        <w:t xml:space="preserve">Welsh Government (2018) </w:t>
      </w:r>
      <w:r w:rsidRPr="00681EF7">
        <w:rPr>
          <w:rFonts w:ascii="Arial" w:hAnsi="Arial" w:cs="Arial"/>
          <w:i/>
          <w:iCs/>
          <w:sz w:val="22"/>
          <w:szCs w:val="22"/>
        </w:rPr>
        <w:t>Special educational needs code of practice for Wales</w:t>
      </w:r>
      <w:r w:rsidRPr="00681EF7">
        <w:rPr>
          <w:rFonts w:ascii="Arial" w:hAnsi="Arial" w:cs="Arial"/>
          <w:sz w:val="22"/>
          <w:szCs w:val="22"/>
        </w:rPr>
        <w:t xml:space="preserve">. Available at: </w:t>
      </w:r>
      <w:hyperlink r:id="rId26" w:history="1">
        <w:r w:rsidRPr="00681EF7">
          <w:rPr>
            <w:rStyle w:val="Hyperlink"/>
            <w:rFonts w:ascii="Arial" w:hAnsi="Arial" w:cs="Arial"/>
            <w:sz w:val="22"/>
            <w:szCs w:val="22"/>
          </w:rPr>
          <w:t>https://www.gov.wales/sites/default/files/publications/2018-03/special-educational-needs-code-of-practice-for-wales.pdf</w:t>
        </w:r>
      </w:hyperlink>
      <w:r w:rsidRPr="00681EF7">
        <w:rPr>
          <w:rFonts w:ascii="Arial" w:hAnsi="Arial" w:cs="Arial"/>
          <w:sz w:val="22"/>
          <w:szCs w:val="22"/>
        </w:rPr>
        <w:t xml:space="preserve"> (Accessed: 22 November 2024).</w:t>
      </w:r>
    </w:p>
    <w:p w14:paraId="747FF31A" w14:textId="087E24EC" w:rsidR="00AD5871" w:rsidRPr="00681EF7" w:rsidRDefault="00681EF7" w:rsidP="004C4FB9">
      <w:pPr>
        <w:spacing w:line="360" w:lineRule="auto"/>
        <w:rPr>
          <w:rFonts w:ascii="Arial" w:hAnsi="Arial" w:cs="Arial"/>
          <w:sz w:val="22"/>
          <w:szCs w:val="22"/>
        </w:rPr>
      </w:pPr>
      <w:r w:rsidRPr="00681EF7">
        <w:rPr>
          <w:rFonts w:ascii="Arial" w:hAnsi="Arial" w:cs="Arial"/>
          <w:sz w:val="22"/>
          <w:szCs w:val="22"/>
        </w:rPr>
        <w:br/>
        <w:t xml:space="preserve">Wood, D., Bruner, J. and Ross, G. (1976) ‘The role of tutoring in problem solving’, </w:t>
      </w:r>
      <w:r w:rsidRPr="00681EF7">
        <w:rPr>
          <w:rFonts w:ascii="Arial" w:hAnsi="Arial" w:cs="Arial"/>
          <w:i/>
          <w:iCs/>
          <w:sz w:val="22"/>
          <w:szCs w:val="22"/>
        </w:rPr>
        <w:t>Journal of Child Psychology and Psychiatry</w:t>
      </w:r>
      <w:r w:rsidRPr="00681EF7">
        <w:rPr>
          <w:rFonts w:ascii="Arial" w:hAnsi="Arial" w:cs="Arial"/>
          <w:sz w:val="22"/>
          <w:szCs w:val="22"/>
        </w:rPr>
        <w:t xml:space="preserve">, 17(2), p. 90. Available at: </w:t>
      </w:r>
      <w:hyperlink r:id="rId27" w:history="1">
        <w:r w:rsidRPr="00681EF7">
          <w:rPr>
            <w:rStyle w:val="Hyperlink"/>
            <w:rFonts w:ascii="Arial" w:hAnsi="Arial" w:cs="Arial"/>
            <w:sz w:val="22"/>
            <w:szCs w:val="22"/>
          </w:rPr>
          <w:t>https://www.researchgate.net/publication/228039919_The_Role_of_Tutoring_in_Problem_Solving</w:t>
        </w:r>
      </w:hyperlink>
      <w:r w:rsidRPr="00681EF7">
        <w:rPr>
          <w:rFonts w:ascii="Arial" w:hAnsi="Arial" w:cs="Arial"/>
          <w:sz w:val="22"/>
          <w:szCs w:val="22"/>
        </w:rPr>
        <w:t xml:space="preserve"> (Accessed: 9 November 2024).</w:t>
      </w:r>
    </w:p>
    <w:sectPr w:rsidR="00AD5871" w:rsidRPr="00681E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F7"/>
    <w:rsid w:val="004C4FB9"/>
    <w:rsid w:val="00547706"/>
    <w:rsid w:val="005A7DAB"/>
    <w:rsid w:val="00681EF7"/>
    <w:rsid w:val="0094315F"/>
    <w:rsid w:val="00AB071A"/>
    <w:rsid w:val="00AD5871"/>
    <w:rsid w:val="00BD5362"/>
    <w:rsid w:val="00CA7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00BD1B"/>
  <w15:chartTrackingRefBased/>
  <w15:docId w15:val="{7A539685-4B80-E14C-BF8E-1F6F2481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E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E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E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E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E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E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E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E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E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EF7"/>
    <w:rPr>
      <w:rFonts w:eastAsiaTheme="majorEastAsia" w:cstheme="majorBidi"/>
      <w:color w:val="272727" w:themeColor="text1" w:themeTint="D8"/>
    </w:rPr>
  </w:style>
  <w:style w:type="paragraph" w:styleId="Title">
    <w:name w:val="Title"/>
    <w:basedOn w:val="Normal"/>
    <w:next w:val="Normal"/>
    <w:link w:val="TitleChar"/>
    <w:uiPriority w:val="10"/>
    <w:qFormat/>
    <w:rsid w:val="00681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E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E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E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EF7"/>
    <w:pPr>
      <w:spacing w:before="160"/>
      <w:jc w:val="center"/>
    </w:pPr>
    <w:rPr>
      <w:i/>
      <w:iCs/>
      <w:color w:val="404040" w:themeColor="text1" w:themeTint="BF"/>
    </w:rPr>
  </w:style>
  <w:style w:type="character" w:customStyle="1" w:styleId="QuoteChar">
    <w:name w:val="Quote Char"/>
    <w:basedOn w:val="DefaultParagraphFont"/>
    <w:link w:val="Quote"/>
    <w:uiPriority w:val="29"/>
    <w:rsid w:val="00681EF7"/>
    <w:rPr>
      <w:i/>
      <w:iCs/>
      <w:color w:val="404040" w:themeColor="text1" w:themeTint="BF"/>
    </w:rPr>
  </w:style>
  <w:style w:type="paragraph" w:styleId="ListParagraph">
    <w:name w:val="List Paragraph"/>
    <w:basedOn w:val="Normal"/>
    <w:uiPriority w:val="34"/>
    <w:qFormat/>
    <w:rsid w:val="00681EF7"/>
    <w:pPr>
      <w:ind w:left="720"/>
      <w:contextualSpacing/>
    </w:pPr>
  </w:style>
  <w:style w:type="character" w:styleId="IntenseEmphasis">
    <w:name w:val="Intense Emphasis"/>
    <w:basedOn w:val="DefaultParagraphFont"/>
    <w:uiPriority w:val="21"/>
    <w:qFormat/>
    <w:rsid w:val="00681EF7"/>
    <w:rPr>
      <w:i/>
      <w:iCs/>
      <w:color w:val="0F4761" w:themeColor="accent1" w:themeShade="BF"/>
    </w:rPr>
  </w:style>
  <w:style w:type="paragraph" w:styleId="IntenseQuote">
    <w:name w:val="Intense Quote"/>
    <w:basedOn w:val="Normal"/>
    <w:next w:val="Normal"/>
    <w:link w:val="IntenseQuoteChar"/>
    <w:uiPriority w:val="30"/>
    <w:qFormat/>
    <w:rsid w:val="00681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EF7"/>
    <w:rPr>
      <w:i/>
      <w:iCs/>
      <w:color w:val="0F4761" w:themeColor="accent1" w:themeShade="BF"/>
    </w:rPr>
  </w:style>
  <w:style w:type="character" w:styleId="IntenseReference">
    <w:name w:val="Intense Reference"/>
    <w:basedOn w:val="DefaultParagraphFont"/>
    <w:uiPriority w:val="32"/>
    <w:qFormat/>
    <w:rsid w:val="00681EF7"/>
    <w:rPr>
      <w:b/>
      <w:bCs/>
      <w:smallCaps/>
      <w:color w:val="0F4761" w:themeColor="accent1" w:themeShade="BF"/>
      <w:spacing w:val="5"/>
    </w:rPr>
  </w:style>
  <w:style w:type="character" w:styleId="Hyperlink">
    <w:name w:val="Hyperlink"/>
    <w:basedOn w:val="DefaultParagraphFont"/>
    <w:uiPriority w:val="99"/>
    <w:unhideWhenUsed/>
    <w:rsid w:val="00681EF7"/>
    <w:rPr>
      <w:color w:val="467886" w:themeColor="hyperlink"/>
      <w:u w:val="single"/>
    </w:rPr>
  </w:style>
  <w:style w:type="character" w:styleId="UnresolvedMention">
    <w:name w:val="Unresolved Mention"/>
    <w:basedOn w:val="DefaultParagraphFont"/>
    <w:uiPriority w:val="99"/>
    <w:semiHidden/>
    <w:unhideWhenUsed/>
    <w:rsid w:val="00681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418743">
      <w:bodyDiv w:val="1"/>
      <w:marLeft w:val="0"/>
      <w:marRight w:val="0"/>
      <w:marTop w:val="0"/>
      <w:marBottom w:val="0"/>
      <w:divBdr>
        <w:top w:val="none" w:sz="0" w:space="0" w:color="auto"/>
        <w:left w:val="none" w:sz="0" w:space="0" w:color="auto"/>
        <w:bottom w:val="none" w:sz="0" w:space="0" w:color="auto"/>
        <w:right w:val="none" w:sz="0" w:space="0" w:color="auto"/>
      </w:divBdr>
    </w:div>
    <w:div w:id="151762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lationalpsych.group/articles/understanding-the-4-attachment-styles" TargetMode="External"/><Relationship Id="rId13" Type="http://schemas.openxmlformats.org/officeDocument/2006/relationships/hyperlink" Target="https://www.foundationeducation.edu.au/articles/supporting-the-holistic-development-of-children" TargetMode="External"/><Relationship Id="rId18" Type="http://schemas.openxmlformats.org/officeDocument/2006/relationships/hyperlink" Target="https://www.oxfordshire.gov.uk/sites/default/files/file/information-childcare-providers/Copybox.pdf" TargetMode="External"/><Relationship Id="rId26" Type="http://schemas.openxmlformats.org/officeDocument/2006/relationships/hyperlink" Target="https://www.gov.wales/sites/default/files/publications/2018-03/special-educational-needs-code-of-practice-for-wales.pdf" TargetMode="External"/><Relationship Id="rId3" Type="http://schemas.openxmlformats.org/officeDocument/2006/relationships/settings" Target="settings.xml"/><Relationship Id="rId21" Type="http://schemas.openxmlformats.org/officeDocument/2006/relationships/hyperlink" Target="http://hcitang.org/uploads/Teaching/1933-parten-social-play.pdf" TargetMode="External"/><Relationship Id="rId7" Type="http://schemas.openxmlformats.org/officeDocument/2006/relationships/hyperlink" Target="https://www.childcomwales.org.uk/united-nations-convention-on-the-rights-of-the-child-full-text/" TargetMode="External"/><Relationship Id="rId12" Type="http://schemas.openxmlformats.org/officeDocument/2006/relationships/hyperlink" Target="https://www.elsa-support.co.uk/wp-content/uploads/2014/05/ELSA-Leaflet-PDF-.pdf" TargetMode="External"/><Relationship Id="rId17" Type="http://schemas.openxmlformats.org/officeDocument/2006/relationships/hyperlink" Target="https://www.naeyc.org/resources/pubs/yc/jul2018/enduring-contributions-arnold-gesell" TargetMode="External"/><Relationship Id="rId25" Type="http://schemas.openxmlformats.org/officeDocument/2006/relationships/hyperlink" Target="https://hwb.gov.wales/api/storage/6b693169-0407-4a33-bbd9-8c5e452dae9d/personal-and-social-development-well-being-and-cultural-diversity.pdf" TargetMode="External"/><Relationship Id="rId2" Type="http://schemas.openxmlformats.org/officeDocument/2006/relationships/styles" Target="styles.xml"/><Relationship Id="rId16" Type="http://schemas.openxmlformats.org/officeDocument/2006/relationships/hyperlink" Target="https://www.jstor.org/stable/1510229" TargetMode="External"/><Relationship Id="rId20" Type="http://schemas.openxmlformats.org/officeDocument/2006/relationships/hyperlink" Target="https://doi.org/10.1037/h007452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zproxy.uwtsd.ac.uk/login?url=https://www.jstor.org/stable/1174755" TargetMode="External"/><Relationship Id="rId11" Type="http://schemas.openxmlformats.org/officeDocument/2006/relationships/hyperlink" Target="https://educationgateshead.org/wp-content/uploads/2021/09/3535b-JH-Children-And-Egocentrism.pdf" TargetMode="External"/><Relationship Id="rId24" Type="http://schemas.openxmlformats.org/officeDocument/2006/relationships/hyperlink" Target="https://www.appstate.edu/~steelekm/classes/psy3214/Documents/Watson&amp;Rayner1920.pdf" TargetMode="External"/><Relationship Id="rId5" Type="http://schemas.openxmlformats.org/officeDocument/2006/relationships/hyperlink" Target="https://parents.actionforchildren.org.uk/development-additional-needs/social-emotional-development/" TargetMode="External"/><Relationship Id="rId15" Type="http://schemas.openxmlformats.org/officeDocument/2006/relationships/hyperlink" Target="https://royalsocietypublishing.org/doi/epdf/10.1098/rsbm.1992.0011" TargetMode="External"/><Relationship Id="rId23" Type="http://schemas.openxmlformats.org/officeDocument/2006/relationships/hyperlink" Target="https://www-tandfonline-com.ezproxy.uwtsd.ac.uk/doi/epdf/10.1080/00332828.2023.2267527?needAccess=true" TargetMode="External"/><Relationship Id="rId28" Type="http://schemas.openxmlformats.org/officeDocument/2006/relationships/fontTable" Target="fontTable.xml"/><Relationship Id="rId10" Type="http://schemas.openxmlformats.org/officeDocument/2006/relationships/hyperlink" Target="https://www.sciencedirect.com/science/article/pii/S0732118X00000088" TargetMode="External"/><Relationship Id="rId19" Type="http://schemas.openxmlformats.org/officeDocument/2006/relationships/hyperlink" Target="https://bookdown.org/nathalieyuen/understanding-the-whole-child/erikson-initiative-vs-guilt.html" TargetMode="External"/><Relationship Id="rId4" Type="http://schemas.openxmlformats.org/officeDocument/2006/relationships/webSettings" Target="webSettings.xml"/><Relationship Id="rId9" Type="http://schemas.openxmlformats.org/officeDocument/2006/relationships/hyperlink" Target="https://support-for-early-career-teachers.education.gov.uk/teach-first/year-1-how-can-you-create-an-effective-learning-environment/autumn-week-2-ect-theory/" TargetMode="External"/><Relationship Id="rId14" Type="http://schemas.openxmlformats.org/officeDocument/2006/relationships/hyperlink" Target="https://www.gesell-yale.org/pages/gesell-theory" TargetMode="External"/><Relationship Id="rId22" Type="http://schemas.openxmlformats.org/officeDocument/2006/relationships/hyperlink" Target="https://www.pathseducation.co.uk/paths-blog/article/spotlight-on-currie-primary-school" TargetMode="External"/><Relationship Id="rId27" Type="http://schemas.openxmlformats.org/officeDocument/2006/relationships/hyperlink" Target="https://www.researchgate.net/publication/228039919_The_Role_of_Tutoring_in_Problem_Sol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62662-23AF-9D45-A90F-DF760E5E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3640</Words>
  <Characters>20750</Characters>
  <Application>Microsoft Office Word</Application>
  <DocSecurity>0</DocSecurity>
  <Lines>172</Lines>
  <Paragraphs>48</Paragraphs>
  <ScaleCrop>false</ScaleCrop>
  <Company/>
  <LinksUpToDate>false</LinksUpToDate>
  <CharactersWithSpaces>24342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Cridland (2404515)</dc:creator>
  <cp:keywords/>
  <dc:description/>
  <cp:lastModifiedBy>Elin Cridland (2404515)</cp:lastModifiedBy>
  <cp:revision>6</cp:revision>
  <dcterms:created xsi:type="dcterms:W3CDTF">2024-11-22T20:46:00Z</dcterms:created>
  <dcterms:modified xsi:type="dcterms:W3CDTF">2024-11-22T20:57:00Z</dcterms:modified>
</cp:coreProperties>
</file>